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2DB87">
      <w:pPr>
        <w:spacing w:line="251" w:lineRule="auto"/>
        <w:rPr>
          <w:rFonts w:eastAsia="宋体"/>
        </w:rPr>
      </w:pPr>
      <w:r>
        <w:rPr>
          <w:rFonts w:hint="eastAsia" w:eastAsia="宋体"/>
        </w:rPr>
        <w:t xml:space="preserve">                                                                                                                                                                                                                                                                                                                                                                                                                                                                                                                                                                                                                                                                                                                                                                                                                                                                                                                                                                                                                                                                                                                                                                                                                                                                                                                                                                                                                                                                                                                                                                                                                                                                                                                                                                                                                                                                                                                                                                                                                                                                                                                                                                                                                                                                                                                                                                                                                                                                                                                                                                                                                                                                                                                                                                                                                                                                                                                                                                                                                                                                                                                                                                                                                                                                                                                                                                                                                                                                                                                                                                                                                                                                                                                                                                                                                                                                                                                                                                                                                                                                                                                                                                                                                </w:t>
      </w:r>
      <w:r>
        <w:rPr>
          <w:rFonts w:hint="eastAsia" w:eastAsia="宋体"/>
        </w:rPr>
        <w:t xml:space="preserve">                                                                                                                                                                                          </w:t>
      </w:r>
    </w:p>
    <w:p w14:paraId="748C895B">
      <w:pPr>
        <w:spacing w:line="251" w:lineRule="auto"/>
      </w:pPr>
    </w:p>
    <w:p w14:paraId="4E7E548E">
      <w:pPr>
        <w:spacing w:line="251" w:lineRule="auto"/>
      </w:pPr>
    </w:p>
    <w:p w14:paraId="5F7EA606">
      <w:pPr>
        <w:spacing w:line="251" w:lineRule="auto"/>
      </w:pPr>
    </w:p>
    <w:p w14:paraId="18B4173D">
      <w:pPr>
        <w:spacing w:line="251" w:lineRule="auto"/>
      </w:pPr>
    </w:p>
    <w:p w14:paraId="4FEC3795">
      <w:pPr>
        <w:spacing w:line="252" w:lineRule="auto"/>
      </w:pPr>
    </w:p>
    <w:p w14:paraId="341D205A">
      <w:pPr>
        <w:spacing w:line="252" w:lineRule="auto"/>
      </w:pPr>
    </w:p>
    <w:p w14:paraId="5C6EF2A3">
      <w:pPr>
        <w:spacing w:line="252" w:lineRule="auto"/>
      </w:pPr>
    </w:p>
    <w:p w14:paraId="275F3E2B">
      <w:pPr>
        <w:spacing w:before="117" w:line="220" w:lineRule="auto"/>
        <w:ind w:left="2774"/>
        <w:outlineLvl w:val="0"/>
        <w:rPr>
          <w:rFonts w:hint="eastAsia" w:ascii="宋体" w:hAnsi="宋体" w:eastAsia="宋体" w:cs="宋体"/>
          <w:sz w:val="36"/>
          <w:szCs w:val="36"/>
        </w:rPr>
      </w:pPr>
      <w:r>
        <w:rPr>
          <w:rFonts w:ascii="宋体" w:hAnsi="宋体" w:eastAsia="宋体" w:cs="宋体"/>
          <w:spacing w:val="-1"/>
          <w:sz w:val="36"/>
          <w:szCs w:val="36"/>
          <w14:textOutline w14:w="6527" w14:cap="flat" w14:cmpd="sng" w14:algn="ctr">
            <w14:solidFill>
              <w14:srgbClr w14:val="000000"/>
            </w14:solidFill>
            <w14:prstDash w14:val="solid"/>
            <w14:miter w14:val="0"/>
          </w14:textOutline>
        </w:rPr>
        <w:t>核技术利用建</w:t>
      </w:r>
      <w:r>
        <w:rPr>
          <w:rFonts w:ascii="宋体" w:hAnsi="宋体" w:eastAsia="宋体" w:cs="宋体"/>
          <w:sz w:val="36"/>
          <w:szCs w:val="36"/>
          <w14:textOutline w14:w="6527" w14:cap="flat" w14:cmpd="sng" w14:algn="ctr">
            <w14:solidFill>
              <w14:srgbClr w14:val="000000"/>
            </w14:solidFill>
            <w14:prstDash w14:val="solid"/>
            <w14:miter w14:val="0"/>
          </w14:textOutline>
        </w:rPr>
        <w:t>设项目</w:t>
      </w:r>
    </w:p>
    <w:p w14:paraId="0BE0C121">
      <w:pPr>
        <w:spacing w:line="251" w:lineRule="auto"/>
      </w:pPr>
    </w:p>
    <w:p w14:paraId="485DC9BB">
      <w:pPr>
        <w:spacing w:line="251" w:lineRule="auto"/>
      </w:pPr>
    </w:p>
    <w:p w14:paraId="5110F45B">
      <w:pPr>
        <w:spacing w:line="251" w:lineRule="auto"/>
      </w:pPr>
    </w:p>
    <w:p w14:paraId="127B36B4">
      <w:pPr>
        <w:spacing w:line="252" w:lineRule="auto"/>
      </w:pPr>
    </w:p>
    <w:p w14:paraId="1BEE6398">
      <w:pPr>
        <w:spacing w:line="252" w:lineRule="auto"/>
      </w:pPr>
    </w:p>
    <w:p w14:paraId="69AB84D9">
      <w:pPr>
        <w:spacing w:line="245" w:lineRule="auto"/>
        <w:jc w:val="center"/>
        <w:rPr>
          <w:rFonts w:eastAsia="宋体"/>
        </w:rPr>
      </w:pPr>
      <w:r>
        <w:rPr>
          <w:rFonts w:ascii="宋体" w:hAnsi="宋体" w:eastAsia="宋体" w:cs="宋体"/>
          <w:spacing w:val="41"/>
          <w:sz w:val="43"/>
          <w:szCs w:val="43"/>
          <w14:textOutline w14:w="7962" w14:cap="flat" w14:cmpd="sng" w14:algn="ctr">
            <w14:solidFill>
              <w14:srgbClr w14:val="000000"/>
            </w14:solidFill>
            <w14:prstDash w14:val="solid"/>
            <w14:miter w14:val="0"/>
          </w14:textOutline>
        </w:rPr>
        <w:t>年产10万吨旋卷式耐压金属壳体新建项目</w:t>
      </w:r>
      <w:r>
        <w:rPr>
          <w:rFonts w:hint="eastAsia" w:ascii="宋体" w:hAnsi="宋体" w:eastAsia="宋体" w:cs="宋体"/>
          <w:spacing w:val="-2"/>
          <w:sz w:val="43"/>
          <w:szCs w:val="43"/>
          <w14:textOutline w14:w="7962" w14:cap="flat" w14:cmpd="sng" w14:algn="ctr">
            <w14:solidFill>
              <w14:srgbClr w14:val="000000"/>
            </w14:solidFill>
            <w14:prstDash w14:val="solid"/>
            <w14:miter w14:val="0"/>
          </w14:textOutline>
        </w:rPr>
        <w:t>环境影响报告表</w:t>
      </w:r>
    </w:p>
    <w:p w14:paraId="74145FB5">
      <w:pPr>
        <w:spacing w:line="245" w:lineRule="auto"/>
      </w:pPr>
    </w:p>
    <w:p w14:paraId="4CA88BA7">
      <w:pPr>
        <w:spacing w:line="245" w:lineRule="auto"/>
      </w:pPr>
    </w:p>
    <w:p w14:paraId="79026AE5">
      <w:pPr>
        <w:spacing w:line="246" w:lineRule="auto"/>
      </w:pPr>
    </w:p>
    <w:p w14:paraId="6CCBBC3D">
      <w:pPr>
        <w:spacing w:line="246" w:lineRule="auto"/>
      </w:pPr>
    </w:p>
    <w:p w14:paraId="5F016379">
      <w:pPr>
        <w:spacing w:line="246" w:lineRule="auto"/>
      </w:pPr>
    </w:p>
    <w:p w14:paraId="535207C6">
      <w:pPr>
        <w:spacing w:line="246" w:lineRule="auto"/>
      </w:pPr>
    </w:p>
    <w:p w14:paraId="0D012993">
      <w:pPr>
        <w:spacing w:line="246" w:lineRule="auto"/>
      </w:pPr>
    </w:p>
    <w:p w14:paraId="00A49C70">
      <w:pPr>
        <w:spacing w:line="246" w:lineRule="auto"/>
      </w:pPr>
    </w:p>
    <w:p w14:paraId="4612125C">
      <w:pPr>
        <w:spacing w:line="246" w:lineRule="auto"/>
      </w:pPr>
    </w:p>
    <w:p w14:paraId="3E572A91">
      <w:pPr>
        <w:spacing w:line="246" w:lineRule="auto"/>
      </w:pPr>
    </w:p>
    <w:p w14:paraId="3108C522">
      <w:pPr>
        <w:spacing w:line="246" w:lineRule="auto"/>
      </w:pPr>
    </w:p>
    <w:p w14:paraId="387F75A1">
      <w:pPr>
        <w:spacing w:line="246" w:lineRule="auto"/>
      </w:pPr>
    </w:p>
    <w:p w14:paraId="0CD077E2">
      <w:pPr>
        <w:jc w:val="center"/>
        <w:rPr>
          <w:rFonts w:hint="eastAsia" w:ascii="宋体" w:hAnsi="宋体" w:eastAsia="宋体" w:cs="宋体"/>
          <w:sz w:val="28"/>
          <w:szCs w:val="28"/>
        </w:rPr>
      </w:pPr>
      <w:r>
        <w:rPr>
          <w:rFonts w:hint="eastAsia" w:ascii="宋体" w:hAnsi="宋体" w:eastAsia="宋体" w:cs="宋体"/>
          <w:spacing w:val="25"/>
          <w:sz w:val="28"/>
          <w:szCs w:val="28"/>
          <w14:textOutline w14:w="5092" w14:cap="flat" w14:cmpd="sng" w14:algn="ctr">
            <w14:solidFill>
              <w14:srgbClr w14:val="000000"/>
            </w14:solidFill>
            <w14:prstDash w14:val="solid"/>
            <w14:miter w14:val="0"/>
          </w14:textOutline>
        </w:rPr>
        <w:t>江阴市胜辉管道科技</w:t>
      </w:r>
      <w:r>
        <w:rPr>
          <w:rFonts w:ascii="宋体" w:hAnsi="宋体" w:eastAsia="宋体" w:cs="宋体"/>
          <w:spacing w:val="14"/>
          <w:sz w:val="28"/>
          <w:szCs w:val="28"/>
          <w14:textOutline w14:w="5092" w14:cap="flat" w14:cmpd="sng" w14:algn="ctr">
            <w14:solidFill>
              <w14:srgbClr w14:val="000000"/>
            </w14:solidFill>
            <w14:prstDash w14:val="solid"/>
            <w14:miter w14:val="0"/>
          </w14:textOutline>
        </w:rPr>
        <w:t>有限公司</w:t>
      </w:r>
      <w:r>
        <w:rPr>
          <w:rFonts w:ascii="宋体" w:hAnsi="宋体" w:eastAsia="宋体" w:cs="宋体"/>
          <w:spacing w:val="14"/>
          <w:sz w:val="28"/>
          <w:szCs w:val="28"/>
        </w:rPr>
        <w:t xml:space="preserve"> </w:t>
      </w:r>
      <w:r>
        <w:rPr>
          <w:rFonts w:ascii="宋体" w:hAnsi="宋体" w:eastAsia="宋体" w:cs="宋体"/>
          <w:spacing w:val="14"/>
          <w:sz w:val="28"/>
          <w:szCs w:val="28"/>
          <w14:textOutline w14:w="5092" w14:cap="flat" w14:cmpd="sng" w14:algn="ctr">
            <w14:solidFill>
              <w14:srgbClr w14:val="000000"/>
            </w14:solidFill>
            <w14:prstDash w14:val="solid"/>
            <w14:miter w14:val="0"/>
          </w14:textOutline>
        </w:rPr>
        <w:t>(盖章)</w:t>
      </w:r>
    </w:p>
    <w:p w14:paraId="3493DD23">
      <w:pPr>
        <w:jc w:val="center"/>
        <w:outlineLvl w:val="0"/>
        <w:rPr>
          <w:rFonts w:hint="eastAsia" w:ascii="宋体" w:hAnsi="宋体" w:eastAsia="宋体" w:cs="宋体"/>
          <w:sz w:val="28"/>
          <w:szCs w:val="28"/>
        </w:rPr>
      </w:pPr>
      <w:r>
        <w:rPr>
          <w:rFonts w:ascii="Times New Roman" w:hAnsi="Times New Roman" w:eastAsia="Times New Roman" w:cs="Times New Roman"/>
          <w:b/>
          <w:bCs/>
          <w:spacing w:val="-7"/>
          <w:sz w:val="28"/>
          <w:szCs w:val="28"/>
        </w:rPr>
        <w:t>2</w:t>
      </w:r>
      <w:r>
        <w:rPr>
          <w:rFonts w:ascii="Times New Roman" w:hAnsi="Times New Roman" w:eastAsia="Times New Roman" w:cs="Times New Roman"/>
          <w:b/>
          <w:bCs/>
          <w:spacing w:val="-5"/>
          <w:sz w:val="28"/>
          <w:szCs w:val="28"/>
        </w:rPr>
        <w:t>02</w:t>
      </w:r>
      <w:r>
        <w:rPr>
          <w:rFonts w:hint="eastAsia" w:ascii="Times New Roman" w:hAnsi="Times New Roman" w:cs="Times New Roman" w:eastAsiaTheme="minorEastAsia"/>
          <w:b/>
          <w:bCs/>
          <w:spacing w:val="-5"/>
          <w:sz w:val="28"/>
          <w:szCs w:val="28"/>
        </w:rPr>
        <w:t xml:space="preserve">6 </w:t>
      </w:r>
      <w:r>
        <w:rPr>
          <w:rFonts w:ascii="宋体" w:hAnsi="宋体" w:eastAsia="宋体" w:cs="宋体"/>
          <w:spacing w:val="-5"/>
          <w:sz w:val="28"/>
          <w:szCs w:val="28"/>
          <w14:textOutline w14:w="5092" w14:cap="flat" w14:cmpd="sng" w14:algn="ctr">
            <w14:solidFill>
              <w14:srgbClr w14:val="000000"/>
            </w14:solidFill>
            <w14:prstDash w14:val="solid"/>
            <w14:miter w14:val="0"/>
          </w14:textOutline>
        </w:rPr>
        <w:t>年</w:t>
      </w:r>
      <w:r>
        <w:rPr>
          <w:rFonts w:ascii="宋体" w:hAnsi="宋体" w:eastAsia="宋体" w:cs="宋体"/>
          <w:spacing w:val="-5"/>
          <w:sz w:val="28"/>
          <w:szCs w:val="28"/>
        </w:rPr>
        <w:t xml:space="preserve"> </w:t>
      </w:r>
      <w:r>
        <w:rPr>
          <w:rFonts w:hint="eastAsia" w:ascii="Times New Roman" w:hAnsi="Times New Roman" w:cs="Times New Roman" w:eastAsiaTheme="minorEastAsia"/>
          <w:b/>
          <w:bCs/>
          <w:spacing w:val="-5"/>
          <w:sz w:val="28"/>
          <w:szCs w:val="28"/>
        </w:rPr>
        <w:t xml:space="preserve">6 </w:t>
      </w:r>
      <w:r>
        <w:rPr>
          <w:rFonts w:ascii="宋体" w:hAnsi="宋体" w:eastAsia="宋体" w:cs="宋体"/>
          <w:spacing w:val="-5"/>
          <w:sz w:val="28"/>
          <w:szCs w:val="28"/>
          <w14:textOutline w14:w="5092" w14:cap="flat" w14:cmpd="sng" w14:algn="ctr">
            <w14:solidFill>
              <w14:srgbClr w14:val="000000"/>
            </w14:solidFill>
            <w14:prstDash w14:val="solid"/>
            <w14:miter w14:val="0"/>
          </w14:textOutline>
        </w:rPr>
        <w:t>月</w:t>
      </w:r>
    </w:p>
    <w:p w14:paraId="27975EDC">
      <w:pPr>
        <w:sectPr>
          <w:footerReference r:id="rId3" w:type="default"/>
          <w:pgSz w:w="11907" w:h="16841"/>
          <w:pgMar w:top="1426" w:right="1266" w:bottom="2638" w:left="1785" w:header="0" w:footer="2282" w:gutter="0"/>
          <w:cols w:space="720" w:num="1"/>
        </w:sectPr>
      </w:pPr>
    </w:p>
    <w:p w14:paraId="751EDAE9">
      <w:pPr>
        <w:spacing w:line="241" w:lineRule="auto"/>
      </w:pPr>
    </w:p>
    <w:p w14:paraId="3BC1174D">
      <w:pPr>
        <w:spacing w:line="241" w:lineRule="auto"/>
      </w:pPr>
    </w:p>
    <w:p w14:paraId="79A7CC25">
      <w:pPr>
        <w:spacing w:line="241" w:lineRule="auto"/>
      </w:pPr>
    </w:p>
    <w:p w14:paraId="354FAC37">
      <w:pPr>
        <w:spacing w:line="241" w:lineRule="auto"/>
      </w:pPr>
    </w:p>
    <w:p w14:paraId="4C8E8EB9">
      <w:pPr>
        <w:spacing w:line="242" w:lineRule="auto"/>
      </w:pPr>
    </w:p>
    <w:p w14:paraId="140639C2">
      <w:pPr>
        <w:spacing w:line="242" w:lineRule="auto"/>
      </w:pPr>
    </w:p>
    <w:p w14:paraId="4DE28631">
      <w:pPr>
        <w:spacing w:line="242" w:lineRule="auto"/>
      </w:pPr>
    </w:p>
    <w:p w14:paraId="0642E0EB">
      <w:pPr>
        <w:spacing w:before="117" w:line="220" w:lineRule="auto"/>
        <w:ind w:left="2774"/>
        <w:outlineLvl w:val="0"/>
        <w:rPr>
          <w:rFonts w:hint="eastAsia" w:ascii="宋体" w:hAnsi="宋体" w:eastAsia="宋体" w:cs="宋体"/>
          <w:sz w:val="36"/>
          <w:szCs w:val="36"/>
        </w:rPr>
      </w:pPr>
      <w:r>
        <w:rPr>
          <w:rFonts w:ascii="宋体" w:hAnsi="宋体" w:eastAsia="宋体" w:cs="宋体"/>
          <w:spacing w:val="-1"/>
          <w:sz w:val="36"/>
          <w:szCs w:val="36"/>
          <w14:textOutline w14:w="6527" w14:cap="flat" w14:cmpd="sng" w14:algn="ctr">
            <w14:solidFill>
              <w14:srgbClr w14:val="000000"/>
            </w14:solidFill>
            <w14:prstDash w14:val="solid"/>
            <w14:miter w14:val="0"/>
          </w14:textOutline>
        </w:rPr>
        <w:t>核技术利用建</w:t>
      </w:r>
      <w:r>
        <w:rPr>
          <w:rFonts w:ascii="宋体" w:hAnsi="宋体" w:eastAsia="宋体" w:cs="宋体"/>
          <w:sz w:val="36"/>
          <w:szCs w:val="36"/>
          <w14:textOutline w14:w="6527" w14:cap="flat" w14:cmpd="sng" w14:algn="ctr">
            <w14:solidFill>
              <w14:srgbClr w14:val="000000"/>
            </w14:solidFill>
            <w14:prstDash w14:val="solid"/>
            <w14:miter w14:val="0"/>
          </w14:textOutline>
        </w:rPr>
        <w:t>设项目</w:t>
      </w:r>
    </w:p>
    <w:p w14:paraId="4EBB460D">
      <w:pPr>
        <w:spacing w:line="318" w:lineRule="auto"/>
      </w:pPr>
    </w:p>
    <w:p w14:paraId="017B40C9">
      <w:pPr>
        <w:spacing w:line="319" w:lineRule="auto"/>
      </w:pPr>
    </w:p>
    <w:p w14:paraId="70CF479A">
      <w:pPr>
        <w:jc w:val="center"/>
        <w:rPr>
          <w:rFonts w:hint="eastAsia" w:ascii="宋体" w:hAnsi="宋体" w:eastAsia="宋体" w:cs="宋体"/>
          <w:color w:val="auto"/>
          <w:spacing w:val="41"/>
          <w:sz w:val="40"/>
          <w:szCs w:val="40"/>
          <w14:textOutline w14:w="7962" w14:cap="flat" w14:cmpd="sng" w14:algn="ctr">
            <w14:solidFill>
              <w14:srgbClr w14:val="000000"/>
            </w14:solidFill>
            <w14:prstDash w14:val="solid"/>
            <w14:miter w14:val="0"/>
          </w14:textOutline>
        </w:rPr>
      </w:pPr>
      <w:bookmarkStart w:id="0" w:name="OLE_LINK1"/>
      <w:r>
        <w:rPr>
          <w:rFonts w:hint="eastAsia" w:ascii="宋体" w:hAnsi="宋体" w:eastAsia="宋体" w:cs="宋体"/>
          <w:color w:val="auto"/>
          <w:spacing w:val="41"/>
          <w:sz w:val="40"/>
          <w:szCs w:val="40"/>
          <w14:textOutline w14:w="7962" w14:cap="flat" w14:cmpd="sng" w14:algn="ctr">
            <w14:solidFill>
              <w14:srgbClr w14:val="000000"/>
            </w14:solidFill>
            <w14:prstDash w14:val="solid"/>
            <w14:miter w14:val="0"/>
          </w14:textOutline>
        </w:rPr>
        <w:t>年产</w:t>
      </w:r>
      <w:r>
        <w:rPr>
          <w:rFonts w:ascii="Times New Roman" w:hAnsi="Times New Roman" w:eastAsia="宋体" w:cs="Times New Roman"/>
          <w:color w:val="auto"/>
          <w:spacing w:val="41"/>
          <w:sz w:val="40"/>
          <w:szCs w:val="40"/>
          <w14:textOutline w14:w="7962" w14:cap="flat" w14:cmpd="sng" w14:algn="ctr">
            <w14:solidFill>
              <w14:srgbClr w14:val="000000"/>
            </w14:solidFill>
            <w14:prstDash w14:val="solid"/>
            <w14:miter w14:val="0"/>
          </w14:textOutline>
        </w:rPr>
        <w:t>10</w:t>
      </w:r>
      <w:r>
        <w:rPr>
          <w:rFonts w:hint="eastAsia" w:ascii="宋体" w:hAnsi="宋体" w:eastAsia="宋体" w:cs="宋体"/>
          <w:color w:val="auto"/>
          <w:spacing w:val="41"/>
          <w:sz w:val="40"/>
          <w:szCs w:val="40"/>
          <w14:textOutline w14:w="7962" w14:cap="flat" w14:cmpd="sng" w14:algn="ctr">
            <w14:solidFill>
              <w14:srgbClr w14:val="000000"/>
            </w14:solidFill>
            <w14:prstDash w14:val="solid"/>
            <w14:miter w14:val="0"/>
          </w14:textOutline>
        </w:rPr>
        <w:t>万吨旋卷式耐压金属壳体新建项目</w:t>
      </w:r>
    </w:p>
    <w:bookmarkEnd w:id="0"/>
    <w:p w14:paraId="39C3ECC8">
      <w:pPr>
        <w:jc w:val="center"/>
        <w:rPr>
          <w:rFonts w:eastAsia="宋体"/>
        </w:rPr>
      </w:pPr>
      <w:r>
        <w:rPr>
          <w:rFonts w:hint="eastAsia" w:ascii="宋体" w:hAnsi="宋体" w:eastAsia="宋体" w:cs="宋体"/>
          <w:spacing w:val="-2"/>
          <w:sz w:val="43"/>
          <w:szCs w:val="43"/>
          <w14:textOutline w14:w="7962" w14:cap="flat" w14:cmpd="sng" w14:algn="ctr">
            <w14:solidFill>
              <w14:srgbClr w14:val="000000"/>
            </w14:solidFill>
            <w14:prstDash w14:val="solid"/>
            <w14:miter w14:val="0"/>
          </w14:textOutline>
        </w:rPr>
        <w:t>环境影响报告表</w:t>
      </w:r>
    </w:p>
    <w:p w14:paraId="2C5F8DF9">
      <w:pPr>
        <w:spacing w:line="244" w:lineRule="auto"/>
      </w:pPr>
    </w:p>
    <w:p w14:paraId="68D650B6">
      <w:pPr>
        <w:spacing w:line="244" w:lineRule="auto"/>
      </w:pPr>
    </w:p>
    <w:p w14:paraId="00E34C5C">
      <w:pPr>
        <w:spacing w:line="244" w:lineRule="auto"/>
      </w:pPr>
    </w:p>
    <w:p w14:paraId="2AF50AAA">
      <w:pPr>
        <w:spacing w:line="244" w:lineRule="auto"/>
      </w:pPr>
    </w:p>
    <w:p w14:paraId="15A6D9CD">
      <w:pPr>
        <w:spacing w:line="244" w:lineRule="auto"/>
      </w:pPr>
    </w:p>
    <w:p w14:paraId="3CFE5BBC">
      <w:pPr>
        <w:spacing w:line="244" w:lineRule="auto"/>
      </w:pPr>
    </w:p>
    <w:p w14:paraId="05121DB8">
      <w:pPr>
        <w:spacing w:line="244" w:lineRule="auto"/>
      </w:pPr>
    </w:p>
    <w:p w14:paraId="230AD28B">
      <w:pPr>
        <w:spacing w:line="244" w:lineRule="auto"/>
      </w:pPr>
    </w:p>
    <w:p w14:paraId="713BE8E6">
      <w:pPr>
        <w:spacing w:line="244" w:lineRule="auto"/>
      </w:pPr>
    </w:p>
    <w:p w14:paraId="2262A78F">
      <w:pPr>
        <w:spacing w:line="244" w:lineRule="auto"/>
      </w:pPr>
    </w:p>
    <w:p w14:paraId="3DC2D0EC">
      <w:pPr>
        <w:spacing w:line="244" w:lineRule="auto"/>
      </w:pPr>
    </w:p>
    <w:p w14:paraId="75D5BB82">
      <w:pPr>
        <w:spacing w:line="244" w:lineRule="auto"/>
      </w:pPr>
    </w:p>
    <w:p w14:paraId="238758E6">
      <w:pPr>
        <w:spacing w:line="244" w:lineRule="auto"/>
      </w:pPr>
    </w:p>
    <w:p w14:paraId="1A6A2DF9">
      <w:pPr>
        <w:spacing w:line="244" w:lineRule="auto"/>
      </w:pPr>
    </w:p>
    <w:p w14:paraId="767268B2">
      <w:pPr>
        <w:spacing w:line="244" w:lineRule="auto"/>
      </w:pPr>
    </w:p>
    <w:p w14:paraId="1E275A32">
      <w:pPr>
        <w:spacing w:line="244" w:lineRule="auto"/>
      </w:pPr>
    </w:p>
    <w:p w14:paraId="66BBE86F">
      <w:pPr>
        <w:spacing w:line="244" w:lineRule="auto"/>
      </w:pPr>
    </w:p>
    <w:p w14:paraId="51D0D3F9">
      <w:pPr>
        <w:spacing w:line="244" w:lineRule="auto"/>
      </w:pPr>
    </w:p>
    <w:p w14:paraId="5360D5A4">
      <w:pPr>
        <w:spacing w:line="480" w:lineRule="auto"/>
        <w:ind w:left="420" w:leftChars="200"/>
        <w:rPr>
          <w:rFonts w:hint="eastAsia" w:ascii="宋体" w:hAnsi="宋体" w:eastAsia="宋体" w:cs="宋体"/>
          <w:spacing w:val="7"/>
          <w:position w:val="26"/>
          <w:sz w:val="28"/>
          <w:szCs w:val="28"/>
          <w14:textOutline w14:w="5092" w14:cap="flat" w14:cmpd="sng" w14:algn="ctr">
            <w14:solidFill>
              <w14:srgbClr w14:val="000000"/>
            </w14:solidFill>
            <w14:prstDash w14:val="solid"/>
            <w14:miter w14:val="0"/>
          </w14:textOutline>
        </w:rPr>
      </w:pPr>
      <w:r>
        <w:rPr>
          <w:rFonts w:ascii="宋体" w:hAnsi="宋体" w:eastAsia="宋体" w:cs="宋体"/>
          <w:spacing w:val="7"/>
          <w:position w:val="26"/>
          <w:sz w:val="28"/>
          <w:szCs w:val="28"/>
          <w14:textOutline w14:w="5092" w14:cap="flat" w14:cmpd="sng" w14:algn="ctr">
            <w14:solidFill>
              <w14:srgbClr w14:val="000000"/>
            </w14:solidFill>
            <w14:prstDash w14:val="solid"/>
            <w14:miter w14:val="0"/>
          </w14:textOutline>
        </w:rPr>
        <w:t>建设单位名称：</w:t>
      </w:r>
      <w:r>
        <w:rPr>
          <w:rFonts w:hint="eastAsia" w:ascii="宋体" w:hAnsi="宋体" w:eastAsia="宋体" w:cs="宋体"/>
          <w:b/>
          <w:bCs/>
          <w:spacing w:val="7"/>
          <w:position w:val="26"/>
          <w:sz w:val="28"/>
          <w:szCs w:val="28"/>
        </w:rPr>
        <w:t>江阴市胜辉管道科技有限公司</w:t>
      </w:r>
    </w:p>
    <w:p w14:paraId="44F0DAC8">
      <w:pPr>
        <w:spacing w:line="480" w:lineRule="auto"/>
        <w:ind w:left="420" w:leftChars="200"/>
        <w:rPr>
          <w:rFonts w:hint="eastAsia" w:ascii="宋体" w:hAnsi="宋体" w:eastAsia="宋体" w:cs="宋体"/>
          <w:sz w:val="28"/>
          <w:szCs w:val="28"/>
        </w:rPr>
      </w:pPr>
      <w:r>
        <w:rPr>
          <w:rFonts w:ascii="宋体" w:hAnsi="宋体" w:eastAsia="宋体" w:cs="宋体"/>
          <w:spacing w:val="23"/>
          <w:sz w:val="28"/>
          <w:szCs w:val="28"/>
          <w14:textOutline w14:w="5092" w14:cap="flat" w14:cmpd="sng" w14:algn="ctr">
            <w14:solidFill>
              <w14:srgbClr w14:val="000000"/>
            </w14:solidFill>
            <w14:prstDash w14:val="solid"/>
            <w14:miter w14:val="0"/>
          </w14:textOutline>
        </w:rPr>
        <w:t>建</w:t>
      </w:r>
      <w:r>
        <w:rPr>
          <w:rFonts w:ascii="宋体" w:hAnsi="宋体" w:eastAsia="宋体" w:cs="宋体"/>
          <w:spacing w:val="13"/>
          <w:sz w:val="28"/>
          <w:szCs w:val="28"/>
          <w14:textOutline w14:w="5092" w14:cap="flat" w14:cmpd="sng" w14:algn="ctr">
            <w14:solidFill>
              <w14:srgbClr w14:val="000000"/>
            </w14:solidFill>
            <w14:prstDash w14:val="solid"/>
            <w14:miter w14:val="0"/>
          </w14:textOutline>
        </w:rPr>
        <w:t>设单位法人代表(签字或签章)：</w:t>
      </w:r>
    </w:p>
    <w:p w14:paraId="6705FB34">
      <w:pPr>
        <w:spacing w:line="480" w:lineRule="auto"/>
        <w:ind w:left="420" w:leftChars="200"/>
        <w:rPr>
          <w:rFonts w:hint="eastAsia" w:ascii="宋体" w:hAnsi="宋体" w:eastAsia="宋体" w:cs="宋体"/>
          <w:sz w:val="28"/>
          <w:szCs w:val="28"/>
        </w:rPr>
      </w:pPr>
      <w:r>
        <w:rPr>
          <w:rFonts w:ascii="宋体" w:hAnsi="宋体" w:eastAsia="宋体" w:cs="宋体"/>
          <w:spacing w:val="-12"/>
          <w:sz w:val="28"/>
          <w:szCs w:val="28"/>
          <w14:textOutline w14:w="5092" w14:cap="flat" w14:cmpd="sng" w14:algn="ctr">
            <w14:solidFill>
              <w14:srgbClr w14:val="000000"/>
            </w14:solidFill>
            <w14:prstDash w14:val="solid"/>
            <w14:miter w14:val="0"/>
          </w14:textOutline>
        </w:rPr>
        <w:t>通讯</w:t>
      </w:r>
      <w:r>
        <w:rPr>
          <w:rFonts w:ascii="宋体" w:hAnsi="宋体" w:eastAsia="宋体" w:cs="宋体"/>
          <w:spacing w:val="-10"/>
          <w:sz w:val="28"/>
          <w:szCs w:val="28"/>
          <w14:textOutline w14:w="5092" w14:cap="flat" w14:cmpd="sng" w14:algn="ctr">
            <w14:solidFill>
              <w14:srgbClr w14:val="000000"/>
            </w14:solidFill>
            <w14:prstDash w14:val="solid"/>
            <w14:miter w14:val="0"/>
          </w14:textOutline>
        </w:rPr>
        <w:t>地</w:t>
      </w:r>
      <w:r>
        <w:rPr>
          <w:rFonts w:ascii="宋体" w:hAnsi="宋体" w:eastAsia="宋体" w:cs="宋体"/>
          <w:spacing w:val="-6"/>
          <w:sz w:val="28"/>
          <w:szCs w:val="28"/>
          <w14:textOutline w14:w="5092" w14:cap="flat" w14:cmpd="sng" w14:algn="ctr">
            <w14:solidFill>
              <w14:srgbClr w14:val="000000"/>
            </w14:solidFill>
            <w14:prstDash w14:val="solid"/>
            <w14:miter w14:val="0"/>
          </w14:textOutline>
        </w:rPr>
        <w:t>址：</w:t>
      </w:r>
      <w:r>
        <w:rPr>
          <w:rFonts w:hint="eastAsia" w:ascii="宋体" w:hAnsi="宋体" w:eastAsia="宋体" w:cs="宋体"/>
          <w:spacing w:val="-6"/>
          <w:sz w:val="28"/>
          <w:szCs w:val="28"/>
          <w14:textOutline w14:w="5092" w14:cap="flat" w14:cmpd="sng" w14:algn="ctr">
            <w14:solidFill>
              <w14:srgbClr w14:val="000000"/>
            </w14:solidFill>
            <w14:prstDash w14:val="solid"/>
            <w14:miter w14:val="0"/>
          </w14:textOutline>
        </w:rPr>
        <w:t>江苏省无锡市</w:t>
      </w:r>
      <w:r>
        <w:rPr>
          <w:rFonts w:ascii="宋体" w:hAnsi="宋体" w:eastAsia="宋体" w:cs="宋体"/>
          <w:spacing w:val="-6"/>
          <w:sz w:val="28"/>
          <w:szCs w:val="28"/>
          <w14:textOutline w14:w="5092" w14:cap="flat" w14:cmpd="sng" w14:algn="ctr">
            <w14:solidFill>
              <w14:srgbClr w14:val="000000"/>
            </w14:solidFill>
            <w14:prstDash w14:val="solid"/>
            <w14:miter w14:val="0"/>
          </w14:textOutline>
        </w:rPr>
        <w:t>江阴市利港街道贵宾路60号</w:t>
      </w:r>
    </w:p>
    <w:p w14:paraId="6B82DDD8">
      <w:pPr>
        <w:spacing w:line="480" w:lineRule="auto"/>
        <w:ind w:left="420" w:leftChars="200"/>
        <w:rPr>
          <w:rFonts w:hint="eastAsia" w:ascii="宋体" w:hAnsi="宋体" w:eastAsia="宋体" w:cs="宋体"/>
          <w:sz w:val="28"/>
          <w:szCs w:val="28"/>
        </w:rPr>
      </w:pPr>
      <w:r>
        <w:rPr>
          <w:rFonts w:ascii="宋体" w:hAnsi="宋体" w:eastAsia="宋体" w:cs="宋体"/>
          <w:spacing w:val="-8"/>
          <w:sz w:val="28"/>
          <w:szCs w:val="28"/>
          <w14:textOutline w14:w="5092" w14:cap="flat" w14:cmpd="sng" w14:algn="ctr">
            <w14:solidFill>
              <w14:srgbClr w14:val="000000"/>
            </w14:solidFill>
            <w14:prstDash w14:val="solid"/>
            <w14:miter w14:val="0"/>
          </w14:textOutline>
        </w:rPr>
        <w:t>邮政编码：</w:t>
      </w:r>
      <w:r>
        <w:rPr>
          <w:rFonts w:hint="eastAsia" w:ascii="宋体" w:hAnsi="宋体" w:eastAsia="宋体" w:cs="宋体"/>
          <w:spacing w:val="-8"/>
          <w:sz w:val="28"/>
          <w:szCs w:val="28"/>
          <w14:textOutline w14:w="5092" w14:cap="flat" w14:cmpd="sng" w14:algn="ctr">
            <w14:solidFill>
              <w14:srgbClr w14:val="000000"/>
            </w14:solidFill>
            <w14:prstDash w14:val="solid"/>
            <w14:miter w14:val="0"/>
          </w14:textOutline>
        </w:rPr>
        <w:t>214400</w:t>
      </w:r>
      <w:r>
        <w:rPr>
          <w:rFonts w:ascii="宋体" w:hAnsi="宋体" w:eastAsia="宋体" w:cs="宋体"/>
          <w:spacing w:val="-8"/>
          <w:sz w:val="28"/>
          <w:szCs w:val="28"/>
        </w:rPr>
        <w:t xml:space="preserve"> </w:t>
      </w:r>
      <w:r>
        <w:rPr>
          <w:rFonts w:ascii="Times New Roman" w:hAnsi="Times New Roman" w:eastAsia="Times New Roman" w:cs="Times New Roman"/>
          <w:spacing w:val="-4"/>
          <w:sz w:val="28"/>
          <w:szCs w:val="28"/>
        </w:rPr>
        <w:t xml:space="preserve">                                    </w:t>
      </w:r>
      <w:r>
        <w:rPr>
          <w:rFonts w:ascii="宋体" w:hAnsi="宋体" w:eastAsia="宋体" w:cs="宋体"/>
          <w:spacing w:val="-4"/>
          <w:sz w:val="28"/>
          <w:szCs w:val="28"/>
          <w14:textOutline w14:w="5092" w14:cap="flat" w14:cmpd="sng" w14:algn="ctr">
            <w14:solidFill>
              <w14:srgbClr w14:val="000000"/>
            </w14:solidFill>
            <w14:prstDash w14:val="solid"/>
            <w14:miter w14:val="0"/>
          </w14:textOutline>
        </w:rPr>
        <w:t>联</w:t>
      </w:r>
      <w:r>
        <w:rPr>
          <w:rFonts w:ascii="宋体" w:hAnsi="宋体" w:eastAsia="宋体" w:cs="宋体"/>
          <w:spacing w:val="-4"/>
          <w:sz w:val="28"/>
          <w:szCs w:val="28"/>
        </w:rPr>
        <w:t xml:space="preserve"> </w:t>
      </w:r>
      <w:r>
        <w:rPr>
          <w:rFonts w:ascii="宋体" w:hAnsi="宋体" w:eastAsia="宋体" w:cs="宋体"/>
          <w:spacing w:val="-4"/>
          <w:sz w:val="28"/>
          <w:szCs w:val="28"/>
          <w14:textOutline w14:w="5092" w14:cap="flat" w14:cmpd="sng" w14:algn="ctr">
            <w14:solidFill>
              <w14:srgbClr w14:val="000000"/>
            </w14:solidFill>
            <w14:prstDash w14:val="solid"/>
            <w14:miter w14:val="0"/>
          </w14:textOutline>
        </w:rPr>
        <w:t>系</w:t>
      </w:r>
      <w:r>
        <w:rPr>
          <w:rFonts w:ascii="宋体" w:hAnsi="宋体" w:eastAsia="宋体" w:cs="宋体"/>
          <w:spacing w:val="-4"/>
          <w:sz w:val="28"/>
          <w:szCs w:val="28"/>
        </w:rPr>
        <w:t xml:space="preserve"> </w:t>
      </w:r>
      <w:r>
        <w:rPr>
          <w:rFonts w:ascii="宋体" w:hAnsi="宋体" w:eastAsia="宋体" w:cs="宋体"/>
          <w:spacing w:val="-4"/>
          <w:sz w:val="28"/>
          <w:szCs w:val="28"/>
          <w14:textOutline w14:w="5092" w14:cap="flat" w14:cmpd="sng" w14:algn="ctr">
            <w14:solidFill>
              <w14:srgbClr w14:val="000000"/>
            </w14:solidFill>
            <w14:prstDash w14:val="solid"/>
            <w14:miter w14:val="0"/>
          </w14:textOutline>
        </w:rPr>
        <w:t>人：</w:t>
      </w:r>
      <w:r>
        <w:rPr>
          <w:rFonts w:ascii="宋体" w:hAnsi="宋体" w:eastAsia="宋体" w:cs="宋体"/>
          <w:spacing w:val="-4"/>
          <w:sz w:val="28"/>
          <w:szCs w:val="28"/>
        </w:rPr>
        <w:t xml:space="preserve"> </w:t>
      </w:r>
    </w:p>
    <w:p w14:paraId="16858D26">
      <w:pPr>
        <w:spacing w:line="480" w:lineRule="auto"/>
        <w:ind w:left="420" w:leftChars="200"/>
        <w:rPr>
          <w:rFonts w:ascii="Times New Roman" w:hAnsi="Times New Roman" w:eastAsia="Times New Roman" w:cs="Times New Roman"/>
          <w:sz w:val="28"/>
          <w:szCs w:val="28"/>
        </w:rPr>
      </w:pPr>
      <w:r>
        <w:rPr>
          <w:rFonts w:ascii="宋体" w:hAnsi="宋体" w:eastAsia="宋体" w:cs="宋体"/>
          <w:spacing w:val="-8"/>
          <w:sz w:val="28"/>
          <w:szCs w:val="28"/>
          <w14:textOutline w14:w="5092" w14:cap="flat" w14:cmpd="sng" w14:algn="ctr">
            <w14:solidFill>
              <w14:srgbClr w14:val="000000"/>
            </w14:solidFill>
            <w14:prstDash w14:val="solid"/>
            <w14:miter w14:val="0"/>
          </w14:textOutline>
        </w:rPr>
        <w:t>电子邮箱：</w:t>
      </w:r>
      <w:r>
        <w:rPr>
          <w:rFonts w:ascii="宋体" w:hAnsi="宋体" w:eastAsia="宋体" w:cs="宋体"/>
          <w:spacing w:val="-4"/>
          <w:sz w:val="28"/>
          <w:szCs w:val="28"/>
        </w:rPr>
        <w:t xml:space="preserve"> </w:t>
      </w:r>
      <w:r>
        <w:rPr>
          <w:rFonts w:ascii="Times New Roman" w:hAnsi="Times New Roman" w:eastAsia="Times New Roman" w:cs="Times New Roman"/>
          <w:b/>
          <w:bCs/>
          <w:spacing w:val="-4"/>
          <w:sz w:val="28"/>
          <w:szCs w:val="28"/>
        </w:rPr>
        <w:t>/</w:t>
      </w:r>
      <w:r>
        <w:rPr>
          <w:rFonts w:ascii="Times New Roman" w:hAnsi="Times New Roman" w:eastAsia="Times New Roman" w:cs="Times New Roman"/>
          <w:spacing w:val="-4"/>
          <w:sz w:val="28"/>
          <w:szCs w:val="28"/>
        </w:rPr>
        <w:t xml:space="preserve">                                              </w:t>
      </w:r>
      <w:r>
        <w:rPr>
          <w:rFonts w:ascii="宋体" w:hAnsi="宋体" w:eastAsia="宋体" w:cs="宋体"/>
          <w:spacing w:val="-4"/>
          <w:sz w:val="28"/>
          <w:szCs w:val="28"/>
          <w14:textOutline w14:w="5092" w14:cap="flat" w14:cmpd="sng" w14:algn="ctr">
            <w14:solidFill>
              <w14:srgbClr w14:val="000000"/>
            </w14:solidFill>
            <w14:prstDash w14:val="solid"/>
            <w14:miter w14:val="0"/>
          </w14:textOutline>
        </w:rPr>
        <w:t>联系电话：</w:t>
      </w:r>
      <w:r>
        <w:rPr>
          <w:rFonts w:ascii="宋体" w:hAnsi="宋体" w:eastAsia="宋体" w:cs="宋体"/>
          <w:spacing w:val="-4"/>
          <w:sz w:val="28"/>
          <w:szCs w:val="28"/>
        </w:rPr>
        <w:t xml:space="preserve"> </w:t>
      </w:r>
    </w:p>
    <w:p w14:paraId="1C84B104">
      <w:pPr>
        <w:sectPr>
          <w:footerReference r:id="rId4" w:type="default"/>
          <w:pgSz w:w="11907" w:h="16841"/>
          <w:pgMar w:top="1431" w:right="1629" w:bottom="400" w:left="1785" w:header="0" w:footer="0" w:gutter="0"/>
          <w:cols w:space="720" w:num="1"/>
        </w:sectPr>
      </w:pPr>
    </w:p>
    <w:p w14:paraId="2987A180">
      <w:pPr>
        <w:pStyle w:val="11"/>
      </w:pPr>
      <w:r>
        <w:rPr>
          <w:spacing w:val="-10"/>
        </w:rPr>
        <w:t>表</w:t>
      </w:r>
      <w:r>
        <w:rPr>
          <w:spacing w:val="-6"/>
        </w:rPr>
        <w:t xml:space="preserve"> </w:t>
      </w:r>
      <w:r>
        <w:rPr>
          <w:rFonts w:eastAsia="Times New Roman" w:cs="Times New Roman"/>
        </w:rPr>
        <w:t xml:space="preserve">1  </w:t>
      </w:r>
      <w:r>
        <w:t>项目基本概况</w:t>
      </w:r>
    </w:p>
    <w:tbl>
      <w:tblPr>
        <w:tblStyle w:val="15"/>
        <w:tblW w:w="91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6"/>
        <w:gridCol w:w="928"/>
        <w:gridCol w:w="1178"/>
        <w:gridCol w:w="777"/>
        <w:gridCol w:w="979"/>
        <w:gridCol w:w="1334"/>
        <w:gridCol w:w="1176"/>
        <w:gridCol w:w="730"/>
        <w:gridCol w:w="1204"/>
      </w:tblGrid>
      <w:tr w14:paraId="6A5AD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1784" w:type="dxa"/>
            <w:gridSpan w:val="2"/>
            <w:vAlign w:val="center"/>
          </w:tcPr>
          <w:p w14:paraId="534B6412">
            <w:pPr>
              <w:jc w:val="center"/>
              <w:rPr>
                <w:rFonts w:hint="eastAsia" w:ascii="宋体" w:hAnsi="宋体" w:eastAsia="宋体" w:cs="宋体"/>
                <w:sz w:val="24"/>
                <w:szCs w:val="24"/>
              </w:rPr>
            </w:pPr>
            <w:r>
              <w:rPr>
                <w:rFonts w:ascii="宋体" w:hAnsi="宋体" w:eastAsia="宋体" w:cs="宋体"/>
                <w:spacing w:val="-2"/>
                <w:sz w:val="24"/>
                <w:szCs w:val="24"/>
              </w:rPr>
              <w:t>建设项目名</w:t>
            </w:r>
            <w:r>
              <w:rPr>
                <w:rFonts w:ascii="宋体" w:hAnsi="宋体" w:eastAsia="宋体" w:cs="宋体"/>
                <w:spacing w:val="-1"/>
                <w:sz w:val="24"/>
                <w:szCs w:val="24"/>
              </w:rPr>
              <w:t>称</w:t>
            </w:r>
          </w:p>
        </w:tc>
        <w:tc>
          <w:tcPr>
            <w:tcW w:w="7378" w:type="dxa"/>
            <w:gridSpan w:val="7"/>
            <w:vAlign w:val="center"/>
          </w:tcPr>
          <w:p w14:paraId="0E4AE5B4">
            <w:pPr>
              <w:jc w:val="center"/>
              <w:rPr>
                <w:rFonts w:hint="eastAsia" w:ascii="宋体" w:hAnsi="宋体" w:eastAsia="宋体" w:cs="宋体"/>
                <w:sz w:val="24"/>
                <w:szCs w:val="24"/>
              </w:rPr>
            </w:pPr>
            <w:bookmarkStart w:id="1" w:name="OLE_LINK8"/>
            <w:r>
              <w:rPr>
                <w:rFonts w:ascii="宋体" w:hAnsi="宋体" w:eastAsia="宋体" w:cs="宋体"/>
                <w:sz w:val="24"/>
                <w:szCs w:val="24"/>
              </w:rPr>
              <w:t>年产10万吨旋卷式耐压金属壳体新建项目</w:t>
            </w:r>
            <w:bookmarkEnd w:id="1"/>
          </w:p>
        </w:tc>
      </w:tr>
      <w:tr w14:paraId="16F84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84" w:type="dxa"/>
            <w:gridSpan w:val="2"/>
            <w:vAlign w:val="center"/>
          </w:tcPr>
          <w:p w14:paraId="392CB446">
            <w:pPr>
              <w:jc w:val="center"/>
              <w:rPr>
                <w:rFonts w:hint="eastAsia" w:ascii="宋体" w:hAnsi="宋体" w:eastAsia="宋体" w:cs="宋体"/>
                <w:sz w:val="24"/>
                <w:szCs w:val="24"/>
              </w:rPr>
            </w:pPr>
            <w:r>
              <w:rPr>
                <w:rFonts w:ascii="宋体" w:hAnsi="宋体" w:eastAsia="宋体" w:cs="宋体"/>
                <w:spacing w:val="-4"/>
                <w:sz w:val="24"/>
                <w:szCs w:val="24"/>
              </w:rPr>
              <w:t>建</w:t>
            </w:r>
            <w:r>
              <w:rPr>
                <w:rFonts w:ascii="宋体" w:hAnsi="宋体" w:eastAsia="宋体" w:cs="宋体"/>
                <w:spacing w:val="-2"/>
                <w:sz w:val="24"/>
                <w:szCs w:val="24"/>
              </w:rPr>
              <w:t>设单位</w:t>
            </w:r>
          </w:p>
        </w:tc>
        <w:tc>
          <w:tcPr>
            <w:tcW w:w="7378" w:type="dxa"/>
            <w:gridSpan w:val="7"/>
            <w:vAlign w:val="center"/>
          </w:tcPr>
          <w:p w14:paraId="030CA3E5">
            <w:pPr>
              <w:jc w:val="center"/>
              <w:rPr>
                <w:rFonts w:hint="eastAsia" w:ascii="宋体" w:hAnsi="宋体" w:eastAsia="宋体" w:cs="宋体"/>
                <w:sz w:val="24"/>
                <w:szCs w:val="24"/>
              </w:rPr>
            </w:pPr>
            <w:r>
              <w:rPr>
                <w:rFonts w:hint="eastAsia" w:ascii="宋体" w:hAnsi="宋体" w:eastAsia="宋体" w:cs="宋体"/>
                <w:spacing w:val="23"/>
                <w:sz w:val="24"/>
                <w:szCs w:val="24"/>
              </w:rPr>
              <w:t>江阴市胜辉管道科技有限公司</w:t>
            </w:r>
          </w:p>
        </w:tc>
      </w:tr>
      <w:tr w14:paraId="2E75E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84" w:type="dxa"/>
            <w:gridSpan w:val="2"/>
            <w:vAlign w:val="center"/>
          </w:tcPr>
          <w:p w14:paraId="4CBF792A">
            <w:pPr>
              <w:jc w:val="center"/>
              <w:rPr>
                <w:rFonts w:hint="eastAsia" w:ascii="宋体" w:hAnsi="宋体" w:eastAsia="宋体" w:cs="宋体"/>
                <w:sz w:val="24"/>
                <w:szCs w:val="24"/>
              </w:rPr>
            </w:pPr>
            <w:r>
              <w:rPr>
                <w:rFonts w:ascii="宋体" w:hAnsi="宋体" w:eastAsia="宋体" w:cs="宋体"/>
                <w:spacing w:val="-2"/>
                <w:sz w:val="24"/>
                <w:szCs w:val="24"/>
              </w:rPr>
              <w:t>法人代</w:t>
            </w:r>
            <w:r>
              <w:rPr>
                <w:rFonts w:ascii="宋体" w:hAnsi="宋体" w:eastAsia="宋体" w:cs="宋体"/>
                <w:spacing w:val="-1"/>
                <w:sz w:val="24"/>
                <w:szCs w:val="24"/>
              </w:rPr>
              <w:t>表姓名</w:t>
            </w:r>
          </w:p>
        </w:tc>
        <w:tc>
          <w:tcPr>
            <w:tcW w:w="1955" w:type="dxa"/>
            <w:gridSpan w:val="2"/>
            <w:vAlign w:val="center"/>
          </w:tcPr>
          <w:p w14:paraId="689823AF">
            <w:pPr>
              <w:jc w:val="center"/>
              <w:rPr>
                <w:rFonts w:hint="eastAsia" w:ascii="宋体" w:hAnsi="宋体" w:eastAsia="宋体" w:cs="宋体"/>
                <w:sz w:val="24"/>
                <w:szCs w:val="24"/>
              </w:rPr>
            </w:pPr>
            <w:r>
              <w:rPr>
                <w:rFonts w:hint="eastAsia" w:ascii="宋体" w:hAnsi="宋体" w:eastAsia="宋体" w:cs="宋体"/>
                <w:sz w:val="24"/>
                <w:szCs w:val="24"/>
              </w:rPr>
              <w:t>徐*</w:t>
            </w:r>
          </w:p>
        </w:tc>
        <w:tc>
          <w:tcPr>
            <w:tcW w:w="979" w:type="dxa"/>
            <w:vAlign w:val="center"/>
          </w:tcPr>
          <w:p w14:paraId="2F9DF234">
            <w:pPr>
              <w:jc w:val="center"/>
              <w:rPr>
                <w:rFonts w:hint="eastAsia" w:ascii="宋体" w:hAnsi="宋体" w:eastAsia="宋体" w:cs="宋体"/>
                <w:sz w:val="24"/>
                <w:szCs w:val="24"/>
              </w:rPr>
            </w:pPr>
            <w:r>
              <w:rPr>
                <w:rFonts w:ascii="宋体" w:hAnsi="宋体" w:eastAsia="宋体" w:cs="宋体"/>
                <w:spacing w:val="-3"/>
                <w:sz w:val="24"/>
                <w:szCs w:val="24"/>
              </w:rPr>
              <w:t>联</w:t>
            </w:r>
            <w:r>
              <w:rPr>
                <w:rFonts w:ascii="宋体" w:hAnsi="宋体" w:eastAsia="宋体" w:cs="宋体"/>
                <w:spacing w:val="-2"/>
                <w:sz w:val="24"/>
                <w:szCs w:val="24"/>
              </w:rPr>
              <w:t>系人</w:t>
            </w:r>
          </w:p>
        </w:tc>
        <w:tc>
          <w:tcPr>
            <w:tcW w:w="1334" w:type="dxa"/>
            <w:vAlign w:val="center"/>
          </w:tcPr>
          <w:p w14:paraId="59617182">
            <w:pPr>
              <w:jc w:val="center"/>
              <w:rPr>
                <w:rFonts w:hint="eastAsia" w:ascii="宋体" w:hAnsi="宋体" w:eastAsia="宋体" w:cs="宋体"/>
                <w:sz w:val="24"/>
                <w:szCs w:val="24"/>
              </w:rPr>
            </w:pPr>
            <w:r>
              <w:rPr>
                <w:rFonts w:hint="eastAsia" w:ascii="宋体" w:hAnsi="宋体" w:eastAsia="宋体" w:cs="宋体"/>
                <w:sz w:val="24"/>
                <w:szCs w:val="24"/>
              </w:rPr>
              <w:t>王**</w:t>
            </w:r>
          </w:p>
        </w:tc>
        <w:tc>
          <w:tcPr>
            <w:tcW w:w="1176" w:type="dxa"/>
            <w:tcBorders>
              <w:right w:val="single" w:color="000000" w:sz="4" w:space="0"/>
            </w:tcBorders>
            <w:vAlign w:val="center"/>
          </w:tcPr>
          <w:p w14:paraId="0A4C600C">
            <w:pPr>
              <w:jc w:val="center"/>
              <w:rPr>
                <w:rFonts w:hint="eastAsia" w:ascii="宋体" w:hAnsi="宋体" w:eastAsia="宋体" w:cs="宋体"/>
                <w:sz w:val="24"/>
                <w:szCs w:val="24"/>
              </w:rPr>
            </w:pPr>
            <w:r>
              <w:rPr>
                <w:rFonts w:ascii="宋体" w:hAnsi="宋体" w:eastAsia="宋体" w:cs="宋体"/>
                <w:spacing w:val="-2"/>
                <w:sz w:val="24"/>
                <w:szCs w:val="24"/>
              </w:rPr>
              <w:t>联系电话</w:t>
            </w:r>
          </w:p>
        </w:tc>
        <w:tc>
          <w:tcPr>
            <w:tcW w:w="1934" w:type="dxa"/>
            <w:gridSpan w:val="2"/>
            <w:tcBorders>
              <w:left w:val="single" w:color="000000" w:sz="4" w:space="0"/>
            </w:tcBorders>
            <w:vAlign w:val="center"/>
          </w:tcPr>
          <w:p w14:paraId="2F0D5B57">
            <w:pPr>
              <w:jc w:val="center"/>
              <w:rPr>
                <w:rFonts w:ascii="Times New Roman" w:hAnsi="Times New Roman" w:eastAsia="宋体" w:cs="Times New Roman"/>
                <w:sz w:val="24"/>
                <w:szCs w:val="24"/>
              </w:rPr>
            </w:pPr>
            <w:r>
              <w:rPr>
                <w:rFonts w:ascii="Times New Roman" w:hAnsi="Times New Roman" w:eastAsia="宋体" w:cs="Times New Roman"/>
                <w:sz w:val="24"/>
                <w:szCs w:val="24"/>
              </w:rPr>
              <w:t>133</w:t>
            </w:r>
            <w:r>
              <w:rPr>
                <w:rFonts w:hint="eastAsia" w:ascii="Times New Roman" w:hAnsi="Times New Roman" w:eastAsia="宋体" w:cs="Times New Roman"/>
                <w:sz w:val="24"/>
                <w:szCs w:val="24"/>
              </w:rPr>
              <w:t>****</w:t>
            </w:r>
            <w:r>
              <w:rPr>
                <w:rFonts w:ascii="Times New Roman" w:hAnsi="Times New Roman" w:eastAsia="宋体" w:cs="Times New Roman"/>
                <w:sz w:val="24"/>
                <w:szCs w:val="24"/>
              </w:rPr>
              <w:t>6669</w:t>
            </w:r>
          </w:p>
        </w:tc>
      </w:tr>
      <w:tr w14:paraId="53DC2C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84" w:type="dxa"/>
            <w:gridSpan w:val="2"/>
            <w:vAlign w:val="center"/>
          </w:tcPr>
          <w:p w14:paraId="7D3EF874">
            <w:pPr>
              <w:jc w:val="center"/>
              <w:rPr>
                <w:rFonts w:hint="eastAsia" w:ascii="宋体" w:hAnsi="宋体" w:eastAsia="宋体" w:cs="宋体"/>
                <w:sz w:val="24"/>
                <w:szCs w:val="24"/>
              </w:rPr>
            </w:pPr>
            <w:r>
              <w:rPr>
                <w:rFonts w:ascii="宋体" w:hAnsi="宋体" w:eastAsia="宋体" w:cs="宋体"/>
                <w:spacing w:val="-2"/>
                <w:sz w:val="24"/>
                <w:szCs w:val="24"/>
              </w:rPr>
              <w:t>注册地址</w:t>
            </w:r>
          </w:p>
        </w:tc>
        <w:tc>
          <w:tcPr>
            <w:tcW w:w="7378" w:type="dxa"/>
            <w:gridSpan w:val="7"/>
            <w:vAlign w:val="center"/>
          </w:tcPr>
          <w:p w14:paraId="73CE7E9C">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江阴市利港街道贵宾路60号</w:t>
            </w:r>
          </w:p>
        </w:tc>
      </w:tr>
      <w:tr w14:paraId="5E35F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84" w:type="dxa"/>
            <w:gridSpan w:val="2"/>
            <w:vAlign w:val="center"/>
          </w:tcPr>
          <w:p w14:paraId="409B27D0">
            <w:pPr>
              <w:jc w:val="center"/>
              <w:rPr>
                <w:rFonts w:hint="eastAsia" w:ascii="宋体" w:hAnsi="宋体" w:eastAsia="宋体" w:cs="宋体"/>
                <w:sz w:val="24"/>
                <w:szCs w:val="24"/>
              </w:rPr>
            </w:pPr>
            <w:r>
              <w:rPr>
                <w:rFonts w:ascii="宋体" w:hAnsi="宋体" w:eastAsia="宋体" w:cs="宋体"/>
                <w:spacing w:val="-2"/>
                <w:sz w:val="24"/>
                <w:szCs w:val="24"/>
              </w:rPr>
              <w:t>项目建设地点</w:t>
            </w:r>
          </w:p>
        </w:tc>
        <w:tc>
          <w:tcPr>
            <w:tcW w:w="7378" w:type="dxa"/>
            <w:gridSpan w:val="7"/>
            <w:vAlign w:val="center"/>
          </w:tcPr>
          <w:p w14:paraId="1B531AC0">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无锡市江苏江阴临港经济开发区利港街道贵宾路60号</w:t>
            </w:r>
          </w:p>
        </w:tc>
      </w:tr>
      <w:tr w14:paraId="355C8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84" w:type="dxa"/>
            <w:gridSpan w:val="2"/>
            <w:vAlign w:val="center"/>
          </w:tcPr>
          <w:p w14:paraId="573D0E58">
            <w:pPr>
              <w:jc w:val="center"/>
              <w:rPr>
                <w:rFonts w:hint="eastAsia" w:ascii="宋体" w:hAnsi="宋体" w:eastAsia="宋体" w:cs="宋体"/>
                <w:sz w:val="24"/>
                <w:szCs w:val="24"/>
              </w:rPr>
            </w:pPr>
            <w:r>
              <w:rPr>
                <w:rFonts w:ascii="宋体" w:hAnsi="宋体" w:eastAsia="宋体" w:cs="宋体"/>
                <w:spacing w:val="-2"/>
                <w:sz w:val="24"/>
                <w:szCs w:val="24"/>
              </w:rPr>
              <w:t>立项</w:t>
            </w:r>
            <w:r>
              <w:rPr>
                <w:rFonts w:ascii="宋体" w:hAnsi="宋体" w:eastAsia="宋体" w:cs="宋体"/>
                <w:spacing w:val="-1"/>
                <w:sz w:val="24"/>
                <w:szCs w:val="24"/>
              </w:rPr>
              <w:t>审批部门</w:t>
            </w:r>
          </w:p>
        </w:tc>
        <w:tc>
          <w:tcPr>
            <w:tcW w:w="2934" w:type="dxa"/>
            <w:gridSpan w:val="3"/>
            <w:vAlign w:val="center"/>
          </w:tcPr>
          <w:p w14:paraId="5C5C1B03">
            <w:pPr>
              <w:jc w:val="center"/>
              <w:rPr>
                <w:rFonts w:ascii="Times New Roman" w:hAnsi="Times New Roman" w:cs="Times New Roman" w:eastAsiaTheme="minorEastAsia"/>
                <w:sz w:val="24"/>
                <w:szCs w:val="24"/>
              </w:rPr>
            </w:pPr>
            <w:r>
              <w:rPr>
                <w:rFonts w:hint="eastAsia" w:ascii="宋体" w:hAnsi="宋体" w:eastAsia="宋体" w:cs="宋体"/>
                <w:sz w:val="24"/>
                <w:szCs w:val="24"/>
              </w:rPr>
              <w:t>江苏江阴临港经济开发区管理委员会</w:t>
            </w:r>
          </w:p>
        </w:tc>
        <w:tc>
          <w:tcPr>
            <w:tcW w:w="1334" w:type="dxa"/>
            <w:vAlign w:val="center"/>
          </w:tcPr>
          <w:p w14:paraId="54852226">
            <w:pPr>
              <w:jc w:val="center"/>
              <w:rPr>
                <w:rFonts w:hint="eastAsia" w:ascii="宋体" w:hAnsi="宋体" w:eastAsia="宋体" w:cs="宋体"/>
                <w:sz w:val="24"/>
                <w:szCs w:val="24"/>
              </w:rPr>
            </w:pPr>
            <w:r>
              <w:rPr>
                <w:rFonts w:ascii="宋体" w:hAnsi="宋体" w:eastAsia="宋体" w:cs="宋体"/>
                <w:spacing w:val="-2"/>
                <w:sz w:val="24"/>
                <w:szCs w:val="24"/>
              </w:rPr>
              <w:t>批准文</w:t>
            </w:r>
            <w:r>
              <w:rPr>
                <w:rFonts w:ascii="宋体" w:hAnsi="宋体" w:eastAsia="宋体" w:cs="宋体"/>
                <w:spacing w:val="-1"/>
                <w:sz w:val="24"/>
                <w:szCs w:val="24"/>
              </w:rPr>
              <w:t>号</w:t>
            </w:r>
          </w:p>
        </w:tc>
        <w:tc>
          <w:tcPr>
            <w:tcW w:w="3110" w:type="dxa"/>
            <w:gridSpan w:val="3"/>
            <w:vAlign w:val="center"/>
          </w:tcPr>
          <w:p w14:paraId="127BE067">
            <w:pPr>
              <w:jc w:val="center"/>
              <w:rPr>
                <w:rFonts w:ascii="Times New Roman" w:hAnsi="Times New Roman" w:eastAsia="Times New Roman" w:cs="Times New Roman"/>
                <w:sz w:val="24"/>
                <w:szCs w:val="24"/>
              </w:rPr>
            </w:pPr>
            <w:r>
              <w:rPr>
                <w:rFonts w:hint="eastAsia" w:ascii="Times New Roman" w:hAnsi="Times New Roman" w:eastAsia="宋体" w:cs="Times New Roman"/>
                <w:sz w:val="24"/>
                <w:szCs w:val="24"/>
              </w:rPr>
              <w:t>江阴临港备[2026]53号</w:t>
            </w:r>
          </w:p>
        </w:tc>
      </w:tr>
      <w:tr w14:paraId="3FAF9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1784" w:type="dxa"/>
            <w:gridSpan w:val="2"/>
            <w:vAlign w:val="center"/>
          </w:tcPr>
          <w:p w14:paraId="3980B814">
            <w:pPr>
              <w:jc w:val="center"/>
              <w:rPr>
                <w:rFonts w:hint="eastAsia" w:ascii="宋体" w:hAnsi="宋体" w:eastAsia="宋体" w:cs="宋体"/>
                <w:sz w:val="24"/>
                <w:szCs w:val="24"/>
              </w:rPr>
            </w:pPr>
            <w:r>
              <w:rPr>
                <w:rFonts w:ascii="宋体" w:hAnsi="宋体" w:eastAsia="宋体" w:cs="宋体"/>
                <w:spacing w:val="-3"/>
                <w:sz w:val="24"/>
                <w:szCs w:val="24"/>
              </w:rPr>
              <w:t>建</w:t>
            </w:r>
            <w:r>
              <w:rPr>
                <w:rFonts w:ascii="宋体" w:hAnsi="宋体" w:eastAsia="宋体" w:cs="宋体"/>
                <w:spacing w:val="-2"/>
                <w:sz w:val="24"/>
                <w:szCs w:val="24"/>
              </w:rPr>
              <w:t>设项目总投</w:t>
            </w:r>
            <w:r>
              <w:rPr>
                <w:rFonts w:ascii="宋体" w:hAnsi="宋体" w:eastAsia="宋体" w:cs="宋体"/>
                <w:sz w:val="24"/>
                <w:szCs w:val="24"/>
              </w:rPr>
              <w:t xml:space="preserve"> </w:t>
            </w:r>
            <w:r>
              <w:rPr>
                <w:rFonts w:ascii="宋体" w:hAnsi="宋体" w:eastAsia="宋体" w:cs="宋体"/>
                <w:spacing w:val="17"/>
                <w:sz w:val="24"/>
                <w:szCs w:val="24"/>
              </w:rPr>
              <w:t>资(万元</w:t>
            </w:r>
            <w:r>
              <w:rPr>
                <w:rFonts w:ascii="宋体" w:hAnsi="宋体" w:eastAsia="宋体" w:cs="宋体"/>
                <w:spacing w:val="16"/>
                <w:sz w:val="24"/>
                <w:szCs w:val="24"/>
              </w:rPr>
              <w:t>)</w:t>
            </w:r>
          </w:p>
        </w:tc>
        <w:tc>
          <w:tcPr>
            <w:tcW w:w="1178" w:type="dxa"/>
            <w:vAlign w:val="center"/>
          </w:tcPr>
          <w:p w14:paraId="1A22B1A2">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w:t>
            </w:r>
          </w:p>
        </w:tc>
        <w:tc>
          <w:tcPr>
            <w:tcW w:w="1756" w:type="dxa"/>
            <w:gridSpan w:val="2"/>
            <w:vAlign w:val="center"/>
          </w:tcPr>
          <w:p w14:paraId="40054993">
            <w:pPr>
              <w:jc w:val="center"/>
              <w:rPr>
                <w:rFonts w:hint="eastAsia" w:ascii="宋体" w:hAnsi="宋体" w:eastAsia="宋体" w:cs="宋体"/>
                <w:sz w:val="24"/>
                <w:szCs w:val="24"/>
              </w:rPr>
            </w:pPr>
            <w:r>
              <w:rPr>
                <w:rFonts w:ascii="宋体" w:hAnsi="宋体" w:eastAsia="宋体" w:cs="宋体"/>
                <w:spacing w:val="-4"/>
                <w:sz w:val="24"/>
                <w:szCs w:val="24"/>
              </w:rPr>
              <w:t>项</w:t>
            </w:r>
            <w:r>
              <w:rPr>
                <w:rFonts w:ascii="宋体" w:hAnsi="宋体" w:eastAsia="宋体" w:cs="宋体"/>
                <w:spacing w:val="-2"/>
                <w:sz w:val="24"/>
                <w:szCs w:val="24"/>
              </w:rPr>
              <w:t>目环保总投</w:t>
            </w:r>
            <w:r>
              <w:rPr>
                <w:rFonts w:ascii="宋体" w:hAnsi="宋体" w:eastAsia="宋体" w:cs="宋体"/>
                <w:sz w:val="24"/>
                <w:szCs w:val="24"/>
              </w:rPr>
              <w:t xml:space="preserve"> </w:t>
            </w:r>
            <w:r>
              <w:rPr>
                <w:rFonts w:ascii="宋体" w:hAnsi="宋体" w:eastAsia="宋体" w:cs="宋体"/>
                <w:spacing w:val="17"/>
                <w:sz w:val="24"/>
                <w:szCs w:val="24"/>
              </w:rPr>
              <w:t>资(万元</w:t>
            </w:r>
            <w:r>
              <w:rPr>
                <w:rFonts w:ascii="宋体" w:hAnsi="宋体" w:eastAsia="宋体" w:cs="宋体"/>
                <w:spacing w:val="16"/>
                <w:sz w:val="24"/>
                <w:szCs w:val="24"/>
              </w:rPr>
              <w:t>)</w:t>
            </w:r>
          </w:p>
        </w:tc>
        <w:tc>
          <w:tcPr>
            <w:tcW w:w="1334" w:type="dxa"/>
            <w:vAlign w:val="center"/>
          </w:tcPr>
          <w:p w14:paraId="25E46F4F">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w:t>
            </w:r>
          </w:p>
        </w:tc>
        <w:tc>
          <w:tcPr>
            <w:tcW w:w="1906" w:type="dxa"/>
            <w:gridSpan w:val="2"/>
            <w:vAlign w:val="center"/>
          </w:tcPr>
          <w:p w14:paraId="478EFA8C">
            <w:pPr>
              <w:jc w:val="center"/>
              <w:rPr>
                <w:rFonts w:hint="eastAsia" w:ascii="宋体" w:hAnsi="宋体" w:eastAsia="宋体" w:cs="宋体"/>
                <w:sz w:val="24"/>
                <w:szCs w:val="24"/>
              </w:rPr>
            </w:pPr>
            <w:r>
              <w:rPr>
                <w:rFonts w:ascii="宋体" w:hAnsi="宋体" w:eastAsia="宋体" w:cs="宋体"/>
                <w:spacing w:val="17"/>
                <w:sz w:val="24"/>
                <w:szCs w:val="24"/>
              </w:rPr>
              <w:t>投</w:t>
            </w:r>
            <w:r>
              <w:rPr>
                <w:rFonts w:ascii="宋体" w:hAnsi="宋体" w:eastAsia="宋体" w:cs="宋体"/>
                <w:spacing w:val="15"/>
                <w:sz w:val="24"/>
                <w:szCs w:val="24"/>
              </w:rPr>
              <w:t>资比例(环保</w:t>
            </w:r>
            <w:r>
              <w:rPr>
                <w:rFonts w:ascii="宋体" w:hAnsi="宋体" w:eastAsia="宋体" w:cs="宋体"/>
                <w:sz w:val="24"/>
                <w:szCs w:val="24"/>
              </w:rPr>
              <w:t xml:space="preserve"> </w:t>
            </w:r>
            <w:r>
              <w:rPr>
                <w:rFonts w:ascii="宋体" w:hAnsi="宋体" w:eastAsia="宋体" w:cs="宋体"/>
                <w:spacing w:val="-6"/>
                <w:sz w:val="24"/>
                <w:szCs w:val="24"/>
              </w:rPr>
              <w:t>投</w:t>
            </w:r>
            <w:r>
              <w:rPr>
                <w:rFonts w:ascii="宋体" w:hAnsi="宋体" w:eastAsia="宋体" w:cs="宋体"/>
                <w:spacing w:val="-5"/>
                <w:sz w:val="24"/>
                <w:szCs w:val="24"/>
              </w:rPr>
              <w:t>资</w:t>
            </w:r>
            <w:r>
              <w:rPr>
                <w:rFonts w:ascii="Times New Roman" w:hAnsi="Times New Roman" w:eastAsia="Times New Roman" w:cs="Times New Roman"/>
                <w:spacing w:val="-3"/>
                <w:sz w:val="24"/>
                <w:szCs w:val="24"/>
              </w:rPr>
              <w:t>/</w:t>
            </w:r>
            <w:r>
              <w:rPr>
                <w:rFonts w:ascii="宋体" w:hAnsi="宋体" w:eastAsia="宋体" w:cs="宋体"/>
                <w:spacing w:val="-3"/>
                <w:sz w:val="24"/>
                <w:szCs w:val="24"/>
              </w:rPr>
              <w:t>总投资)</w:t>
            </w:r>
          </w:p>
        </w:tc>
        <w:tc>
          <w:tcPr>
            <w:tcW w:w="1204" w:type="dxa"/>
            <w:vAlign w:val="center"/>
          </w:tcPr>
          <w:p w14:paraId="532EA653">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w:t>
            </w:r>
          </w:p>
        </w:tc>
      </w:tr>
      <w:tr w14:paraId="1F66B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84" w:type="dxa"/>
            <w:gridSpan w:val="2"/>
            <w:vAlign w:val="center"/>
          </w:tcPr>
          <w:p w14:paraId="4DB484F7">
            <w:pPr>
              <w:jc w:val="center"/>
              <w:rPr>
                <w:rFonts w:hint="eastAsia" w:ascii="宋体" w:hAnsi="宋体" w:eastAsia="宋体" w:cs="宋体"/>
                <w:sz w:val="24"/>
                <w:szCs w:val="24"/>
              </w:rPr>
            </w:pPr>
            <w:r>
              <w:rPr>
                <w:rFonts w:ascii="宋体" w:hAnsi="宋体" w:eastAsia="宋体" w:cs="宋体"/>
                <w:spacing w:val="-4"/>
                <w:sz w:val="24"/>
                <w:szCs w:val="24"/>
              </w:rPr>
              <w:t>项</w:t>
            </w:r>
            <w:r>
              <w:rPr>
                <w:rFonts w:ascii="宋体" w:hAnsi="宋体" w:eastAsia="宋体" w:cs="宋体"/>
                <w:spacing w:val="-2"/>
                <w:sz w:val="24"/>
                <w:szCs w:val="24"/>
              </w:rPr>
              <w:t>目性质</w:t>
            </w:r>
          </w:p>
        </w:tc>
        <w:tc>
          <w:tcPr>
            <w:tcW w:w="4268" w:type="dxa"/>
            <w:gridSpan w:val="4"/>
            <w:vAlign w:val="center"/>
          </w:tcPr>
          <w:p w14:paraId="215DC416">
            <w:pPr>
              <w:jc w:val="center"/>
              <w:rPr>
                <w:rFonts w:hint="eastAsia" w:ascii="宋体" w:hAnsi="宋体" w:eastAsia="宋体" w:cs="宋体"/>
                <w:sz w:val="24"/>
                <w:szCs w:val="24"/>
              </w:rPr>
            </w:pPr>
            <w:r>
              <w:rPr>
                <w:rFonts w:ascii="Times New Roman" w:hAnsi="Times New Roman" w:eastAsia="Times New Roman" w:cs="Times New Roman"/>
                <w:spacing w:val="-4"/>
                <w:sz w:val="24"/>
                <w:szCs w:val="24"/>
              </w:rPr>
              <w:sym w:font="Wingdings 2" w:char="0052"/>
            </w:r>
            <w:r>
              <w:rPr>
                <w:rFonts w:ascii="宋体" w:hAnsi="宋体" w:eastAsia="宋体" w:cs="宋体"/>
                <w:spacing w:val="-3"/>
                <w:sz w:val="24"/>
                <w:szCs w:val="24"/>
              </w:rPr>
              <w:t xml:space="preserve">新建 </w:t>
            </w:r>
            <w:r>
              <w:rPr>
                <w:rFonts w:ascii="Times New Roman" w:hAnsi="Times New Roman" w:eastAsia="Times New Roman" w:cs="Times New Roman"/>
                <w:spacing w:val="-3"/>
                <w:sz w:val="24"/>
                <w:szCs w:val="24"/>
              </w:rPr>
              <w:sym w:font="Wingdings 2" w:char="00A3"/>
            </w:r>
            <w:r>
              <w:rPr>
                <w:rFonts w:ascii="宋体" w:hAnsi="宋体" w:eastAsia="宋体" w:cs="宋体"/>
                <w:spacing w:val="-3"/>
                <w:sz w:val="24"/>
                <w:szCs w:val="24"/>
              </w:rPr>
              <w:t xml:space="preserve">改建 </w:t>
            </w:r>
            <w:r>
              <w:rPr>
                <w:rFonts w:ascii="Times New Roman" w:hAnsi="Times New Roman" w:eastAsia="Times New Roman" w:cs="Times New Roman"/>
                <w:spacing w:val="-3"/>
                <w:sz w:val="24"/>
                <w:szCs w:val="24"/>
              </w:rPr>
              <w:sym w:font="Wingdings 2" w:char="00A3"/>
            </w:r>
            <w:r>
              <w:rPr>
                <w:rFonts w:ascii="宋体" w:hAnsi="宋体" w:eastAsia="宋体" w:cs="宋体"/>
                <w:spacing w:val="-3"/>
                <w:sz w:val="24"/>
                <w:szCs w:val="24"/>
              </w:rPr>
              <w:t xml:space="preserve">扩建 </w:t>
            </w:r>
            <w:r>
              <w:rPr>
                <w:rFonts w:ascii="Times New Roman" w:hAnsi="Times New Roman" w:eastAsia="Times New Roman" w:cs="Times New Roman"/>
                <w:spacing w:val="-3"/>
                <w:sz w:val="24"/>
                <w:szCs w:val="24"/>
              </w:rPr>
              <w:sym w:font="Wingdings 2" w:char="00A3"/>
            </w:r>
            <w:r>
              <w:rPr>
                <w:rFonts w:ascii="宋体" w:hAnsi="宋体" w:eastAsia="宋体" w:cs="宋体"/>
                <w:spacing w:val="-3"/>
                <w:sz w:val="24"/>
                <w:szCs w:val="24"/>
              </w:rPr>
              <w:t>其他</w:t>
            </w:r>
          </w:p>
        </w:tc>
        <w:tc>
          <w:tcPr>
            <w:tcW w:w="1906" w:type="dxa"/>
            <w:gridSpan w:val="2"/>
            <w:vAlign w:val="center"/>
          </w:tcPr>
          <w:p w14:paraId="253836FE">
            <w:pPr>
              <w:jc w:val="center"/>
              <w:rPr>
                <w:rFonts w:hint="eastAsia" w:ascii="宋体" w:hAnsi="宋体" w:eastAsia="宋体" w:cs="宋体"/>
                <w:sz w:val="24"/>
                <w:szCs w:val="24"/>
              </w:rPr>
            </w:pPr>
            <w:r>
              <w:rPr>
                <w:rFonts w:ascii="宋体" w:hAnsi="宋体" w:eastAsia="宋体" w:cs="宋体"/>
                <w:spacing w:val="-10"/>
                <w:sz w:val="24"/>
                <w:szCs w:val="24"/>
              </w:rPr>
              <w:t>占</w:t>
            </w:r>
            <w:r>
              <w:rPr>
                <w:rFonts w:ascii="宋体" w:hAnsi="宋体" w:eastAsia="宋体" w:cs="宋体"/>
                <w:spacing w:val="-9"/>
                <w:sz w:val="24"/>
                <w:szCs w:val="24"/>
              </w:rPr>
              <w:t>地面积</w:t>
            </w:r>
          </w:p>
          <w:p w14:paraId="78A26E2F">
            <w:pPr>
              <w:jc w:val="center"/>
              <w:rPr>
                <w:rFonts w:hint="eastAsia" w:ascii="宋体" w:hAnsi="宋体" w:eastAsia="宋体" w:cs="宋体"/>
                <w:sz w:val="24"/>
                <w:szCs w:val="24"/>
              </w:rPr>
            </w:pPr>
            <w:r>
              <w:rPr>
                <w:rFonts w:ascii="宋体" w:hAnsi="宋体" w:eastAsia="宋体" w:cs="宋体"/>
                <w:spacing w:val="26"/>
                <w:sz w:val="24"/>
                <w:szCs w:val="24"/>
              </w:rPr>
              <w:t>(</w:t>
            </w:r>
            <w:r>
              <w:rPr>
                <w:rFonts w:ascii="Times New Roman" w:hAnsi="Times New Roman" w:eastAsia="Times New Roman" w:cs="Times New Roman"/>
                <w:sz w:val="24"/>
                <w:szCs w:val="24"/>
              </w:rPr>
              <w:t>m</w:t>
            </w:r>
            <w:r>
              <w:rPr>
                <w:rFonts w:ascii="Times New Roman" w:hAnsi="Times New Roman" w:eastAsia="Times New Roman" w:cs="Times New Roman"/>
                <w:spacing w:val="25"/>
                <w:position w:val="8"/>
                <w:sz w:val="16"/>
                <w:szCs w:val="16"/>
              </w:rPr>
              <w:t xml:space="preserve">2 </w:t>
            </w:r>
            <w:r>
              <w:rPr>
                <w:rFonts w:ascii="宋体" w:hAnsi="宋体" w:eastAsia="宋体" w:cs="宋体"/>
                <w:spacing w:val="25"/>
                <w:sz w:val="24"/>
                <w:szCs w:val="24"/>
              </w:rPr>
              <w:t>)</w:t>
            </w:r>
          </w:p>
        </w:tc>
        <w:tc>
          <w:tcPr>
            <w:tcW w:w="1204" w:type="dxa"/>
            <w:vAlign w:val="center"/>
          </w:tcPr>
          <w:p w14:paraId="0A69FEF5">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300</w:t>
            </w:r>
          </w:p>
        </w:tc>
      </w:tr>
      <w:tr w14:paraId="56A420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856" w:type="dxa"/>
            <w:vMerge w:val="restart"/>
            <w:tcBorders>
              <w:bottom w:val="nil"/>
            </w:tcBorders>
            <w:textDirection w:val="tbRlV"/>
            <w:vAlign w:val="center"/>
          </w:tcPr>
          <w:p w14:paraId="42732602">
            <w:pPr>
              <w:jc w:val="center"/>
              <w:rPr>
                <w:rFonts w:hint="eastAsia" w:ascii="宋体" w:hAnsi="宋体" w:eastAsia="宋体" w:cs="宋体"/>
                <w:sz w:val="24"/>
                <w:szCs w:val="24"/>
              </w:rPr>
            </w:pPr>
            <w:r>
              <w:rPr>
                <w:rFonts w:ascii="宋体" w:hAnsi="宋体" w:eastAsia="宋体" w:cs="宋体"/>
                <w:spacing w:val="-24"/>
                <w:sz w:val="24"/>
                <w:szCs w:val="24"/>
              </w:rPr>
              <w:t>应</w:t>
            </w:r>
            <w:r>
              <w:rPr>
                <w:rFonts w:ascii="宋体" w:hAnsi="宋体" w:eastAsia="宋体" w:cs="宋体"/>
                <w:spacing w:val="-20"/>
                <w:sz w:val="24"/>
                <w:szCs w:val="24"/>
              </w:rPr>
              <w:t xml:space="preserve"> 用 类 型</w:t>
            </w:r>
          </w:p>
        </w:tc>
        <w:tc>
          <w:tcPr>
            <w:tcW w:w="928" w:type="dxa"/>
            <w:vMerge w:val="restart"/>
            <w:tcBorders>
              <w:bottom w:val="nil"/>
            </w:tcBorders>
            <w:vAlign w:val="center"/>
          </w:tcPr>
          <w:p w14:paraId="568603B3">
            <w:pPr>
              <w:jc w:val="center"/>
              <w:rPr>
                <w:rFonts w:hint="eastAsia" w:ascii="宋体" w:hAnsi="宋体" w:eastAsia="宋体" w:cs="宋体"/>
                <w:sz w:val="24"/>
                <w:szCs w:val="24"/>
              </w:rPr>
            </w:pPr>
            <w:r>
              <w:rPr>
                <w:rFonts w:ascii="宋体" w:hAnsi="宋体" w:eastAsia="宋体" w:cs="宋体"/>
                <w:spacing w:val="-3"/>
                <w:sz w:val="24"/>
                <w:szCs w:val="24"/>
              </w:rPr>
              <w:t>放</w:t>
            </w:r>
            <w:r>
              <w:rPr>
                <w:rFonts w:ascii="宋体" w:hAnsi="宋体" w:eastAsia="宋体" w:cs="宋体"/>
                <w:spacing w:val="-2"/>
                <w:sz w:val="24"/>
                <w:szCs w:val="24"/>
              </w:rPr>
              <w:t>射</w:t>
            </w:r>
          </w:p>
          <w:p w14:paraId="6E48D639">
            <w:pPr>
              <w:jc w:val="center"/>
              <w:rPr>
                <w:rFonts w:hint="eastAsia" w:ascii="宋体" w:hAnsi="宋体" w:eastAsia="宋体" w:cs="宋体"/>
                <w:sz w:val="24"/>
                <w:szCs w:val="24"/>
              </w:rPr>
            </w:pPr>
            <w:r>
              <w:rPr>
                <w:rFonts w:ascii="宋体" w:hAnsi="宋体" w:eastAsia="宋体" w:cs="宋体"/>
                <w:sz w:val="24"/>
                <w:szCs w:val="24"/>
              </w:rPr>
              <w:t>源</w:t>
            </w:r>
          </w:p>
        </w:tc>
        <w:tc>
          <w:tcPr>
            <w:tcW w:w="1178" w:type="dxa"/>
            <w:vAlign w:val="center"/>
          </w:tcPr>
          <w:p w14:paraId="7B4F2DA2">
            <w:pPr>
              <w:jc w:val="center"/>
              <w:rPr>
                <w:rFonts w:hint="eastAsia" w:ascii="宋体" w:hAnsi="宋体" w:eastAsia="宋体" w:cs="宋体"/>
                <w:sz w:val="24"/>
                <w:szCs w:val="24"/>
              </w:rPr>
            </w:pPr>
            <w:r>
              <w:rPr>
                <w:rFonts w:ascii="Times New Roman" w:hAnsi="Times New Roman" w:eastAsia="Times New Roman" w:cs="Times New Roman"/>
                <w:spacing w:val="-8"/>
                <w:sz w:val="24"/>
                <w:szCs w:val="24"/>
              </w:rPr>
              <w:sym w:font="Wingdings 2" w:char="00A3"/>
            </w:r>
            <w:r>
              <w:rPr>
                <w:rFonts w:ascii="宋体" w:hAnsi="宋体" w:eastAsia="宋体" w:cs="宋体"/>
                <w:spacing w:val="-5"/>
                <w:sz w:val="24"/>
                <w:szCs w:val="24"/>
              </w:rPr>
              <w:t>销售</w:t>
            </w:r>
          </w:p>
        </w:tc>
        <w:tc>
          <w:tcPr>
            <w:tcW w:w="6200" w:type="dxa"/>
            <w:gridSpan w:val="6"/>
            <w:vAlign w:val="center"/>
          </w:tcPr>
          <w:p w14:paraId="27969378">
            <w:pPr>
              <w:jc w:val="center"/>
              <w:rPr>
                <w:rFonts w:hint="eastAsia" w:ascii="宋体" w:hAnsi="宋体" w:eastAsia="宋体" w:cs="宋体"/>
                <w:sz w:val="24"/>
                <w:szCs w:val="24"/>
              </w:rPr>
            </w:pPr>
            <w:r>
              <w:rPr>
                <w:rFonts w:ascii="Times New Roman" w:hAnsi="Times New Roman" w:eastAsia="Times New Roman" w:cs="Times New Roman"/>
                <w:spacing w:val="-1"/>
                <w:sz w:val="24"/>
                <w:szCs w:val="24"/>
              </w:rPr>
              <w:sym w:font="Wingdings 2" w:char="00A3"/>
            </w:r>
            <w:r>
              <w:rPr>
                <w:rFonts w:ascii="Times New Roman" w:hAnsi="Times New Roman" w:eastAsia="Times New Roman" w:cs="Times New Roman"/>
                <w:spacing w:val="-1"/>
                <w:sz w:val="24"/>
                <w:szCs w:val="24"/>
              </w:rPr>
              <w:t>Ⅰ</w:t>
            </w:r>
            <w:r>
              <w:rPr>
                <w:rFonts w:ascii="宋体" w:hAnsi="宋体" w:eastAsia="宋体" w:cs="宋体"/>
                <w:spacing w:val="-1"/>
                <w:sz w:val="24"/>
                <w:szCs w:val="24"/>
              </w:rPr>
              <w:t xml:space="preserve">类 </w:t>
            </w:r>
            <w:r>
              <w:rPr>
                <w:rFonts w:ascii="Times New Roman" w:hAnsi="Times New Roman" w:eastAsia="Times New Roman" w:cs="Times New Roman"/>
                <w:spacing w:val="-1"/>
                <w:sz w:val="24"/>
                <w:szCs w:val="24"/>
              </w:rPr>
              <w:sym w:font="Wingdings 2" w:char="00A3"/>
            </w:r>
            <w:r>
              <w:rPr>
                <w:rFonts w:ascii="Times New Roman" w:hAnsi="Times New Roman" w:eastAsia="Times New Roman" w:cs="Times New Roman"/>
                <w:spacing w:val="-1"/>
                <w:sz w:val="24"/>
                <w:szCs w:val="24"/>
              </w:rPr>
              <w:t>Ⅱ</w:t>
            </w:r>
            <w:r>
              <w:rPr>
                <w:rFonts w:ascii="宋体" w:hAnsi="宋体" w:eastAsia="宋体" w:cs="宋体"/>
                <w:spacing w:val="-1"/>
                <w:sz w:val="24"/>
                <w:szCs w:val="24"/>
              </w:rPr>
              <w:t xml:space="preserve">类 </w:t>
            </w:r>
            <w:r>
              <w:rPr>
                <w:rFonts w:ascii="Times New Roman" w:hAnsi="Times New Roman" w:eastAsia="Times New Roman" w:cs="Times New Roman"/>
                <w:spacing w:val="-1"/>
                <w:sz w:val="24"/>
                <w:szCs w:val="24"/>
              </w:rPr>
              <w:sym w:font="Wingdings 2" w:char="00A3"/>
            </w:r>
            <w:r>
              <w:rPr>
                <w:rFonts w:ascii="Times New Roman" w:hAnsi="Times New Roman" w:eastAsia="Times New Roman" w:cs="Times New Roman"/>
                <w:spacing w:val="-1"/>
                <w:sz w:val="24"/>
                <w:szCs w:val="24"/>
              </w:rPr>
              <w:t>Ⅲ</w:t>
            </w:r>
            <w:r>
              <w:rPr>
                <w:rFonts w:ascii="宋体" w:hAnsi="宋体" w:eastAsia="宋体" w:cs="宋体"/>
                <w:spacing w:val="-1"/>
                <w:sz w:val="24"/>
                <w:szCs w:val="24"/>
              </w:rPr>
              <w:t xml:space="preserve">类 </w:t>
            </w:r>
            <w:r>
              <w:rPr>
                <w:rFonts w:ascii="Times New Roman" w:hAnsi="Times New Roman" w:eastAsia="Times New Roman" w:cs="Times New Roman"/>
                <w:spacing w:val="-1"/>
                <w:sz w:val="24"/>
                <w:szCs w:val="24"/>
              </w:rPr>
              <w:sym w:font="Wingdings 2" w:char="00A3"/>
            </w:r>
            <w:r>
              <w:rPr>
                <w:rFonts w:ascii="Times New Roman" w:hAnsi="Times New Roman" w:eastAsia="Times New Roman" w:cs="Times New Roman"/>
                <w:spacing w:val="-1"/>
                <w:sz w:val="24"/>
                <w:szCs w:val="24"/>
              </w:rPr>
              <w:t>Ⅳ</w:t>
            </w:r>
            <w:r>
              <w:rPr>
                <w:rFonts w:ascii="宋体" w:hAnsi="宋体" w:eastAsia="宋体" w:cs="宋体"/>
                <w:spacing w:val="-1"/>
                <w:sz w:val="24"/>
                <w:szCs w:val="24"/>
              </w:rPr>
              <w:t xml:space="preserve">类 </w:t>
            </w:r>
            <w:r>
              <w:rPr>
                <w:rFonts w:ascii="Times New Roman" w:hAnsi="Times New Roman" w:eastAsia="Times New Roman" w:cs="Times New Roman"/>
                <w:spacing w:val="-1"/>
                <w:sz w:val="24"/>
                <w:szCs w:val="24"/>
              </w:rPr>
              <w:sym w:font="Wingdings 2" w:char="00A3"/>
            </w:r>
            <w:r>
              <w:rPr>
                <w:rFonts w:ascii="Times New Roman" w:hAnsi="Times New Roman" w:eastAsia="Times New Roman" w:cs="Times New Roman"/>
                <w:sz w:val="24"/>
                <w:szCs w:val="24"/>
              </w:rPr>
              <w:t>Ⅴ</w:t>
            </w:r>
            <w:r>
              <w:rPr>
                <w:rFonts w:ascii="宋体" w:hAnsi="宋体" w:eastAsia="宋体" w:cs="宋体"/>
                <w:sz w:val="24"/>
                <w:szCs w:val="24"/>
              </w:rPr>
              <w:t>类</w:t>
            </w:r>
          </w:p>
        </w:tc>
      </w:tr>
      <w:tr w14:paraId="2BE89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856" w:type="dxa"/>
            <w:vMerge w:val="continue"/>
            <w:tcBorders>
              <w:top w:val="nil"/>
              <w:bottom w:val="nil"/>
            </w:tcBorders>
            <w:textDirection w:val="tbRlV"/>
            <w:vAlign w:val="center"/>
          </w:tcPr>
          <w:p w14:paraId="7181F01A">
            <w:pPr>
              <w:jc w:val="center"/>
            </w:pPr>
          </w:p>
        </w:tc>
        <w:tc>
          <w:tcPr>
            <w:tcW w:w="928" w:type="dxa"/>
            <w:vMerge w:val="continue"/>
            <w:tcBorders>
              <w:top w:val="nil"/>
            </w:tcBorders>
            <w:vAlign w:val="center"/>
          </w:tcPr>
          <w:p w14:paraId="20E513B4">
            <w:pPr>
              <w:jc w:val="center"/>
            </w:pPr>
          </w:p>
        </w:tc>
        <w:tc>
          <w:tcPr>
            <w:tcW w:w="1178" w:type="dxa"/>
            <w:vAlign w:val="center"/>
          </w:tcPr>
          <w:p w14:paraId="0F31966B">
            <w:pPr>
              <w:jc w:val="center"/>
              <w:rPr>
                <w:rFonts w:hint="eastAsia" w:ascii="宋体" w:hAnsi="宋体" w:eastAsia="宋体" w:cs="宋体"/>
                <w:sz w:val="24"/>
                <w:szCs w:val="24"/>
              </w:rPr>
            </w:pPr>
            <w:r>
              <w:rPr>
                <w:rFonts w:ascii="Times New Roman" w:hAnsi="Times New Roman" w:eastAsia="Times New Roman" w:cs="Times New Roman"/>
                <w:spacing w:val="-8"/>
                <w:sz w:val="24"/>
                <w:szCs w:val="24"/>
              </w:rPr>
              <w:sym w:font="Wingdings 2" w:char="00A3"/>
            </w:r>
            <w:r>
              <w:rPr>
                <w:rFonts w:ascii="宋体" w:hAnsi="宋体" w:eastAsia="宋体" w:cs="宋体"/>
                <w:spacing w:val="-5"/>
                <w:sz w:val="24"/>
                <w:szCs w:val="24"/>
              </w:rPr>
              <w:t>使用</w:t>
            </w:r>
          </w:p>
        </w:tc>
        <w:tc>
          <w:tcPr>
            <w:tcW w:w="6200" w:type="dxa"/>
            <w:gridSpan w:val="6"/>
            <w:vAlign w:val="center"/>
          </w:tcPr>
          <w:p w14:paraId="7C6438EB">
            <w:pPr>
              <w:jc w:val="center"/>
              <w:rPr>
                <w:rFonts w:hint="eastAsia" w:ascii="宋体" w:hAnsi="宋体" w:eastAsia="宋体" w:cs="宋体"/>
                <w:sz w:val="24"/>
                <w:szCs w:val="24"/>
              </w:rPr>
            </w:pPr>
            <w:r>
              <w:rPr>
                <w:rFonts w:ascii="Times New Roman" w:hAnsi="Times New Roman" w:eastAsia="Times New Roman" w:cs="Times New Roman"/>
                <w:spacing w:val="4"/>
                <w:sz w:val="24"/>
                <w:szCs w:val="24"/>
              </w:rPr>
              <w:sym w:font="Wingdings 2" w:char="00A3"/>
            </w:r>
            <w:r>
              <w:rPr>
                <w:rFonts w:ascii="Times New Roman" w:hAnsi="Times New Roman" w:eastAsia="Times New Roman" w:cs="Times New Roman"/>
                <w:spacing w:val="4"/>
                <w:sz w:val="24"/>
                <w:szCs w:val="24"/>
              </w:rPr>
              <w:t>Ⅰ</w:t>
            </w:r>
            <w:r>
              <w:rPr>
                <w:rFonts w:ascii="宋体" w:hAnsi="宋体" w:eastAsia="宋体" w:cs="宋体"/>
                <w:spacing w:val="4"/>
                <w:sz w:val="24"/>
                <w:szCs w:val="24"/>
              </w:rPr>
              <w:t xml:space="preserve">类(医疗使用)  </w:t>
            </w:r>
            <w:r>
              <w:rPr>
                <w:rFonts w:ascii="Times New Roman" w:hAnsi="Times New Roman" w:eastAsia="Times New Roman" w:cs="Times New Roman"/>
                <w:spacing w:val="4"/>
                <w:sz w:val="24"/>
                <w:szCs w:val="24"/>
              </w:rPr>
              <w:sym w:font="Wingdings 2" w:char="00A3"/>
            </w:r>
            <w:r>
              <w:rPr>
                <w:rFonts w:ascii="Times New Roman" w:hAnsi="Times New Roman" w:eastAsia="Times New Roman" w:cs="Times New Roman"/>
                <w:spacing w:val="4"/>
                <w:sz w:val="24"/>
                <w:szCs w:val="24"/>
              </w:rPr>
              <w:t>Ⅱ</w:t>
            </w:r>
            <w:r>
              <w:rPr>
                <w:rFonts w:ascii="宋体" w:hAnsi="宋体" w:eastAsia="宋体" w:cs="宋体"/>
                <w:spacing w:val="4"/>
                <w:sz w:val="24"/>
                <w:szCs w:val="24"/>
              </w:rPr>
              <w:t xml:space="preserve">类 </w:t>
            </w:r>
            <w:r>
              <w:rPr>
                <w:rFonts w:ascii="Times New Roman" w:hAnsi="Times New Roman" w:eastAsia="Times New Roman" w:cs="Times New Roman"/>
                <w:spacing w:val="4"/>
                <w:sz w:val="24"/>
                <w:szCs w:val="24"/>
              </w:rPr>
              <w:sym w:font="Wingdings 2" w:char="00A3"/>
            </w:r>
            <w:r>
              <w:rPr>
                <w:rFonts w:ascii="Times New Roman" w:hAnsi="Times New Roman" w:eastAsia="Times New Roman" w:cs="Times New Roman"/>
                <w:spacing w:val="4"/>
                <w:sz w:val="24"/>
                <w:szCs w:val="24"/>
              </w:rPr>
              <w:t>Ⅲ</w:t>
            </w:r>
            <w:r>
              <w:rPr>
                <w:rFonts w:ascii="宋体" w:hAnsi="宋体" w:eastAsia="宋体" w:cs="宋体"/>
                <w:spacing w:val="4"/>
                <w:sz w:val="24"/>
                <w:szCs w:val="24"/>
              </w:rPr>
              <w:t xml:space="preserve">类 </w:t>
            </w:r>
            <w:r>
              <w:rPr>
                <w:rFonts w:ascii="Times New Roman" w:hAnsi="Times New Roman" w:eastAsia="Times New Roman" w:cs="Times New Roman"/>
                <w:spacing w:val="4"/>
                <w:sz w:val="24"/>
                <w:szCs w:val="24"/>
              </w:rPr>
              <w:sym w:font="Wingdings 2" w:char="00A3"/>
            </w:r>
            <w:r>
              <w:rPr>
                <w:rFonts w:ascii="Times New Roman" w:hAnsi="Times New Roman" w:eastAsia="Times New Roman" w:cs="Times New Roman"/>
                <w:spacing w:val="4"/>
                <w:sz w:val="24"/>
                <w:szCs w:val="24"/>
              </w:rPr>
              <w:t>Ⅳ</w:t>
            </w:r>
            <w:r>
              <w:rPr>
                <w:rFonts w:ascii="宋体" w:hAnsi="宋体" w:eastAsia="宋体" w:cs="宋体"/>
                <w:spacing w:val="4"/>
                <w:sz w:val="24"/>
                <w:szCs w:val="24"/>
              </w:rPr>
              <w:t xml:space="preserve">类 </w:t>
            </w:r>
            <w:r>
              <w:rPr>
                <w:rFonts w:ascii="Times New Roman" w:hAnsi="Times New Roman" w:eastAsia="Times New Roman" w:cs="Times New Roman"/>
                <w:spacing w:val="4"/>
                <w:sz w:val="24"/>
                <w:szCs w:val="24"/>
              </w:rPr>
              <w:sym w:font="Wingdings 2" w:char="00A3"/>
            </w:r>
            <w:r>
              <w:rPr>
                <w:rFonts w:ascii="Times New Roman" w:hAnsi="Times New Roman" w:eastAsia="Times New Roman" w:cs="Times New Roman"/>
                <w:spacing w:val="4"/>
                <w:sz w:val="24"/>
                <w:szCs w:val="24"/>
              </w:rPr>
              <w:t>Ⅴ</w:t>
            </w:r>
            <w:r>
              <w:rPr>
                <w:rFonts w:ascii="宋体" w:hAnsi="宋体" w:eastAsia="宋体" w:cs="宋体"/>
                <w:spacing w:val="3"/>
                <w:sz w:val="24"/>
                <w:szCs w:val="24"/>
              </w:rPr>
              <w:t>类</w:t>
            </w:r>
          </w:p>
        </w:tc>
      </w:tr>
      <w:tr w14:paraId="25062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856" w:type="dxa"/>
            <w:vMerge w:val="continue"/>
            <w:tcBorders>
              <w:top w:val="nil"/>
              <w:bottom w:val="nil"/>
            </w:tcBorders>
            <w:textDirection w:val="tbRlV"/>
            <w:vAlign w:val="center"/>
          </w:tcPr>
          <w:p w14:paraId="15C735E8">
            <w:pPr>
              <w:jc w:val="center"/>
            </w:pPr>
          </w:p>
        </w:tc>
        <w:tc>
          <w:tcPr>
            <w:tcW w:w="928" w:type="dxa"/>
            <w:vMerge w:val="restart"/>
            <w:tcBorders>
              <w:bottom w:val="nil"/>
            </w:tcBorders>
            <w:vAlign w:val="center"/>
          </w:tcPr>
          <w:p w14:paraId="166BD35C">
            <w:pPr>
              <w:jc w:val="center"/>
              <w:rPr>
                <w:rFonts w:hint="eastAsia" w:ascii="宋体" w:hAnsi="宋体" w:eastAsia="宋体" w:cs="宋体"/>
                <w:sz w:val="24"/>
                <w:szCs w:val="24"/>
              </w:rPr>
            </w:pPr>
            <w:r>
              <w:rPr>
                <w:rFonts w:ascii="宋体" w:hAnsi="宋体" w:eastAsia="宋体" w:cs="宋体"/>
                <w:spacing w:val="-4"/>
                <w:sz w:val="24"/>
                <w:szCs w:val="24"/>
              </w:rPr>
              <w:t>非</w:t>
            </w:r>
            <w:r>
              <w:rPr>
                <w:rFonts w:ascii="宋体" w:hAnsi="宋体" w:eastAsia="宋体" w:cs="宋体"/>
                <w:spacing w:val="-3"/>
                <w:sz w:val="24"/>
                <w:szCs w:val="24"/>
              </w:rPr>
              <w:t>密</w:t>
            </w:r>
          </w:p>
          <w:p w14:paraId="41982E3D">
            <w:pPr>
              <w:jc w:val="center"/>
              <w:rPr>
                <w:rFonts w:hint="eastAsia" w:ascii="宋体" w:hAnsi="宋体" w:eastAsia="宋体" w:cs="宋体"/>
                <w:sz w:val="24"/>
                <w:szCs w:val="24"/>
              </w:rPr>
            </w:pPr>
            <w:r>
              <w:rPr>
                <w:rFonts w:ascii="宋体" w:hAnsi="宋体" w:eastAsia="宋体" w:cs="宋体"/>
                <w:spacing w:val="-3"/>
                <w:sz w:val="24"/>
                <w:szCs w:val="24"/>
              </w:rPr>
              <w:t>封</w:t>
            </w:r>
            <w:r>
              <w:rPr>
                <w:rFonts w:ascii="宋体" w:hAnsi="宋体" w:eastAsia="宋体" w:cs="宋体"/>
                <w:spacing w:val="-2"/>
                <w:sz w:val="24"/>
                <w:szCs w:val="24"/>
              </w:rPr>
              <w:t>放</w:t>
            </w:r>
          </w:p>
          <w:p w14:paraId="0632AE62">
            <w:pPr>
              <w:jc w:val="center"/>
              <w:rPr>
                <w:rFonts w:hint="eastAsia" w:ascii="宋体" w:hAnsi="宋体" w:eastAsia="宋体" w:cs="宋体"/>
                <w:sz w:val="24"/>
                <w:szCs w:val="24"/>
              </w:rPr>
            </w:pPr>
            <w:r>
              <w:rPr>
                <w:rFonts w:ascii="宋体" w:hAnsi="宋体" w:eastAsia="宋体" w:cs="宋体"/>
                <w:spacing w:val="-3"/>
                <w:sz w:val="24"/>
                <w:szCs w:val="24"/>
              </w:rPr>
              <w:t>射</w:t>
            </w:r>
            <w:r>
              <w:rPr>
                <w:rFonts w:ascii="宋体" w:hAnsi="宋体" w:eastAsia="宋体" w:cs="宋体"/>
                <w:spacing w:val="-2"/>
                <w:sz w:val="24"/>
                <w:szCs w:val="24"/>
              </w:rPr>
              <w:t>性</w:t>
            </w:r>
          </w:p>
          <w:p w14:paraId="61589F5F">
            <w:pPr>
              <w:jc w:val="center"/>
              <w:rPr>
                <w:rFonts w:hint="eastAsia" w:ascii="宋体" w:hAnsi="宋体" w:eastAsia="宋体" w:cs="宋体"/>
                <w:sz w:val="24"/>
                <w:szCs w:val="24"/>
              </w:rPr>
            </w:pPr>
            <w:r>
              <w:rPr>
                <w:rFonts w:ascii="宋体" w:hAnsi="宋体" w:eastAsia="宋体" w:cs="宋体"/>
                <w:spacing w:val="-3"/>
                <w:sz w:val="24"/>
                <w:szCs w:val="24"/>
              </w:rPr>
              <w:t>物</w:t>
            </w:r>
            <w:r>
              <w:rPr>
                <w:rFonts w:ascii="宋体" w:hAnsi="宋体" w:eastAsia="宋体" w:cs="宋体"/>
                <w:spacing w:val="-2"/>
                <w:sz w:val="24"/>
                <w:szCs w:val="24"/>
              </w:rPr>
              <w:t>质</w:t>
            </w:r>
          </w:p>
        </w:tc>
        <w:tc>
          <w:tcPr>
            <w:tcW w:w="1178" w:type="dxa"/>
            <w:vAlign w:val="center"/>
          </w:tcPr>
          <w:p w14:paraId="1FE6DB14">
            <w:pPr>
              <w:jc w:val="center"/>
              <w:rPr>
                <w:rFonts w:hint="eastAsia" w:ascii="宋体" w:hAnsi="宋体" w:eastAsia="宋体" w:cs="宋体"/>
                <w:sz w:val="24"/>
                <w:szCs w:val="24"/>
              </w:rPr>
            </w:pPr>
            <w:r>
              <w:rPr>
                <w:rFonts w:ascii="Times New Roman" w:hAnsi="Times New Roman" w:eastAsia="Times New Roman" w:cs="Times New Roman"/>
                <w:spacing w:val="-8"/>
                <w:sz w:val="24"/>
                <w:szCs w:val="24"/>
              </w:rPr>
              <w:sym w:font="Wingdings 2" w:char="00A3"/>
            </w:r>
            <w:r>
              <w:rPr>
                <w:rFonts w:ascii="宋体" w:hAnsi="宋体" w:eastAsia="宋体" w:cs="宋体"/>
                <w:spacing w:val="-5"/>
                <w:sz w:val="24"/>
                <w:szCs w:val="24"/>
              </w:rPr>
              <w:t>生产</w:t>
            </w:r>
          </w:p>
        </w:tc>
        <w:tc>
          <w:tcPr>
            <w:tcW w:w="6200" w:type="dxa"/>
            <w:gridSpan w:val="6"/>
            <w:vAlign w:val="center"/>
          </w:tcPr>
          <w:p w14:paraId="766F4064">
            <w:pPr>
              <w:jc w:val="center"/>
              <w:rPr>
                <w:rFonts w:hint="eastAsia" w:ascii="宋体" w:hAnsi="宋体" w:eastAsia="宋体" w:cs="宋体"/>
                <w:sz w:val="24"/>
                <w:szCs w:val="24"/>
              </w:rPr>
            </w:pPr>
            <w:r>
              <w:rPr>
                <w:rFonts w:ascii="Times New Roman" w:hAnsi="Times New Roman" w:eastAsia="Times New Roman" w:cs="Times New Roman"/>
                <w:spacing w:val="-10"/>
                <w:sz w:val="24"/>
                <w:szCs w:val="24"/>
              </w:rPr>
              <w:sym w:font="Wingdings 2" w:char="00A3"/>
            </w:r>
            <w:r>
              <w:rPr>
                <w:rFonts w:ascii="宋体" w:hAnsi="宋体" w:eastAsia="宋体" w:cs="宋体"/>
                <w:spacing w:val="-6"/>
                <w:sz w:val="24"/>
                <w:szCs w:val="24"/>
              </w:rPr>
              <w:t>制</w:t>
            </w:r>
            <w:r>
              <w:rPr>
                <w:rFonts w:ascii="宋体" w:hAnsi="宋体" w:eastAsia="宋体" w:cs="宋体"/>
                <w:spacing w:val="-5"/>
                <w:sz w:val="24"/>
                <w:szCs w:val="24"/>
              </w:rPr>
              <w:t xml:space="preserve">备 </w:t>
            </w:r>
            <w:r>
              <w:rPr>
                <w:rFonts w:ascii="Times New Roman" w:hAnsi="Times New Roman" w:eastAsia="Times New Roman" w:cs="Times New Roman"/>
                <w:spacing w:val="-5"/>
                <w:sz w:val="24"/>
                <w:szCs w:val="24"/>
              </w:rPr>
              <w:t xml:space="preserve">PET </w:t>
            </w:r>
            <w:r>
              <w:rPr>
                <w:rFonts w:ascii="宋体" w:hAnsi="宋体" w:eastAsia="宋体" w:cs="宋体"/>
                <w:spacing w:val="-5"/>
                <w:sz w:val="24"/>
                <w:szCs w:val="24"/>
              </w:rPr>
              <w:t>用放射性药物</w:t>
            </w:r>
          </w:p>
        </w:tc>
      </w:tr>
      <w:tr w14:paraId="66EB0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856" w:type="dxa"/>
            <w:vMerge w:val="continue"/>
            <w:tcBorders>
              <w:top w:val="nil"/>
              <w:bottom w:val="nil"/>
            </w:tcBorders>
            <w:textDirection w:val="tbRlV"/>
            <w:vAlign w:val="center"/>
          </w:tcPr>
          <w:p w14:paraId="7886FF05">
            <w:pPr>
              <w:jc w:val="center"/>
            </w:pPr>
          </w:p>
        </w:tc>
        <w:tc>
          <w:tcPr>
            <w:tcW w:w="928" w:type="dxa"/>
            <w:vMerge w:val="continue"/>
            <w:tcBorders>
              <w:top w:val="nil"/>
              <w:bottom w:val="nil"/>
            </w:tcBorders>
            <w:vAlign w:val="center"/>
          </w:tcPr>
          <w:p w14:paraId="6DF250A9">
            <w:pPr>
              <w:jc w:val="center"/>
            </w:pPr>
          </w:p>
        </w:tc>
        <w:tc>
          <w:tcPr>
            <w:tcW w:w="1178" w:type="dxa"/>
            <w:vAlign w:val="center"/>
          </w:tcPr>
          <w:p w14:paraId="040D4854">
            <w:pPr>
              <w:jc w:val="center"/>
              <w:rPr>
                <w:rFonts w:hint="eastAsia" w:ascii="宋体" w:hAnsi="宋体" w:eastAsia="宋体" w:cs="宋体"/>
                <w:sz w:val="24"/>
                <w:szCs w:val="24"/>
              </w:rPr>
            </w:pPr>
            <w:r>
              <w:rPr>
                <w:rFonts w:ascii="Times New Roman" w:hAnsi="Times New Roman" w:eastAsia="Times New Roman" w:cs="Times New Roman"/>
                <w:spacing w:val="-8"/>
                <w:sz w:val="24"/>
                <w:szCs w:val="24"/>
              </w:rPr>
              <w:sym w:font="Wingdings 2" w:char="00A3"/>
            </w:r>
            <w:r>
              <w:rPr>
                <w:rFonts w:ascii="宋体" w:hAnsi="宋体" w:eastAsia="宋体" w:cs="宋体"/>
                <w:spacing w:val="-5"/>
                <w:sz w:val="24"/>
                <w:szCs w:val="24"/>
              </w:rPr>
              <w:t>销售</w:t>
            </w:r>
          </w:p>
        </w:tc>
        <w:tc>
          <w:tcPr>
            <w:tcW w:w="6200" w:type="dxa"/>
            <w:gridSpan w:val="6"/>
            <w:vAlign w:val="center"/>
          </w:tcPr>
          <w:p w14:paraId="0C9C6568">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5F107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856" w:type="dxa"/>
            <w:vMerge w:val="continue"/>
            <w:tcBorders>
              <w:top w:val="nil"/>
              <w:bottom w:val="nil"/>
            </w:tcBorders>
            <w:textDirection w:val="tbRlV"/>
            <w:vAlign w:val="center"/>
          </w:tcPr>
          <w:p w14:paraId="611F15AC">
            <w:pPr>
              <w:jc w:val="center"/>
            </w:pPr>
          </w:p>
        </w:tc>
        <w:tc>
          <w:tcPr>
            <w:tcW w:w="928" w:type="dxa"/>
            <w:vMerge w:val="continue"/>
            <w:tcBorders>
              <w:top w:val="nil"/>
            </w:tcBorders>
            <w:vAlign w:val="center"/>
          </w:tcPr>
          <w:p w14:paraId="008F4380">
            <w:pPr>
              <w:jc w:val="center"/>
            </w:pPr>
          </w:p>
        </w:tc>
        <w:tc>
          <w:tcPr>
            <w:tcW w:w="1178" w:type="dxa"/>
            <w:vAlign w:val="center"/>
          </w:tcPr>
          <w:p w14:paraId="131D3B14">
            <w:pPr>
              <w:jc w:val="center"/>
              <w:rPr>
                <w:rFonts w:hint="eastAsia" w:ascii="宋体" w:hAnsi="宋体" w:eastAsia="宋体" w:cs="宋体"/>
                <w:sz w:val="24"/>
                <w:szCs w:val="24"/>
              </w:rPr>
            </w:pPr>
            <w:r>
              <w:rPr>
                <w:rFonts w:ascii="Times New Roman" w:hAnsi="Times New Roman" w:eastAsia="Times New Roman" w:cs="Times New Roman"/>
                <w:spacing w:val="-8"/>
                <w:sz w:val="24"/>
                <w:szCs w:val="24"/>
              </w:rPr>
              <w:sym w:font="Wingdings 2" w:char="00A3"/>
            </w:r>
            <w:r>
              <w:rPr>
                <w:rFonts w:ascii="宋体" w:hAnsi="宋体" w:eastAsia="宋体" w:cs="宋体"/>
                <w:spacing w:val="-5"/>
                <w:sz w:val="24"/>
                <w:szCs w:val="24"/>
              </w:rPr>
              <w:t>使用</w:t>
            </w:r>
          </w:p>
        </w:tc>
        <w:tc>
          <w:tcPr>
            <w:tcW w:w="6200" w:type="dxa"/>
            <w:gridSpan w:val="6"/>
            <w:vAlign w:val="center"/>
          </w:tcPr>
          <w:p w14:paraId="63701CDF">
            <w:pPr>
              <w:jc w:val="center"/>
              <w:rPr>
                <w:rFonts w:hint="eastAsia" w:ascii="宋体" w:hAnsi="宋体" w:eastAsia="宋体" w:cs="宋体"/>
                <w:sz w:val="24"/>
                <w:szCs w:val="24"/>
              </w:rPr>
            </w:pPr>
            <w:r>
              <w:rPr>
                <w:rFonts w:ascii="Times New Roman" w:hAnsi="Times New Roman" w:eastAsia="Times New Roman" w:cs="Times New Roman"/>
                <w:spacing w:val="-6"/>
                <w:sz w:val="24"/>
                <w:szCs w:val="24"/>
              </w:rPr>
              <w:sym w:font="Wingdings 2" w:char="00A3"/>
            </w:r>
            <w:r>
              <w:rPr>
                <w:rFonts w:ascii="宋体" w:hAnsi="宋体" w:eastAsia="宋体" w:cs="宋体"/>
                <w:spacing w:val="-4"/>
                <w:sz w:val="24"/>
                <w:szCs w:val="24"/>
              </w:rPr>
              <w:t>乙</w:t>
            </w:r>
            <w:r>
              <w:rPr>
                <w:rFonts w:ascii="宋体" w:hAnsi="宋体" w:eastAsia="宋体" w:cs="宋体"/>
                <w:spacing w:val="-3"/>
                <w:sz w:val="24"/>
                <w:szCs w:val="24"/>
              </w:rPr>
              <w:t xml:space="preserve"> </w:t>
            </w:r>
            <w:r>
              <w:rPr>
                <w:rFonts w:ascii="Times New Roman" w:hAnsi="Times New Roman" w:eastAsia="Times New Roman" w:cs="Times New Roman"/>
                <w:spacing w:val="-3"/>
                <w:sz w:val="24"/>
                <w:szCs w:val="24"/>
              </w:rPr>
              <w:sym w:font="Wingdings 2" w:char="00A3"/>
            </w:r>
            <w:r>
              <w:rPr>
                <w:rFonts w:ascii="宋体" w:hAnsi="宋体" w:eastAsia="宋体" w:cs="宋体"/>
                <w:spacing w:val="-3"/>
                <w:sz w:val="24"/>
                <w:szCs w:val="24"/>
              </w:rPr>
              <w:t>丙</w:t>
            </w:r>
          </w:p>
        </w:tc>
      </w:tr>
      <w:tr w14:paraId="20F08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856" w:type="dxa"/>
            <w:vMerge w:val="continue"/>
            <w:tcBorders>
              <w:top w:val="nil"/>
              <w:bottom w:val="nil"/>
            </w:tcBorders>
            <w:textDirection w:val="tbRlV"/>
            <w:vAlign w:val="center"/>
          </w:tcPr>
          <w:p w14:paraId="1662AA59">
            <w:pPr>
              <w:jc w:val="center"/>
            </w:pPr>
          </w:p>
        </w:tc>
        <w:tc>
          <w:tcPr>
            <w:tcW w:w="928" w:type="dxa"/>
            <w:vMerge w:val="restart"/>
            <w:tcBorders>
              <w:bottom w:val="nil"/>
            </w:tcBorders>
            <w:vAlign w:val="center"/>
          </w:tcPr>
          <w:p w14:paraId="15C1E9E7">
            <w:pPr>
              <w:jc w:val="center"/>
              <w:rPr>
                <w:rFonts w:hint="eastAsia" w:ascii="宋体" w:hAnsi="宋体" w:eastAsia="宋体" w:cs="宋体"/>
                <w:sz w:val="24"/>
                <w:szCs w:val="24"/>
              </w:rPr>
            </w:pPr>
            <w:r>
              <w:rPr>
                <w:rFonts w:ascii="宋体" w:hAnsi="宋体" w:eastAsia="宋体" w:cs="宋体"/>
                <w:spacing w:val="-3"/>
                <w:sz w:val="24"/>
                <w:szCs w:val="24"/>
              </w:rPr>
              <w:t>射</w:t>
            </w:r>
            <w:r>
              <w:rPr>
                <w:rFonts w:ascii="宋体" w:hAnsi="宋体" w:eastAsia="宋体" w:cs="宋体"/>
                <w:spacing w:val="-2"/>
                <w:sz w:val="24"/>
                <w:szCs w:val="24"/>
              </w:rPr>
              <w:t>线</w:t>
            </w:r>
          </w:p>
          <w:p w14:paraId="4B37083A">
            <w:pPr>
              <w:jc w:val="center"/>
              <w:rPr>
                <w:rFonts w:hint="eastAsia" w:ascii="宋体" w:hAnsi="宋体" w:eastAsia="宋体" w:cs="宋体"/>
                <w:sz w:val="24"/>
                <w:szCs w:val="24"/>
              </w:rPr>
            </w:pPr>
            <w:r>
              <w:rPr>
                <w:rFonts w:ascii="宋体" w:hAnsi="宋体" w:eastAsia="宋体" w:cs="宋体"/>
                <w:spacing w:val="-3"/>
                <w:sz w:val="24"/>
                <w:szCs w:val="24"/>
              </w:rPr>
              <w:t>装</w:t>
            </w:r>
            <w:r>
              <w:rPr>
                <w:rFonts w:ascii="宋体" w:hAnsi="宋体" w:eastAsia="宋体" w:cs="宋体"/>
                <w:spacing w:val="-2"/>
                <w:sz w:val="24"/>
                <w:szCs w:val="24"/>
              </w:rPr>
              <w:t>置</w:t>
            </w:r>
          </w:p>
        </w:tc>
        <w:tc>
          <w:tcPr>
            <w:tcW w:w="1178" w:type="dxa"/>
            <w:vAlign w:val="center"/>
          </w:tcPr>
          <w:p w14:paraId="19437396">
            <w:pPr>
              <w:jc w:val="center"/>
              <w:rPr>
                <w:rFonts w:hint="eastAsia" w:ascii="宋体" w:hAnsi="宋体" w:eastAsia="宋体" w:cs="宋体"/>
                <w:sz w:val="24"/>
                <w:szCs w:val="24"/>
              </w:rPr>
            </w:pPr>
            <w:r>
              <w:rPr>
                <w:rFonts w:ascii="Times New Roman" w:hAnsi="Times New Roman" w:eastAsia="Times New Roman" w:cs="Times New Roman"/>
                <w:spacing w:val="-8"/>
                <w:sz w:val="24"/>
                <w:szCs w:val="24"/>
              </w:rPr>
              <w:sym w:font="Wingdings 2" w:char="00A3"/>
            </w:r>
            <w:r>
              <w:rPr>
                <w:rFonts w:ascii="宋体" w:hAnsi="宋体" w:eastAsia="宋体" w:cs="宋体"/>
                <w:spacing w:val="-5"/>
                <w:sz w:val="24"/>
                <w:szCs w:val="24"/>
              </w:rPr>
              <w:t>生产</w:t>
            </w:r>
          </w:p>
        </w:tc>
        <w:tc>
          <w:tcPr>
            <w:tcW w:w="6200" w:type="dxa"/>
            <w:gridSpan w:val="6"/>
            <w:vAlign w:val="center"/>
          </w:tcPr>
          <w:p w14:paraId="4BB60527">
            <w:pPr>
              <w:jc w:val="center"/>
              <w:rPr>
                <w:rFonts w:hint="eastAsia" w:ascii="宋体" w:hAnsi="宋体" w:eastAsia="宋体" w:cs="宋体"/>
                <w:sz w:val="24"/>
                <w:szCs w:val="24"/>
              </w:rPr>
            </w:pPr>
            <w:r>
              <w:rPr>
                <w:rFonts w:ascii="Times New Roman" w:hAnsi="Times New Roman" w:eastAsia="Times New Roman" w:cs="Times New Roman"/>
                <w:spacing w:val="-8"/>
                <w:sz w:val="24"/>
                <w:szCs w:val="24"/>
              </w:rPr>
              <w:sym w:font="Wingdings 2" w:char="00A3"/>
            </w:r>
            <w:r>
              <w:rPr>
                <w:rFonts w:ascii="Times New Roman" w:hAnsi="Times New Roman" w:eastAsia="Times New Roman" w:cs="Times New Roman"/>
                <w:spacing w:val="-4"/>
                <w:sz w:val="24"/>
                <w:szCs w:val="24"/>
              </w:rPr>
              <w:t>Ⅱ</w:t>
            </w:r>
            <w:r>
              <w:rPr>
                <w:rFonts w:ascii="宋体" w:hAnsi="宋体" w:eastAsia="宋体" w:cs="宋体"/>
                <w:spacing w:val="-2"/>
                <w:sz w:val="24"/>
                <w:szCs w:val="24"/>
              </w:rPr>
              <w:t xml:space="preserve">类 </w:t>
            </w:r>
            <w:r>
              <w:rPr>
                <w:rFonts w:ascii="Times New Roman" w:hAnsi="Times New Roman" w:eastAsia="Times New Roman" w:cs="Times New Roman"/>
                <w:spacing w:val="-8"/>
                <w:sz w:val="24"/>
                <w:szCs w:val="24"/>
              </w:rPr>
              <w:sym w:font="Wingdings 2" w:char="00A3"/>
            </w:r>
            <w:r>
              <w:rPr>
                <w:rFonts w:ascii="Times New Roman" w:hAnsi="Times New Roman" w:eastAsia="Times New Roman" w:cs="Times New Roman"/>
                <w:spacing w:val="-2"/>
                <w:sz w:val="24"/>
                <w:szCs w:val="24"/>
              </w:rPr>
              <w:t>Ⅲ</w:t>
            </w:r>
            <w:r>
              <w:rPr>
                <w:rFonts w:ascii="宋体" w:hAnsi="宋体" w:eastAsia="宋体" w:cs="宋体"/>
                <w:spacing w:val="-2"/>
                <w:sz w:val="24"/>
                <w:szCs w:val="24"/>
              </w:rPr>
              <w:t>类</w:t>
            </w:r>
          </w:p>
        </w:tc>
      </w:tr>
      <w:tr w14:paraId="25FB9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856" w:type="dxa"/>
            <w:vMerge w:val="continue"/>
            <w:tcBorders>
              <w:top w:val="nil"/>
              <w:bottom w:val="nil"/>
            </w:tcBorders>
            <w:textDirection w:val="tbRlV"/>
            <w:vAlign w:val="center"/>
          </w:tcPr>
          <w:p w14:paraId="45FE53FA">
            <w:pPr>
              <w:jc w:val="center"/>
            </w:pPr>
          </w:p>
        </w:tc>
        <w:tc>
          <w:tcPr>
            <w:tcW w:w="928" w:type="dxa"/>
            <w:vMerge w:val="continue"/>
            <w:tcBorders>
              <w:top w:val="nil"/>
              <w:bottom w:val="nil"/>
            </w:tcBorders>
            <w:vAlign w:val="center"/>
          </w:tcPr>
          <w:p w14:paraId="48E8703E">
            <w:pPr>
              <w:jc w:val="center"/>
            </w:pPr>
          </w:p>
        </w:tc>
        <w:tc>
          <w:tcPr>
            <w:tcW w:w="1178" w:type="dxa"/>
            <w:vAlign w:val="center"/>
          </w:tcPr>
          <w:p w14:paraId="1826CCDF">
            <w:pPr>
              <w:jc w:val="center"/>
              <w:rPr>
                <w:rFonts w:hint="eastAsia" w:ascii="宋体" w:hAnsi="宋体" w:eastAsia="宋体" w:cs="宋体"/>
                <w:sz w:val="24"/>
                <w:szCs w:val="24"/>
              </w:rPr>
            </w:pPr>
            <w:r>
              <w:rPr>
                <w:rFonts w:ascii="Times New Roman" w:hAnsi="Times New Roman" w:eastAsia="Times New Roman" w:cs="Times New Roman"/>
                <w:spacing w:val="-8"/>
                <w:sz w:val="24"/>
                <w:szCs w:val="24"/>
              </w:rPr>
              <w:sym w:font="Wingdings 2" w:char="00A3"/>
            </w:r>
            <w:r>
              <w:rPr>
                <w:rFonts w:ascii="宋体" w:hAnsi="宋体" w:eastAsia="宋体" w:cs="宋体"/>
                <w:spacing w:val="-5"/>
                <w:sz w:val="24"/>
                <w:szCs w:val="24"/>
              </w:rPr>
              <w:t>销售</w:t>
            </w:r>
          </w:p>
        </w:tc>
        <w:tc>
          <w:tcPr>
            <w:tcW w:w="6200" w:type="dxa"/>
            <w:gridSpan w:val="6"/>
            <w:vAlign w:val="center"/>
          </w:tcPr>
          <w:p w14:paraId="238E5264">
            <w:pPr>
              <w:jc w:val="center"/>
              <w:rPr>
                <w:rFonts w:hint="eastAsia" w:ascii="宋体" w:hAnsi="宋体" w:eastAsia="宋体" w:cs="宋体"/>
                <w:sz w:val="24"/>
                <w:szCs w:val="24"/>
              </w:rPr>
            </w:pPr>
            <w:r>
              <w:rPr>
                <w:rFonts w:ascii="Times New Roman" w:hAnsi="Times New Roman" w:eastAsia="Times New Roman" w:cs="Times New Roman"/>
                <w:spacing w:val="-8"/>
                <w:sz w:val="24"/>
                <w:szCs w:val="24"/>
              </w:rPr>
              <w:sym w:font="Wingdings 2" w:char="00A3"/>
            </w:r>
            <w:r>
              <w:rPr>
                <w:rFonts w:ascii="Times New Roman" w:hAnsi="Times New Roman" w:eastAsia="Times New Roman" w:cs="Times New Roman"/>
                <w:spacing w:val="-4"/>
                <w:sz w:val="24"/>
                <w:szCs w:val="24"/>
              </w:rPr>
              <w:t>Ⅱ</w:t>
            </w:r>
            <w:r>
              <w:rPr>
                <w:rFonts w:ascii="宋体" w:hAnsi="宋体" w:eastAsia="宋体" w:cs="宋体"/>
                <w:spacing w:val="-2"/>
                <w:sz w:val="24"/>
                <w:szCs w:val="24"/>
              </w:rPr>
              <w:t xml:space="preserve">类 </w:t>
            </w:r>
            <w:r>
              <w:rPr>
                <w:rFonts w:ascii="Times New Roman" w:hAnsi="Times New Roman" w:eastAsia="Times New Roman" w:cs="Times New Roman"/>
                <w:spacing w:val="-8"/>
                <w:sz w:val="24"/>
                <w:szCs w:val="24"/>
              </w:rPr>
              <w:sym w:font="Wingdings 2" w:char="00A3"/>
            </w:r>
            <w:r>
              <w:rPr>
                <w:rFonts w:ascii="Times New Roman" w:hAnsi="Times New Roman" w:eastAsia="Times New Roman" w:cs="Times New Roman"/>
                <w:spacing w:val="-2"/>
                <w:sz w:val="24"/>
                <w:szCs w:val="24"/>
              </w:rPr>
              <w:t>Ⅲ</w:t>
            </w:r>
            <w:r>
              <w:rPr>
                <w:rFonts w:ascii="宋体" w:hAnsi="宋体" w:eastAsia="宋体" w:cs="宋体"/>
                <w:spacing w:val="-2"/>
                <w:sz w:val="24"/>
                <w:szCs w:val="24"/>
              </w:rPr>
              <w:t>类</w:t>
            </w:r>
          </w:p>
        </w:tc>
      </w:tr>
      <w:tr w14:paraId="1208B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856" w:type="dxa"/>
            <w:vMerge w:val="continue"/>
            <w:tcBorders>
              <w:top w:val="nil"/>
              <w:bottom w:val="nil"/>
            </w:tcBorders>
            <w:textDirection w:val="tbRlV"/>
            <w:vAlign w:val="center"/>
          </w:tcPr>
          <w:p w14:paraId="3FAFB524">
            <w:pPr>
              <w:jc w:val="center"/>
            </w:pPr>
          </w:p>
        </w:tc>
        <w:tc>
          <w:tcPr>
            <w:tcW w:w="928" w:type="dxa"/>
            <w:vMerge w:val="continue"/>
            <w:tcBorders>
              <w:top w:val="nil"/>
            </w:tcBorders>
            <w:vAlign w:val="center"/>
          </w:tcPr>
          <w:p w14:paraId="52C4F8B9">
            <w:pPr>
              <w:jc w:val="center"/>
            </w:pPr>
          </w:p>
        </w:tc>
        <w:tc>
          <w:tcPr>
            <w:tcW w:w="1178" w:type="dxa"/>
            <w:vAlign w:val="center"/>
          </w:tcPr>
          <w:p w14:paraId="6986B875">
            <w:pPr>
              <w:jc w:val="center"/>
              <w:rPr>
                <w:rFonts w:hint="eastAsia" w:ascii="宋体" w:hAnsi="宋体" w:eastAsia="宋体" w:cs="宋体"/>
                <w:sz w:val="24"/>
                <w:szCs w:val="24"/>
              </w:rPr>
            </w:pPr>
            <w:r>
              <w:rPr>
                <w:rFonts w:ascii="Times New Roman" w:hAnsi="Times New Roman" w:eastAsia="Times New Roman" w:cs="Times New Roman"/>
                <w:spacing w:val="-4"/>
                <w:sz w:val="24"/>
                <w:szCs w:val="24"/>
              </w:rPr>
              <w:sym w:font="Wingdings 2" w:char="0052"/>
            </w:r>
            <w:r>
              <w:rPr>
                <w:rFonts w:ascii="宋体" w:hAnsi="宋体" w:eastAsia="宋体" w:cs="宋体"/>
                <w:spacing w:val="-15"/>
                <w:sz w:val="24"/>
                <w:szCs w:val="24"/>
              </w:rPr>
              <w:t>使用</w:t>
            </w:r>
          </w:p>
        </w:tc>
        <w:tc>
          <w:tcPr>
            <w:tcW w:w="6200" w:type="dxa"/>
            <w:gridSpan w:val="6"/>
            <w:vAlign w:val="center"/>
          </w:tcPr>
          <w:p w14:paraId="705F45E1">
            <w:pPr>
              <w:jc w:val="center"/>
              <w:rPr>
                <w:rFonts w:hint="eastAsia" w:ascii="宋体" w:hAnsi="宋体" w:eastAsia="宋体" w:cs="宋体"/>
                <w:sz w:val="24"/>
                <w:szCs w:val="24"/>
              </w:rPr>
            </w:pPr>
            <w:r>
              <w:rPr>
                <w:rFonts w:ascii="Times New Roman" w:hAnsi="Times New Roman" w:eastAsia="Times New Roman" w:cs="Times New Roman"/>
                <w:spacing w:val="-4"/>
                <w:sz w:val="24"/>
                <w:szCs w:val="24"/>
              </w:rPr>
              <w:sym w:font="Wingdings 2" w:char="0052"/>
            </w:r>
            <w:r>
              <w:rPr>
                <w:rFonts w:ascii="Times New Roman" w:hAnsi="Times New Roman" w:eastAsia="Times New Roman" w:cs="Times New Roman"/>
                <w:spacing w:val="-6"/>
                <w:sz w:val="24"/>
                <w:szCs w:val="24"/>
              </w:rPr>
              <w:t>Ⅱ</w:t>
            </w:r>
            <w:r>
              <w:rPr>
                <w:rFonts w:ascii="宋体" w:hAnsi="宋体" w:eastAsia="宋体" w:cs="宋体"/>
                <w:spacing w:val="-6"/>
                <w:sz w:val="24"/>
                <w:szCs w:val="24"/>
              </w:rPr>
              <w:t xml:space="preserve">类 </w:t>
            </w:r>
            <w:r>
              <w:rPr>
                <w:rFonts w:ascii="Times New Roman" w:hAnsi="Times New Roman" w:eastAsia="Times New Roman" w:cs="Times New Roman"/>
                <w:spacing w:val="-8"/>
                <w:sz w:val="24"/>
                <w:szCs w:val="24"/>
              </w:rPr>
              <w:sym w:font="Wingdings 2" w:char="00A3"/>
            </w:r>
            <w:r>
              <w:rPr>
                <w:rFonts w:ascii="Times New Roman" w:hAnsi="Times New Roman" w:eastAsia="Times New Roman" w:cs="Times New Roman"/>
                <w:spacing w:val="-6"/>
                <w:sz w:val="24"/>
                <w:szCs w:val="24"/>
              </w:rPr>
              <w:t>Ⅲ</w:t>
            </w:r>
            <w:r>
              <w:rPr>
                <w:rFonts w:ascii="宋体" w:hAnsi="宋体" w:eastAsia="宋体" w:cs="宋体"/>
                <w:spacing w:val="-6"/>
                <w:sz w:val="24"/>
                <w:szCs w:val="24"/>
              </w:rPr>
              <w:t>类</w:t>
            </w:r>
          </w:p>
        </w:tc>
      </w:tr>
      <w:tr w14:paraId="61B79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856" w:type="dxa"/>
            <w:vMerge w:val="continue"/>
            <w:tcBorders>
              <w:top w:val="nil"/>
            </w:tcBorders>
            <w:textDirection w:val="tbRlV"/>
            <w:vAlign w:val="center"/>
          </w:tcPr>
          <w:p w14:paraId="74B00720">
            <w:pPr>
              <w:jc w:val="center"/>
            </w:pPr>
          </w:p>
        </w:tc>
        <w:tc>
          <w:tcPr>
            <w:tcW w:w="928" w:type="dxa"/>
            <w:vAlign w:val="center"/>
          </w:tcPr>
          <w:p w14:paraId="200E5E8C">
            <w:pPr>
              <w:jc w:val="center"/>
              <w:rPr>
                <w:rFonts w:hint="eastAsia" w:ascii="宋体" w:hAnsi="宋体" w:eastAsia="宋体" w:cs="宋体"/>
                <w:sz w:val="24"/>
                <w:szCs w:val="24"/>
              </w:rPr>
            </w:pPr>
            <w:r>
              <w:rPr>
                <w:rFonts w:ascii="宋体" w:hAnsi="宋体" w:eastAsia="宋体" w:cs="宋体"/>
                <w:spacing w:val="-4"/>
                <w:sz w:val="24"/>
                <w:szCs w:val="24"/>
              </w:rPr>
              <w:t>其</w:t>
            </w:r>
            <w:r>
              <w:rPr>
                <w:rFonts w:ascii="宋体" w:hAnsi="宋体" w:eastAsia="宋体" w:cs="宋体"/>
                <w:spacing w:val="-2"/>
                <w:sz w:val="24"/>
                <w:szCs w:val="24"/>
              </w:rPr>
              <w:t>他</w:t>
            </w:r>
          </w:p>
        </w:tc>
        <w:tc>
          <w:tcPr>
            <w:tcW w:w="7378" w:type="dxa"/>
            <w:gridSpan w:val="7"/>
            <w:vAlign w:val="center"/>
          </w:tcPr>
          <w:p w14:paraId="624DE78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50E89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19" w:hRule="atLeast"/>
        </w:trPr>
        <w:tc>
          <w:tcPr>
            <w:tcW w:w="9162" w:type="dxa"/>
            <w:gridSpan w:val="9"/>
          </w:tcPr>
          <w:p w14:paraId="5B47A668">
            <w:pPr>
              <w:pStyle w:val="3"/>
              <w:numPr>
                <w:ilvl w:val="0"/>
                <w:numId w:val="1"/>
              </w:numPr>
            </w:pPr>
            <w:r>
              <w:t>项目概述</w:t>
            </w:r>
          </w:p>
          <w:p w14:paraId="66C7C530">
            <w:pPr>
              <w:pStyle w:val="4"/>
              <w:numPr>
                <w:ilvl w:val="1"/>
                <w:numId w:val="1"/>
              </w:numPr>
            </w:pPr>
            <w:r>
              <w:t>建设单位基本情况</w:t>
            </w:r>
          </w:p>
          <w:p w14:paraId="18E4A160">
            <w:pPr>
              <w:pStyle w:val="2"/>
              <w:ind w:firstLine="480"/>
              <w:rPr>
                <w:color w:val="auto"/>
              </w:rPr>
            </w:pPr>
            <w:r>
              <w:rPr>
                <w:rFonts w:hint="eastAsia"/>
              </w:rPr>
              <w:t>江阴市胜辉管道科技有限公司</w:t>
            </w:r>
            <w:r>
              <w:t>注册地址位于</w:t>
            </w:r>
            <w:r>
              <w:rPr>
                <w:rFonts w:hint="eastAsia"/>
              </w:rPr>
              <w:t>江苏省江阴市利港街道贵宾路60号，租用江苏长靖投资有限公司1号厂房8000平方米（租赁合同见</w:t>
            </w:r>
            <w:r>
              <w:rPr>
                <w:rFonts w:hint="eastAsia"/>
                <w:color w:val="auto"/>
              </w:rPr>
              <w:t>附件6</w:t>
            </w:r>
            <w:r>
              <w:rPr>
                <w:rFonts w:hint="eastAsia"/>
              </w:rPr>
              <w:t>），购置开卷机、三辊送料机、五辊矫平机等设备共计15台套，项目投产后，年产10万吨旋卷式耐压金属壳体。该产品可</w:t>
            </w:r>
            <w:r>
              <w:rPr>
                <w:rFonts w:hint="eastAsia"/>
                <w:color w:val="auto"/>
              </w:rPr>
              <w:t>广泛应用于石油化工、电力通讯、水利环境、建筑地勘、消防等多个领域。</w:t>
            </w:r>
          </w:p>
          <w:p w14:paraId="160F98AC">
            <w:pPr>
              <w:pStyle w:val="4"/>
              <w:numPr>
                <w:ilvl w:val="1"/>
                <w:numId w:val="1"/>
              </w:numPr>
            </w:pPr>
            <w:r>
              <w:t>项目规模及任务由来</w:t>
            </w:r>
          </w:p>
          <w:p w14:paraId="6E487D26">
            <w:pPr>
              <w:pStyle w:val="2"/>
              <w:ind w:firstLine="480"/>
            </w:pPr>
            <w:r>
              <w:rPr>
                <w:rFonts w:hint="eastAsia"/>
              </w:rPr>
              <w:t>根据生产、检测需要，江阴市胜辉管道科技有限公司拟于公司焊管螺旋车间内南侧新建1座固定式 X 射线探伤室，内置1台 X 射线实时成像检测装置，用于开展公司生产的金属壳体的无损检测。本项目X射线实时成像检测装置的型号为</w:t>
            </w:r>
            <w:r>
              <w:t>XYD-320型</w:t>
            </w:r>
            <w:r>
              <w:rPr>
                <w:rFonts w:hint="eastAsia"/>
              </w:rPr>
              <w:t>（非自屏蔽），其最大管电压为320kV，最大管电流为5.6mA，操作台位于装置西侧。</w:t>
            </w:r>
          </w:p>
          <w:p w14:paraId="0C42877F">
            <w:pPr>
              <w:pStyle w:val="2"/>
              <w:ind w:firstLine="480"/>
              <w:rPr>
                <w:color w:val="auto"/>
              </w:rPr>
            </w:pPr>
            <w:r>
              <w:rPr>
                <w:rFonts w:hint="eastAsia"/>
                <w:color w:val="auto"/>
              </w:rPr>
              <w:t>江阴市胜辉管道科技有限公司拟为本项目配备2名辐射工作人员，工作机制为一班制，周开机曝光时间约为10小时，年开机曝光时间约为500小时。</w:t>
            </w:r>
          </w:p>
          <w:p w14:paraId="1254F17C">
            <w:pPr>
              <w:pStyle w:val="2"/>
              <w:ind w:firstLine="480"/>
              <w:rPr>
                <w:color w:val="auto"/>
              </w:rPr>
            </w:pPr>
            <w:r>
              <w:rPr>
                <w:rFonts w:hint="eastAsia"/>
                <w:color w:val="auto"/>
              </w:rPr>
              <w:t xml:space="preserve">本次仅对新建 </w:t>
            </w:r>
            <w:r>
              <w:rPr>
                <w:color w:val="auto"/>
              </w:rPr>
              <w:t>X 射线实时成像检测装置</w:t>
            </w:r>
            <w:r>
              <w:rPr>
                <w:rFonts w:hint="eastAsia"/>
                <w:color w:val="auto"/>
              </w:rPr>
              <w:t>进行环境影响评价，其余部分另行评价。</w:t>
            </w:r>
          </w:p>
          <w:p w14:paraId="4F88E58D">
            <w:pPr>
              <w:pStyle w:val="2"/>
              <w:ind w:firstLine="480"/>
            </w:pPr>
            <w:r>
              <w:rPr>
                <w:rFonts w:hint="eastAsia"/>
              </w:rPr>
              <w:t>本次评价核技术应用项目情况一览表见下表 1-1：</w:t>
            </w:r>
          </w:p>
          <w:p w14:paraId="51DB40E4">
            <w:pPr>
              <w:pStyle w:val="21"/>
            </w:pPr>
            <w:r>
              <w:rPr>
                <w:rFonts w:hint="eastAsia"/>
              </w:rPr>
              <w:t>表 1- 1  江阴胜辉管道科技有限公司本次评价核技术应用情况一览表</w:t>
            </w:r>
          </w:p>
          <w:tbl>
            <w:tblPr>
              <w:tblStyle w:val="13"/>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1134"/>
              <w:gridCol w:w="1134"/>
              <w:gridCol w:w="1134"/>
              <w:gridCol w:w="850"/>
              <w:gridCol w:w="1275"/>
              <w:gridCol w:w="851"/>
              <w:gridCol w:w="794"/>
            </w:tblGrid>
            <w:tr w14:paraId="259E35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63554F88">
                  <w:pPr>
                    <w:pStyle w:val="24"/>
                    <w:widowControl w:val="0"/>
                    <w:rPr>
                      <w:b/>
                      <w:bCs w:val="0"/>
                    </w:rPr>
                  </w:pPr>
                  <w:r>
                    <w:rPr>
                      <w:rFonts w:hint="eastAsia"/>
                      <w:b/>
                      <w:bCs w:val="0"/>
                    </w:rPr>
                    <w:t>射线装置</w:t>
                  </w:r>
                </w:p>
                <w:p w14:paraId="5AD8F30A">
                  <w:pPr>
                    <w:pStyle w:val="24"/>
                    <w:widowControl w:val="0"/>
                    <w:rPr>
                      <w:rFonts w:eastAsiaTheme="minorEastAsia"/>
                      <w:b/>
                      <w:bCs w:val="0"/>
                    </w:rPr>
                  </w:pPr>
                  <w:r>
                    <w:rPr>
                      <w:rFonts w:hint="eastAsia"/>
                      <w:b/>
                      <w:bCs w:val="0"/>
                    </w:rPr>
                    <w:t>名称型号</w:t>
                  </w:r>
                </w:p>
              </w:tc>
              <w:tc>
                <w:tcPr>
                  <w:tcW w:w="1134" w:type="dxa"/>
                  <w:tcBorders>
                    <w:tl2br w:val="nil"/>
                    <w:tr2bl w:val="nil"/>
                  </w:tcBorders>
                  <w:vAlign w:val="center"/>
                </w:tcPr>
                <w:p w14:paraId="4FF0B048">
                  <w:pPr>
                    <w:pStyle w:val="24"/>
                    <w:widowControl w:val="0"/>
                    <w:rPr>
                      <w:rFonts w:eastAsiaTheme="minorEastAsia"/>
                      <w:b/>
                      <w:bCs w:val="0"/>
                    </w:rPr>
                  </w:pPr>
                  <w:r>
                    <w:rPr>
                      <w:rFonts w:hint="eastAsia"/>
                      <w:b/>
                      <w:bCs w:val="0"/>
                    </w:rPr>
                    <w:t>数量</w:t>
                  </w:r>
                </w:p>
              </w:tc>
              <w:tc>
                <w:tcPr>
                  <w:tcW w:w="1134" w:type="dxa"/>
                  <w:tcBorders>
                    <w:tl2br w:val="nil"/>
                    <w:tr2bl w:val="nil"/>
                  </w:tcBorders>
                  <w:vAlign w:val="center"/>
                </w:tcPr>
                <w:p w14:paraId="5FA79857">
                  <w:pPr>
                    <w:pStyle w:val="24"/>
                    <w:widowControl w:val="0"/>
                    <w:rPr>
                      <w:rFonts w:eastAsiaTheme="minorEastAsia"/>
                      <w:b/>
                      <w:bCs w:val="0"/>
                    </w:rPr>
                  </w:pPr>
                  <w:r>
                    <w:rPr>
                      <w:rFonts w:hint="eastAsia"/>
                      <w:b/>
                      <w:bCs w:val="0"/>
                    </w:rPr>
                    <w:t>管电压</w:t>
                  </w:r>
                </w:p>
              </w:tc>
              <w:tc>
                <w:tcPr>
                  <w:tcW w:w="1134" w:type="dxa"/>
                  <w:tcBorders>
                    <w:tl2br w:val="nil"/>
                    <w:tr2bl w:val="nil"/>
                  </w:tcBorders>
                  <w:vAlign w:val="center"/>
                </w:tcPr>
                <w:p w14:paraId="3B8C27CF">
                  <w:pPr>
                    <w:pStyle w:val="24"/>
                    <w:widowControl w:val="0"/>
                    <w:rPr>
                      <w:rFonts w:eastAsiaTheme="minorEastAsia"/>
                      <w:b/>
                      <w:bCs w:val="0"/>
                    </w:rPr>
                  </w:pPr>
                  <w:r>
                    <w:rPr>
                      <w:rFonts w:hint="eastAsia"/>
                      <w:b/>
                      <w:bCs w:val="0"/>
                    </w:rPr>
                    <w:t>管电流</w:t>
                  </w:r>
                </w:p>
              </w:tc>
              <w:tc>
                <w:tcPr>
                  <w:tcW w:w="850" w:type="dxa"/>
                  <w:tcBorders>
                    <w:tl2br w:val="nil"/>
                    <w:tr2bl w:val="nil"/>
                  </w:tcBorders>
                  <w:vAlign w:val="center"/>
                </w:tcPr>
                <w:p w14:paraId="0AE000C0">
                  <w:pPr>
                    <w:pStyle w:val="24"/>
                    <w:widowControl w:val="0"/>
                    <w:rPr>
                      <w:rFonts w:eastAsiaTheme="minorEastAsia"/>
                      <w:b/>
                      <w:bCs w:val="0"/>
                    </w:rPr>
                  </w:pPr>
                  <w:r>
                    <w:rPr>
                      <w:rFonts w:hint="eastAsia"/>
                      <w:b/>
                      <w:bCs w:val="0"/>
                    </w:rPr>
                    <w:t>射线装置类别</w:t>
                  </w:r>
                </w:p>
              </w:tc>
              <w:tc>
                <w:tcPr>
                  <w:tcW w:w="1275" w:type="dxa"/>
                  <w:tcBorders>
                    <w:tl2br w:val="nil"/>
                    <w:tr2bl w:val="nil"/>
                  </w:tcBorders>
                  <w:vAlign w:val="center"/>
                </w:tcPr>
                <w:p w14:paraId="4E898357">
                  <w:pPr>
                    <w:pStyle w:val="24"/>
                    <w:widowControl w:val="0"/>
                    <w:rPr>
                      <w:rFonts w:eastAsiaTheme="minorEastAsia"/>
                      <w:b/>
                      <w:bCs w:val="0"/>
                    </w:rPr>
                  </w:pPr>
                  <w:r>
                    <w:rPr>
                      <w:b/>
                      <w:bCs w:val="0"/>
                      <w:spacing w:val="-3"/>
                      <w:szCs w:val="24"/>
                    </w:rPr>
                    <w:t>用途</w:t>
                  </w:r>
                </w:p>
              </w:tc>
              <w:tc>
                <w:tcPr>
                  <w:tcW w:w="851" w:type="dxa"/>
                  <w:tcBorders>
                    <w:tl2br w:val="nil"/>
                    <w:tr2bl w:val="nil"/>
                  </w:tcBorders>
                  <w:vAlign w:val="center"/>
                </w:tcPr>
                <w:p w14:paraId="0C808649">
                  <w:pPr>
                    <w:pStyle w:val="24"/>
                    <w:widowControl w:val="0"/>
                    <w:rPr>
                      <w:rFonts w:eastAsiaTheme="minorEastAsia"/>
                      <w:b/>
                      <w:bCs w:val="0"/>
                    </w:rPr>
                  </w:pPr>
                  <w:r>
                    <w:rPr>
                      <w:rFonts w:hint="eastAsia"/>
                      <w:b/>
                      <w:bCs w:val="0"/>
                    </w:rPr>
                    <w:t>许可情况</w:t>
                  </w:r>
                </w:p>
              </w:tc>
              <w:tc>
                <w:tcPr>
                  <w:tcW w:w="794" w:type="dxa"/>
                  <w:tcBorders>
                    <w:tl2br w:val="nil"/>
                    <w:tr2bl w:val="nil"/>
                  </w:tcBorders>
                  <w:vAlign w:val="center"/>
                </w:tcPr>
                <w:p w14:paraId="39AC64A7">
                  <w:pPr>
                    <w:pStyle w:val="24"/>
                    <w:widowControl w:val="0"/>
                    <w:rPr>
                      <w:rFonts w:eastAsiaTheme="minorEastAsia"/>
                      <w:b/>
                      <w:bCs w:val="0"/>
                    </w:rPr>
                  </w:pPr>
                  <w:r>
                    <w:rPr>
                      <w:rFonts w:hint="eastAsia"/>
                      <w:b/>
                      <w:bCs w:val="0"/>
                    </w:rPr>
                    <w:t>备注</w:t>
                  </w:r>
                </w:p>
              </w:tc>
            </w:tr>
            <w:tr w14:paraId="2F7F8BF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41682FDD">
                  <w:pPr>
                    <w:pStyle w:val="24"/>
                    <w:widowControl w:val="0"/>
                    <w:rPr>
                      <w:rFonts w:eastAsiaTheme="minorEastAsia"/>
                    </w:rPr>
                  </w:pPr>
                  <w:r>
                    <w:rPr>
                      <w:rFonts w:hint="eastAsia"/>
                    </w:rPr>
                    <w:t>XYD-320型X射线实时成像检测装置</w:t>
                  </w:r>
                </w:p>
              </w:tc>
              <w:tc>
                <w:tcPr>
                  <w:tcW w:w="1134" w:type="dxa"/>
                  <w:tcBorders>
                    <w:tl2br w:val="nil"/>
                    <w:tr2bl w:val="nil"/>
                  </w:tcBorders>
                  <w:vAlign w:val="center"/>
                </w:tcPr>
                <w:p w14:paraId="55011012">
                  <w:pPr>
                    <w:pStyle w:val="24"/>
                    <w:widowControl w:val="0"/>
                    <w:rPr>
                      <w:rFonts w:eastAsiaTheme="minorEastAsia"/>
                    </w:rPr>
                  </w:pPr>
                  <w:r>
                    <w:rPr>
                      <w:rFonts w:hint="eastAsia"/>
                    </w:rPr>
                    <w:t>1台</w:t>
                  </w:r>
                </w:p>
              </w:tc>
              <w:tc>
                <w:tcPr>
                  <w:tcW w:w="1134" w:type="dxa"/>
                  <w:tcBorders>
                    <w:tl2br w:val="nil"/>
                    <w:tr2bl w:val="nil"/>
                  </w:tcBorders>
                  <w:vAlign w:val="center"/>
                </w:tcPr>
                <w:p w14:paraId="24D253C3">
                  <w:pPr>
                    <w:pStyle w:val="24"/>
                    <w:widowControl w:val="0"/>
                    <w:rPr>
                      <w:rFonts w:eastAsiaTheme="minorEastAsia"/>
                    </w:rPr>
                  </w:pPr>
                  <w:r>
                    <w:rPr>
                      <w:rFonts w:hint="eastAsia"/>
                    </w:rPr>
                    <w:t>320kV</w:t>
                  </w:r>
                </w:p>
              </w:tc>
              <w:tc>
                <w:tcPr>
                  <w:tcW w:w="1134" w:type="dxa"/>
                  <w:tcBorders>
                    <w:tl2br w:val="nil"/>
                    <w:tr2bl w:val="nil"/>
                  </w:tcBorders>
                  <w:vAlign w:val="center"/>
                </w:tcPr>
                <w:p w14:paraId="33E435C9">
                  <w:pPr>
                    <w:pStyle w:val="24"/>
                    <w:widowControl w:val="0"/>
                    <w:rPr>
                      <w:rFonts w:eastAsiaTheme="minorEastAsia"/>
                    </w:rPr>
                  </w:pPr>
                  <w:r>
                    <w:rPr>
                      <w:rFonts w:hint="eastAsia"/>
                    </w:rPr>
                    <w:t>5.6mA</w:t>
                  </w:r>
                </w:p>
              </w:tc>
              <w:tc>
                <w:tcPr>
                  <w:tcW w:w="850" w:type="dxa"/>
                  <w:tcBorders>
                    <w:tl2br w:val="nil"/>
                    <w:tr2bl w:val="nil"/>
                  </w:tcBorders>
                  <w:vAlign w:val="center"/>
                </w:tcPr>
                <w:p w14:paraId="54F0209B">
                  <w:pPr>
                    <w:pStyle w:val="24"/>
                    <w:widowControl w:val="0"/>
                    <w:rPr>
                      <w:rFonts w:eastAsiaTheme="minorEastAsia"/>
                    </w:rPr>
                  </w:pPr>
                  <w:r>
                    <w:t>Ⅱ</w:t>
                  </w:r>
                  <w:r>
                    <w:rPr>
                      <w:rFonts w:hint="eastAsia"/>
                    </w:rPr>
                    <w:t>类</w:t>
                  </w:r>
                </w:p>
              </w:tc>
              <w:tc>
                <w:tcPr>
                  <w:tcW w:w="1275" w:type="dxa"/>
                  <w:tcBorders>
                    <w:tl2br w:val="nil"/>
                    <w:tr2bl w:val="nil"/>
                  </w:tcBorders>
                  <w:vAlign w:val="center"/>
                </w:tcPr>
                <w:p w14:paraId="1B1FCA2E">
                  <w:pPr>
                    <w:pStyle w:val="24"/>
                    <w:widowControl w:val="0"/>
                    <w:rPr>
                      <w:rFonts w:eastAsiaTheme="minorEastAsia"/>
                    </w:rPr>
                  </w:pPr>
                  <w:r>
                    <w:rPr>
                      <w:rFonts w:hint="eastAsia"/>
                      <w:spacing w:val="-4"/>
                      <w:szCs w:val="24"/>
                    </w:rPr>
                    <w:t>工业探伤</w:t>
                  </w:r>
                </w:p>
              </w:tc>
              <w:tc>
                <w:tcPr>
                  <w:tcW w:w="851" w:type="dxa"/>
                  <w:tcBorders>
                    <w:tl2br w:val="nil"/>
                    <w:tr2bl w:val="nil"/>
                  </w:tcBorders>
                  <w:vAlign w:val="center"/>
                </w:tcPr>
                <w:p w14:paraId="2D9C0175">
                  <w:pPr>
                    <w:pStyle w:val="24"/>
                    <w:widowControl w:val="0"/>
                    <w:rPr>
                      <w:rFonts w:eastAsiaTheme="minorEastAsia"/>
                    </w:rPr>
                  </w:pPr>
                  <w:r>
                    <w:rPr>
                      <w:rFonts w:hint="eastAsia"/>
                    </w:rPr>
                    <w:t>未许可</w:t>
                  </w:r>
                </w:p>
              </w:tc>
              <w:tc>
                <w:tcPr>
                  <w:tcW w:w="794" w:type="dxa"/>
                  <w:tcBorders>
                    <w:tl2br w:val="nil"/>
                    <w:tr2bl w:val="nil"/>
                  </w:tcBorders>
                  <w:vAlign w:val="center"/>
                </w:tcPr>
                <w:p w14:paraId="54F0A890">
                  <w:pPr>
                    <w:pStyle w:val="24"/>
                    <w:widowControl w:val="0"/>
                    <w:rPr>
                      <w:rFonts w:eastAsiaTheme="minorEastAsia"/>
                    </w:rPr>
                  </w:pPr>
                  <w:r>
                    <w:rPr>
                      <w:rFonts w:hint="eastAsia"/>
                    </w:rPr>
                    <w:t>定向</w:t>
                  </w:r>
                </w:p>
              </w:tc>
            </w:tr>
          </w:tbl>
          <w:p w14:paraId="2B8ED12A">
            <w:pPr>
              <w:pStyle w:val="2"/>
              <w:ind w:firstLine="480"/>
            </w:pPr>
            <w:r>
              <w:t>根据《中华人民共和国环境影响评价法》、《中华人民共和国放射性污染防治法》、 《建设项目环境保护管理条例》、《放射性同位素与射线装置安全和防护条例》 、《放射性同位素与射线装置安全许可管理办法》和《建设项目环境影响评价分类管理名录》 等法律法规的规定，使用</w:t>
            </w:r>
            <w:r>
              <w:rPr>
                <w:rFonts w:hint="eastAsia"/>
              </w:rPr>
              <w:t xml:space="preserve"> </w:t>
            </w:r>
            <w:r>
              <w:rPr>
                <w:rFonts w:cs="Times New Roman"/>
              </w:rPr>
              <w:t>Ⅱ</w:t>
            </w:r>
            <w:r>
              <w:rPr>
                <w:rFonts w:hint="eastAsia" w:cs="Times New Roman"/>
              </w:rPr>
              <w:t xml:space="preserve"> </w:t>
            </w:r>
            <w:r>
              <w:t>射线装置的单位应当在申请许可证前编制环境影响报告表。受</w:t>
            </w:r>
            <w:r>
              <w:rPr>
                <w:rFonts w:hint="eastAsia"/>
              </w:rPr>
              <w:t>江阴市胜辉管道科技有限公司</w:t>
            </w:r>
            <w:r>
              <w:t>委托，</w:t>
            </w:r>
            <w:r>
              <w:rPr>
                <w:rFonts w:hint="eastAsia"/>
              </w:rPr>
              <w:t>南京师大环境科技研究院</w:t>
            </w:r>
            <w:r>
              <w:t>有限公司承担该项目的环境影响评价工作。我公司通过资料调研、现场监测和评价分析，编制该项目环境影响报告表。</w:t>
            </w:r>
          </w:p>
          <w:p w14:paraId="20FB0ECD">
            <w:pPr>
              <w:pStyle w:val="3"/>
            </w:pPr>
            <w:r>
              <w:t>2 项目周边保护目标及项目选址情况</w:t>
            </w:r>
          </w:p>
          <w:p w14:paraId="5A73A071">
            <w:pPr>
              <w:pStyle w:val="2"/>
              <w:ind w:firstLine="472"/>
            </w:pPr>
            <w:r>
              <w:rPr>
                <w:spacing w:val="-4"/>
              </w:rPr>
              <w:t>本项目建设地址位于</w:t>
            </w:r>
            <w:r>
              <w:rPr>
                <w:rFonts w:hint="eastAsia" w:cs="Times New Roman"/>
              </w:rPr>
              <w:t>江苏省江阴市利港街道贵宾路60号</w:t>
            </w:r>
            <w:r>
              <w:t>，项目地理位置</w:t>
            </w:r>
            <w:r>
              <w:rPr>
                <w:spacing w:val="2"/>
              </w:rPr>
              <w:t>见附图</w:t>
            </w:r>
            <w:r>
              <w:rPr>
                <w:rFonts w:eastAsia="Times New Roman" w:cs="Times New Roman"/>
                <w:spacing w:val="1"/>
              </w:rPr>
              <w:t>1</w:t>
            </w:r>
            <w:r>
              <w:rPr>
                <w:spacing w:val="1"/>
              </w:rPr>
              <w:t>。</w:t>
            </w:r>
            <w:r>
              <w:rPr>
                <w:rFonts w:hint="eastAsia"/>
                <w:color w:val="auto"/>
                <w:spacing w:val="1"/>
              </w:rPr>
              <w:t>公司厂区东侧为贵宾大道，南侧为江阴市远景能源有限公司生产车间，西侧为公司办公楼，北侧为奚墅路</w:t>
            </w:r>
            <w:r>
              <w:rPr>
                <w:color w:val="auto"/>
                <w:spacing w:val="-1"/>
              </w:rPr>
              <w:t>。公司</w:t>
            </w:r>
            <w:r>
              <w:rPr>
                <w:color w:val="auto"/>
                <w:spacing w:val="-8"/>
              </w:rPr>
              <w:t>周</w:t>
            </w:r>
            <w:r>
              <w:rPr>
                <w:color w:val="auto"/>
                <w:spacing w:val="-6"/>
              </w:rPr>
              <w:t>围环境图见附图</w:t>
            </w:r>
            <w:r>
              <w:rPr>
                <w:rFonts w:hint="eastAsia"/>
                <w:color w:val="auto"/>
                <w:spacing w:val="-6"/>
              </w:rPr>
              <w:t xml:space="preserve"> </w:t>
            </w:r>
            <w:r>
              <w:rPr>
                <w:rFonts w:eastAsia="Times New Roman" w:cs="Times New Roman"/>
                <w:color w:val="auto"/>
                <w:spacing w:val="-6"/>
              </w:rPr>
              <w:t>2</w:t>
            </w:r>
            <w:r>
              <w:rPr>
                <w:color w:val="auto"/>
                <w:spacing w:val="-6"/>
              </w:rPr>
              <w:t>。</w:t>
            </w:r>
          </w:p>
          <w:p w14:paraId="54AA4F42">
            <w:pPr>
              <w:pStyle w:val="2"/>
              <w:ind w:firstLine="480"/>
            </w:pPr>
            <w:r>
              <w:rPr>
                <w:rFonts w:hint="eastAsia"/>
              </w:rPr>
              <w:t>本项目X射线实时成像检测装置曝光室建于</w:t>
            </w:r>
            <w:r>
              <w:t>旋卷式耐压金属壳体生产车间</w:t>
            </w:r>
            <w:r>
              <w:rPr>
                <w:rFonts w:hint="eastAsia"/>
              </w:rPr>
              <w:t>内，该车间为一层建筑，上层为屋顶，下层为土层，建设地址东侧依次为五金仓库和原料仓库，南侧为江阴市远景能源有限公司生产车间，西侧依次为成品仓库，北侧为本公司焊管螺旋车间生产区域，焊管螺旋</w:t>
            </w:r>
            <w:r>
              <w:t>车间</w:t>
            </w:r>
            <w:r>
              <w:rPr>
                <w:rFonts w:hint="eastAsia"/>
              </w:rPr>
              <w:t>平面布局图见附图3。</w:t>
            </w:r>
          </w:p>
          <w:p w14:paraId="2779B703">
            <w:pPr>
              <w:pStyle w:val="2"/>
              <w:ind w:firstLine="480"/>
            </w:pPr>
            <w:r>
              <w:t>本项目</w:t>
            </w:r>
            <w:r>
              <w:rPr>
                <w:rFonts w:hint="eastAsia"/>
              </w:rPr>
              <w:t xml:space="preserve">固定式 </w:t>
            </w:r>
            <w:r>
              <w:t>X</w:t>
            </w:r>
            <w:r>
              <w:rPr>
                <w:rFonts w:hint="eastAsia"/>
              </w:rPr>
              <w:t xml:space="preserve"> </w:t>
            </w:r>
            <w:r>
              <w:t>射线</w:t>
            </w:r>
            <w:r>
              <w:rPr>
                <w:rFonts w:hint="eastAsia"/>
              </w:rPr>
              <w:t>探伤室</w:t>
            </w:r>
            <w:r>
              <w:t>建址周围50m范围内没有居民区、学校等环境敏感目标，本项目辐射环境保护目标主要为辐射工作人员及</w:t>
            </w:r>
            <w:r>
              <w:rPr>
                <w:rFonts w:hint="eastAsia"/>
              </w:rPr>
              <w:t xml:space="preserve">固定式 </w:t>
            </w:r>
            <w:r>
              <w:t>X</w:t>
            </w:r>
            <w:r>
              <w:rPr>
                <w:rFonts w:hint="eastAsia"/>
              </w:rPr>
              <w:t xml:space="preserve"> </w:t>
            </w:r>
            <w:r>
              <w:t>射线</w:t>
            </w:r>
            <w:r>
              <w:rPr>
                <w:rFonts w:hint="eastAsia"/>
              </w:rPr>
              <w:t>探伤室</w:t>
            </w:r>
            <w:r>
              <w:t>建址周围评价范围内的公众</w:t>
            </w:r>
            <w:r>
              <w:rPr>
                <w:rFonts w:hint="eastAsia"/>
              </w:rPr>
              <w:t>。</w:t>
            </w:r>
          </w:p>
          <w:p w14:paraId="26B5552B">
            <w:pPr>
              <w:pStyle w:val="2"/>
              <w:ind w:firstLine="482"/>
              <w:rPr>
                <w:rFonts w:eastAsia="Times New Roman" w:cs="Times New Roman"/>
                <w:spacing w:val="1"/>
              </w:rPr>
            </w:pPr>
            <w:r>
              <w:rPr>
                <w:rFonts w:hint="eastAsia" w:ascii="宋体" w:hAnsi="宋体" w:cs="宋体"/>
                <w:spacing w:val="1"/>
              </w:rPr>
              <w:t>经对照《江苏省自然资源厅关于江阴市生态空间管控区域调整方案的复函》（苏自然资</w:t>
            </w:r>
            <w:r>
              <w:rPr>
                <w:rFonts w:cs="Times New Roman"/>
                <w:spacing w:val="1"/>
              </w:rPr>
              <w:t>函[2025]164号</w:t>
            </w:r>
            <w:r>
              <w:rPr>
                <w:rFonts w:hint="eastAsia" w:ascii="宋体" w:hAnsi="宋体" w:cs="宋体"/>
                <w:spacing w:val="1"/>
              </w:rPr>
              <w:t>）和《江苏省国家级生态保护红线规划》（苏政发（</w:t>
            </w:r>
            <w:r>
              <w:rPr>
                <w:rFonts w:hint="eastAsia" w:eastAsia="Times New Roman" w:cs="Times New Roman"/>
                <w:spacing w:val="1"/>
              </w:rPr>
              <w:t>2018</w:t>
            </w:r>
            <w:r>
              <w:rPr>
                <w:rFonts w:hint="eastAsia" w:ascii="宋体" w:hAnsi="宋体" w:cs="宋体"/>
                <w:spacing w:val="1"/>
              </w:rPr>
              <w:t>）</w:t>
            </w:r>
            <w:r>
              <w:rPr>
                <w:rFonts w:hint="eastAsia" w:eastAsia="Times New Roman" w:cs="Times New Roman"/>
                <w:spacing w:val="1"/>
              </w:rPr>
              <w:t>74</w:t>
            </w:r>
            <w:r>
              <w:rPr>
                <w:rFonts w:hint="eastAsia" w:ascii="宋体" w:hAnsi="宋体" w:cs="宋体"/>
                <w:spacing w:val="1"/>
              </w:rPr>
              <w:t>号），本项目评价范围内不涉及江苏省国家级生态保护红线区和江阴市生态空间管控区域范围，无生态敏感目标。</w:t>
            </w:r>
          </w:p>
          <w:p w14:paraId="15911FE0">
            <w:pPr>
              <w:pStyle w:val="2"/>
              <w:ind w:firstLine="482"/>
              <w:rPr>
                <w:rFonts w:eastAsia="Times New Roman" w:cs="Times New Roman"/>
                <w:spacing w:val="1"/>
              </w:rPr>
            </w:pPr>
            <w:r>
              <w:rPr>
                <w:rFonts w:hint="eastAsia" w:ascii="宋体" w:hAnsi="宋体" w:cs="宋体"/>
                <w:spacing w:val="1"/>
              </w:rPr>
              <w:t>本项目评价范围内不涉及国家公园、自然保护区、风景名胜区、世界文化和自然遗产地、海洋特别保护区、饮用水水源保护区等环境敏感区；同时，本项目评价范围内不涉及《建设项目环境影响评价分类管理名录（</w:t>
            </w:r>
            <w:r>
              <w:rPr>
                <w:rFonts w:hint="eastAsia" w:eastAsia="Times New Roman" w:cs="Times New Roman"/>
                <w:spacing w:val="1"/>
              </w:rPr>
              <w:t>2021</w:t>
            </w:r>
            <w:r>
              <w:rPr>
                <w:rFonts w:hint="eastAsia" w:ascii="宋体" w:hAnsi="宋体" w:cs="宋体"/>
                <w:spacing w:val="1"/>
              </w:rPr>
              <w:t>年版）》第三条中的环境敏感区。</w:t>
            </w:r>
          </w:p>
          <w:p w14:paraId="0624FBBC">
            <w:pPr>
              <w:pStyle w:val="2"/>
              <w:ind w:firstLine="482"/>
              <w:rPr>
                <w:rFonts w:hint="eastAsia" w:ascii="宋体" w:hAnsi="宋体" w:cs="宋体"/>
                <w:spacing w:val="1"/>
              </w:rPr>
            </w:pPr>
            <w:r>
              <w:rPr>
                <w:rFonts w:hint="eastAsia" w:ascii="宋体" w:hAnsi="宋体" w:cs="宋体"/>
                <w:spacing w:val="1"/>
              </w:rPr>
              <w:t>对照江苏省生态环境分区管控服务平台查询结果（见附件</w:t>
            </w:r>
            <w:r>
              <w:rPr>
                <w:rFonts w:hint="eastAsia" w:cs="Times New Roman"/>
                <w:spacing w:val="1"/>
              </w:rPr>
              <w:t>8</w:t>
            </w:r>
            <w:r>
              <w:rPr>
                <w:rFonts w:hint="eastAsia" w:ascii="宋体" w:hAnsi="宋体" w:cs="宋体"/>
                <w:spacing w:val="1"/>
              </w:rPr>
              <w:t>），本项目建设符合江苏省生态环境分区管控（空间布局约束、污染物排放管控、环境风险防控、资源开发效率要求）相关要求。</w:t>
            </w:r>
          </w:p>
          <w:p w14:paraId="0A7E8A24">
            <w:pPr>
              <w:pStyle w:val="2"/>
              <w:ind w:firstLine="482"/>
              <w:rPr>
                <w:rFonts w:hint="eastAsia" w:ascii="宋体" w:hAnsi="宋体" w:cs="宋体"/>
                <w:spacing w:val="1"/>
              </w:rPr>
            </w:pPr>
            <w:r>
              <w:rPr>
                <w:rFonts w:hint="eastAsia" w:ascii="宋体" w:hAnsi="宋体" w:cs="宋体"/>
                <w:spacing w:val="1"/>
              </w:rPr>
              <w:t>本项目的建设符合江苏省及无锡市</w:t>
            </w:r>
            <w:r>
              <w:rPr>
                <w:rFonts w:eastAsia="Times New Roman" w:cs="Times New Roman"/>
                <w:spacing w:val="1"/>
              </w:rPr>
              <w:t>“</w:t>
            </w:r>
            <w:r>
              <w:rPr>
                <w:rFonts w:hint="eastAsia" w:ascii="宋体" w:hAnsi="宋体" w:cs="宋体"/>
                <w:spacing w:val="1"/>
              </w:rPr>
              <w:t>三线一单</w:t>
            </w:r>
            <w:r>
              <w:rPr>
                <w:rFonts w:eastAsia="Times New Roman" w:cs="Times New Roman"/>
                <w:spacing w:val="1"/>
              </w:rPr>
              <w:t>”</w:t>
            </w:r>
            <w:r>
              <w:rPr>
                <w:rFonts w:hint="eastAsia" w:ascii="宋体" w:hAnsi="宋体" w:cs="宋体"/>
                <w:spacing w:val="1"/>
              </w:rPr>
              <w:t>（生态保护红线、环境质量底线、资源利用上线和生态环境准入清单）要求。</w:t>
            </w:r>
          </w:p>
          <w:p w14:paraId="049A9EA3">
            <w:pPr>
              <w:pStyle w:val="2"/>
              <w:ind w:firstLine="480"/>
              <w:rPr>
                <w:rFonts w:eastAsiaTheme="minorEastAsia"/>
              </w:rPr>
            </w:pPr>
            <w:r>
              <w:rPr>
                <w:rFonts w:hint="eastAsia" w:eastAsiaTheme="minorEastAsia"/>
              </w:rPr>
              <w:t>因此本项目选址基本合理。</w:t>
            </w:r>
          </w:p>
          <w:p w14:paraId="10EA9235">
            <w:pPr>
              <w:pStyle w:val="3"/>
            </w:pPr>
            <w:r>
              <w:rPr>
                <w:rFonts w:hint="eastAsia"/>
              </w:rPr>
              <w:t>3</w:t>
            </w:r>
            <w:r>
              <w:t xml:space="preserve"> 单位</w:t>
            </w:r>
            <w:r>
              <w:rPr>
                <w:rFonts w:hint="eastAsia"/>
              </w:rPr>
              <w:t>原</w:t>
            </w:r>
            <w:r>
              <w:t>有核技术应用情况</w:t>
            </w:r>
          </w:p>
          <w:p w14:paraId="402503E3">
            <w:pPr>
              <w:pStyle w:val="2"/>
              <w:ind w:firstLine="512"/>
            </w:pPr>
            <w:r>
              <w:rPr>
                <w:rFonts w:hint="eastAsia"/>
                <w:spacing w:val="16"/>
              </w:rPr>
              <w:t>江阴市胜辉管道科技有限公司未</w:t>
            </w:r>
            <w:r>
              <w:t>申领辐射安全许可证，本项目为该单位首次开</w:t>
            </w:r>
            <w:r>
              <w:rPr>
                <w:spacing w:val="-8"/>
              </w:rPr>
              <w:t>展</w:t>
            </w:r>
            <w:r>
              <w:rPr>
                <w:spacing w:val="-5"/>
              </w:rPr>
              <w:t>核</w:t>
            </w:r>
            <w:r>
              <w:rPr>
                <w:spacing w:val="-4"/>
              </w:rPr>
              <w:t>技术利用项目。</w:t>
            </w:r>
          </w:p>
          <w:p w14:paraId="0E7815E5">
            <w:pPr>
              <w:pStyle w:val="3"/>
            </w:pPr>
            <w:r>
              <w:rPr>
                <w:rFonts w:hint="eastAsia"/>
              </w:rPr>
              <w:t>4 实践正当性分析</w:t>
            </w:r>
          </w:p>
          <w:p w14:paraId="1A1C7607">
            <w:pPr>
              <w:pStyle w:val="2"/>
              <w:ind w:firstLine="480"/>
              <w:rPr>
                <w:rFonts w:eastAsiaTheme="minorEastAsia"/>
              </w:rPr>
            </w:pPr>
            <w:r>
              <w:rPr>
                <w:rFonts w:hint="eastAsia"/>
              </w:rPr>
              <w:t>本项目使用 X 射线实时成像检测装置，用于开展公司生产的金属壳体的无损检测，旨在提高产品质量，在运行期间设备可能会对周围环境、工作人员及公众造成一定辐射影响，但在做好各项辐射防护措施，严格按照规章制度运营的情况下，其对周围环境的辐射影响能够满足标准要求。因此，在考虑了社会、经济和其他等因素，其对社会所带来的利益足以弥补其可能引起的辐射危害，该项目的建设符合《电离辐射防护与辐射源安全基本标准》（GB18871</w:t>
            </w:r>
            <w:r>
              <w:t>-</w:t>
            </w:r>
            <w:r>
              <w:rPr>
                <w:rFonts w:hint="eastAsia"/>
              </w:rPr>
              <w:t>2002</w:t>
            </w:r>
            <w:r>
              <w:rPr>
                <w:rFonts w:hint="eastAsia" w:ascii="宋体" w:hAnsi="宋体" w:cs="宋体"/>
              </w:rPr>
              <w:t>）</w:t>
            </w:r>
            <w:r>
              <w:rPr>
                <w:rFonts w:hint="eastAsia"/>
              </w:rPr>
              <w:t>“实践的正当性”的原则。</w:t>
            </w:r>
          </w:p>
        </w:tc>
      </w:tr>
    </w:tbl>
    <w:p w14:paraId="0650BF83">
      <w:pPr>
        <w:pStyle w:val="6"/>
        <w:sectPr>
          <w:footerReference r:id="rId5" w:type="default"/>
          <w:pgSz w:w="11907" w:h="16841"/>
          <w:pgMar w:top="1418" w:right="1134" w:bottom="1418" w:left="1701" w:header="0" w:footer="1134" w:gutter="0"/>
          <w:pgNumType w:start="1"/>
          <w:cols w:space="720" w:num="1"/>
          <w:docGrid w:linePitch="286" w:charSpace="0"/>
        </w:sectPr>
      </w:pPr>
    </w:p>
    <w:p w14:paraId="677CCD95">
      <w:pPr>
        <w:pStyle w:val="11"/>
      </w:pPr>
      <w:r>
        <w:t>表 2  放射源</w:t>
      </w:r>
    </w:p>
    <w:tbl>
      <w:tblPr>
        <w:tblStyle w:val="15"/>
        <w:tblW w:w="139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4"/>
        <w:gridCol w:w="1142"/>
        <w:gridCol w:w="2035"/>
        <w:gridCol w:w="1415"/>
        <w:gridCol w:w="1166"/>
        <w:gridCol w:w="1332"/>
        <w:gridCol w:w="2234"/>
        <w:gridCol w:w="2332"/>
        <w:gridCol w:w="1327"/>
      </w:tblGrid>
      <w:tr w14:paraId="69757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984" w:type="dxa"/>
            <w:vAlign w:val="center"/>
          </w:tcPr>
          <w:p w14:paraId="39E7B61B">
            <w:pPr>
              <w:pStyle w:val="24"/>
              <w:rPr>
                <w:b/>
                <w:bCs w:val="0"/>
              </w:rPr>
            </w:pPr>
            <w:r>
              <w:rPr>
                <w:b/>
                <w:bCs w:val="0"/>
              </w:rPr>
              <w:t>序</w:t>
            </w:r>
            <w:r>
              <w:rPr>
                <w:b/>
                <w:bCs w:val="0"/>
                <w:spacing w:val="-2"/>
              </w:rPr>
              <w:t>号</w:t>
            </w:r>
          </w:p>
        </w:tc>
        <w:tc>
          <w:tcPr>
            <w:tcW w:w="1142" w:type="dxa"/>
            <w:vAlign w:val="center"/>
          </w:tcPr>
          <w:p w14:paraId="0941EFA5">
            <w:pPr>
              <w:pStyle w:val="24"/>
              <w:rPr>
                <w:b/>
                <w:bCs w:val="0"/>
              </w:rPr>
            </w:pPr>
            <w:r>
              <w:rPr>
                <w:b/>
                <w:bCs w:val="0"/>
                <w:spacing w:val="-4"/>
              </w:rPr>
              <w:t>核</w:t>
            </w:r>
            <w:r>
              <w:rPr>
                <w:b/>
                <w:bCs w:val="0"/>
                <w:spacing w:val="-2"/>
              </w:rPr>
              <w:t>素名称</w:t>
            </w:r>
          </w:p>
        </w:tc>
        <w:tc>
          <w:tcPr>
            <w:tcW w:w="2035" w:type="dxa"/>
            <w:vAlign w:val="center"/>
          </w:tcPr>
          <w:p w14:paraId="41934B82">
            <w:pPr>
              <w:pStyle w:val="24"/>
              <w:rPr>
                <w:b/>
                <w:bCs w:val="0"/>
              </w:rPr>
            </w:pPr>
            <w:r>
              <w:rPr>
                <w:b/>
                <w:bCs w:val="0"/>
                <w:spacing w:val="20"/>
              </w:rPr>
              <w:t>总</w:t>
            </w:r>
            <w:r>
              <w:rPr>
                <w:b/>
                <w:bCs w:val="0"/>
                <w:spacing w:val="17"/>
              </w:rPr>
              <w:t>活度(</w:t>
            </w:r>
            <w:r>
              <w:rPr>
                <w:rFonts w:eastAsia="Times New Roman"/>
                <w:b/>
                <w:bCs w:val="0"/>
              </w:rPr>
              <w:t>Bq</w:t>
            </w:r>
            <w:r>
              <w:rPr>
                <w:rFonts w:eastAsia="Times New Roman"/>
                <w:b/>
                <w:bCs w:val="0"/>
                <w:spacing w:val="17"/>
              </w:rPr>
              <w:t>)/</w:t>
            </w:r>
            <w:r>
              <w:rPr>
                <w:rFonts w:eastAsia="Times New Roman"/>
                <w:b/>
                <w:bCs w:val="0"/>
              </w:rPr>
              <w:t xml:space="preserve">  </w:t>
            </w:r>
            <w:r>
              <w:rPr>
                <w:b/>
                <w:bCs w:val="0"/>
                <w:spacing w:val="15"/>
              </w:rPr>
              <w:t>活度(</w:t>
            </w:r>
            <w:r>
              <w:rPr>
                <w:rFonts w:eastAsia="Times New Roman"/>
                <w:b/>
                <w:bCs w:val="0"/>
              </w:rPr>
              <w:t>Bq</w:t>
            </w:r>
            <w:r>
              <w:rPr>
                <w:rFonts w:eastAsia="Times New Roman"/>
                <w:b/>
                <w:bCs w:val="0"/>
                <w:spacing w:val="15"/>
              </w:rPr>
              <w:t>)×</w:t>
            </w:r>
            <w:r>
              <w:rPr>
                <w:b/>
                <w:bCs w:val="0"/>
                <w:spacing w:val="15"/>
              </w:rPr>
              <w:t>枚数</w:t>
            </w:r>
          </w:p>
        </w:tc>
        <w:tc>
          <w:tcPr>
            <w:tcW w:w="1415" w:type="dxa"/>
            <w:vAlign w:val="center"/>
          </w:tcPr>
          <w:p w14:paraId="4AC48767">
            <w:pPr>
              <w:pStyle w:val="24"/>
              <w:rPr>
                <w:b/>
                <w:bCs w:val="0"/>
              </w:rPr>
            </w:pPr>
            <w:r>
              <w:rPr>
                <w:b/>
                <w:bCs w:val="0"/>
              </w:rPr>
              <w:t>类</w:t>
            </w:r>
            <w:r>
              <w:rPr>
                <w:b/>
                <w:bCs w:val="0"/>
                <w:spacing w:val="-2"/>
              </w:rPr>
              <w:t>别</w:t>
            </w:r>
          </w:p>
        </w:tc>
        <w:tc>
          <w:tcPr>
            <w:tcW w:w="1166" w:type="dxa"/>
            <w:vAlign w:val="center"/>
          </w:tcPr>
          <w:p w14:paraId="708B57B3">
            <w:pPr>
              <w:pStyle w:val="24"/>
              <w:rPr>
                <w:b/>
                <w:bCs w:val="0"/>
              </w:rPr>
            </w:pPr>
            <w:r>
              <w:rPr>
                <w:b/>
                <w:bCs w:val="0"/>
                <w:spacing w:val="-4"/>
              </w:rPr>
              <w:t>活</w:t>
            </w:r>
            <w:r>
              <w:rPr>
                <w:b/>
                <w:bCs w:val="0"/>
                <w:spacing w:val="-2"/>
              </w:rPr>
              <w:t>度种类</w:t>
            </w:r>
          </w:p>
        </w:tc>
        <w:tc>
          <w:tcPr>
            <w:tcW w:w="1332" w:type="dxa"/>
            <w:vAlign w:val="center"/>
          </w:tcPr>
          <w:p w14:paraId="2CB073B3">
            <w:pPr>
              <w:pStyle w:val="24"/>
              <w:rPr>
                <w:b/>
                <w:bCs w:val="0"/>
              </w:rPr>
            </w:pPr>
            <w:r>
              <w:rPr>
                <w:b/>
                <w:bCs w:val="0"/>
              </w:rPr>
              <w:t>用途</w:t>
            </w:r>
          </w:p>
        </w:tc>
        <w:tc>
          <w:tcPr>
            <w:tcW w:w="2234" w:type="dxa"/>
            <w:vAlign w:val="center"/>
          </w:tcPr>
          <w:p w14:paraId="085375AB">
            <w:pPr>
              <w:pStyle w:val="24"/>
              <w:rPr>
                <w:b/>
                <w:bCs w:val="0"/>
              </w:rPr>
            </w:pPr>
            <w:r>
              <w:rPr>
                <w:b/>
                <w:bCs w:val="0"/>
                <w:spacing w:val="-2"/>
              </w:rPr>
              <w:t>使用场所</w:t>
            </w:r>
          </w:p>
        </w:tc>
        <w:tc>
          <w:tcPr>
            <w:tcW w:w="2332" w:type="dxa"/>
            <w:vAlign w:val="center"/>
          </w:tcPr>
          <w:p w14:paraId="04D5DA38">
            <w:pPr>
              <w:pStyle w:val="24"/>
              <w:rPr>
                <w:b/>
                <w:bCs w:val="0"/>
              </w:rPr>
            </w:pPr>
            <w:r>
              <w:rPr>
                <w:b/>
                <w:bCs w:val="0"/>
                <w:spacing w:val="-2"/>
              </w:rPr>
              <w:t>贮存</w:t>
            </w:r>
            <w:r>
              <w:rPr>
                <w:b/>
                <w:bCs w:val="0"/>
                <w:spacing w:val="-1"/>
              </w:rPr>
              <w:t>方式与地点</w:t>
            </w:r>
          </w:p>
        </w:tc>
        <w:tc>
          <w:tcPr>
            <w:tcW w:w="1327" w:type="dxa"/>
            <w:vAlign w:val="center"/>
          </w:tcPr>
          <w:p w14:paraId="1B21598F">
            <w:pPr>
              <w:pStyle w:val="24"/>
              <w:rPr>
                <w:b/>
                <w:bCs w:val="0"/>
              </w:rPr>
            </w:pPr>
            <w:r>
              <w:rPr>
                <w:b/>
                <w:bCs w:val="0"/>
                <w:spacing w:val="-4"/>
              </w:rPr>
              <w:t>备</w:t>
            </w:r>
            <w:r>
              <w:rPr>
                <w:b/>
                <w:bCs w:val="0"/>
              </w:rPr>
              <w:t>注</w:t>
            </w:r>
          </w:p>
        </w:tc>
      </w:tr>
      <w:tr w14:paraId="6B339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984" w:type="dxa"/>
            <w:vAlign w:val="center"/>
          </w:tcPr>
          <w:p w14:paraId="59E869CB">
            <w:pPr>
              <w:pStyle w:val="24"/>
              <w:rPr>
                <w:rFonts w:eastAsia="Times New Roman"/>
              </w:rPr>
            </w:pPr>
            <w:r>
              <w:rPr>
                <w:rFonts w:eastAsia="Times New Roman"/>
              </w:rPr>
              <w:t>/</w:t>
            </w:r>
          </w:p>
        </w:tc>
        <w:tc>
          <w:tcPr>
            <w:tcW w:w="1142" w:type="dxa"/>
            <w:vAlign w:val="center"/>
          </w:tcPr>
          <w:p w14:paraId="442F8748">
            <w:pPr>
              <w:pStyle w:val="24"/>
              <w:rPr>
                <w:rFonts w:eastAsia="Times New Roman"/>
              </w:rPr>
            </w:pPr>
            <w:r>
              <w:rPr>
                <w:rFonts w:eastAsia="Times New Roman"/>
              </w:rPr>
              <w:t>/</w:t>
            </w:r>
          </w:p>
        </w:tc>
        <w:tc>
          <w:tcPr>
            <w:tcW w:w="2035" w:type="dxa"/>
            <w:vAlign w:val="center"/>
          </w:tcPr>
          <w:p w14:paraId="6E65BCA1">
            <w:pPr>
              <w:pStyle w:val="24"/>
              <w:rPr>
                <w:rFonts w:eastAsia="Times New Roman"/>
              </w:rPr>
            </w:pPr>
            <w:r>
              <w:rPr>
                <w:rFonts w:eastAsia="Times New Roman"/>
              </w:rPr>
              <w:t>/</w:t>
            </w:r>
          </w:p>
        </w:tc>
        <w:tc>
          <w:tcPr>
            <w:tcW w:w="1415" w:type="dxa"/>
            <w:vAlign w:val="center"/>
          </w:tcPr>
          <w:p w14:paraId="500266C5">
            <w:pPr>
              <w:pStyle w:val="24"/>
              <w:rPr>
                <w:rFonts w:eastAsia="Times New Roman"/>
              </w:rPr>
            </w:pPr>
            <w:r>
              <w:rPr>
                <w:rFonts w:eastAsia="Times New Roman"/>
              </w:rPr>
              <w:t>/</w:t>
            </w:r>
          </w:p>
        </w:tc>
        <w:tc>
          <w:tcPr>
            <w:tcW w:w="1166" w:type="dxa"/>
            <w:vAlign w:val="center"/>
          </w:tcPr>
          <w:p w14:paraId="072D7E31">
            <w:pPr>
              <w:pStyle w:val="24"/>
              <w:rPr>
                <w:rFonts w:eastAsia="Times New Roman"/>
              </w:rPr>
            </w:pPr>
            <w:r>
              <w:rPr>
                <w:rFonts w:eastAsia="Times New Roman"/>
              </w:rPr>
              <w:t>/</w:t>
            </w:r>
          </w:p>
        </w:tc>
        <w:tc>
          <w:tcPr>
            <w:tcW w:w="1332" w:type="dxa"/>
            <w:vAlign w:val="center"/>
          </w:tcPr>
          <w:p w14:paraId="774EE37B">
            <w:pPr>
              <w:pStyle w:val="24"/>
              <w:rPr>
                <w:rFonts w:eastAsia="Times New Roman"/>
              </w:rPr>
            </w:pPr>
            <w:r>
              <w:rPr>
                <w:rFonts w:eastAsia="Times New Roman"/>
              </w:rPr>
              <w:t>/</w:t>
            </w:r>
          </w:p>
        </w:tc>
        <w:tc>
          <w:tcPr>
            <w:tcW w:w="2234" w:type="dxa"/>
            <w:vAlign w:val="center"/>
          </w:tcPr>
          <w:p w14:paraId="2879E30A">
            <w:pPr>
              <w:pStyle w:val="24"/>
              <w:rPr>
                <w:rFonts w:eastAsia="Times New Roman"/>
              </w:rPr>
            </w:pPr>
            <w:r>
              <w:rPr>
                <w:rFonts w:eastAsia="Times New Roman"/>
              </w:rPr>
              <w:t>/</w:t>
            </w:r>
          </w:p>
        </w:tc>
        <w:tc>
          <w:tcPr>
            <w:tcW w:w="2332" w:type="dxa"/>
            <w:vAlign w:val="center"/>
          </w:tcPr>
          <w:p w14:paraId="6707CC20">
            <w:pPr>
              <w:pStyle w:val="24"/>
              <w:rPr>
                <w:rFonts w:eastAsia="Times New Roman"/>
              </w:rPr>
            </w:pPr>
            <w:r>
              <w:rPr>
                <w:rFonts w:eastAsia="Times New Roman"/>
              </w:rPr>
              <w:t>/</w:t>
            </w:r>
          </w:p>
        </w:tc>
        <w:tc>
          <w:tcPr>
            <w:tcW w:w="1327" w:type="dxa"/>
            <w:vAlign w:val="center"/>
          </w:tcPr>
          <w:p w14:paraId="312ECB22">
            <w:pPr>
              <w:pStyle w:val="24"/>
              <w:rPr>
                <w:rFonts w:eastAsia="Times New Roman"/>
              </w:rPr>
            </w:pPr>
            <w:r>
              <w:rPr>
                <w:rFonts w:eastAsia="Times New Roman"/>
              </w:rPr>
              <w:t>/</w:t>
            </w:r>
          </w:p>
        </w:tc>
      </w:tr>
      <w:tr w14:paraId="77065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984" w:type="dxa"/>
            <w:vAlign w:val="center"/>
          </w:tcPr>
          <w:p w14:paraId="34A3AA34">
            <w:pPr>
              <w:pStyle w:val="24"/>
            </w:pPr>
          </w:p>
        </w:tc>
        <w:tc>
          <w:tcPr>
            <w:tcW w:w="1142" w:type="dxa"/>
            <w:vAlign w:val="center"/>
          </w:tcPr>
          <w:p w14:paraId="05C5653C">
            <w:pPr>
              <w:pStyle w:val="24"/>
            </w:pPr>
          </w:p>
        </w:tc>
        <w:tc>
          <w:tcPr>
            <w:tcW w:w="2035" w:type="dxa"/>
            <w:vAlign w:val="center"/>
          </w:tcPr>
          <w:p w14:paraId="00C96832">
            <w:pPr>
              <w:pStyle w:val="24"/>
            </w:pPr>
          </w:p>
        </w:tc>
        <w:tc>
          <w:tcPr>
            <w:tcW w:w="1415" w:type="dxa"/>
            <w:vAlign w:val="center"/>
          </w:tcPr>
          <w:p w14:paraId="49AEFEE2">
            <w:pPr>
              <w:pStyle w:val="24"/>
            </w:pPr>
          </w:p>
        </w:tc>
        <w:tc>
          <w:tcPr>
            <w:tcW w:w="1166" w:type="dxa"/>
            <w:vAlign w:val="center"/>
          </w:tcPr>
          <w:p w14:paraId="59751132">
            <w:pPr>
              <w:pStyle w:val="24"/>
            </w:pPr>
          </w:p>
        </w:tc>
        <w:tc>
          <w:tcPr>
            <w:tcW w:w="1332" w:type="dxa"/>
            <w:vAlign w:val="center"/>
          </w:tcPr>
          <w:p w14:paraId="7B21A272">
            <w:pPr>
              <w:pStyle w:val="24"/>
            </w:pPr>
          </w:p>
        </w:tc>
        <w:tc>
          <w:tcPr>
            <w:tcW w:w="2234" w:type="dxa"/>
            <w:vAlign w:val="center"/>
          </w:tcPr>
          <w:p w14:paraId="5461F636">
            <w:pPr>
              <w:pStyle w:val="24"/>
            </w:pPr>
          </w:p>
        </w:tc>
        <w:tc>
          <w:tcPr>
            <w:tcW w:w="2332" w:type="dxa"/>
            <w:vAlign w:val="center"/>
          </w:tcPr>
          <w:p w14:paraId="4D2F46C4">
            <w:pPr>
              <w:pStyle w:val="24"/>
            </w:pPr>
          </w:p>
        </w:tc>
        <w:tc>
          <w:tcPr>
            <w:tcW w:w="1327" w:type="dxa"/>
            <w:vAlign w:val="center"/>
          </w:tcPr>
          <w:p w14:paraId="29BA9C2E">
            <w:pPr>
              <w:pStyle w:val="24"/>
            </w:pPr>
          </w:p>
        </w:tc>
      </w:tr>
      <w:tr w14:paraId="6DF70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984" w:type="dxa"/>
            <w:vAlign w:val="center"/>
          </w:tcPr>
          <w:p w14:paraId="4907D95D">
            <w:pPr>
              <w:pStyle w:val="24"/>
            </w:pPr>
          </w:p>
        </w:tc>
        <w:tc>
          <w:tcPr>
            <w:tcW w:w="1142" w:type="dxa"/>
            <w:vAlign w:val="center"/>
          </w:tcPr>
          <w:p w14:paraId="4D2AA96A">
            <w:pPr>
              <w:pStyle w:val="24"/>
            </w:pPr>
          </w:p>
        </w:tc>
        <w:tc>
          <w:tcPr>
            <w:tcW w:w="2035" w:type="dxa"/>
            <w:vAlign w:val="center"/>
          </w:tcPr>
          <w:p w14:paraId="78B21F2C">
            <w:pPr>
              <w:pStyle w:val="24"/>
            </w:pPr>
          </w:p>
        </w:tc>
        <w:tc>
          <w:tcPr>
            <w:tcW w:w="1415" w:type="dxa"/>
            <w:vAlign w:val="center"/>
          </w:tcPr>
          <w:p w14:paraId="6462C8C1">
            <w:pPr>
              <w:pStyle w:val="24"/>
            </w:pPr>
          </w:p>
        </w:tc>
        <w:tc>
          <w:tcPr>
            <w:tcW w:w="1166" w:type="dxa"/>
            <w:vAlign w:val="center"/>
          </w:tcPr>
          <w:p w14:paraId="3CBC7200">
            <w:pPr>
              <w:pStyle w:val="24"/>
            </w:pPr>
          </w:p>
        </w:tc>
        <w:tc>
          <w:tcPr>
            <w:tcW w:w="1332" w:type="dxa"/>
            <w:vAlign w:val="center"/>
          </w:tcPr>
          <w:p w14:paraId="246E3455">
            <w:pPr>
              <w:pStyle w:val="24"/>
            </w:pPr>
          </w:p>
        </w:tc>
        <w:tc>
          <w:tcPr>
            <w:tcW w:w="2234" w:type="dxa"/>
            <w:vAlign w:val="center"/>
          </w:tcPr>
          <w:p w14:paraId="32DA5B8D">
            <w:pPr>
              <w:pStyle w:val="24"/>
            </w:pPr>
          </w:p>
        </w:tc>
        <w:tc>
          <w:tcPr>
            <w:tcW w:w="2332" w:type="dxa"/>
            <w:vAlign w:val="center"/>
          </w:tcPr>
          <w:p w14:paraId="7DF6EC50">
            <w:pPr>
              <w:pStyle w:val="24"/>
            </w:pPr>
          </w:p>
        </w:tc>
        <w:tc>
          <w:tcPr>
            <w:tcW w:w="1327" w:type="dxa"/>
            <w:vAlign w:val="center"/>
          </w:tcPr>
          <w:p w14:paraId="04D4ACD5">
            <w:pPr>
              <w:pStyle w:val="24"/>
            </w:pPr>
          </w:p>
        </w:tc>
      </w:tr>
      <w:tr w14:paraId="093484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984" w:type="dxa"/>
            <w:vAlign w:val="center"/>
          </w:tcPr>
          <w:p w14:paraId="39B76D49">
            <w:pPr>
              <w:pStyle w:val="24"/>
            </w:pPr>
          </w:p>
        </w:tc>
        <w:tc>
          <w:tcPr>
            <w:tcW w:w="1142" w:type="dxa"/>
            <w:vAlign w:val="center"/>
          </w:tcPr>
          <w:p w14:paraId="4CE86229">
            <w:pPr>
              <w:pStyle w:val="24"/>
            </w:pPr>
          </w:p>
        </w:tc>
        <w:tc>
          <w:tcPr>
            <w:tcW w:w="2035" w:type="dxa"/>
            <w:vAlign w:val="center"/>
          </w:tcPr>
          <w:p w14:paraId="0A0A942B">
            <w:pPr>
              <w:pStyle w:val="24"/>
            </w:pPr>
          </w:p>
        </w:tc>
        <w:tc>
          <w:tcPr>
            <w:tcW w:w="1415" w:type="dxa"/>
            <w:vAlign w:val="center"/>
          </w:tcPr>
          <w:p w14:paraId="52E2DDDB">
            <w:pPr>
              <w:pStyle w:val="24"/>
            </w:pPr>
          </w:p>
        </w:tc>
        <w:tc>
          <w:tcPr>
            <w:tcW w:w="1166" w:type="dxa"/>
            <w:vAlign w:val="center"/>
          </w:tcPr>
          <w:p w14:paraId="64660927">
            <w:pPr>
              <w:pStyle w:val="24"/>
            </w:pPr>
          </w:p>
        </w:tc>
        <w:tc>
          <w:tcPr>
            <w:tcW w:w="1332" w:type="dxa"/>
            <w:vAlign w:val="center"/>
          </w:tcPr>
          <w:p w14:paraId="3979FAE7">
            <w:pPr>
              <w:pStyle w:val="24"/>
            </w:pPr>
          </w:p>
        </w:tc>
        <w:tc>
          <w:tcPr>
            <w:tcW w:w="2234" w:type="dxa"/>
            <w:vAlign w:val="center"/>
          </w:tcPr>
          <w:p w14:paraId="179B52AD">
            <w:pPr>
              <w:pStyle w:val="24"/>
            </w:pPr>
          </w:p>
        </w:tc>
        <w:tc>
          <w:tcPr>
            <w:tcW w:w="2332" w:type="dxa"/>
            <w:vAlign w:val="center"/>
          </w:tcPr>
          <w:p w14:paraId="3CBF79C2">
            <w:pPr>
              <w:pStyle w:val="24"/>
            </w:pPr>
          </w:p>
        </w:tc>
        <w:tc>
          <w:tcPr>
            <w:tcW w:w="1327" w:type="dxa"/>
            <w:vAlign w:val="center"/>
          </w:tcPr>
          <w:p w14:paraId="18AEE930">
            <w:pPr>
              <w:pStyle w:val="24"/>
            </w:pPr>
          </w:p>
        </w:tc>
      </w:tr>
    </w:tbl>
    <w:p w14:paraId="3ECCB0FE">
      <w:pPr>
        <w:pStyle w:val="6"/>
      </w:pPr>
      <w:r>
        <w:rPr>
          <w:spacing w:val="4"/>
        </w:rPr>
        <w:t>注</w:t>
      </w:r>
      <w:r>
        <w:t>：放射源包括放射性中子源，对其要说明是何种核素以及产生的中子流强度(</w:t>
      </w:r>
      <w:r>
        <w:rPr>
          <w:rFonts w:eastAsia="Times New Roman" w:cs="Times New Roman"/>
        </w:rPr>
        <w:t>n/s</w:t>
      </w:r>
      <w:r>
        <w:t>)</w:t>
      </w:r>
    </w:p>
    <w:p w14:paraId="4DAECF79">
      <w:pPr>
        <w:spacing w:line="336" w:lineRule="auto"/>
      </w:pPr>
    </w:p>
    <w:p w14:paraId="465A2E92">
      <w:pPr>
        <w:pStyle w:val="11"/>
      </w:pPr>
      <w:r>
        <w:t>表 3  非密封放射性物质</w:t>
      </w:r>
    </w:p>
    <w:tbl>
      <w:tblPr>
        <w:tblStyle w:val="15"/>
        <w:tblW w:w="13963"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914"/>
        <w:gridCol w:w="1653"/>
        <w:gridCol w:w="1150"/>
        <w:gridCol w:w="1332"/>
        <w:gridCol w:w="1269"/>
        <w:gridCol w:w="1399"/>
        <w:gridCol w:w="1166"/>
        <w:gridCol w:w="1099"/>
        <w:gridCol w:w="972"/>
        <w:gridCol w:w="2385"/>
      </w:tblGrid>
      <w:tr w14:paraId="100F70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trPr>
        <w:tc>
          <w:tcPr>
            <w:tcW w:w="624" w:type="dxa"/>
            <w:vAlign w:val="center"/>
          </w:tcPr>
          <w:p w14:paraId="0CB97A2C">
            <w:pPr>
              <w:pStyle w:val="24"/>
              <w:rPr>
                <w:rFonts w:hint="eastAsia" w:ascii="宋体" w:hAnsi="宋体" w:cs="宋体"/>
                <w:b/>
                <w:bCs w:val="0"/>
                <w:sz w:val="24"/>
                <w:szCs w:val="24"/>
              </w:rPr>
            </w:pPr>
            <w:r>
              <w:rPr>
                <w:rFonts w:ascii="宋体" w:hAnsi="宋体" w:cs="宋体"/>
                <w:b/>
                <w:bCs w:val="0"/>
                <w:spacing w:val="-3"/>
                <w:sz w:val="24"/>
                <w:szCs w:val="24"/>
              </w:rPr>
              <w:t>序</w:t>
            </w:r>
            <w:r>
              <w:rPr>
                <w:rFonts w:ascii="宋体" w:hAnsi="宋体" w:cs="宋体"/>
                <w:b/>
                <w:bCs w:val="0"/>
                <w:spacing w:val="-2"/>
                <w:sz w:val="24"/>
                <w:szCs w:val="24"/>
              </w:rPr>
              <w:t>号</w:t>
            </w:r>
          </w:p>
        </w:tc>
        <w:tc>
          <w:tcPr>
            <w:tcW w:w="914" w:type="dxa"/>
            <w:vAlign w:val="center"/>
          </w:tcPr>
          <w:p w14:paraId="4290A960">
            <w:pPr>
              <w:pStyle w:val="24"/>
              <w:rPr>
                <w:rFonts w:hint="eastAsia" w:ascii="宋体" w:hAnsi="宋体" w:cs="宋体"/>
                <w:b/>
                <w:bCs w:val="0"/>
                <w:sz w:val="24"/>
                <w:szCs w:val="24"/>
              </w:rPr>
            </w:pPr>
            <w:r>
              <w:rPr>
                <w:rFonts w:ascii="宋体" w:hAnsi="宋体" w:cs="宋体"/>
                <w:b/>
                <w:bCs w:val="0"/>
                <w:spacing w:val="-5"/>
                <w:sz w:val="24"/>
                <w:szCs w:val="24"/>
              </w:rPr>
              <w:t>核</w:t>
            </w:r>
            <w:r>
              <w:rPr>
                <w:rFonts w:ascii="宋体" w:hAnsi="宋体" w:cs="宋体"/>
                <w:b/>
                <w:bCs w:val="0"/>
                <w:spacing w:val="-4"/>
                <w:sz w:val="24"/>
                <w:szCs w:val="24"/>
              </w:rPr>
              <w:t>素名</w:t>
            </w:r>
            <w:r>
              <w:rPr>
                <w:rFonts w:ascii="宋体" w:hAnsi="宋体" w:cs="宋体"/>
                <w:b/>
                <w:bCs w:val="0"/>
                <w:sz w:val="24"/>
                <w:szCs w:val="24"/>
              </w:rPr>
              <w:t xml:space="preserve"> 称</w:t>
            </w:r>
          </w:p>
        </w:tc>
        <w:tc>
          <w:tcPr>
            <w:tcW w:w="1653" w:type="dxa"/>
            <w:vAlign w:val="center"/>
          </w:tcPr>
          <w:p w14:paraId="42BE94FA">
            <w:pPr>
              <w:pStyle w:val="24"/>
              <w:rPr>
                <w:rFonts w:hint="eastAsia" w:ascii="宋体" w:hAnsi="宋体" w:cs="宋体"/>
                <w:b/>
                <w:bCs w:val="0"/>
                <w:sz w:val="24"/>
                <w:szCs w:val="24"/>
              </w:rPr>
            </w:pPr>
            <w:r>
              <w:rPr>
                <w:rFonts w:ascii="宋体" w:hAnsi="宋体" w:cs="宋体"/>
                <w:b/>
                <w:bCs w:val="0"/>
                <w:spacing w:val="-4"/>
                <w:sz w:val="24"/>
                <w:szCs w:val="24"/>
              </w:rPr>
              <w:t>理</w:t>
            </w:r>
            <w:r>
              <w:rPr>
                <w:rFonts w:ascii="宋体" w:hAnsi="宋体" w:cs="宋体"/>
                <w:b/>
                <w:bCs w:val="0"/>
                <w:spacing w:val="-2"/>
                <w:sz w:val="24"/>
                <w:szCs w:val="24"/>
              </w:rPr>
              <w:t>化性质</w:t>
            </w:r>
          </w:p>
        </w:tc>
        <w:tc>
          <w:tcPr>
            <w:tcW w:w="1150" w:type="dxa"/>
            <w:vAlign w:val="center"/>
          </w:tcPr>
          <w:p w14:paraId="24661124">
            <w:pPr>
              <w:pStyle w:val="24"/>
              <w:rPr>
                <w:rFonts w:hint="eastAsia" w:ascii="宋体" w:hAnsi="宋体" w:cs="宋体"/>
                <w:b/>
                <w:bCs w:val="0"/>
                <w:sz w:val="24"/>
                <w:szCs w:val="24"/>
              </w:rPr>
            </w:pPr>
            <w:r>
              <w:rPr>
                <w:rFonts w:ascii="宋体" w:hAnsi="宋体" w:cs="宋体"/>
                <w:b/>
                <w:bCs w:val="0"/>
                <w:spacing w:val="-4"/>
                <w:sz w:val="24"/>
                <w:szCs w:val="24"/>
              </w:rPr>
              <w:t>活</w:t>
            </w:r>
            <w:r>
              <w:rPr>
                <w:rFonts w:ascii="宋体" w:hAnsi="宋体" w:cs="宋体"/>
                <w:b/>
                <w:bCs w:val="0"/>
                <w:spacing w:val="-2"/>
                <w:sz w:val="24"/>
                <w:szCs w:val="24"/>
              </w:rPr>
              <w:t>动种类</w:t>
            </w:r>
          </w:p>
        </w:tc>
        <w:tc>
          <w:tcPr>
            <w:tcW w:w="1332" w:type="dxa"/>
            <w:vAlign w:val="center"/>
          </w:tcPr>
          <w:p w14:paraId="3F6519B4">
            <w:pPr>
              <w:pStyle w:val="24"/>
              <w:rPr>
                <w:rFonts w:hint="eastAsia" w:ascii="宋体" w:hAnsi="宋体" w:cs="宋体"/>
                <w:b/>
                <w:bCs w:val="0"/>
                <w:sz w:val="24"/>
                <w:szCs w:val="24"/>
              </w:rPr>
            </w:pPr>
            <w:r>
              <w:rPr>
                <w:rFonts w:ascii="宋体" w:hAnsi="宋体" w:cs="宋体"/>
                <w:b/>
                <w:bCs w:val="0"/>
                <w:spacing w:val="-4"/>
                <w:sz w:val="24"/>
                <w:szCs w:val="24"/>
              </w:rPr>
              <w:t>实</w:t>
            </w:r>
            <w:r>
              <w:rPr>
                <w:rFonts w:ascii="宋体" w:hAnsi="宋体" w:cs="宋体"/>
                <w:b/>
                <w:bCs w:val="0"/>
                <w:spacing w:val="-3"/>
                <w:sz w:val="24"/>
                <w:szCs w:val="24"/>
              </w:rPr>
              <w:t>际</w:t>
            </w:r>
            <w:r>
              <w:rPr>
                <w:rFonts w:ascii="宋体" w:hAnsi="宋体" w:cs="宋体"/>
                <w:b/>
                <w:bCs w:val="0"/>
                <w:spacing w:val="-2"/>
                <w:sz w:val="24"/>
                <w:szCs w:val="24"/>
              </w:rPr>
              <w:t>日最大操作量</w:t>
            </w:r>
          </w:p>
          <w:p w14:paraId="2497F186">
            <w:pPr>
              <w:pStyle w:val="24"/>
              <w:rPr>
                <w:rFonts w:hint="eastAsia" w:ascii="宋体" w:hAnsi="宋体" w:cs="宋体"/>
                <w:b/>
                <w:bCs w:val="0"/>
                <w:sz w:val="24"/>
                <w:szCs w:val="24"/>
              </w:rPr>
            </w:pPr>
            <w:r>
              <w:rPr>
                <w:rFonts w:ascii="宋体" w:hAnsi="宋体" w:cs="宋体"/>
                <w:b/>
                <w:bCs w:val="0"/>
                <w:spacing w:val="52"/>
                <w:sz w:val="24"/>
                <w:szCs w:val="24"/>
              </w:rPr>
              <w:t>(</w:t>
            </w:r>
            <w:r>
              <w:rPr>
                <w:rFonts w:eastAsia="Times New Roman"/>
                <w:b/>
                <w:bCs w:val="0"/>
                <w:sz w:val="24"/>
                <w:szCs w:val="24"/>
              </w:rPr>
              <w:t>Bq</w:t>
            </w:r>
            <w:r>
              <w:rPr>
                <w:rFonts w:ascii="宋体" w:hAnsi="宋体" w:cs="宋体"/>
                <w:b/>
                <w:bCs w:val="0"/>
                <w:spacing w:val="52"/>
                <w:sz w:val="24"/>
                <w:szCs w:val="24"/>
              </w:rPr>
              <w:t>)</w:t>
            </w:r>
          </w:p>
        </w:tc>
        <w:tc>
          <w:tcPr>
            <w:tcW w:w="1269" w:type="dxa"/>
            <w:vAlign w:val="center"/>
          </w:tcPr>
          <w:p w14:paraId="0CADBCA5">
            <w:pPr>
              <w:pStyle w:val="24"/>
              <w:rPr>
                <w:rFonts w:hint="eastAsia" w:ascii="宋体" w:hAnsi="宋体" w:cs="宋体"/>
                <w:b/>
                <w:bCs w:val="0"/>
                <w:sz w:val="24"/>
                <w:szCs w:val="24"/>
              </w:rPr>
            </w:pPr>
            <w:r>
              <w:rPr>
                <w:rFonts w:ascii="宋体" w:hAnsi="宋体" w:cs="宋体"/>
                <w:b/>
                <w:bCs w:val="0"/>
                <w:spacing w:val="-9"/>
                <w:sz w:val="24"/>
                <w:szCs w:val="24"/>
              </w:rPr>
              <w:t>日</w:t>
            </w:r>
            <w:r>
              <w:rPr>
                <w:rFonts w:ascii="宋体" w:hAnsi="宋体" w:cs="宋体"/>
                <w:b/>
                <w:bCs w:val="0"/>
                <w:spacing w:val="-8"/>
                <w:sz w:val="24"/>
                <w:szCs w:val="24"/>
              </w:rPr>
              <w:t>等效最大</w:t>
            </w:r>
            <w:r>
              <w:rPr>
                <w:rFonts w:ascii="宋体" w:hAnsi="宋体" w:cs="宋体"/>
                <w:b/>
                <w:bCs w:val="0"/>
                <w:spacing w:val="-2"/>
                <w:sz w:val="24"/>
                <w:szCs w:val="24"/>
              </w:rPr>
              <w:t>操作量</w:t>
            </w:r>
          </w:p>
          <w:p w14:paraId="002AB5FA">
            <w:pPr>
              <w:pStyle w:val="24"/>
              <w:rPr>
                <w:rFonts w:hint="eastAsia" w:ascii="宋体" w:hAnsi="宋体" w:cs="宋体"/>
                <w:b/>
                <w:bCs w:val="0"/>
                <w:sz w:val="24"/>
                <w:szCs w:val="24"/>
              </w:rPr>
            </w:pPr>
            <w:r>
              <w:rPr>
                <w:rFonts w:ascii="宋体" w:hAnsi="宋体" w:cs="宋体"/>
                <w:b/>
                <w:bCs w:val="0"/>
                <w:spacing w:val="52"/>
                <w:sz w:val="24"/>
                <w:szCs w:val="24"/>
              </w:rPr>
              <w:t>(</w:t>
            </w:r>
            <w:r>
              <w:rPr>
                <w:rFonts w:eastAsia="Times New Roman"/>
                <w:b/>
                <w:bCs w:val="0"/>
                <w:sz w:val="24"/>
                <w:szCs w:val="24"/>
              </w:rPr>
              <w:t>Bq</w:t>
            </w:r>
            <w:r>
              <w:rPr>
                <w:rFonts w:ascii="宋体" w:hAnsi="宋体" w:cs="宋体"/>
                <w:b/>
                <w:bCs w:val="0"/>
                <w:spacing w:val="52"/>
                <w:sz w:val="24"/>
                <w:szCs w:val="24"/>
              </w:rPr>
              <w:t>)</w:t>
            </w:r>
          </w:p>
        </w:tc>
        <w:tc>
          <w:tcPr>
            <w:tcW w:w="1399" w:type="dxa"/>
            <w:vAlign w:val="center"/>
          </w:tcPr>
          <w:p w14:paraId="1F7219EB">
            <w:pPr>
              <w:pStyle w:val="24"/>
              <w:rPr>
                <w:rFonts w:hint="eastAsia" w:ascii="宋体" w:hAnsi="宋体" w:cs="宋体"/>
                <w:b/>
                <w:bCs w:val="0"/>
                <w:sz w:val="24"/>
                <w:szCs w:val="24"/>
              </w:rPr>
            </w:pPr>
            <w:r>
              <w:rPr>
                <w:rFonts w:ascii="宋体" w:hAnsi="宋体" w:cs="宋体"/>
                <w:b/>
                <w:bCs w:val="0"/>
                <w:spacing w:val="-2"/>
                <w:sz w:val="24"/>
                <w:szCs w:val="24"/>
              </w:rPr>
              <w:t>年最大用</w:t>
            </w:r>
            <w:r>
              <w:rPr>
                <w:rFonts w:ascii="宋体" w:hAnsi="宋体" w:cs="宋体"/>
                <w:b/>
                <w:bCs w:val="0"/>
                <w:spacing w:val="-1"/>
                <w:sz w:val="24"/>
                <w:szCs w:val="24"/>
              </w:rPr>
              <w:t>量</w:t>
            </w:r>
            <w:r>
              <w:rPr>
                <w:rFonts w:ascii="宋体" w:hAnsi="宋体" w:cs="宋体"/>
                <w:b/>
                <w:bCs w:val="0"/>
                <w:spacing w:val="52"/>
                <w:sz w:val="24"/>
                <w:szCs w:val="24"/>
              </w:rPr>
              <w:t>(</w:t>
            </w:r>
            <w:r>
              <w:rPr>
                <w:rFonts w:eastAsia="Times New Roman"/>
                <w:b/>
                <w:bCs w:val="0"/>
                <w:sz w:val="24"/>
                <w:szCs w:val="24"/>
              </w:rPr>
              <w:t>Bq</w:t>
            </w:r>
            <w:r>
              <w:rPr>
                <w:rFonts w:ascii="宋体" w:hAnsi="宋体" w:cs="宋体"/>
                <w:b/>
                <w:bCs w:val="0"/>
                <w:spacing w:val="52"/>
                <w:sz w:val="24"/>
                <w:szCs w:val="24"/>
              </w:rPr>
              <w:t>)</w:t>
            </w:r>
          </w:p>
        </w:tc>
        <w:tc>
          <w:tcPr>
            <w:tcW w:w="1166" w:type="dxa"/>
            <w:vAlign w:val="center"/>
          </w:tcPr>
          <w:p w14:paraId="775917BC">
            <w:pPr>
              <w:pStyle w:val="24"/>
              <w:rPr>
                <w:rFonts w:hint="eastAsia" w:ascii="宋体" w:hAnsi="宋体" w:cs="宋体"/>
                <w:b/>
                <w:bCs w:val="0"/>
                <w:sz w:val="24"/>
                <w:szCs w:val="24"/>
              </w:rPr>
            </w:pPr>
            <w:r>
              <w:rPr>
                <w:rFonts w:ascii="宋体" w:hAnsi="宋体" w:cs="宋体"/>
                <w:b/>
                <w:bCs w:val="0"/>
                <w:spacing w:val="-3"/>
                <w:sz w:val="24"/>
                <w:szCs w:val="24"/>
              </w:rPr>
              <w:t>用途</w:t>
            </w:r>
          </w:p>
        </w:tc>
        <w:tc>
          <w:tcPr>
            <w:tcW w:w="1099" w:type="dxa"/>
            <w:vAlign w:val="center"/>
          </w:tcPr>
          <w:p w14:paraId="2FF071C5">
            <w:pPr>
              <w:pStyle w:val="24"/>
              <w:rPr>
                <w:rFonts w:hint="eastAsia" w:ascii="宋体" w:hAnsi="宋体" w:cs="宋体"/>
                <w:b/>
                <w:bCs w:val="0"/>
                <w:sz w:val="24"/>
                <w:szCs w:val="24"/>
              </w:rPr>
            </w:pPr>
            <w:r>
              <w:rPr>
                <w:rFonts w:ascii="宋体" w:hAnsi="宋体" w:cs="宋体"/>
                <w:b/>
                <w:bCs w:val="0"/>
                <w:spacing w:val="-2"/>
                <w:sz w:val="24"/>
                <w:szCs w:val="24"/>
              </w:rPr>
              <w:t>操作方</w:t>
            </w:r>
            <w:r>
              <w:rPr>
                <w:rFonts w:ascii="宋体" w:hAnsi="宋体" w:cs="宋体"/>
                <w:b/>
                <w:bCs w:val="0"/>
                <w:spacing w:val="-1"/>
                <w:sz w:val="24"/>
                <w:szCs w:val="24"/>
              </w:rPr>
              <w:t>式</w:t>
            </w:r>
          </w:p>
        </w:tc>
        <w:tc>
          <w:tcPr>
            <w:tcW w:w="972" w:type="dxa"/>
            <w:vAlign w:val="center"/>
          </w:tcPr>
          <w:p w14:paraId="364970C1">
            <w:pPr>
              <w:pStyle w:val="24"/>
              <w:rPr>
                <w:rFonts w:hint="eastAsia" w:ascii="宋体" w:hAnsi="宋体" w:cs="宋体"/>
                <w:b/>
                <w:bCs w:val="0"/>
                <w:sz w:val="24"/>
                <w:szCs w:val="24"/>
              </w:rPr>
            </w:pPr>
            <w:r>
              <w:rPr>
                <w:rFonts w:ascii="宋体" w:hAnsi="宋体" w:cs="宋体"/>
                <w:b/>
                <w:bCs w:val="0"/>
                <w:spacing w:val="-2"/>
                <w:sz w:val="24"/>
                <w:szCs w:val="24"/>
              </w:rPr>
              <w:t>使用场所</w:t>
            </w:r>
          </w:p>
        </w:tc>
        <w:tc>
          <w:tcPr>
            <w:tcW w:w="2385" w:type="dxa"/>
            <w:vAlign w:val="center"/>
          </w:tcPr>
          <w:p w14:paraId="3A775BF4">
            <w:pPr>
              <w:pStyle w:val="24"/>
              <w:rPr>
                <w:rFonts w:hint="eastAsia" w:ascii="宋体" w:hAnsi="宋体" w:cs="宋体"/>
                <w:b/>
                <w:bCs w:val="0"/>
                <w:sz w:val="24"/>
                <w:szCs w:val="24"/>
              </w:rPr>
            </w:pPr>
            <w:r>
              <w:rPr>
                <w:rFonts w:ascii="宋体" w:hAnsi="宋体" w:cs="宋体"/>
                <w:b/>
                <w:bCs w:val="0"/>
                <w:spacing w:val="-2"/>
                <w:sz w:val="24"/>
                <w:szCs w:val="24"/>
              </w:rPr>
              <w:t>贮存</w:t>
            </w:r>
            <w:r>
              <w:rPr>
                <w:rFonts w:ascii="宋体" w:hAnsi="宋体" w:cs="宋体"/>
                <w:b/>
                <w:bCs w:val="0"/>
                <w:spacing w:val="-1"/>
                <w:sz w:val="24"/>
                <w:szCs w:val="24"/>
              </w:rPr>
              <w:t>方式与地点</w:t>
            </w:r>
          </w:p>
        </w:tc>
      </w:tr>
      <w:tr w14:paraId="7B685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624" w:type="dxa"/>
            <w:vAlign w:val="center"/>
          </w:tcPr>
          <w:p w14:paraId="3B4FC564">
            <w:pPr>
              <w:pStyle w:val="24"/>
              <w:rPr>
                <w:rFonts w:eastAsia="Times New Roman"/>
                <w:sz w:val="24"/>
                <w:szCs w:val="24"/>
              </w:rPr>
            </w:pPr>
            <w:r>
              <w:rPr>
                <w:rFonts w:eastAsia="Times New Roman"/>
                <w:sz w:val="24"/>
                <w:szCs w:val="24"/>
              </w:rPr>
              <w:t>/</w:t>
            </w:r>
          </w:p>
        </w:tc>
        <w:tc>
          <w:tcPr>
            <w:tcW w:w="914" w:type="dxa"/>
            <w:vAlign w:val="center"/>
          </w:tcPr>
          <w:p w14:paraId="7E547301">
            <w:pPr>
              <w:pStyle w:val="24"/>
              <w:rPr>
                <w:rFonts w:eastAsia="Times New Roman"/>
                <w:sz w:val="24"/>
                <w:szCs w:val="24"/>
              </w:rPr>
            </w:pPr>
            <w:r>
              <w:rPr>
                <w:rFonts w:eastAsia="Times New Roman"/>
                <w:sz w:val="24"/>
                <w:szCs w:val="24"/>
              </w:rPr>
              <w:t>/</w:t>
            </w:r>
          </w:p>
        </w:tc>
        <w:tc>
          <w:tcPr>
            <w:tcW w:w="1653" w:type="dxa"/>
            <w:vAlign w:val="center"/>
          </w:tcPr>
          <w:p w14:paraId="08CCD9DD">
            <w:pPr>
              <w:pStyle w:val="24"/>
              <w:rPr>
                <w:rFonts w:eastAsia="Times New Roman"/>
                <w:sz w:val="24"/>
                <w:szCs w:val="24"/>
              </w:rPr>
            </w:pPr>
            <w:r>
              <w:rPr>
                <w:rFonts w:eastAsia="Times New Roman"/>
                <w:sz w:val="24"/>
                <w:szCs w:val="24"/>
              </w:rPr>
              <w:t>/</w:t>
            </w:r>
          </w:p>
        </w:tc>
        <w:tc>
          <w:tcPr>
            <w:tcW w:w="1150" w:type="dxa"/>
            <w:vAlign w:val="center"/>
          </w:tcPr>
          <w:p w14:paraId="35CEA75C">
            <w:pPr>
              <w:pStyle w:val="24"/>
              <w:rPr>
                <w:rFonts w:eastAsia="Times New Roman"/>
                <w:sz w:val="24"/>
                <w:szCs w:val="24"/>
              </w:rPr>
            </w:pPr>
            <w:r>
              <w:rPr>
                <w:rFonts w:eastAsia="Times New Roman"/>
                <w:sz w:val="24"/>
                <w:szCs w:val="24"/>
              </w:rPr>
              <w:t>/</w:t>
            </w:r>
          </w:p>
        </w:tc>
        <w:tc>
          <w:tcPr>
            <w:tcW w:w="1332" w:type="dxa"/>
            <w:vAlign w:val="center"/>
          </w:tcPr>
          <w:p w14:paraId="53F7577A">
            <w:pPr>
              <w:pStyle w:val="24"/>
              <w:rPr>
                <w:rFonts w:eastAsia="Times New Roman"/>
                <w:sz w:val="24"/>
                <w:szCs w:val="24"/>
              </w:rPr>
            </w:pPr>
            <w:r>
              <w:rPr>
                <w:rFonts w:eastAsia="Times New Roman"/>
                <w:sz w:val="24"/>
                <w:szCs w:val="24"/>
              </w:rPr>
              <w:t>/</w:t>
            </w:r>
          </w:p>
        </w:tc>
        <w:tc>
          <w:tcPr>
            <w:tcW w:w="1269" w:type="dxa"/>
            <w:vAlign w:val="center"/>
          </w:tcPr>
          <w:p w14:paraId="52E3C21B">
            <w:pPr>
              <w:pStyle w:val="24"/>
              <w:rPr>
                <w:rFonts w:eastAsia="Times New Roman"/>
                <w:sz w:val="24"/>
                <w:szCs w:val="24"/>
              </w:rPr>
            </w:pPr>
            <w:r>
              <w:rPr>
                <w:rFonts w:eastAsia="Times New Roman"/>
                <w:sz w:val="24"/>
                <w:szCs w:val="24"/>
              </w:rPr>
              <w:t>/</w:t>
            </w:r>
          </w:p>
        </w:tc>
        <w:tc>
          <w:tcPr>
            <w:tcW w:w="1399" w:type="dxa"/>
            <w:vAlign w:val="center"/>
          </w:tcPr>
          <w:p w14:paraId="069A5709">
            <w:pPr>
              <w:pStyle w:val="24"/>
              <w:rPr>
                <w:rFonts w:eastAsia="Times New Roman"/>
                <w:sz w:val="24"/>
                <w:szCs w:val="24"/>
              </w:rPr>
            </w:pPr>
            <w:r>
              <w:rPr>
                <w:rFonts w:eastAsia="Times New Roman"/>
                <w:sz w:val="24"/>
                <w:szCs w:val="24"/>
              </w:rPr>
              <w:t>/</w:t>
            </w:r>
          </w:p>
        </w:tc>
        <w:tc>
          <w:tcPr>
            <w:tcW w:w="1166" w:type="dxa"/>
            <w:vAlign w:val="center"/>
          </w:tcPr>
          <w:p w14:paraId="6A09A3D9">
            <w:pPr>
              <w:pStyle w:val="24"/>
              <w:rPr>
                <w:rFonts w:eastAsia="Times New Roman"/>
                <w:sz w:val="24"/>
                <w:szCs w:val="24"/>
              </w:rPr>
            </w:pPr>
            <w:r>
              <w:rPr>
                <w:rFonts w:eastAsia="Times New Roman"/>
                <w:sz w:val="24"/>
                <w:szCs w:val="24"/>
              </w:rPr>
              <w:t>/</w:t>
            </w:r>
          </w:p>
        </w:tc>
        <w:tc>
          <w:tcPr>
            <w:tcW w:w="1099" w:type="dxa"/>
            <w:vAlign w:val="center"/>
          </w:tcPr>
          <w:p w14:paraId="0EDFA2C9">
            <w:pPr>
              <w:pStyle w:val="24"/>
              <w:rPr>
                <w:rFonts w:eastAsia="Times New Roman"/>
                <w:sz w:val="24"/>
                <w:szCs w:val="24"/>
              </w:rPr>
            </w:pPr>
            <w:r>
              <w:rPr>
                <w:rFonts w:eastAsia="Times New Roman"/>
                <w:sz w:val="24"/>
                <w:szCs w:val="24"/>
              </w:rPr>
              <w:t>/</w:t>
            </w:r>
          </w:p>
        </w:tc>
        <w:tc>
          <w:tcPr>
            <w:tcW w:w="972" w:type="dxa"/>
            <w:vAlign w:val="center"/>
          </w:tcPr>
          <w:p w14:paraId="3474C286">
            <w:pPr>
              <w:pStyle w:val="24"/>
              <w:rPr>
                <w:rFonts w:eastAsia="Times New Roman"/>
                <w:sz w:val="24"/>
                <w:szCs w:val="24"/>
              </w:rPr>
            </w:pPr>
            <w:r>
              <w:rPr>
                <w:rFonts w:eastAsia="Times New Roman"/>
                <w:sz w:val="24"/>
                <w:szCs w:val="24"/>
              </w:rPr>
              <w:t>/</w:t>
            </w:r>
          </w:p>
        </w:tc>
        <w:tc>
          <w:tcPr>
            <w:tcW w:w="2385" w:type="dxa"/>
            <w:vAlign w:val="center"/>
          </w:tcPr>
          <w:p w14:paraId="7E576FC9">
            <w:pPr>
              <w:pStyle w:val="24"/>
              <w:rPr>
                <w:rFonts w:eastAsia="Times New Roman"/>
                <w:sz w:val="24"/>
                <w:szCs w:val="24"/>
              </w:rPr>
            </w:pPr>
            <w:r>
              <w:rPr>
                <w:rFonts w:eastAsia="Times New Roman"/>
                <w:sz w:val="24"/>
                <w:szCs w:val="24"/>
              </w:rPr>
              <w:t>/</w:t>
            </w:r>
          </w:p>
        </w:tc>
      </w:tr>
      <w:tr w14:paraId="0F9ED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624" w:type="dxa"/>
            <w:vAlign w:val="center"/>
          </w:tcPr>
          <w:p w14:paraId="6D88EDC4">
            <w:pPr>
              <w:pStyle w:val="24"/>
            </w:pPr>
          </w:p>
        </w:tc>
        <w:tc>
          <w:tcPr>
            <w:tcW w:w="914" w:type="dxa"/>
            <w:vAlign w:val="center"/>
          </w:tcPr>
          <w:p w14:paraId="391671D0">
            <w:pPr>
              <w:pStyle w:val="24"/>
            </w:pPr>
          </w:p>
        </w:tc>
        <w:tc>
          <w:tcPr>
            <w:tcW w:w="1653" w:type="dxa"/>
            <w:vAlign w:val="center"/>
          </w:tcPr>
          <w:p w14:paraId="2D190AE9">
            <w:pPr>
              <w:pStyle w:val="24"/>
            </w:pPr>
          </w:p>
        </w:tc>
        <w:tc>
          <w:tcPr>
            <w:tcW w:w="1150" w:type="dxa"/>
            <w:vAlign w:val="center"/>
          </w:tcPr>
          <w:p w14:paraId="34C45806">
            <w:pPr>
              <w:pStyle w:val="24"/>
            </w:pPr>
          </w:p>
        </w:tc>
        <w:tc>
          <w:tcPr>
            <w:tcW w:w="1332" w:type="dxa"/>
            <w:vAlign w:val="center"/>
          </w:tcPr>
          <w:p w14:paraId="6B71ADAD">
            <w:pPr>
              <w:pStyle w:val="24"/>
            </w:pPr>
          </w:p>
        </w:tc>
        <w:tc>
          <w:tcPr>
            <w:tcW w:w="1269" w:type="dxa"/>
            <w:vAlign w:val="center"/>
          </w:tcPr>
          <w:p w14:paraId="0320BB57">
            <w:pPr>
              <w:pStyle w:val="24"/>
            </w:pPr>
          </w:p>
        </w:tc>
        <w:tc>
          <w:tcPr>
            <w:tcW w:w="1399" w:type="dxa"/>
            <w:vAlign w:val="center"/>
          </w:tcPr>
          <w:p w14:paraId="19BFA4E4">
            <w:pPr>
              <w:pStyle w:val="24"/>
            </w:pPr>
          </w:p>
        </w:tc>
        <w:tc>
          <w:tcPr>
            <w:tcW w:w="1166" w:type="dxa"/>
            <w:vAlign w:val="center"/>
          </w:tcPr>
          <w:p w14:paraId="68257FB7">
            <w:pPr>
              <w:pStyle w:val="24"/>
            </w:pPr>
          </w:p>
        </w:tc>
        <w:tc>
          <w:tcPr>
            <w:tcW w:w="1099" w:type="dxa"/>
            <w:vAlign w:val="center"/>
          </w:tcPr>
          <w:p w14:paraId="01A18BDE">
            <w:pPr>
              <w:pStyle w:val="24"/>
            </w:pPr>
          </w:p>
        </w:tc>
        <w:tc>
          <w:tcPr>
            <w:tcW w:w="972" w:type="dxa"/>
            <w:vAlign w:val="center"/>
          </w:tcPr>
          <w:p w14:paraId="2D7F64D8">
            <w:pPr>
              <w:pStyle w:val="24"/>
            </w:pPr>
          </w:p>
        </w:tc>
        <w:tc>
          <w:tcPr>
            <w:tcW w:w="2385" w:type="dxa"/>
            <w:vAlign w:val="center"/>
          </w:tcPr>
          <w:p w14:paraId="0B4C77DB">
            <w:pPr>
              <w:pStyle w:val="24"/>
            </w:pPr>
          </w:p>
        </w:tc>
      </w:tr>
      <w:tr w14:paraId="6A06C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624" w:type="dxa"/>
            <w:vAlign w:val="center"/>
          </w:tcPr>
          <w:p w14:paraId="5B1859E6">
            <w:pPr>
              <w:pStyle w:val="24"/>
            </w:pPr>
          </w:p>
        </w:tc>
        <w:tc>
          <w:tcPr>
            <w:tcW w:w="914" w:type="dxa"/>
            <w:vAlign w:val="center"/>
          </w:tcPr>
          <w:p w14:paraId="503DA801">
            <w:pPr>
              <w:pStyle w:val="24"/>
            </w:pPr>
          </w:p>
        </w:tc>
        <w:tc>
          <w:tcPr>
            <w:tcW w:w="1653" w:type="dxa"/>
            <w:vAlign w:val="center"/>
          </w:tcPr>
          <w:p w14:paraId="68630F9E">
            <w:pPr>
              <w:pStyle w:val="24"/>
            </w:pPr>
          </w:p>
        </w:tc>
        <w:tc>
          <w:tcPr>
            <w:tcW w:w="1150" w:type="dxa"/>
            <w:vAlign w:val="center"/>
          </w:tcPr>
          <w:p w14:paraId="3B5B17C3">
            <w:pPr>
              <w:pStyle w:val="24"/>
            </w:pPr>
          </w:p>
        </w:tc>
        <w:tc>
          <w:tcPr>
            <w:tcW w:w="1332" w:type="dxa"/>
            <w:vAlign w:val="center"/>
          </w:tcPr>
          <w:p w14:paraId="30AB54E1">
            <w:pPr>
              <w:pStyle w:val="24"/>
            </w:pPr>
          </w:p>
        </w:tc>
        <w:tc>
          <w:tcPr>
            <w:tcW w:w="1269" w:type="dxa"/>
            <w:vAlign w:val="center"/>
          </w:tcPr>
          <w:p w14:paraId="37E408B1">
            <w:pPr>
              <w:pStyle w:val="24"/>
            </w:pPr>
          </w:p>
        </w:tc>
        <w:tc>
          <w:tcPr>
            <w:tcW w:w="1399" w:type="dxa"/>
            <w:vAlign w:val="center"/>
          </w:tcPr>
          <w:p w14:paraId="422E36AF">
            <w:pPr>
              <w:pStyle w:val="24"/>
            </w:pPr>
          </w:p>
        </w:tc>
        <w:tc>
          <w:tcPr>
            <w:tcW w:w="1166" w:type="dxa"/>
            <w:vAlign w:val="center"/>
          </w:tcPr>
          <w:p w14:paraId="01F49CE3">
            <w:pPr>
              <w:pStyle w:val="24"/>
            </w:pPr>
          </w:p>
        </w:tc>
        <w:tc>
          <w:tcPr>
            <w:tcW w:w="1099" w:type="dxa"/>
            <w:vAlign w:val="center"/>
          </w:tcPr>
          <w:p w14:paraId="2033649E">
            <w:pPr>
              <w:pStyle w:val="24"/>
            </w:pPr>
          </w:p>
        </w:tc>
        <w:tc>
          <w:tcPr>
            <w:tcW w:w="972" w:type="dxa"/>
            <w:vAlign w:val="center"/>
          </w:tcPr>
          <w:p w14:paraId="6EA7C50F">
            <w:pPr>
              <w:pStyle w:val="24"/>
            </w:pPr>
          </w:p>
        </w:tc>
        <w:tc>
          <w:tcPr>
            <w:tcW w:w="2385" w:type="dxa"/>
            <w:vAlign w:val="center"/>
          </w:tcPr>
          <w:p w14:paraId="353FC21E">
            <w:pPr>
              <w:pStyle w:val="24"/>
            </w:pPr>
          </w:p>
        </w:tc>
      </w:tr>
    </w:tbl>
    <w:p w14:paraId="203A4C14">
      <w:pPr>
        <w:pStyle w:val="6"/>
      </w:pPr>
      <w:r>
        <w:rPr>
          <w:spacing w:val="8"/>
        </w:rPr>
        <w:t>注</w:t>
      </w:r>
      <w:r>
        <w:t>：日等效最大操作量和操作方式见《电离辐射防护与辐射源安全基本标准》(</w:t>
      </w:r>
      <w:r>
        <w:rPr>
          <w:rFonts w:eastAsia="Times New Roman" w:cs="Times New Roman"/>
        </w:rPr>
        <w:t>GB 18871-2002</w:t>
      </w:r>
      <w:r>
        <w:t>)。</w:t>
      </w:r>
    </w:p>
    <w:p w14:paraId="7785696A">
      <w:pPr>
        <w:sectPr>
          <w:footerReference r:id="rId6" w:type="default"/>
          <w:pgSz w:w="16841" w:h="11907"/>
          <w:pgMar w:top="1012" w:right="1432" w:bottom="1323" w:left="1435" w:header="0" w:footer="1134" w:gutter="0"/>
          <w:cols w:space="720" w:num="1"/>
          <w:docGrid w:linePitch="286" w:charSpace="0"/>
        </w:sectPr>
      </w:pPr>
    </w:p>
    <w:p w14:paraId="5429F2A8">
      <w:pPr>
        <w:pStyle w:val="11"/>
      </w:pPr>
      <w:r>
        <w:t>表 4  射线装置</w:t>
      </w:r>
    </w:p>
    <w:p w14:paraId="684EE747">
      <w:pPr>
        <w:pStyle w:val="2"/>
        <w:ind w:firstLine="480"/>
      </w:pPr>
      <w:r>
        <w:t>(一)加速器： 包括医用、工农业、科研、教学等用途的各种类型加速器</w:t>
      </w:r>
    </w:p>
    <w:p w14:paraId="360B7D3D">
      <w:pPr>
        <w:spacing w:line="119" w:lineRule="exact"/>
      </w:pPr>
    </w:p>
    <w:tbl>
      <w:tblPr>
        <w:tblStyle w:val="15"/>
        <w:tblW w:w="13886" w:type="dxa"/>
        <w:tblInd w:w="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377"/>
        <w:gridCol w:w="976"/>
        <w:gridCol w:w="1342"/>
        <w:gridCol w:w="1324"/>
        <w:gridCol w:w="1262"/>
        <w:gridCol w:w="1392"/>
        <w:gridCol w:w="1591"/>
        <w:gridCol w:w="1277"/>
        <w:gridCol w:w="1622"/>
        <w:gridCol w:w="1101"/>
      </w:tblGrid>
      <w:tr w14:paraId="65D4A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622" w:type="dxa"/>
            <w:vAlign w:val="center"/>
          </w:tcPr>
          <w:p w14:paraId="71D05CF5">
            <w:pPr>
              <w:pStyle w:val="24"/>
              <w:rPr>
                <w:rFonts w:hint="eastAsia" w:ascii="宋体" w:hAnsi="宋体" w:cs="宋体"/>
                <w:b/>
                <w:bCs w:val="0"/>
              </w:rPr>
            </w:pPr>
            <w:r>
              <w:rPr>
                <w:rFonts w:ascii="宋体" w:hAnsi="宋体" w:cs="宋体"/>
                <w:b/>
                <w:bCs w:val="0"/>
                <w:spacing w:val="-3"/>
              </w:rPr>
              <w:t>序</w:t>
            </w:r>
            <w:r>
              <w:rPr>
                <w:rFonts w:ascii="宋体" w:hAnsi="宋体" w:cs="宋体"/>
                <w:b/>
                <w:bCs w:val="0"/>
                <w:spacing w:val="-2"/>
              </w:rPr>
              <w:t>号</w:t>
            </w:r>
          </w:p>
        </w:tc>
        <w:tc>
          <w:tcPr>
            <w:tcW w:w="1377" w:type="dxa"/>
            <w:vAlign w:val="center"/>
          </w:tcPr>
          <w:p w14:paraId="618B0E00">
            <w:pPr>
              <w:pStyle w:val="24"/>
              <w:rPr>
                <w:rFonts w:hint="eastAsia" w:ascii="宋体" w:hAnsi="宋体" w:cs="宋体"/>
                <w:b/>
                <w:bCs w:val="0"/>
              </w:rPr>
            </w:pPr>
            <w:r>
              <w:rPr>
                <w:rFonts w:ascii="宋体" w:hAnsi="宋体" w:cs="宋体"/>
                <w:b/>
                <w:bCs w:val="0"/>
                <w:spacing w:val="-4"/>
              </w:rPr>
              <w:t>名</w:t>
            </w:r>
            <w:r>
              <w:rPr>
                <w:rFonts w:ascii="宋体" w:hAnsi="宋体" w:cs="宋体"/>
                <w:b/>
                <w:bCs w:val="0"/>
                <w:spacing w:val="-3"/>
              </w:rPr>
              <w:t>称</w:t>
            </w:r>
          </w:p>
        </w:tc>
        <w:tc>
          <w:tcPr>
            <w:tcW w:w="976" w:type="dxa"/>
            <w:vAlign w:val="center"/>
          </w:tcPr>
          <w:p w14:paraId="2EA4FE87">
            <w:pPr>
              <w:pStyle w:val="24"/>
              <w:rPr>
                <w:rFonts w:hint="eastAsia" w:ascii="宋体" w:hAnsi="宋体" w:cs="宋体"/>
                <w:b/>
                <w:bCs w:val="0"/>
              </w:rPr>
            </w:pPr>
            <w:r>
              <w:rPr>
                <w:rFonts w:ascii="宋体" w:hAnsi="宋体" w:cs="宋体"/>
                <w:b/>
                <w:bCs w:val="0"/>
                <w:spacing w:val="-3"/>
              </w:rPr>
              <w:t>类</w:t>
            </w:r>
            <w:r>
              <w:rPr>
                <w:rFonts w:ascii="宋体" w:hAnsi="宋体" w:cs="宋体"/>
                <w:b/>
                <w:bCs w:val="0"/>
                <w:spacing w:val="-2"/>
              </w:rPr>
              <w:t>别</w:t>
            </w:r>
          </w:p>
        </w:tc>
        <w:tc>
          <w:tcPr>
            <w:tcW w:w="1342" w:type="dxa"/>
            <w:vAlign w:val="center"/>
          </w:tcPr>
          <w:p w14:paraId="0AC5436F">
            <w:pPr>
              <w:pStyle w:val="24"/>
              <w:rPr>
                <w:rFonts w:hint="eastAsia" w:ascii="宋体" w:hAnsi="宋体" w:cs="宋体"/>
                <w:b/>
                <w:bCs w:val="0"/>
              </w:rPr>
            </w:pPr>
            <w:r>
              <w:rPr>
                <w:rFonts w:ascii="宋体" w:hAnsi="宋体" w:cs="宋体"/>
                <w:b/>
                <w:bCs w:val="0"/>
                <w:spacing w:val="-3"/>
              </w:rPr>
              <w:t>数量</w:t>
            </w:r>
          </w:p>
        </w:tc>
        <w:tc>
          <w:tcPr>
            <w:tcW w:w="1324" w:type="dxa"/>
            <w:vAlign w:val="center"/>
          </w:tcPr>
          <w:p w14:paraId="4CB8AA40">
            <w:pPr>
              <w:pStyle w:val="24"/>
              <w:rPr>
                <w:rFonts w:hint="eastAsia" w:ascii="宋体" w:hAnsi="宋体" w:cs="宋体"/>
                <w:b/>
                <w:bCs w:val="0"/>
              </w:rPr>
            </w:pPr>
            <w:r>
              <w:rPr>
                <w:rFonts w:ascii="宋体" w:hAnsi="宋体" w:cs="宋体"/>
                <w:b/>
                <w:bCs w:val="0"/>
                <w:spacing w:val="-5"/>
              </w:rPr>
              <w:t>型</w:t>
            </w:r>
            <w:r>
              <w:rPr>
                <w:rFonts w:ascii="宋体" w:hAnsi="宋体" w:cs="宋体"/>
                <w:b/>
                <w:bCs w:val="0"/>
                <w:spacing w:val="-4"/>
              </w:rPr>
              <w:t>号</w:t>
            </w:r>
          </w:p>
        </w:tc>
        <w:tc>
          <w:tcPr>
            <w:tcW w:w="1262" w:type="dxa"/>
            <w:vAlign w:val="center"/>
          </w:tcPr>
          <w:p w14:paraId="63684A8A">
            <w:pPr>
              <w:pStyle w:val="24"/>
              <w:rPr>
                <w:rFonts w:hint="eastAsia" w:ascii="宋体" w:hAnsi="宋体" w:cs="宋体"/>
                <w:b/>
                <w:bCs w:val="0"/>
              </w:rPr>
            </w:pPr>
            <w:r>
              <w:rPr>
                <w:rFonts w:ascii="宋体" w:hAnsi="宋体" w:cs="宋体"/>
                <w:b/>
                <w:bCs w:val="0"/>
                <w:spacing w:val="-2"/>
              </w:rPr>
              <w:t>加速粒子</w:t>
            </w:r>
          </w:p>
        </w:tc>
        <w:tc>
          <w:tcPr>
            <w:tcW w:w="1392" w:type="dxa"/>
            <w:vAlign w:val="center"/>
          </w:tcPr>
          <w:p w14:paraId="3300828D">
            <w:pPr>
              <w:pStyle w:val="24"/>
              <w:rPr>
                <w:rFonts w:hint="eastAsia" w:ascii="宋体" w:hAnsi="宋体" w:cs="宋体"/>
                <w:b/>
                <w:bCs w:val="0"/>
              </w:rPr>
            </w:pPr>
            <w:r>
              <w:rPr>
                <w:rFonts w:ascii="宋体" w:hAnsi="宋体" w:cs="宋体"/>
                <w:b/>
                <w:bCs w:val="0"/>
                <w:spacing w:val="-4"/>
              </w:rPr>
              <w:t>最</w:t>
            </w:r>
            <w:r>
              <w:rPr>
                <w:rFonts w:ascii="宋体" w:hAnsi="宋体" w:cs="宋体"/>
                <w:b/>
                <w:bCs w:val="0"/>
                <w:spacing w:val="-3"/>
              </w:rPr>
              <w:t>大能量</w:t>
            </w:r>
            <w:r>
              <w:rPr>
                <w:rFonts w:ascii="宋体" w:hAnsi="宋体" w:cs="宋体"/>
                <w:b/>
                <w:bCs w:val="0"/>
              </w:rPr>
              <w:t xml:space="preserve"> </w:t>
            </w:r>
            <w:r>
              <w:rPr>
                <w:rFonts w:ascii="宋体" w:hAnsi="宋体" w:cs="宋体"/>
                <w:b/>
                <w:bCs w:val="0"/>
                <w:spacing w:val="44"/>
              </w:rPr>
              <w:t>(</w:t>
            </w:r>
            <w:r>
              <w:rPr>
                <w:rFonts w:eastAsia="Times New Roman"/>
                <w:b/>
                <w:bCs w:val="0"/>
              </w:rPr>
              <w:t>MeV</w:t>
            </w:r>
            <w:r>
              <w:rPr>
                <w:rFonts w:ascii="宋体" w:hAnsi="宋体" w:cs="宋体"/>
                <w:b/>
                <w:bCs w:val="0"/>
                <w:spacing w:val="43"/>
              </w:rPr>
              <w:t>)</w:t>
            </w:r>
          </w:p>
        </w:tc>
        <w:tc>
          <w:tcPr>
            <w:tcW w:w="1591" w:type="dxa"/>
            <w:vAlign w:val="center"/>
          </w:tcPr>
          <w:p w14:paraId="359D1CB6">
            <w:pPr>
              <w:pStyle w:val="24"/>
              <w:rPr>
                <w:rFonts w:hint="eastAsia" w:ascii="宋体" w:hAnsi="宋体" w:cs="宋体"/>
                <w:b/>
                <w:bCs w:val="0"/>
              </w:rPr>
            </w:pPr>
            <w:r>
              <w:rPr>
                <w:rFonts w:ascii="宋体" w:hAnsi="宋体" w:cs="宋体"/>
                <w:b/>
                <w:bCs w:val="0"/>
                <w:spacing w:val="-4"/>
              </w:rPr>
              <w:t>额</w:t>
            </w:r>
            <w:r>
              <w:rPr>
                <w:rFonts w:ascii="宋体" w:hAnsi="宋体" w:cs="宋体"/>
                <w:b/>
                <w:bCs w:val="0"/>
                <w:spacing w:val="-2"/>
              </w:rPr>
              <w:t>定电流</w:t>
            </w:r>
            <w:r>
              <w:rPr>
                <w:rFonts w:ascii="宋体" w:hAnsi="宋体" w:cs="宋体"/>
                <w:b/>
                <w:bCs w:val="0"/>
                <w:spacing w:val="19"/>
              </w:rPr>
              <w:t>(</w:t>
            </w:r>
            <w:r>
              <w:rPr>
                <w:rFonts w:eastAsia="Times New Roman"/>
                <w:b/>
                <w:bCs w:val="0"/>
              </w:rPr>
              <w:t>mA</w:t>
            </w:r>
            <w:r>
              <w:rPr>
                <w:rFonts w:ascii="宋体" w:hAnsi="宋体" w:cs="宋体"/>
                <w:b/>
                <w:bCs w:val="0"/>
                <w:spacing w:val="17"/>
              </w:rPr>
              <w:t xml:space="preserve">) </w:t>
            </w:r>
            <w:r>
              <w:rPr>
                <w:rFonts w:eastAsia="Times New Roman"/>
                <w:b/>
                <w:bCs w:val="0"/>
                <w:spacing w:val="17"/>
              </w:rPr>
              <w:t>/</w:t>
            </w:r>
            <w:r>
              <w:rPr>
                <w:rFonts w:ascii="宋体" w:hAnsi="宋体" w:cs="宋体"/>
                <w:b/>
                <w:bCs w:val="0"/>
                <w:spacing w:val="17"/>
              </w:rPr>
              <w:t>剂量</w:t>
            </w:r>
            <w:r>
              <w:rPr>
                <w:rFonts w:ascii="宋体" w:hAnsi="宋体" w:cs="宋体"/>
                <w:b/>
                <w:bCs w:val="0"/>
                <w:spacing w:val="50"/>
              </w:rPr>
              <w:t>率</w:t>
            </w:r>
            <w:r>
              <w:rPr>
                <w:rFonts w:ascii="宋体" w:hAnsi="宋体" w:cs="宋体"/>
                <w:b/>
                <w:bCs w:val="0"/>
                <w:spacing w:val="49"/>
              </w:rPr>
              <w:t>(</w:t>
            </w:r>
            <w:r>
              <w:rPr>
                <w:rFonts w:eastAsia="Times New Roman"/>
                <w:b/>
                <w:bCs w:val="0"/>
              </w:rPr>
              <w:t>Gy</w:t>
            </w:r>
            <w:r>
              <w:rPr>
                <w:rFonts w:eastAsia="Times New Roman"/>
                <w:b/>
                <w:bCs w:val="0"/>
                <w:spacing w:val="49"/>
              </w:rPr>
              <w:t>/</w:t>
            </w:r>
            <w:r>
              <w:rPr>
                <w:rFonts w:eastAsia="Times New Roman"/>
                <w:b/>
                <w:bCs w:val="0"/>
              </w:rPr>
              <w:t>h</w:t>
            </w:r>
            <w:r>
              <w:rPr>
                <w:rFonts w:ascii="宋体" w:hAnsi="宋体" w:cs="宋体"/>
                <w:b/>
                <w:bCs w:val="0"/>
                <w:spacing w:val="49"/>
              </w:rPr>
              <w:t>)</w:t>
            </w:r>
          </w:p>
        </w:tc>
        <w:tc>
          <w:tcPr>
            <w:tcW w:w="1277" w:type="dxa"/>
            <w:vAlign w:val="center"/>
          </w:tcPr>
          <w:p w14:paraId="67634283">
            <w:pPr>
              <w:pStyle w:val="24"/>
              <w:rPr>
                <w:rFonts w:hint="eastAsia" w:ascii="宋体" w:hAnsi="宋体" w:cs="宋体"/>
                <w:b/>
                <w:bCs w:val="0"/>
              </w:rPr>
            </w:pPr>
            <w:r>
              <w:rPr>
                <w:rFonts w:ascii="宋体" w:hAnsi="宋体" w:cs="宋体"/>
                <w:b/>
                <w:bCs w:val="0"/>
                <w:spacing w:val="-3"/>
              </w:rPr>
              <w:t>用途</w:t>
            </w:r>
          </w:p>
        </w:tc>
        <w:tc>
          <w:tcPr>
            <w:tcW w:w="1622" w:type="dxa"/>
            <w:vAlign w:val="center"/>
          </w:tcPr>
          <w:p w14:paraId="65FB97F8">
            <w:pPr>
              <w:pStyle w:val="24"/>
              <w:rPr>
                <w:rFonts w:hint="eastAsia" w:ascii="宋体" w:hAnsi="宋体" w:cs="宋体"/>
                <w:b/>
                <w:bCs w:val="0"/>
              </w:rPr>
            </w:pPr>
            <w:r>
              <w:rPr>
                <w:rFonts w:ascii="宋体" w:hAnsi="宋体" w:cs="宋体"/>
                <w:b/>
                <w:bCs w:val="0"/>
                <w:spacing w:val="-4"/>
              </w:rPr>
              <w:t>工</w:t>
            </w:r>
            <w:r>
              <w:rPr>
                <w:rFonts w:ascii="宋体" w:hAnsi="宋体" w:cs="宋体"/>
                <w:b/>
                <w:bCs w:val="0"/>
                <w:spacing w:val="-2"/>
              </w:rPr>
              <w:t>作场所</w:t>
            </w:r>
          </w:p>
        </w:tc>
        <w:tc>
          <w:tcPr>
            <w:tcW w:w="1101" w:type="dxa"/>
            <w:vAlign w:val="center"/>
          </w:tcPr>
          <w:p w14:paraId="0001F305">
            <w:pPr>
              <w:pStyle w:val="24"/>
              <w:rPr>
                <w:rFonts w:hint="eastAsia" w:ascii="宋体" w:hAnsi="宋体" w:cs="宋体"/>
                <w:b/>
                <w:bCs w:val="0"/>
              </w:rPr>
            </w:pPr>
            <w:r>
              <w:rPr>
                <w:rFonts w:ascii="宋体" w:hAnsi="宋体" w:cs="宋体"/>
                <w:b/>
                <w:bCs w:val="0"/>
                <w:spacing w:val="-4"/>
              </w:rPr>
              <w:t>备</w:t>
            </w:r>
            <w:r>
              <w:rPr>
                <w:rFonts w:ascii="宋体" w:hAnsi="宋体" w:cs="宋体"/>
                <w:b/>
                <w:bCs w:val="0"/>
                <w:spacing w:val="-3"/>
              </w:rPr>
              <w:t>注</w:t>
            </w:r>
          </w:p>
        </w:tc>
      </w:tr>
      <w:tr w14:paraId="57292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622" w:type="dxa"/>
            <w:vAlign w:val="center"/>
          </w:tcPr>
          <w:p w14:paraId="29EAE43A">
            <w:pPr>
              <w:pStyle w:val="24"/>
              <w:rPr>
                <w:rFonts w:eastAsia="Times New Roman"/>
              </w:rPr>
            </w:pPr>
            <w:r>
              <w:rPr>
                <w:rFonts w:eastAsia="Times New Roman"/>
              </w:rPr>
              <w:t>/</w:t>
            </w:r>
          </w:p>
        </w:tc>
        <w:tc>
          <w:tcPr>
            <w:tcW w:w="1377" w:type="dxa"/>
            <w:vAlign w:val="center"/>
          </w:tcPr>
          <w:p w14:paraId="33425279">
            <w:pPr>
              <w:pStyle w:val="24"/>
              <w:rPr>
                <w:rFonts w:eastAsia="Times New Roman"/>
              </w:rPr>
            </w:pPr>
            <w:r>
              <w:rPr>
                <w:rFonts w:eastAsia="Times New Roman"/>
              </w:rPr>
              <w:t>/</w:t>
            </w:r>
          </w:p>
        </w:tc>
        <w:tc>
          <w:tcPr>
            <w:tcW w:w="976" w:type="dxa"/>
            <w:vAlign w:val="center"/>
          </w:tcPr>
          <w:p w14:paraId="1262B7CA">
            <w:pPr>
              <w:pStyle w:val="24"/>
              <w:rPr>
                <w:rFonts w:eastAsia="Times New Roman"/>
              </w:rPr>
            </w:pPr>
            <w:r>
              <w:rPr>
                <w:rFonts w:eastAsia="Times New Roman"/>
              </w:rPr>
              <w:t>/</w:t>
            </w:r>
          </w:p>
        </w:tc>
        <w:tc>
          <w:tcPr>
            <w:tcW w:w="1342" w:type="dxa"/>
            <w:vAlign w:val="center"/>
          </w:tcPr>
          <w:p w14:paraId="70316CF6">
            <w:pPr>
              <w:pStyle w:val="24"/>
              <w:rPr>
                <w:rFonts w:eastAsia="Times New Roman"/>
              </w:rPr>
            </w:pPr>
            <w:r>
              <w:rPr>
                <w:rFonts w:eastAsia="Times New Roman"/>
              </w:rPr>
              <w:t>/</w:t>
            </w:r>
          </w:p>
        </w:tc>
        <w:tc>
          <w:tcPr>
            <w:tcW w:w="1324" w:type="dxa"/>
            <w:vAlign w:val="center"/>
          </w:tcPr>
          <w:p w14:paraId="332E1C7E">
            <w:pPr>
              <w:pStyle w:val="24"/>
              <w:rPr>
                <w:rFonts w:eastAsia="Times New Roman"/>
              </w:rPr>
            </w:pPr>
            <w:r>
              <w:rPr>
                <w:rFonts w:eastAsia="Times New Roman"/>
              </w:rPr>
              <w:t>/</w:t>
            </w:r>
          </w:p>
        </w:tc>
        <w:tc>
          <w:tcPr>
            <w:tcW w:w="1262" w:type="dxa"/>
            <w:vAlign w:val="center"/>
          </w:tcPr>
          <w:p w14:paraId="0B07E2D2">
            <w:pPr>
              <w:pStyle w:val="24"/>
              <w:rPr>
                <w:rFonts w:eastAsia="Times New Roman"/>
              </w:rPr>
            </w:pPr>
            <w:r>
              <w:rPr>
                <w:rFonts w:eastAsia="Times New Roman"/>
              </w:rPr>
              <w:t>/</w:t>
            </w:r>
          </w:p>
        </w:tc>
        <w:tc>
          <w:tcPr>
            <w:tcW w:w="1392" w:type="dxa"/>
            <w:vAlign w:val="center"/>
          </w:tcPr>
          <w:p w14:paraId="48954BFC">
            <w:pPr>
              <w:pStyle w:val="24"/>
              <w:rPr>
                <w:rFonts w:eastAsia="Times New Roman"/>
              </w:rPr>
            </w:pPr>
            <w:r>
              <w:rPr>
                <w:rFonts w:eastAsia="Times New Roman"/>
              </w:rPr>
              <w:t>/</w:t>
            </w:r>
          </w:p>
        </w:tc>
        <w:tc>
          <w:tcPr>
            <w:tcW w:w="1591" w:type="dxa"/>
            <w:vAlign w:val="center"/>
          </w:tcPr>
          <w:p w14:paraId="2290D725">
            <w:pPr>
              <w:pStyle w:val="24"/>
              <w:rPr>
                <w:rFonts w:eastAsia="Times New Roman"/>
              </w:rPr>
            </w:pPr>
            <w:r>
              <w:rPr>
                <w:rFonts w:eastAsia="Times New Roman"/>
              </w:rPr>
              <w:t>/</w:t>
            </w:r>
          </w:p>
        </w:tc>
        <w:tc>
          <w:tcPr>
            <w:tcW w:w="1277" w:type="dxa"/>
            <w:vAlign w:val="center"/>
          </w:tcPr>
          <w:p w14:paraId="299A5CB1">
            <w:pPr>
              <w:pStyle w:val="24"/>
              <w:rPr>
                <w:rFonts w:eastAsia="Times New Roman"/>
              </w:rPr>
            </w:pPr>
            <w:r>
              <w:rPr>
                <w:rFonts w:eastAsia="Times New Roman"/>
              </w:rPr>
              <w:t>/</w:t>
            </w:r>
          </w:p>
        </w:tc>
        <w:tc>
          <w:tcPr>
            <w:tcW w:w="1622" w:type="dxa"/>
            <w:vAlign w:val="center"/>
          </w:tcPr>
          <w:p w14:paraId="21E2B943">
            <w:pPr>
              <w:pStyle w:val="24"/>
              <w:rPr>
                <w:rFonts w:eastAsia="Times New Roman"/>
              </w:rPr>
            </w:pPr>
            <w:r>
              <w:rPr>
                <w:rFonts w:eastAsia="Times New Roman"/>
              </w:rPr>
              <w:t>/</w:t>
            </w:r>
          </w:p>
        </w:tc>
        <w:tc>
          <w:tcPr>
            <w:tcW w:w="1101" w:type="dxa"/>
            <w:vAlign w:val="center"/>
          </w:tcPr>
          <w:p w14:paraId="11E9F358">
            <w:pPr>
              <w:pStyle w:val="24"/>
              <w:rPr>
                <w:rFonts w:eastAsia="Times New Roman"/>
              </w:rPr>
            </w:pPr>
            <w:r>
              <w:rPr>
                <w:rFonts w:eastAsia="Times New Roman"/>
              </w:rPr>
              <w:t>/</w:t>
            </w:r>
          </w:p>
        </w:tc>
      </w:tr>
    </w:tbl>
    <w:p w14:paraId="61A46534">
      <w:pPr>
        <w:pStyle w:val="2"/>
        <w:ind w:firstLine="480"/>
      </w:pPr>
      <w:r>
        <w:t xml:space="preserve">(二) </w:t>
      </w:r>
      <w:r>
        <w:rPr>
          <w:rFonts w:eastAsia="Times New Roman"/>
        </w:rPr>
        <w:t xml:space="preserve">X </w:t>
      </w:r>
      <w:r>
        <w:t>射线机， 包括工业探伤、医用诊断和治疗、分析等用途</w:t>
      </w:r>
    </w:p>
    <w:tbl>
      <w:tblPr>
        <w:tblStyle w:val="15"/>
        <w:tblW w:w="139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588"/>
        <w:gridCol w:w="1288"/>
        <w:gridCol w:w="1860"/>
        <w:gridCol w:w="1290"/>
        <w:gridCol w:w="1695"/>
        <w:gridCol w:w="1307"/>
        <w:gridCol w:w="1969"/>
        <w:gridCol w:w="1701"/>
        <w:gridCol w:w="624"/>
      </w:tblGrid>
      <w:tr w14:paraId="34865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jc w:val="center"/>
        </w:trPr>
        <w:tc>
          <w:tcPr>
            <w:tcW w:w="624" w:type="dxa"/>
            <w:vAlign w:val="center"/>
          </w:tcPr>
          <w:p w14:paraId="7ACB7319">
            <w:pPr>
              <w:pStyle w:val="24"/>
              <w:rPr>
                <w:b/>
                <w:bCs w:val="0"/>
              </w:rPr>
            </w:pPr>
            <w:r>
              <w:rPr>
                <w:b/>
                <w:bCs w:val="0"/>
              </w:rPr>
              <w:t>序</w:t>
            </w:r>
            <w:r>
              <w:rPr>
                <w:b/>
                <w:bCs w:val="0"/>
                <w:spacing w:val="-2"/>
              </w:rPr>
              <w:t>号</w:t>
            </w:r>
          </w:p>
        </w:tc>
        <w:tc>
          <w:tcPr>
            <w:tcW w:w="1588" w:type="dxa"/>
            <w:vAlign w:val="center"/>
          </w:tcPr>
          <w:p w14:paraId="6A0B85E8">
            <w:pPr>
              <w:pStyle w:val="24"/>
              <w:rPr>
                <w:b/>
                <w:bCs w:val="0"/>
              </w:rPr>
            </w:pPr>
            <w:r>
              <w:rPr>
                <w:b/>
                <w:bCs w:val="0"/>
                <w:spacing w:val="-4"/>
              </w:rPr>
              <w:t>名</w:t>
            </w:r>
            <w:r>
              <w:rPr>
                <w:b/>
                <w:bCs w:val="0"/>
              </w:rPr>
              <w:t>称</w:t>
            </w:r>
          </w:p>
        </w:tc>
        <w:tc>
          <w:tcPr>
            <w:tcW w:w="1288" w:type="dxa"/>
            <w:vAlign w:val="center"/>
          </w:tcPr>
          <w:p w14:paraId="571D10FD">
            <w:pPr>
              <w:pStyle w:val="24"/>
              <w:rPr>
                <w:b/>
                <w:bCs w:val="0"/>
              </w:rPr>
            </w:pPr>
            <w:r>
              <w:rPr>
                <w:b/>
                <w:bCs w:val="0"/>
              </w:rPr>
              <w:t>类</w:t>
            </w:r>
            <w:r>
              <w:rPr>
                <w:b/>
                <w:bCs w:val="0"/>
                <w:spacing w:val="-2"/>
              </w:rPr>
              <w:t>别</w:t>
            </w:r>
          </w:p>
        </w:tc>
        <w:tc>
          <w:tcPr>
            <w:tcW w:w="1860" w:type="dxa"/>
            <w:vAlign w:val="center"/>
          </w:tcPr>
          <w:p w14:paraId="11218F7B">
            <w:pPr>
              <w:pStyle w:val="24"/>
              <w:rPr>
                <w:b/>
                <w:bCs w:val="0"/>
              </w:rPr>
            </w:pPr>
            <w:r>
              <w:rPr>
                <w:b/>
                <w:bCs w:val="0"/>
              </w:rPr>
              <w:t>数量</w:t>
            </w:r>
          </w:p>
        </w:tc>
        <w:tc>
          <w:tcPr>
            <w:tcW w:w="1290" w:type="dxa"/>
            <w:vAlign w:val="center"/>
          </w:tcPr>
          <w:p w14:paraId="4F8A25CB">
            <w:pPr>
              <w:pStyle w:val="24"/>
              <w:rPr>
                <w:b/>
                <w:bCs w:val="0"/>
              </w:rPr>
            </w:pPr>
            <w:r>
              <w:rPr>
                <w:b/>
                <w:bCs w:val="0"/>
                <w:spacing w:val="-5"/>
              </w:rPr>
              <w:t>型</w:t>
            </w:r>
            <w:r>
              <w:rPr>
                <w:b/>
                <w:bCs w:val="0"/>
                <w:spacing w:val="-4"/>
              </w:rPr>
              <w:t>号</w:t>
            </w:r>
          </w:p>
        </w:tc>
        <w:tc>
          <w:tcPr>
            <w:tcW w:w="1695" w:type="dxa"/>
            <w:vAlign w:val="center"/>
          </w:tcPr>
          <w:p w14:paraId="01D8BADC">
            <w:pPr>
              <w:pStyle w:val="24"/>
              <w:rPr>
                <w:b/>
                <w:bCs w:val="0"/>
              </w:rPr>
            </w:pPr>
            <w:r>
              <w:rPr>
                <w:b/>
                <w:bCs w:val="0"/>
                <w:spacing w:val="-2"/>
              </w:rPr>
              <w:t>最大管电压</w:t>
            </w:r>
            <w:r>
              <w:rPr>
                <w:b/>
                <w:bCs w:val="0"/>
                <w:spacing w:val="52"/>
              </w:rPr>
              <w:t>(</w:t>
            </w:r>
            <w:r>
              <w:rPr>
                <w:b/>
                <w:bCs w:val="0"/>
              </w:rPr>
              <w:t>kV</w:t>
            </w:r>
            <w:r>
              <w:rPr>
                <w:b/>
                <w:bCs w:val="0"/>
                <w:spacing w:val="52"/>
              </w:rPr>
              <w:t>)</w:t>
            </w:r>
          </w:p>
        </w:tc>
        <w:tc>
          <w:tcPr>
            <w:tcW w:w="1307" w:type="dxa"/>
            <w:vAlign w:val="center"/>
          </w:tcPr>
          <w:p w14:paraId="728542CA">
            <w:pPr>
              <w:pStyle w:val="24"/>
              <w:rPr>
                <w:b/>
                <w:bCs w:val="0"/>
              </w:rPr>
            </w:pPr>
            <w:r>
              <w:rPr>
                <w:b/>
                <w:bCs w:val="0"/>
                <w:spacing w:val="-2"/>
              </w:rPr>
              <w:t>最大管电流</w:t>
            </w:r>
            <w:r>
              <w:rPr>
                <w:b/>
                <w:bCs w:val="0"/>
                <w:spacing w:val="52"/>
              </w:rPr>
              <w:t>(</w:t>
            </w:r>
            <w:r>
              <w:rPr>
                <w:b/>
                <w:bCs w:val="0"/>
              </w:rPr>
              <w:t>mA</w:t>
            </w:r>
            <w:r>
              <w:rPr>
                <w:b/>
                <w:bCs w:val="0"/>
                <w:spacing w:val="52"/>
              </w:rPr>
              <w:t>)</w:t>
            </w:r>
          </w:p>
        </w:tc>
        <w:tc>
          <w:tcPr>
            <w:tcW w:w="1969" w:type="dxa"/>
            <w:vAlign w:val="center"/>
          </w:tcPr>
          <w:p w14:paraId="7D603A6A">
            <w:pPr>
              <w:pStyle w:val="24"/>
              <w:rPr>
                <w:b/>
                <w:bCs w:val="0"/>
              </w:rPr>
            </w:pPr>
            <w:r>
              <w:rPr>
                <w:b/>
                <w:bCs w:val="0"/>
              </w:rPr>
              <w:t>用途</w:t>
            </w:r>
          </w:p>
        </w:tc>
        <w:tc>
          <w:tcPr>
            <w:tcW w:w="1701" w:type="dxa"/>
            <w:vAlign w:val="center"/>
          </w:tcPr>
          <w:p w14:paraId="6FADEF2A">
            <w:pPr>
              <w:pStyle w:val="24"/>
              <w:rPr>
                <w:b/>
                <w:bCs w:val="0"/>
              </w:rPr>
            </w:pPr>
            <w:r>
              <w:rPr>
                <w:b/>
                <w:bCs w:val="0"/>
                <w:spacing w:val="-4"/>
              </w:rPr>
              <w:t>工</w:t>
            </w:r>
            <w:r>
              <w:rPr>
                <w:b/>
                <w:bCs w:val="0"/>
                <w:spacing w:val="-2"/>
              </w:rPr>
              <w:t>作场所</w:t>
            </w:r>
          </w:p>
        </w:tc>
        <w:tc>
          <w:tcPr>
            <w:tcW w:w="624" w:type="dxa"/>
            <w:vAlign w:val="center"/>
          </w:tcPr>
          <w:p w14:paraId="7EBD056E">
            <w:pPr>
              <w:pStyle w:val="24"/>
              <w:rPr>
                <w:b/>
                <w:bCs w:val="0"/>
              </w:rPr>
            </w:pPr>
            <w:r>
              <w:rPr>
                <w:b/>
                <w:bCs w:val="0"/>
                <w:spacing w:val="-4"/>
              </w:rPr>
              <w:t>备</w:t>
            </w:r>
            <w:r>
              <w:rPr>
                <w:b/>
                <w:bCs w:val="0"/>
              </w:rPr>
              <w:t>注</w:t>
            </w:r>
          </w:p>
        </w:tc>
      </w:tr>
      <w:tr w14:paraId="31DC0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4" w:type="dxa"/>
            <w:vAlign w:val="center"/>
          </w:tcPr>
          <w:p w14:paraId="1FFD4DFD">
            <w:pPr>
              <w:pStyle w:val="24"/>
            </w:pPr>
            <w:r>
              <w:t>1</w:t>
            </w:r>
          </w:p>
        </w:tc>
        <w:tc>
          <w:tcPr>
            <w:tcW w:w="1588" w:type="dxa"/>
            <w:vAlign w:val="center"/>
          </w:tcPr>
          <w:p w14:paraId="53A5A9F1">
            <w:pPr>
              <w:pStyle w:val="24"/>
            </w:pPr>
            <w:r>
              <w:rPr>
                <w:rFonts w:hint="eastAsia"/>
              </w:rPr>
              <w:t>X 射线实时成像检测装置</w:t>
            </w:r>
          </w:p>
        </w:tc>
        <w:tc>
          <w:tcPr>
            <w:tcW w:w="1288" w:type="dxa"/>
            <w:vAlign w:val="center"/>
          </w:tcPr>
          <w:p w14:paraId="157563E3">
            <w:pPr>
              <w:pStyle w:val="24"/>
            </w:pPr>
            <w:r>
              <w:rPr>
                <w:spacing w:val="-1"/>
              </w:rPr>
              <w:t>Ⅱ</w:t>
            </w:r>
            <w:r>
              <w:rPr>
                <w:rFonts w:hint="eastAsia"/>
                <w:spacing w:val="-1"/>
              </w:rPr>
              <w:t xml:space="preserve"> </w:t>
            </w:r>
            <w:r>
              <w:rPr>
                <w:spacing w:val="-1"/>
              </w:rPr>
              <w:t>类射线装置</w:t>
            </w:r>
          </w:p>
        </w:tc>
        <w:tc>
          <w:tcPr>
            <w:tcW w:w="1860" w:type="dxa"/>
            <w:vAlign w:val="center"/>
          </w:tcPr>
          <w:p w14:paraId="5385AD11">
            <w:pPr>
              <w:pStyle w:val="24"/>
            </w:pPr>
            <w:r>
              <w:rPr>
                <w:rFonts w:hint="eastAsia"/>
              </w:rPr>
              <w:t>1</w:t>
            </w:r>
          </w:p>
        </w:tc>
        <w:tc>
          <w:tcPr>
            <w:tcW w:w="1290" w:type="dxa"/>
            <w:vAlign w:val="center"/>
          </w:tcPr>
          <w:p w14:paraId="4A4D4875">
            <w:pPr>
              <w:pStyle w:val="24"/>
            </w:pPr>
            <w:r>
              <w:t>X</w:t>
            </w:r>
            <w:r>
              <w:rPr>
                <w:rFonts w:hint="eastAsia"/>
              </w:rPr>
              <w:t xml:space="preserve">YD-320 </w:t>
            </w:r>
            <w:r>
              <w:t>型</w:t>
            </w:r>
          </w:p>
        </w:tc>
        <w:tc>
          <w:tcPr>
            <w:tcW w:w="1695" w:type="dxa"/>
            <w:vAlign w:val="center"/>
          </w:tcPr>
          <w:p w14:paraId="11E17DD5">
            <w:pPr>
              <w:pStyle w:val="24"/>
            </w:pPr>
            <w:r>
              <w:rPr>
                <w:rFonts w:hint="eastAsia"/>
              </w:rPr>
              <w:t>320</w:t>
            </w:r>
          </w:p>
        </w:tc>
        <w:tc>
          <w:tcPr>
            <w:tcW w:w="1307" w:type="dxa"/>
            <w:vAlign w:val="center"/>
          </w:tcPr>
          <w:p w14:paraId="12A5193E">
            <w:pPr>
              <w:pStyle w:val="24"/>
            </w:pPr>
            <w:r>
              <w:rPr>
                <w:rFonts w:hint="eastAsia"/>
              </w:rPr>
              <w:t>5.6</w:t>
            </w:r>
          </w:p>
        </w:tc>
        <w:tc>
          <w:tcPr>
            <w:tcW w:w="1969" w:type="dxa"/>
            <w:vAlign w:val="center"/>
          </w:tcPr>
          <w:p w14:paraId="62C6103A">
            <w:pPr>
              <w:pStyle w:val="24"/>
            </w:pPr>
            <w:r>
              <w:rPr>
                <w:rFonts w:hint="eastAsia"/>
                <w:spacing w:val="-4"/>
              </w:rPr>
              <w:t>工业探伤</w:t>
            </w:r>
          </w:p>
        </w:tc>
        <w:tc>
          <w:tcPr>
            <w:tcW w:w="1701" w:type="dxa"/>
            <w:vAlign w:val="center"/>
          </w:tcPr>
          <w:p w14:paraId="63695D74">
            <w:pPr>
              <w:pStyle w:val="24"/>
            </w:pPr>
            <w:r>
              <w:rPr>
                <w:rFonts w:hint="eastAsia"/>
                <w:spacing w:val="-8"/>
              </w:rPr>
              <w:t xml:space="preserve">焊管螺旋车间 </w:t>
            </w:r>
            <w:r>
              <w:rPr>
                <w:spacing w:val="-8"/>
              </w:rPr>
              <w:t>X</w:t>
            </w:r>
            <w:r>
              <w:rPr>
                <w:rFonts w:hint="eastAsia"/>
                <w:spacing w:val="-8"/>
              </w:rPr>
              <w:t xml:space="preserve"> 射线曝光室</w:t>
            </w:r>
          </w:p>
        </w:tc>
        <w:tc>
          <w:tcPr>
            <w:tcW w:w="624" w:type="dxa"/>
            <w:vAlign w:val="center"/>
          </w:tcPr>
          <w:p w14:paraId="5C3329EB">
            <w:pPr>
              <w:pStyle w:val="24"/>
            </w:pPr>
            <w:r>
              <w:rPr>
                <w:rFonts w:hint="eastAsia"/>
              </w:rPr>
              <w:t>定向</w:t>
            </w:r>
          </w:p>
        </w:tc>
      </w:tr>
      <w:tr w14:paraId="64497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624" w:type="dxa"/>
            <w:vAlign w:val="center"/>
          </w:tcPr>
          <w:p w14:paraId="606FB10B">
            <w:pPr>
              <w:pStyle w:val="24"/>
            </w:pPr>
            <w:r>
              <w:rPr>
                <w:rFonts w:hint="eastAsia"/>
              </w:rPr>
              <w:t>/</w:t>
            </w:r>
          </w:p>
        </w:tc>
        <w:tc>
          <w:tcPr>
            <w:tcW w:w="1588" w:type="dxa"/>
            <w:vAlign w:val="center"/>
          </w:tcPr>
          <w:p w14:paraId="37E7E078">
            <w:pPr>
              <w:pStyle w:val="24"/>
            </w:pPr>
            <w:r>
              <w:rPr>
                <w:rFonts w:hint="eastAsia"/>
              </w:rPr>
              <w:t>/</w:t>
            </w:r>
          </w:p>
        </w:tc>
        <w:tc>
          <w:tcPr>
            <w:tcW w:w="1288" w:type="dxa"/>
            <w:vAlign w:val="center"/>
          </w:tcPr>
          <w:p w14:paraId="559B1D88">
            <w:pPr>
              <w:pStyle w:val="24"/>
            </w:pPr>
            <w:r>
              <w:rPr>
                <w:rFonts w:hint="eastAsia"/>
              </w:rPr>
              <w:t>/</w:t>
            </w:r>
          </w:p>
        </w:tc>
        <w:tc>
          <w:tcPr>
            <w:tcW w:w="1860" w:type="dxa"/>
            <w:vAlign w:val="center"/>
          </w:tcPr>
          <w:p w14:paraId="3AC8BE40">
            <w:pPr>
              <w:pStyle w:val="24"/>
            </w:pPr>
            <w:r>
              <w:rPr>
                <w:rFonts w:hint="eastAsia"/>
              </w:rPr>
              <w:t>/</w:t>
            </w:r>
          </w:p>
        </w:tc>
        <w:tc>
          <w:tcPr>
            <w:tcW w:w="1290" w:type="dxa"/>
            <w:vAlign w:val="center"/>
          </w:tcPr>
          <w:p w14:paraId="423780E8">
            <w:pPr>
              <w:pStyle w:val="24"/>
            </w:pPr>
            <w:r>
              <w:rPr>
                <w:rFonts w:hint="eastAsia"/>
              </w:rPr>
              <w:t>/</w:t>
            </w:r>
          </w:p>
        </w:tc>
        <w:tc>
          <w:tcPr>
            <w:tcW w:w="1695" w:type="dxa"/>
            <w:vAlign w:val="center"/>
          </w:tcPr>
          <w:p w14:paraId="66590E15">
            <w:pPr>
              <w:pStyle w:val="24"/>
            </w:pPr>
            <w:r>
              <w:rPr>
                <w:rFonts w:hint="eastAsia"/>
              </w:rPr>
              <w:t>/</w:t>
            </w:r>
          </w:p>
        </w:tc>
        <w:tc>
          <w:tcPr>
            <w:tcW w:w="1307" w:type="dxa"/>
            <w:vAlign w:val="center"/>
          </w:tcPr>
          <w:p w14:paraId="017E389D">
            <w:pPr>
              <w:pStyle w:val="24"/>
            </w:pPr>
            <w:r>
              <w:rPr>
                <w:rFonts w:hint="eastAsia"/>
              </w:rPr>
              <w:t>/</w:t>
            </w:r>
          </w:p>
        </w:tc>
        <w:tc>
          <w:tcPr>
            <w:tcW w:w="1969" w:type="dxa"/>
            <w:vAlign w:val="center"/>
          </w:tcPr>
          <w:p w14:paraId="624E919C">
            <w:pPr>
              <w:pStyle w:val="24"/>
            </w:pPr>
            <w:r>
              <w:rPr>
                <w:rFonts w:hint="eastAsia"/>
              </w:rPr>
              <w:t>/</w:t>
            </w:r>
          </w:p>
        </w:tc>
        <w:tc>
          <w:tcPr>
            <w:tcW w:w="1701" w:type="dxa"/>
            <w:vAlign w:val="center"/>
          </w:tcPr>
          <w:p w14:paraId="7B34FED0">
            <w:pPr>
              <w:pStyle w:val="24"/>
            </w:pPr>
            <w:r>
              <w:rPr>
                <w:rFonts w:hint="eastAsia"/>
              </w:rPr>
              <w:t>/</w:t>
            </w:r>
          </w:p>
        </w:tc>
        <w:tc>
          <w:tcPr>
            <w:tcW w:w="624" w:type="dxa"/>
            <w:vAlign w:val="center"/>
          </w:tcPr>
          <w:p w14:paraId="3B206182">
            <w:pPr>
              <w:pStyle w:val="24"/>
            </w:pPr>
            <w:r>
              <w:rPr>
                <w:rFonts w:hint="eastAsia"/>
              </w:rPr>
              <w:t>/</w:t>
            </w:r>
          </w:p>
        </w:tc>
      </w:tr>
    </w:tbl>
    <w:p w14:paraId="5C9B2397">
      <w:pPr>
        <w:pStyle w:val="2"/>
        <w:ind w:firstLine="480"/>
      </w:pPr>
      <w:r>
        <w:t>(三)中子发生器，包括中子管，但不包括放射性中子源</w:t>
      </w:r>
    </w:p>
    <w:tbl>
      <w:tblPr>
        <w:tblStyle w:val="15"/>
        <w:tblW w:w="139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3"/>
        <w:gridCol w:w="1065"/>
        <w:gridCol w:w="583"/>
        <w:gridCol w:w="588"/>
        <w:gridCol w:w="1476"/>
        <w:gridCol w:w="1082"/>
        <w:gridCol w:w="1092"/>
        <w:gridCol w:w="1001"/>
        <w:gridCol w:w="864"/>
        <w:gridCol w:w="1041"/>
        <w:gridCol w:w="1279"/>
        <w:gridCol w:w="1276"/>
        <w:gridCol w:w="1279"/>
        <w:gridCol w:w="854"/>
      </w:tblGrid>
      <w:tr w14:paraId="6BFBB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483" w:type="dxa"/>
            <w:vMerge w:val="restart"/>
            <w:tcBorders>
              <w:bottom w:val="nil"/>
            </w:tcBorders>
            <w:textDirection w:val="tbRlV"/>
            <w:vAlign w:val="center"/>
          </w:tcPr>
          <w:p w14:paraId="46B14793">
            <w:pPr>
              <w:pStyle w:val="24"/>
              <w:rPr>
                <w:b/>
                <w:bCs w:val="0"/>
              </w:rPr>
            </w:pPr>
            <w:r>
              <w:rPr>
                <w:b/>
                <w:bCs w:val="0"/>
              </w:rPr>
              <w:t>序 号</w:t>
            </w:r>
          </w:p>
        </w:tc>
        <w:tc>
          <w:tcPr>
            <w:tcW w:w="1065" w:type="dxa"/>
            <w:vMerge w:val="restart"/>
            <w:tcBorders>
              <w:bottom w:val="nil"/>
            </w:tcBorders>
            <w:vAlign w:val="center"/>
          </w:tcPr>
          <w:p w14:paraId="1A13A593">
            <w:pPr>
              <w:pStyle w:val="24"/>
              <w:rPr>
                <w:b/>
                <w:bCs w:val="0"/>
              </w:rPr>
            </w:pPr>
            <w:r>
              <w:rPr>
                <w:b/>
                <w:bCs w:val="0"/>
                <w:spacing w:val="-4"/>
              </w:rPr>
              <w:t>名</w:t>
            </w:r>
            <w:r>
              <w:rPr>
                <w:b/>
                <w:bCs w:val="0"/>
                <w:spacing w:val="-3"/>
              </w:rPr>
              <w:t>称</w:t>
            </w:r>
          </w:p>
        </w:tc>
        <w:tc>
          <w:tcPr>
            <w:tcW w:w="583" w:type="dxa"/>
            <w:vMerge w:val="restart"/>
            <w:tcBorders>
              <w:bottom w:val="nil"/>
            </w:tcBorders>
            <w:vAlign w:val="center"/>
          </w:tcPr>
          <w:p w14:paraId="7EC3C3B4">
            <w:pPr>
              <w:pStyle w:val="24"/>
              <w:rPr>
                <w:b/>
                <w:bCs w:val="0"/>
              </w:rPr>
            </w:pPr>
            <w:r>
              <w:rPr>
                <w:b/>
                <w:bCs w:val="0"/>
                <w:spacing w:val="-3"/>
              </w:rPr>
              <w:t>类</w:t>
            </w:r>
            <w:r>
              <w:rPr>
                <w:b/>
                <w:bCs w:val="0"/>
                <w:spacing w:val="-2"/>
              </w:rPr>
              <w:t>别</w:t>
            </w:r>
          </w:p>
        </w:tc>
        <w:tc>
          <w:tcPr>
            <w:tcW w:w="588" w:type="dxa"/>
            <w:vMerge w:val="restart"/>
            <w:tcBorders>
              <w:bottom w:val="nil"/>
            </w:tcBorders>
            <w:vAlign w:val="center"/>
          </w:tcPr>
          <w:p w14:paraId="3737BF49">
            <w:pPr>
              <w:pStyle w:val="24"/>
              <w:rPr>
                <w:b/>
                <w:bCs w:val="0"/>
              </w:rPr>
            </w:pPr>
            <w:r>
              <w:rPr>
                <w:b/>
                <w:bCs w:val="0"/>
                <w:spacing w:val="-3"/>
              </w:rPr>
              <w:t>数量</w:t>
            </w:r>
          </w:p>
        </w:tc>
        <w:tc>
          <w:tcPr>
            <w:tcW w:w="1476" w:type="dxa"/>
            <w:vMerge w:val="restart"/>
            <w:tcBorders>
              <w:bottom w:val="nil"/>
            </w:tcBorders>
            <w:vAlign w:val="center"/>
          </w:tcPr>
          <w:p w14:paraId="70B226C3">
            <w:pPr>
              <w:pStyle w:val="24"/>
              <w:rPr>
                <w:b/>
                <w:bCs w:val="0"/>
              </w:rPr>
            </w:pPr>
            <w:r>
              <w:rPr>
                <w:b/>
                <w:bCs w:val="0"/>
                <w:spacing w:val="-5"/>
              </w:rPr>
              <w:t>型</w:t>
            </w:r>
            <w:r>
              <w:rPr>
                <w:b/>
                <w:bCs w:val="0"/>
                <w:spacing w:val="-4"/>
              </w:rPr>
              <w:t>号</w:t>
            </w:r>
          </w:p>
        </w:tc>
        <w:tc>
          <w:tcPr>
            <w:tcW w:w="1082" w:type="dxa"/>
            <w:vMerge w:val="restart"/>
            <w:tcBorders>
              <w:bottom w:val="nil"/>
            </w:tcBorders>
            <w:vAlign w:val="center"/>
          </w:tcPr>
          <w:p w14:paraId="7D85FF79">
            <w:pPr>
              <w:pStyle w:val="24"/>
              <w:rPr>
                <w:b/>
                <w:bCs w:val="0"/>
              </w:rPr>
            </w:pPr>
            <w:r>
              <w:rPr>
                <w:b/>
                <w:bCs w:val="0"/>
                <w:spacing w:val="-4"/>
              </w:rPr>
              <w:t>最</w:t>
            </w:r>
            <w:r>
              <w:rPr>
                <w:b/>
                <w:bCs w:val="0"/>
                <w:spacing w:val="-3"/>
              </w:rPr>
              <w:t>大管电</w:t>
            </w:r>
            <w:r>
              <w:rPr>
                <w:b/>
                <w:bCs w:val="0"/>
                <w:spacing w:val="31"/>
              </w:rPr>
              <w:t>压(</w:t>
            </w:r>
            <w:r>
              <w:rPr>
                <w:rFonts w:eastAsia="Times New Roman"/>
                <w:b/>
                <w:bCs w:val="0"/>
              </w:rPr>
              <w:t>kV</w:t>
            </w:r>
            <w:r>
              <w:rPr>
                <w:b/>
                <w:bCs w:val="0"/>
                <w:spacing w:val="31"/>
              </w:rPr>
              <w:t>)</w:t>
            </w:r>
          </w:p>
        </w:tc>
        <w:tc>
          <w:tcPr>
            <w:tcW w:w="1092" w:type="dxa"/>
            <w:vMerge w:val="restart"/>
            <w:tcBorders>
              <w:bottom w:val="nil"/>
            </w:tcBorders>
            <w:vAlign w:val="center"/>
          </w:tcPr>
          <w:p w14:paraId="18A6AFE2">
            <w:pPr>
              <w:pStyle w:val="24"/>
              <w:rPr>
                <w:b/>
                <w:bCs w:val="0"/>
              </w:rPr>
            </w:pPr>
            <w:r>
              <w:rPr>
                <w:b/>
                <w:bCs w:val="0"/>
                <w:spacing w:val="-4"/>
              </w:rPr>
              <w:t>最</w:t>
            </w:r>
            <w:r>
              <w:rPr>
                <w:b/>
                <w:bCs w:val="0"/>
                <w:spacing w:val="-3"/>
              </w:rPr>
              <w:t>大靶电</w:t>
            </w:r>
            <w:r>
              <w:rPr>
                <w:b/>
                <w:bCs w:val="0"/>
                <w:spacing w:val="25"/>
              </w:rPr>
              <w:t>流</w:t>
            </w:r>
            <w:r>
              <w:rPr>
                <w:b/>
                <w:bCs w:val="0"/>
                <w:spacing w:val="23"/>
              </w:rPr>
              <w:t>(</w:t>
            </w:r>
            <w:r>
              <w:rPr>
                <w:rFonts w:eastAsia="Times New Roman"/>
                <w:b/>
                <w:bCs w:val="0"/>
                <w:spacing w:val="23"/>
              </w:rPr>
              <w:t>μ</w:t>
            </w:r>
            <w:r>
              <w:rPr>
                <w:rFonts w:eastAsia="Times New Roman"/>
                <w:b/>
                <w:bCs w:val="0"/>
              </w:rPr>
              <w:t>A</w:t>
            </w:r>
            <w:r>
              <w:rPr>
                <w:b/>
                <w:bCs w:val="0"/>
                <w:spacing w:val="23"/>
              </w:rPr>
              <w:t>)</w:t>
            </w:r>
          </w:p>
        </w:tc>
        <w:tc>
          <w:tcPr>
            <w:tcW w:w="1001" w:type="dxa"/>
            <w:vMerge w:val="restart"/>
            <w:tcBorders>
              <w:bottom w:val="nil"/>
            </w:tcBorders>
            <w:vAlign w:val="center"/>
          </w:tcPr>
          <w:p w14:paraId="4DB62C5F">
            <w:pPr>
              <w:pStyle w:val="24"/>
              <w:rPr>
                <w:b/>
                <w:bCs w:val="0"/>
              </w:rPr>
            </w:pPr>
            <w:r>
              <w:rPr>
                <w:b/>
                <w:bCs w:val="0"/>
                <w:spacing w:val="-6"/>
              </w:rPr>
              <w:t>中子强度</w:t>
            </w:r>
            <w:r>
              <w:rPr>
                <w:b/>
                <w:bCs w:val="0"/>
                <w:spacing w:val="36"/>
              </w:rPr>
              <w:t>(</w:t>
            </w:r>
            <w:r>
              <w:rPr>
                <w:rFonts w:eastAsia="Times New Roman"/>
                <w:b/>
                <w:bCs w:val="0"/>
              </w:rPr>
              <w:t>n</w:t>
            </w:r>
            <w:r>
              <w:rPr>
                <w:rFonts w:eastAsia="Times New Roman"/>
                <w:b/>
                <w:bCs w:val="0"/>
                <w:spacing w:val="34"/>
              </w:rPr>
              <w:t>/</w:t>
            </w:r>
            <w:r>
              <w:rPr>
                <w:rFonts w:eastAsia="Times New Roman"/>
                <w:b/>
                <w:bCs w:val="0"/>
              </w:rPr>
              <w:t>s</w:t>
            </w:r>
            <w:r>
              <w:rPr>
                <w:b/>
                <w:bCs w:val="0"/>
                <w:spacing w:val="34"/>
              </w:rPr>
              <w:t>)</w:t>
            </w:r>
          </w:p>
        </w:tc>
        <w:tc>
          <w:tcPr>
            <w:tcW w:w="864" w:type="dxa"/>
            <w:vMerge w:val="restart"/>
            <w:tcBorders>
              <w:bottom w:val="nil"/>
            </w:tcBorders>
            <w:vAlign w:val="center"/>
          </w:tcPr>
          <w:p w14:paraId="60D105FC">
            <w:pPr>
              <w:pStyle w:val="24"/>
              <w:rPr>
                <w:b/>
                <w:bCs w:val="0"/>
              </w:rPr>
            </w:pPr>
            <w:r>
              <w:rPr>
                <w:b/>
                <w:bCs w:val="0"/>
                <w:spacing w:val="-3"/>
              </w:rPr>
              <w:t>用途</w:t>
            </w:r>
          </w:p>
        </w:tc>
        <w:tc>
          <w:tcPr>
            <w:tcW w:w="1041" w:type="dxa"/>
            <w:vMerge w:val="restart"/>
            <w:tcBorders>
              <w:bottom w:val="nil"/>
            </w:tcBorders>
            <w:vAlign w:val="center"/>
          </w:tcPr>
          <w:p w14:paraId="4DDF8DB5">
            <w:pPr>
              <w:pStyle w:val="24"/>
              <w:rPr>
                <w:b/>
                <w:bCs w:val="0"/>
              </w:rPr>
            </w:pPr>
            <w:r>
              <w:rPr>
                <w:b/>
                <w:bCs w:val="0"/>
                <w:spacing w:val="-4"/>
              </w:rPr>
              <w:t>工</w:t>
            </w:r>
            <w:r>
              <w:rPr>
                <w:b/>
                <w:bCs w:val="0"/>
                <w:spacing w:val="-2"/>
              </w:rPr>
              <w:t>作场所</w:t>
            </w:r>
          </w:p>
        </w:tc>
        <w:tc>
          <w:tcPr>
            <w:tcW w:w="3834" w:type="dxa"/>
            <w:gridSpan w:val="3"/>
            <w:vAlign w:val="center"/>
          </w:tcPr>
          <w:p w14:paraId="144C2795">
            <w:pPr>
              <w:pStyle w:val="24"/>
              <w:rPr>
                <w:b/>
                <w:bCs w:val="0"/>
              </w:rPr>
            </w:pPr>
            <w:r>
              <w:rPr>
                <w:b/>
                <w:bCs w:val="0"/>
                <w:spacing w:val="-2"/>
              </w:rPr>
              <w:t>氚靶情况</w:t>
            </w:r>
          </w:p>
        </w:tc>
        <w:tc>
          <w:tcPr>
            <w:tcW w:w="854" w:type="dxa"/>
            <w:vMerge w:val="restart"/>
            <w:tcBorders>
              <w:bottom w:val="nil"/>
            </w:tcBorders>
            <w:vAlign w:val="center"/>
          </w:tcPr>
          <w:p w14:paraId="489735E7">
            <w:pPr>
              <w:pStyle w:val="24"/>
              <w:rPr>
                <w:b/>
                <w:bCs w:val="0"/>
              </w:rPr>
            </w:pPr>
            <w:r>
              <w:rPr>
                <w:b/>
                <w:bCs w:val="0"/>
                <w:spacing w:val="-4"/>
              </w:rPr>
              <w:t>备</w:t>
            </w:r>
            <w:r>
              <w:rPr>
                <w:b/>
                <w:bCs w:val="0"/>
                <w:spacing w:val="-3"/>
              </w:rPr>
              <w:t>注</w:t>
            </w:r>
          </w:p>
        </w:tc>
      </w:tr>
      <w:tr w14:paraId="7ACA6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483" w:type="dxa"/>
            <w:vMerge w:val="continue"/>
            <w:tcBorders>
              <w:top w:val="nil"/>
            </w:tcBorders>
            <w:textDirection w:val="tbRlV"/>
            <w:vAlign w:val="center"/>
          </w:tcPr>
          <w:p w14:paraId="31A6EAC3">
            <w:pPr>
              <w:pStyle w:val="24"/>
              <w:rPr>
                <w:b/>
                <w:bCs w:val="0"/>
              </w:rPr>
            </w:pPr>
          </w:p>
        </w:tc>
        <w:tc>
          <w:tcPr>
            <w:tcW w:w="1065" w:type="dxa"/>
            <w:vMerge w:val="continue"/>
            <w:tcBorders>
              <w:top w:val="nil"/>
            </w:tcBorders>
            <w:vAlign w:val="center"/>
          </w:tcPr>
          <w:p w14:paraId="6B89199F">
            <w:pPr>
              <w:pStyle w:val="24"/>
              <w:rPr>
                <w:b/>
                <w:bCs w:val="0"/>
              </w:rPr>
            </w:pPr>
          </w:p>
        </w:tc>
        <w:tc>
          <w:tcPr>
            <w:tcW w:w="583" w:type="dxa"/>
            <w:vMerge w:val="continue"/>
            <w:tcBorders>
              <w:top w:val="nil"/>
            </w:tcBorders>
            <w:vAlign w:val="center"/>
          </w:tcPr>
          <w:p w14:paraId="05A8E05A">
            <w:pPr>
              <w:pStyle w:val="24"/>
              <w:rPr>
                <w:b/>
                <w:bCs w:val="0"/>
              </w:rPr>
            </w:pPr>
          </w:p>
        </w:tc>
        <w:tc>
          <w:tcPr>
            <w:tcW w:w="588" w:type="dxa"/>
            <w:vMerge w:val="continue"/>
            <w:tcBorders>
              <w:top w:val="nil"/>
            </w:tcBorders>
            <w:vAlign w:val="center"/>
          </w:tcPr>
          <w:p w14:paraId="3AB38C47">
            <w:pPr>
              <w:pStyle w:val="24"/>
              <w:rPr>
                <w:b/>
                <w:bCs w:val="0"/>
              </w:rPr>
            </w:pPr>
          </w:p>
        </w:tc>
        <w:tc>
          <w:tcPr>
            <w:tcW w:w="1476" w:type="dxa"/>
            <w:vMerge w:val="continue"/>
            <w:tcBorders>
              <w:top w:val="nil"/>
            </w:tcBorders>
            <w:vAlign w:val="center"/>
          </w:tcPr>
          <w:p w14:paraId="15194062">
            <w:pPr>
              <w:pStyle w:val="24"/>
              <w:rPr>
                <w:b/>
                <w:bCs w:val="0"/>
              </w:rPr>
            </w:pPr>
          </w:p>
        </w:tc>
        <w:tc>
          <w:tcPr>
            <w:tcW w:w="1082" w:type="dxa"/>
            <w:vMerge w:val="continue"/>
            <w:tcBorders>
              <w:top w:val="nil"/>
            </w:tcBorders>
            <w:vAlign w:val="center"/>
          </w:tcPr>
          <w:p w14:paraId="04C7B91C">
            <w:pPr>
              <w:pStyle w:val="24"/>
              <w:rPr>
                <w:b/>
                <w:bCs w:val="0"/>
              </w:rPr>
            </w:pPr>
          </w:p>
        </w:tc>
        <w:tc>
          <w:tcPr>
            <w:tcW w:w="1092" w:type="dxa"/>
            <w:vMerge w:val="continue"/>
            <w:tcBorders>
              <w:top w:val="nil"/>
            </w:tcBorders>
            <w:vAlign w:val="center"/>
          </w:tcPr>
          <w:p w14:paraId="7D1521EA">
            <w:pPr>
              <w:pStyle w:val="24"/>
              <w:rPr>
                <w:b/>
                <w:bCs w:val="0"/>
              </w:rPr>
            </w:pPr>
          </w:p>
        </w:tc>
        <w:tc>
          <w:tcPr>
            <w:tcW w:w="1001" w:type="dxa"/>
            <w:vMerge w:val="continue"/>
            <w:tcBorders>
              <w:top w:val="nil"/>
            </w:tcBorders>
            <w:vAlign w:val="center"/>
          </w:tcPr>
          <w:p w14:paraId="2EC2F76F">
            <w:pPr>
              <w:pStyle w:val="24"/>
              <w:rPr>
                <w:b/>
                <w:bCs w:val="0"/>
              </w:rPr>
            </w:pPr>
          </w:p>
        </w:tc>
        <w:tc>
          <w:tcPr>
            <w:tcW w:w="864" w:type="dxa"/>
            <w:vMerge w:val="continue"/>
            <w:tcBorders>
              <w:top w:val="nil"/>
            </w:tcBorders>
            <w:vAlign w:val="center"/>
          </w:tcPr>
          <w:p w14:paraId="089B26AF">
            <w:pPr>
              <w:pStyle w:val="24"/>
              <w:rPr>
                <w:b/>
                <w:bCs w:val="0"/>
              </w:rPr>
            </w:pPr>
          </w:p>
        </w:tc>
        <w:tc>
          <w:tcPr>
            <w:tcW w:w="1041" w:type="dxa"/>
            <w:vMerge w:val="continue"/>
            <w:tcBorders>
              <w:top w:val="nil"/>
            </w:tcBorders>
            <w:vAlign w:val="center"/>
          </w:tcPr>
          <w:p w14:paraId="4327B462">
            <w:pPr>
              <w:pStyle w:val="24"/>
              <w:rPr>
                <w:b/>
                <w:bCs w:val="0"/>
              </w:rPr>
            </w:pPr>
          </w:p>
        </w:tc>
        <w:tc>
          <w:tcPr>
            <w:tcW w:w="1279" w:type="dxa"/>
            <w:vAlign w:val="center"/>
          </w:tcPr>
          <w:p w14:paraId="653FDEE7">
            <w:pPr>
              <w:pStyle w:val="24"/>
              <w:rPr>
                <w:b/>
                <w:bCs w:val="0"/>
              </w:rPr>
            </w:pPr>
            <w:r>
              <w:rPr>
                <w:b/>
                <w:bCs w:val="0"/>
                <w:spacing w:val="27"/>
              </w:rPr>
              <w:t>活度(</w:t>
            </w:r>
            <w:r>
              <w:rPr>
                <w:rFonts w:eastAsia="Times New Roman"/>
                <w:b/>
                <w:bCs w:val="0"/>
              </w:rPr>
              <w:t>Bq</w:t>
            </w:r>
            <w:r>
              <w:rPr>
                <w:b/>
                <w:bCs w:val="0"/>
                <w:spacing w:val="26"/>
              </w:rPr>
              <w:t>)</w:t>
            </w:r>
          </w:p>
        </w:tc>
        <w:tc>
          <w:tcPr>
            <w:tcW w:w="1276" w:type="dxa"/>
            <w:vAlign w:val="center"/>
          </w:tcPr>
          <w:p w14:paraId="5E5732CF">
            <w:pPr>
              <w:pStyle w:val="24"/>
              <w:rPr>
                <w:b/>
                <w:bCs w:val="0"/>
              </w:rPr>
            </w:pPr>
            <w:r>
              <w:rPr>
                <w:b/>
                <w:bCs w:val="0"/>
                <w:spacing w:val="-2"/>
              </w:rPr>
              <w:t>贮存方式</w:t>
            </w:r>
          </w:p>
        </w:tc>
        <w:tc>
          <w:tcPr>
            <w:tcW w:w="1279" w:type="dxa"/>
            <w:vAlign w:val="center"/>
          </w:tcPr>
          <w:p w14:paraId="524528CF">
            <w:pPr>
              <w:pStyle w:val="24"/>
              <w:rPr>
                <w:b/>
                <w:bCs w:val="0"/>
              </w:rPr>
            </w:pPr>
            <w:r>
              <w:rPr>
                <w:b/>
                <w:bCs w:val="0"/>
                <w:spacing w:val="-3"/>
              </w:rPr>
              <w:t>数量</w:t>
            </w:r>
          </w:p>
        </w:tc>
        <w:tc>
          <w:tcPr>
            <w:tcW w:w="854" w:type="dxa"/>
            <w:vMerge w:val="continue"/>
            <w:tcBorders>
              <w:top w:val="nil"/>
            </w:tcBorders>
            <w:vAlign w:val="center"/>
          </w:tcPr>
          <w:p w14:paraId="423B5F78">
            <w:pPr>
              <w:pStyle w:val="24"/>
            </w:pPr>
          </w:p>
        </w:tc>
      </w:tr>
      <w:tr w14:paraId="272EA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83" w:type="dxa"/>
            <w:vAlign w:val="center"/>
          </w:tcPr>
          <w:p w14:paraId="42390EC5">
            <w:pPr>
              <w:pStyle w:val="24"/>
              <w:rPr>
                <w:rFonts w:eastAsia="Times New Roman"/>
              </w:rPr>
            </w:pPr>
            <w:r>
              <w:rPr>
                <w:rFonts w:eastAsia="Times New Roman"/>
              </w:rPr>
              <w:t>/</w:t>
            </w:r>
          </w:p>
        </w:tc>
        <w:tc>
          <w:tcPr>
            <w:tcW w:w="1065" w:type="dxa"/>
            <w:vAlign w:val="center"/>
          </w:tcPr>
          <w:p w14:paraId="21F86A51">
            <w:pPr>
              <w:pStyle w:val="24"/>
              <w:rPr>
                <w:rFonts w:eastAsia="Times New Roman"/>
              </w:rPr>
            </w:pPr>
            <w:r>
              <w:rPr>
                <w:rFonts w:eastAsia="Times New Roman"/>
              </w:rPr>
              <w:t>/</w:t>
            </w:r>
          </w:p>
        </w:tc>
        <w:tc>
          <w:tcPr>
            <w:tcW w:w="583" w:type="dxa"/>
            <w:vAlign w:val="center"/>
          </w:tcPr>
          <w:p w14:paraId="52137B98">
            <w:pPr>
              <w:pStyle w:val="24"/>
              <w:rPr>
                <w:rFonts w:eastAsia="Times New Roman"/>
              </w:rPr>
            </w:pPr>
            <w:r>
              <w:rPr>
                <w:rFonts w:eastAsia="Times New Roman"/>
              </w:rPr>
              <w:t>/</w:t>
            </w:r>
          </w:p>
        </w:tc>
        <w:tc>
          <w:tcPr>
            <w:tcW w:w="588" w:type="dxa"/>
            <w:vAlign w:val="center"/>
          </w:tcPr>
          <w:p w14:paraId="50794BB6">
            <w:pPr>
              <w:pStyle w:val="24"/>
              <w:rPr>
                <w:rFonts w:eastAsia="Times New Roman"/>
              </w:rPr>
            </w:pPr>
            <w:r>
              <w:rPr>
                <w:rFonts w:eastAsia="Times New Roman"/>
              </w:rPr>
              <w:t>/</w:t>
            </w:r>
          </w:p>
        </w:tc>
        <w:tc>
          <w:tcPr>
            <w:tcW w:w="1476" w:type="dxa"/>
            <w:vAlign w:val="center"/>
          </w:tcPr>
          <w:p w14:paraId="585A689F">
            <w:pPr>
              <w:pStyle w:val="24"/>
              <w:rPr>
                <w:rFonts w:eastAsia="Times New Roman"/>
              </w:rPr>
            </w:pPr>
            <w:r>
              <w:rPr>
                <w:rFonts w:eastAsia="Times New Roman"/>
              </w:rPr>
              <w:t>/</w:t>
            </w:r>
          </w:p>
        </w:tc>
        <w:tc>
          <w:tcPr>
            <w:tcW w:w="1082" w:type="dxa"/>
            <w:vAlign w:val="center"/>
          </w:tcPr>
          <w:p w14:paraId="1F6C7DFF">
            <w:pPr>
              <w:pStyle w:val="24"/>
              <w:rPr>
                <w:rFonts w:eastAsia="Times New Roman"/>
              </w:rPr>
            </w:pPr>
            <w:r>
              <w:rPr>
                <w:rFonts w:eastAsia="Times New Roman"/>
              </w:rPr>
              <w:t>/</w:t>
            </w:r>
          </w:p>
        </w:tc>
        <w:tc>
          <w:tcPr>
            <w:tcW w:w="1092" w:type="dxa"/>
            <w:vAlign w:val="center"/>
          </w:tcPr>
          <w:p w14:paraId="202A5823">
            <w:pPr>
              <w:pStyle w:val="24"/>
              <w:rPr>
                <w:rFonts w:eastAsia="Times New Roman"/>
              </w:rPr>
            </w:pPr>
            <w:r>
              <w:rPr>
                <w:rFonts w:eastAsia="Times New Roman"/>
              </w:rPr>
              <w:t>/</w:t>
            </w:r>
          </w:p>
        </w:tc>
        <w:tc>
          <w:tcPr>
            <w:tcW w:w="1001" w:type="dxa"/>
            <w:vAlign w:val="center"/>
          </w:tcPr>
          <w:p w14:paraId="1383E88C">
            <w:pPr>
              <w:pStyle w:val="24"/>
              <w:rPr>
                <w:rFonts w:eastAsia="Times New Roman"/>
              </w:rPr>
            </w:pPr>
            <w:r>
              <w:rPr>
                <w:rFonts w:eastAsia="Times New Roman"/>
              </w:rPr>
              <w:t>/</w:t>
            </w:r>
          </w:p>
        </w:tc>
        <w:tc>
          <w:tcPr>
            <w:tcW w:w="864" w:type="dxa"/>
            <w:vAlign w:val="center"/>
          </w:tcPr>
          <w:p w14:paraId="467CEE51">
            <w:pPr>
              <w:pStyle w:val="24"/>
              <w:rPr>
                <w:rFonts w:eastAsia="Times New Roman"/>
              </w:rPr>
            </w:pPr>
            <w:r>
              <w:rPr>
                <w:rFonts w:eastAsia="Times New Roman"/>
              </w:rPr>
              <w:t>/</w:t>
            </w:r>
          </w:p>
        </w:tc>
        <w:tc>
          <w:tcPr>
            <w:tcW w:w="1041" w:type="dxa"/>
            <w:vAlign w:val="center"/>
          </w:tcPr>
          <w:p w14:paraId="41CF80C1">
            <w:pPr>
              <w:pStyle w:val="24"/>
              <w:rPr>
                <w:rFonts w:eastAsia="Times New Roman"/>
              </w:rPr>
            </w:pPr>
            <w:r>
              <w:rPr>
                <w:rFonts w:eastAsia="Times New Roman"/>
              </w:rPr>
              <w:t>/</w:t>
            </w:r>
          </w:p>
        </w:tc>
        <w:tc>
          <w:tcPr>
            <w:tcW w:w="1279" w:type="dxa"/>
            <w:vAlign w:val="center"/>
          </w:tcPr>
          <w:p w14:paraId="508B3218">
            <w:pPr>
              <w:pStyle w:val="24"/>
              <w:rPr>
                <w:rFonts w:eastAsia="Times New Roman"/>
              </w:rPr>
            </w:pPr>
            <w:r>
              <w:rPr>
                <w:rFonts w:eastAsia="Times New Roman"/>
              </w:rPr>
              <w:t>/</w:t>
            </w:r>
          </w:p>
        </w:tc>
        <w:tc>
          <w:tcPr>
            <w:tcW w:w="1276" w:type="dxa"/>
            <w:vAlign w:val="center"/>
          </w:tcPr>
          <w:p w14:paraId="070DB596">
            <w:pPr>
              <w:pStyle w:val="24"/>
              <w:rPr>
                <w:rFonts w:eastAsia="Times New Roman"/>
              </w:rPr>
            </w:pPr>
            <w:r>
              <w:rPr>
                <w:rFonts w:eastAsia="Times New Roman"/>
              </w:rPr>
              <w:t>/</w:t>
            </w:r>
          </w:p>
        </w:tc>
        <w:tc>
          <w:tcPr>
            <w:tcW w:w="1279" w:type="dxa"/>
            <w:vAlign w:val="center"/>
          </w:tcPr>
          <w:p w14:paraId="33FC006D">
            <w:pPr>
              <w:pStyle w:val="24"/>
              <w:rPr>
                <w:rFonts w:eastAsia="Times New Roman"/>
              </w:rPr>
            </w:pPr>
            <w:r>
              <w:rPr>
                <w:rFonts w:eastAsia="Times New Roman"/>
              </w:rPr>
              <w:t>/</w:t>
            </w:r>
          </w:p>
        </w:tc>
        <w:tc>
          <w:tcPr>
            <w:tcW w:w="854" w:type="dxa"/>
            <w:vAlign w:val="center"/>
          </w:tcPr>
          <w:p w14:paraId="65A933A1">
            <w:pPr>
              <w:pStyle w:val="24"/>
              <w:rPr>
                <w:rFonts w:eastAsia="Times New Roman"/>
              </w:rPr>
            </w:pPr>
            <w:r>
              <w:rPr>
                <w:rFonts w:eastAsia="Times New Roman"/>
              </w:rPr>
              <w:t>/</w:t>
            </w:r>
          </w:p>
        </w:tc>
      </w:tr>
    </w:tbl>
    <w:p w14:paraId="43A7A5B0"/>
    <w:p w14:paraId="118C3425">
      <w:pPr>
        <w:sectPr>
          <w:pgSz w:w="16841" w:h="11907"/>
          <w:pgMar w:top="1012" w:right="1435" w:bottom="1323" w:left="1437" w:header="0" w:footer="1134" w:gutter="0"/>
          <w:cols w:space="720" w:num="1"/>
          <w:docGrid w:linePitch="286" w:charSpace="0"/>
        </w:sectPr>
      </w:pPr>
    </w:p>
    <w:p w14:paraId="4AB935CC">
      <w:pPr>
        <w:pStyle w:val="11"/>
      </w:pPr>
      <w:r>
        <w:t>表 5  废弃物(重点是放射性废弃物)</w:t>
      </w:r>
    </w:p>
    <w:tbl>
      <w:tblPr>
        <w:tblStyle w:val="15"/>
        <w:tblW w:w="9234"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8"/>
        <w:gridCol w:w="590"/>
        <w:gridCol w:w="845"/>
        <w:gridCol w:w="705"/>
        <w:gridCol w:w="679"/>
        <w:gridCol w:w="958"/>
        <w:gridCol w:w="861"/>
        <w:gridCol w:w="1055"/>
        <w:gridCol w:w="1903"/>
      </w:tblGrid>
      <w:tr w14:paraId="153A4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1638" w:type="dxa"/>
            <w:vAlign w:val="center"/>
          </w:tcPr>
          <w:p w14:paraId="3E51C274">
            <w:pPr>
              <w:pStyle w:val="24"/>
              <w:rPr>
                <w:b/>
                <w:bCs w:val="0"/>
              </w:rPr>
            </w:pPr>
            <w:r>
              <w:rPr>
                <w:b/>
                <w:bCs w:val="0"/>
              </w:rPr>
              <w:t>名称</w:t>
            </w:r>
          </w:p>
        </w:tc>
        <w:tc>
          <w:tcPr>
            <w:tcW w:w="590" w:type="dxa"/>
            <w:vAlign w:val="center"/>
          </w:tcPr>
          <w:p w14:paraId="619DB2D5">
            <w:pPr>
              <w:pStyle w:val="24"/>
              <w:rPr>
                <w:b/>
                <w:bCs w:val="0"/>
              </w:rPr>
            </w:pPr>
            <w:r>
              <w:rPr>
                <w:b/>
                <w:bCs w:val="0"/>
              </w:rPr>
              <w:t>状态</w:t>
            </w:r>
          </w:p>
        </w:tc>
        <w:tc>
          <w:tcPr>
            <w:tcW w:w="845" w:type="dxa"/>
            <w:vAlign w:val="center"/>
          </w:tcPr>
          <w:p w14:paraId="79E27549">
            <w:pPr>
              <w:pStyle w:val="24"/>
              <w:rPr>
                <w:b/>
                <w:bCs w:val="0"/>
              </w:rPr>
            </w:pPr>
            <w:r>
              <w:rPr>
                <w:b/>
                <w:bCs w:val="0"/>
              </w:rPr>
              <w:t>核素</w:t>
            </w:r>
          </w:p>
          <w:p w14:paraId="7FBA5E89">
            <w:pPr>
              <w:pStyle w:val="24"/>
              <w:rPr>
                <w:b/>
                <w:bCs w:val="0"/>
              </w:rPr>
            </w:pPr>
            <w:r>
              <w:rPr>
                <w:b/>
                <w:bCs w:val="0"/>
              </w:rPr>
              <w:t>名称</w:t>
            </w:r>
          </w:p>
        </w:tc>
        <w:tc>
          <w:tcPr>
            <w:tcW w:w="705" w:type="dxa"/>
            <w:vAlign w:val="center"/>
          </w:tcPr>
          <w:p w14:paraId="2BC9B910">
            <w:pPr>
              <w:pStyle w:val="24"/>
              <w:rPr>
                <w:b/>
                <w:bCs w:val="0"/>
              </w:rPr>
            </w:pPr>
            <w:r>
              <w:rPr>
                <w:b/>
                <w:bCs w:val="0"/>
              </w:rPr>
              <w:t>活度</w:t>
            </w:r>
          </w:p>
        </w:tc>
        <w:tc>
          <w:tcPr>
            <w:tcW w:w="679" w:type="dxa"/>
            <w:vAlign w:val="center"/>
          </w:tcPr>
          <w:p w14:paraId="74CD6810">
            <w:pPr>
              <w:pStyle w:val="24"/>
              <w:rPr>
                <w:b/>
                <w:bCs w:val="0"/>
              </w:rPr>
            </w:pPr>
            <w:r>
              <w:rPr>
                <w:b/>
                <w:bCs w:val="0"/>
              </w:rPr>
              <w:t>月排放量</w:t>
            </w:r>
          </w:p>
        </w:tc>
        <w:tc>
          <w:tcPr>
            <w:tcW w:w="958" w:type="dxa"/>
            <w:vAlign w:val="center"/>
          </w:tcPr>
          <w:p w14:paraId="071E1212">
            <w:pPr>
              <w:pStyle w:val="24"/>
              <w:rPr>
                <w:b/>
                <w:bCs w:val="0"/>
              </w:rPr>
            </w:pPr>
            <w:r>
              <w:rPr>
                <w:b/>
                <w:bCs w:val="0"/>
              </w:rPr>
              <w:t>年排放总量</w:t>
            </w:r>
          </w:p>
        </w:tc>
        <w:tc>
          <w:tcPr>
            <w:tcW w:w="861" w:type="dxa"/>
            <w:vAlign w:val="center"/>
          </w:tcPr>
          <w:p w14:paraId="27A7F184">
            <w:pPr>
              <w:pStyle w:val="24"/>
              <w:rPr>
                <w:b/>
                <w:bCs w:val="0"/>
              </w:rPr>
            </w:pPr>
            <w:r>
              <w:rPr>
                <w:b/>
                <w:bCs w:val="0"/>
              </w:rPr>
              <w:t>排放口浓度</w:t>
            </w:r>
          </w:p>
        </w:tc>
        <w:tc>
          <w:tcPr>
            <w:tcW w:w="1055" w:type="dxa"/>
            <w:vAlign w:val="center"/>
          </w:tcPr>
          <w:p w14:paraId="70E91889">
            <w:pPr>
              <w:pStyle w:val="24"/>
              <w:rPr>
                <w:b/>
                <w:bCs w:val="0"/>
              </w:rPr>
            </w:pPr>
            <w:r>
              <w:rPr>
                <w:b/>
                <w:bCs w:val="0"/>
              </w:rPr>
              <w:t>暂存情况</w:t>
            </w:r>
          </w:p>
        </w:tc>
        <w:tc>
          <w:tcPr>
            <w:tcW w:w="1903" w:type="dxa"/>
            <w:vAlign w:val="center"/>
          </w:tcPr>
          <w:p w14:paraId="395F39D4">
            <w:pPr>
              <w:pStyle w:val="24"/>
              <w:rPr>
                <w:b/>
                <w:bCs w:val="0"/>
              </w:rPr>
            </w:pPr>
            <w:r>
              <w:rPr>
                <w:b/>
                <w:bCs w:val="0"/>
              </w:rPr>
              <w:t>最终去向</w:t>
            </w:r>
          </w:p>
        </w:tc>
      </w:tr>
      <w:tr w14:paraId="4FCDD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2" w:hRule="atLeast"/>
        </w:trPr>
        <w:tc>
          <w:tcPr>
            <w:tcW w:w="1638" w:type="dxa"/>
            <w:vAlign w:val="center"/>
          </w:tcPr>
          <w:p w14:paraId="79149136">
            <w:pPr>
              <w:pStyle w:val="24"/>
            </w:pPr>
            <w:r>
              <w:t>臭氧、氮氧化物</w:t>
            </w:r>
          </w:p>
        </w:tc>
        <w:tc>
          <w:tcPr>
            <w:tcW w:w="590" w:type="dxa"/>
            <w:vAlign w:val="center"/>
          </w:tcPr>
          <w:p w14:paraId="2513BCBB">
            <w:pPr>
              <w:pStyle w:val="24"/>
            </w:pPr>
            <w:r>
              <w:t>气态</w:t>
            </w:r>
          </w:p>
        </w:tc>
        <w:tc>
          <w:tcPr>
            <w:tcW w:w="845" w:type="dxa"/>
            <w:vAlign w:val="center"/>
          </w:tcPr>
          <w:p w14:paraId="013C0C02">
            <w:pPr>
              <w:pStyle w:val="24"/>
            </w:pPr>
            <w:r>
              <w:t>/</w:t>
            </w:r>
          </w:p>
        </w:tc>
        <w:tc>
          <w:tcPr>
            <w:tcW w:w="705" w:type="dxa"/>
            <w:vAlign w:val="center"/>
          </w:tcPr>
          <w:p w14:paraId="77A5536F">
            <w:pPr>
              <w:pStyle w:val="24"/>
            </w:pPr>
            <w:r>
              <w:t>/</w:t>
            </w:r>
          </w:p>
        </w:tc>
        <w:tc>
          <w:tcPr>
            <w:tcW w:w="679" w:type="dxa"/>
            <w:vAlign w:val="center"/>
          </w:tcPr>
          <w:p w14:paraId="1C7EB7B3">
            <w:pPr>
              <w:pStyle w:val="24"/>
            </w:pPr>
            <w:r>
              <w:t>少量</w:t>
            </w:r>
          </w:p>
        </w:tc>
        <w:tc>
          <w:tcPr>
            <w:tcW w:w="958" w:type="dxa"/>
            <w:vAlign w:val="center"/>
          </w:tcPr>
          <w:p w14:paraId="4459FC1C">
            <w:pPr>
              <w:pStyle w:val="24"/>
            </w:pPr>
            <w:r>
              <w:t>少量</w:t>
            </w:r>
          </w:p>
        </w:tc>
        <w:tc>
          <w:tcPr>
            <w:tcW w:w="861" w:type="dxa"/>
            <w:vAlign w:val="center"/>
          </w:tcPr>
          <w:p w14:paraId="4B298CD9">
            <w:pPr>
              <w:pStyle w:val="24"/>
            </w:pPr>
            <w:r>
              <w:t>/</w:t>
            </w:r>
          </w:p>
        </w:tc>
        <w:tc>
          <w:tcPr>
            <w:tcW w:w="1055" w:type="dxa"/>
            <w:vAlign w:val="center"/>
          </w:tcPr>
          <w:p w14:paraId="140D3009">
            <w:pPr>
              <w:pStyle w:val="24"/>
            </w:pPr>
            <w:r>
              <w:t>无暂存</w:t>
            </w:r>
          </w:p>
        </w:tc>
        <w:tc>
          <w:tcPr>
            <w:tcW w:w="1903" w:type="dxa"/>
            <w:vAlign w:val="center"/>
          </w:tcPr>
          <w:p w14:paraId="58F87C85">
            <w:pPr>
              <w:pStyle w:val="24"/>
            </w:pPr>
            <w:r>
              <w:t>通过通风系统排入外环境，臭氧常温下</w:t>
            </w:r>
            <w:r>
              <w:rPr>
                <w:rFonts w:hint="eastAsia"/>
              </w:rPr>
              <w:t>50分钟左右</w:t>
            </w:r>
            <w:r>
              <w:t>可自行分解为氧气，对环境影响较小</w:t>
            </w:r>
          </w:p>
        </w:tc>
      </w:tr>
      <w:tr w14:paraId="05106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1" w:hRule="atLeast"/>
        </w:trPr>
        <w:tc>
          <w:tcPr>
            <w:tcW w:w="1638" w:type="dxa"/>
            <w:vAlign w:val="center"/>
          </w:tcPr>
          <w:p w14:paraId="27B5442B">
            <w:pPr>
              <w:pStyle w:val="24"/>
            </w:pPr>
            <w:r>
              <w:t>/</w:t>
            </w:r>
          </w:p>
        </w:tc>
        <w:tc>
          <w:tcPr>
            <w:tcW w:w="590" w:type="dxa"/>
            <w:vAlign w:val="center"/>
          </w:tcPr>
          <w:p w14:paraId="7004F2B8">
            <w:pPr>
              <w:pStyle w:val="24"/>
            </w:pPr>
            <w:r>
              <w:t>/</w:t>
            </w:r>
          </w:p>
        </w:tc>
        <w:tc>
          <w:tcPr>
            <w:tcW w:w="845" w:type="dxa"/>
            <w:vAlign w:val="center"/>
          </w:tcPr>
          <w:p w14:paraId="08E07987">
            <w:pPr>
              <w:pStyle w:val="24"/>
            </w:pPr>
            <w:r>
              <w:t>/</w:t>
            </w:r>
          </w:p>
        </w:tc>
        <w:tc>
          <w:tcPr>
            <w:tcW w:w="705" w:type="dxa"/>
            <w:vAlign w:val="center"/>
          </w:tcPr>
          <w:p w14:paraId="26A2ED1D">
            <w:pPr>
              <w:pStyle w:val="24"/>
            </w:pPr>
            <w:r>
              <w:t>/</w:t>
            </w:r>
          </w:p>
        </w:tc>
        <w:tc>
          <w:tcPr>
            <w:tcW w:w="679" w:type="dxa"/>
            <w:vAlign w:val="center"/>
          </w:tcPr>
          <w:p w14:paraId="536F266F">
            <w:pPr>
              <w:pStyle w:val="24"/>
            </w:pPr>
            <w:r>
              <w:t>/</w:t>
            </w:r>
          </w:p>
        </w:tc>
        <w:tc>
          <w:tcPr>
            <w:tcW w:w="958" w:type="dxa"/>
            <w:vAlign w:val="center"/>
          </w:tcPr>
          <w:p w14:paraId="6A22534D">
            <w:pPr>
              <w:pStyle w:val="24"/>
            </w:pPr>
            <w:r>
              <w:t>/</w:t>
            </w:r>
          </w:p>
        </w:tc>
        <w:tc>
          <w:tcPr>
            <w:tcW w:w="861" w:type="dxa"/>
            <w:vAlign w:val="center"/>
          </w:tcPr>
          <w:p w14:paraId="41E2AF27">
            <w:pPr>
              <w:pStyle w:val="24"/>
            </w:pPr>
            <w:r>
              <w:t>/</w:t>
            </w:r>
          </w:p>
        </w:tc>
        <w:tc>
          <w:tcPr>
            <w:tcW w:w="1055" w:type="dxa"/>
            <w:vAlign w:val="center"/>
          </w:tcPr>
          <w:p w14:paraId="30664083">
            <w:pPr>
              <w:pStyle w:val="24"/>
            </w:pPr>
            <w:r>
              <w:t>/</w:t>
            </w:r>
          </w:p>
        </w:tc>
        <w:tc>
          <w:tcPr>
            <w:tcW w:w="1903" w:type="dxa"/>
            <w:vAlign w:val="center"/>
          </w:tcPr>
          <w:p w14:paraId="5DC5B728">
            <w:pPr>
              <w:pStyle w:val="24"/>
            </w:pPr>
            <w:r>
              <w:t>/</w:t>
            </w:r>
          </w:p>
        </w:tc>
      </w:tr>
      <w:tr w14:paraId="5767D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024" w:hRule="atLeast"/>
        </w:trPr>
        <w:tc>
          <w:tcPr>
            <w:tcW w:w="1638" w:type="dxa"/>
            <w:vAlign w:val="center"/>
          </w:tcPr>
          <w:p w14:paraId="60D95879">
            <w:pPr>
              <w:pStyle w:val="24"/>
            </w:pPr>
          </w:p>
        </w:tc>
        <w:tc>
          <w:tcPr>
            <w:tcW w:w="590" w:type="dxa"/>
            <w:vAlign w:val="center"/>
          </w:tcPr>
          <w:p w14:paraId="0D23F932">
            <w:pPr>
              <w:pStyle w:val="24"/>
            </w:pPr>
          </w:p>
        </w:tc>
        <w:tc>
          <w:tcPr>
            <w:tcW w:w="845" w:type="dxa"/>
            <w:vAlign w:val="center"/>
          </w:tcPr>
          <w:p w14:paraId="381BA178">
            <w:pPr>
              <w:pStyle w:val="24"/>
            </w:pPr>
          </w:p>
        </w:tc>
        <w:tc>
          <w:tcPr>
            <w:tcW w:w="705" w:type="dxa"/>
            <w:vAlign w:val="center"/>
          </w:tcPr>
          <w:p w14:paraId="170E5C2D">
            <w:pPr>
              <w:pStyle w:val="24"/>
            </w:pPr>
          </w:p>
        </w:tc>
        <w:tc>
          <w:tcPr>
            <w:tcW w:w="679" w:type="dxa"/>
            <w:vAlign w:val="center"/>
          </w:tcPr>
          <w:p w14:paraId="1CF2ED30">
            <w:pPr>
              <w:pStyle w:val="24"/>
            </w:pPr>
          </w:p>
        </w:tc>
        <w:tc>
          <w:tcPr>
            <w:tcW w:w="958" w:type="dxa"/>
            <w:vAlign w:val="center"/>
          </w:tcPr>
          <w:p w14:paraId="2E81FED0">
            <w:pPr>
              <w:pStyle w:val="24"/>
            </w:pPr>
          </w:p>
        </w:tc>
        <w:tc>
          <w:tcPr>
            <w:tcW w:w="861" w:type="dxa"/>
            <w:vAlign w:val="center"/>
          </w:tcPr>
          <w:p w14:paraId="4C194A21">
            <w:pPr>
              <w:pStyle w:val="24"/>
            </w:pPr>
          </w:p>
        </w:tc>
        <w:tc>
          <w:tcPr>
            <w:tcW w:w="1055" w:type="dxa"/>
            <w:vAlign w:val="center"/>
          </w:tcPr>
          <w:p w14:paraId="013DA24B">
            <w:pPr>
              <w:pStyle w:val="24"/>
            </w:pPr>
          </w:p>
        </w:tc>
        <w:tc>
          <w:tcPr>
            <w:tcW w:w="1903" w:type="dxa"/>
            <w:vAlign w:val="center"/>
          </w:tcPr>
          <w:p w14:paraId="3487C39B">
            <w:pPr>
              <w:pStyle w:val="24"/>
            </w:pPr>
          </w:p>
        </w:tc>
      </w:tr>
      <w:tr w14:paraId="15621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1638" w:type="dxa"/>
            <w:vAlign w:val="center"/>
          </w:tcPr>
          <w:p w14:paraId="46030D04">
            <w:pPr>
              <w:pStyle w:val="24"/>
            </w:pPr>
          </w:p>
        </w:tc>
        <w:tc>
          <w:tcPr>
            <w:tcW w:w="590" w:type="dxa"/>
            <w:vAlign w:val="center"/>
          </w:tcPr>
          <w:p w14:paraId="7E17320F">
            <w:pPr>
              <w:pStyle w:val="24"/>
            </w:pPr>
          </w:p>
        </w:tc>
        <w:tc>
          <w:tcPr>
            <w:tcW w:w="845" w:type="dxa"/>
            <w:vAlign w:val="center"/>
          </w:tcPr>
          <w:p w14:paraId="5AE860F5">
            <w:pPr>
              <w:pStyle w:val="24"/>
            </w:pPr>
          </w:p>
        </w:tc>
        <w:tc>
          <w:tcPr>
            <w:tcW w:w="705" w:type="dxa"/>
            <w:vAlign w:val="center"/>
          </w:tcPr>
          <w:p w14:paraId="1FDC8C6B">
            <w:pPr>
              <w:pStyle w:val="24"/>
            </w:pPr>
          </w:p>
        </w:tc>
        <w:tc>
          <w:tcPr>
            <w:tcW w:w="679" w:type="dxa"/>
            <w:vAlign w:val="center"/>
          </w:tcPr>
          <w:p w14:paraId="6B03B08C">
            <w:pPr>
              <w:pStyle w:val="24"/>
            </w:pPr>
          </w:p>
        </w:tc>
        <w:tc>
          <w:tcPr>
            <w:tcW w:w="958" w:type="dxa"/>
            <w:vAlign w:val="center"/>
          </w:tcPr>
          <w:p w14:paraId="0798D63C">
            <w:pPr>
              <w:pStyle w:val="24"/>
            </w:pPr>
          </w:p>
        </w:tc>
        <w:tc>
          <w:tcPr>
            <w:tcW w:w="861" w:type="dxa"/>
            <w:vAlign w:val="center"/>
          </w:tcPr>
          <w:p w14:paraId="0D5F7A84">
            <w:pPr>
              <w:pStyle w:val="24"/>
            </w:pPr>
          </w:p>
        </w:tc>
        <w:tc>
          <w:tcPr>
            <w:tcW w:w="1055" w:type="dxa"/>
            <w:vAlign w:val="center"/>
          </w:tcPr>
          <w:p w14:paraId="22EBCEB4">
            <w:pPr>
              <w:pStyle w:val="24"/>
            </w:pPr>
          </w:p>
        </w:tc>
        <w:tc>
          <w:tcPr>
            <w:tcW w:w="1903" w:type="dxa"/>
            <w:vAlign w:val="center"/>
          </w:tcPr>
          <w:p w14:paraId="4B65A46F">
            <w:pPr>
              <w:pStyle w:val="24"/>
            </w:pPr>
          </w:p>
        </w:tc>
      </w:tr>
      <w:tr w14:paraId="0BC9B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1638" w:type="dxa"/>
            <w:vAlign w:val="center"/>
          </w:tcPr>
          <w:p w14:paraId="6F018231">
            <w:pPr>
              <w:pStyle w:val="24"/>
            </w:pPr>
          </w:p>
        </w:tc>
        <w:tc>
          <w:tcPr>
            <w:tcW w:w="590" w:type="dxa"/>
            <w:vAlign w:val="center"/>
          </w:tcPr>
          <w:p w14:paraId="27EC94C7">
            <w:pPr>
              <w:pStyle w:val="24"/>
            </w:pPr>
          </w:p>
        </w:tc>
        <w:tc>
          <w:tcPr>
            <w:tcW w:w="845" w:type="dxa"/>
            <w:vAlign w:val="center"/>
          </w:tcPr>
          <w:p w14:paraId="3A145D40">
            <w:pPr>
              <w:pStyle w:val="24"/>
            </w:pPr>
          </w:p>
        </w:tc>
        <w:tc>
          <w:tcPr>
            <w:tcW w:w="705" w:type="dxa"/>
            <w:vAlign w:val="center"/>
          </w:tcPr>
          <w:p w14:paraId="3A4A3A9D">
            <w:pPr>
              <w:pStyle w:val="24"/>
            </w:pPr>
          </w:p>
        </w:tc>
        <w:tc>
          <w:tcPr>
            <w:tcW w:w="679" w:type="dxa"/>
            <w:vAlign w:val="center"/>
          </w:tcPr>
          <w:p w14:paraId="4CB7751F">
            <w:pPr>
              <w:pStyle w:val="24"/>
            </w:pPr>
          </w:p>
        </w:tc>
        <w:tc>
          <w:tcPr>
            <w:tcW w:w="958" w:type="dxa"/>
            <w:vAlign w:val="center"/>
          </w:tcPr>
          <w:p w14:paraId="3515092B">
            <w:pPr>
              <w:pStyle w:val="24"/>
            </w:pPr>
          </w:p>
        </w:tc>
        <w:tc>
          <w:tcPr>
            <w:tcW w:w="861" w:type="dxa"/>
            <w:vAlign w:val="center"/>
          </w:tcPr>
          <w:p w14:paraId="030D8779">
            <w:pPr>
              <w:pStyle w:val="24"/>
            </w:pPr>
          </w:p>
        </w:tc>
        <w:tc>
          <w:tcPr>
            <w:tcW w:w="1055" w:type="dxa"/>
            <w:vAlign w:val="center"/>
          </w:tcPr>
          <w:p w14:paraId="3912E00F">
            <w:pPr>
              <w:pStyle w:val="24"/>
            </w:pPr>
          </w:p>
        </w:tc>
        <w:tc>
          <w:tcPr>
            <w:tcW w:w="1903" w:type="dxa"/>
            <w:vAlign w:val="center"/>
          </w:tcPr>
          <w:p w14:paraId="242A74A6">
            <w:pPr>
              <w:pStyle w:val="24"/>
            </w:pPr>
          </w:p>
        </w:tc>
      </w:tr>
      <w:tr w14:paraId="0F68C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1638" w:type="dxa"/>
            <w:vAlign w:val="center"/>
          </w:tcPr>
          <w:p w14:paraId="55543D0D">
            <w:pPr>
              <w:pStyle w:val="24"/>
            </w:pPr>
          </w:p>
        </w:tc>
        <w:tc>
          <w:tcPr>
            <w:tcW w:w="590" w:type="dxa"/>
            <w:vAlign w:val="center"/>
          </w:tcPr>
          <w:p w14:paraId="1BB6F9E9">
            <w:pPr>
              <w:pStyle w:val="24"/>
            </w:pPr>
          </w:p>
        </w:tc>
        <w:tc>
          <w:tcPr>
            <w:tcW w:w="845" w:type="dxa"/>
            <w:vAlign w:val="center"/>
          </w:tcPr>
          <w:p w14:paraId="559E1F7C">
            <w:pPr>
              <w:pStyle w:val="24"/>
            </w:pPr>
          </w:p>
        </w:tc>
        <w:tc>
          <w:tcPr>
            <w:tcW w:w="705" w:type="dxa"/>
            <w:vAlign w:val="center"/>
          </w:tcPr>
          <w:p w14:paraId="2E2AA899">
            <w:pPr>
              <w:pStyle w:val="24"/>
            </w:pPr>
          </w:p>
        </w:tc>
        <w:tc>
          <w:tcPr>
            <w:tcW w:w="679" w:type="dxa"/>
            <w:vAlign w:val="center"/>
          </w:tcPr>
          <w:p w14:paraId="3592B32D">
            <w:pPr>
              <w:pStyle w:val="24"/>
            </w:pPr>
          </w:p>
        </w:tc>
        <w:tc>
          <w:tcPr>
            <w:tcW w:w="958" w:type="dxa"/>
            <w:vAlign w:val="center"/>
          </w:tcPr>
          <w:p w14:paraId="57F084A9">
            <w:pPr>
              <w:pStyle w:val="24"/>
            </w:pPr>
          </w:p>
        </w:tc>
        <w:tc>
          <w:tcPr>
            <w:tcW w:w="861" w:type="dxa"/>
            <w:vAlign w:val="center"/>
          </w:tcPr>
          <w:p w14:paraId="411E33E4">
            <w:pPr>
              <w:pStyle w:val="24"/>
            </w:pPr>
          </w:p>
        </w:tc>
        <w:tc>
          <w:tcPr>
            <w:tcW w:w="1055" w:type="dxa"/>
            <w:vAlign w:val="center"/>
          </w:tcPr>
          <w:p w14:paraId="3EB98C44">
            <w:pPr>
              <w:pStyle w:val="24"/>
            </w:pPr>
          </w:p>
        </w:tc>
        <w:tc>
          <w:tcPr>
            <w:tcW w:w="1903" w:type="dxa"/>
            <w:vAlign w:val="center"/>
          </w:tcPr>
          <w:p w14:paraId="6F46EFC1">
            <w:pPr>
              <w:pStyle w:val="24"/>
            </w:pPr>
          </w:p>
        </w:tc>
      </w:tr>
      <w:tr w14:paraId="5A646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7" w:hRule="atLeast"/>
        </w:trPr>
        <w:tc>
          <w:tcPr>
            <w:tcW w:w="1638" w:type="dxa"/>
            <w:vAlign w:val="center"/>
          </w:tcPr>
          <w:p w14:paraId="413E0FA3">
            <w:pPr>
              <w:pStyle w:val="24"/>
            </w:pPr>
          </w:p>
        </w:tc>
        <w:tc>
          <w:tcPr>
            <w:tcW w:w="590" w:type="dxa"/>
            <w:vAlign w:val="center"/>
          </w:tcPr>
          <w:p w14:paraId="04EABD21">
            <w:pPr>
              <w:pStyle w:val="24"/>
            </w:pPr>
          </w:p>
        </w:tc>
        <w:tc>
          <w:tcPr>
            <w:tcW w:w="845" w:type="dxa"/>
            <w:vAlign w:val="center"/>
          </w:tcPr>
          <w:p w14:paraId="3C665775">
            <w:pPr>
              <w:pStyle w:val="24"/>
            </w:pPr>
          </w:p>
        </w:tc>
        <w:tc>
          <w:tcPr>
            <w:tcW w:w="705" w:type="dxa"/>
            <w:vAlign w:val="center"/>
          </w:tcPr>
          <w:p w14:paraId="3D35ED62">
            <w:pPr>
              <w:pStyle w:val="24"/>
            </w:pPr>
          </w:p>
        </w:tc>
        <w:tc>
          <w:tcPr>
            <w:tcW w:w="679" w:type="dxa"/>
            <w:vAlign w:val="center"/>
          </w:tcPr>
          <w:p w14:paraId="58E0A630">
            <w:pPr>
              <w:pStyle w:val="24"/>
            </w:pPr>
          </w:p>
        </w:tc>
        <w:tc>
          <w:tcPr>
            <w:tcW w:w="958" w:type="dxa"/>
            <w:vAlign w:val="center"/>
          </w:tcPr>
          <w:p w14:paraId="3D545442">
            <w:pPr>
              <w:pStyle w:val="24"/>
            </w:pPr>
          </w:p>
        </w:tc>
        <w:tc>
          <w:tcPr>
            <w:tcW w:w="861" w:type="dxa"/>
            <w:vAlign w:val="center"/>
          </w:tcPr>
          <w:p w14:paraId="67313321">
            <w:pPr>
              <w:pStyle w:val="24"/>
            </w:pPr>
          </w:p>
        </w:tc>
        <w:tc>
          <w:tcPr>
            <w:tcW w:w="1055" w:type="dxa"/>
            <w:vAlign w:val="center"/>
          </w:tcPr>
          <w:p w14:paraId="658359F2">
            <w:pPr>
              <w:pStyle w:val="24"/>
            </w:pPr>
          </w:p>
        </w:tc>
        <w:tc>
          <w:tcPr>
            <w:tcW w:w="1903" w:type="dxa"/>
            <w:vAlign w:val="center"/>
          </w:tcPr>
          <w:p w14:paraId="7B1E7466">
            <w:pPr>
              <w:pStyle w:val="24"/>
            </w:pPr>
          </w:p>
        </w:tc>
      </w:tr>
      <w:tr w14:paraId="4FDCF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1638" w:type="dxa"/>
            <w:vAlign w:val="center"/>
          </w:tcPr>
          <w:p w14:paraId="58813D01">
            <w:pPr>
              <w:pStyle w:val="24"/>
            </w:pPr>
          </w:p>
        </w:tc>
        <w:tc>
          <w:tcPr>
            <w:tcW w:w="590" w:type="dxa"/>
            <w:vAlign w:val="center"/>
          </w:tcPr>
          <w:p w14:paraId="710E25D4">
            <w:pPr>
              <w:pStyle w:val="24"/>
            </w:pPr>
          </w:p>
        </w:tc>
        <w:tc>
          <w:tcPr>
            <w:tcW w:w="845" w:type="dxa"/>
            <w:vAlign w:val="center"/>
          </w:tcPr>
          <w:p w14:paraId="46CE2762">
            <w:pPr>
              <w:pStyle w:val="24"/>
            </w:pPr>
          </w:p>
        </w:tc>
        <w:tc>
          <w:tcPr>
            <w:tcW w:w="705" w:type="dxa"/>
            <w:vAlign w:val="center"/>
          </w:tcPr>
          <w:p w14:paraId="6DC9ADB2">
            <w:pPr>
              <w:pStyle w:val="24"/>
            </w:pPr>
          </w:p>
        </w:tc>
        <w:tc>
          <w:tcPr>
            <w:tcW w:w="679" w:type="dxa"/>
            <w:vAlign w:val="center"/>
          </w:tcPr>
          <w:p w14:paraId="6D19705C">
            <w:pPr>
              <w:pStyle w:val="24"/>
            </w:pPr>
          </w:p>
        </w:tc>
        <w:tc>
          <w:tcPr>
            <w:tcW w:w="958" w:type="dxa"/>
            <w:vAlign w:val="center"/>
          </w:tcPr>
          <w:p w14:paraId="03F86C71">
            <w:pPr>
              <w:pStyle w:val="24"/>
            </w:pPr>
          </w:p>
        </w:tc>
        <w:tc>
          <w:tcPr>
            <w:tcW w:w="861" w:type="dxa"/>
            <w:vAlign w:val="center"/>
          </w:tcPr>
          <w:p w14:paraId="6C64D7A1">
            <w:pPr>
              <w:pStyle w:val="24"/>
            </w:pPr>
          </w:p>
        </w:tc>
        <w:tc>
          <w:tcPr>
            <w:tcW w:w="1055" w:type="dxa"/>
            <w:vAlign w:val="center"/>
          </w:tcPr>
          <w:p w14:paraId="73B13E9C">
            <w:pPr>
              <w:pStyle w:val="24"/>
            </w:pPr>
          </w:p>
        </w:tc>
        <w:tc>
          <w:tcPr>
            <w:tcW w:w="1903" w:type="dxa"/>
            <w:vAlign w:val="center"/>
          </w:tcPr>
          <w:p w14:paraId="71BBE213">
            <w:pPr>
              <w:pStyle w:val="24"/>
            </w:pPr>
          </w:p>
        </w:tc>
      </w:tr>
    </w:tbl>
    <w:p w14:paraId="6B5899B1">
      <w:pPr>
        <w:pStyle w:val="6"/>
      </w:pPr>
      <w:r>
        <w:rPr>
          <w:spacing w:val="-12"/>
        </w:rPr>
        <w:t>注：</w:t>
      </w:r>
      <w:r>
        <w:rPr>
          <w:spacing w:val="-10"/>
        </w:rPr>
        <w:t xml:space="preserve"> </w:t>
      </w:r>
      <w:r>
        <w:rPr>
          <w:rFonts w:eastAsia="Times New Roman" w:cs="Times New Roman"/>
        </w:rPr>
        <w:t>1.</w:t>
      </w:r>
      <w:r>
        <w:t xml:space="preserve">常规废弃物排放浓度，对于液态单位为 </w:t>
      </w:r>
      <w:r>
        <w:rPr>
          <w:rFonts w:eastAsia="Times New Roman" w:cs="Times New Roman"/>
        </w:rPr>
        <w:t>mg/L</w:t>
      </w:r>
      <w:r>
        <w:t xml:space="preserve">，固体为 </w:t>
      </w:r>
      <w:r>
        <w:rPr>
          <w:rFonts w:eastAsia="Times New Roman" w:cs="Times New Roman"/>
        </w:rPr>
        <w:t>mg/kg</w:t>
      </w:r>
      <w:r>
        <w:t xml:space="preserve">，气态为 </w:t>
      </w:r>
      <w:r>
        <w:rPr>
          <w:rFonts w:eastAsia="Times New Roman" w:cs="Times New Roman"/>
        </w:rPr>
        <w:t>mg/m</w:t>
      </w:r>
      <w:r>
        <w:rPr>
          <w:rFonts w:eastAsia="Times New Roman" w:cs="Times New Roman"/>
          <w:position w:val="8"/>
          <w:sz w:val="16"/>
          <w:szCs w:val="16"/>
        </w:rPr>
        <w:t xml:space="preserve">3 </w:t>
      </w:r>
      <w:r>
        <w:t xml:space="preserve">；年排放总量用 </w:t>
      </w:r>
      <w:r>
        <w:rPr>
          <w:rFonts w:eastAsia="Times New Roman" w:cs="Times New Roman"/>
        </w:rPr>
        <w:t>k</w:t>
      </w:r>
      <w:r>
        <w:rPr>
          <w:rFonts w:eastAsia="Times New Roman" w:cs="Times New Roman"/>
          <w:spacing w:val="-5"/>
        </w:rPr>
        <w:t>g</w:t>
      </w:r>
      <w:r>
        <w:t>。</w:t>
      </w:r>
    </w:p>
    <w:p w14:paraId="410CFAC2">
      <w:pPr>
        <w:pStyle w:val="6"/>
      </w:pPr>
      <w:r>
        <w:rPr>
          <w:rFonts w:eastAsia="Times New Roman" w:cs="Times New Roman"/>
          <w:spacing w:val="6"/>
        </w:rPr>
        <w:t>2.</w:t>
      </w:r>
      <w:r>
        <w:rPr>
          <w:spacing w:val="6"/>
        </w:rPr>
        <w:t>含有</w:t>
      </w:r>
      <w:r>
        <w:rPr>
          <w:spacing w:val="3"/>
        </w:rPr>
        <w:t>放射性的废物要注明，其排放浓度、年排放总量分别用比活度(</w:t>
      </w:r>
      <w:r>
        <w:rPr>
          <w:rFonts w:eastAsia="Times New Roman" w:cs="Times New Roman"/>
        </w:rPr>
        <w:t>Bq</w:t>
      </w:r>
      <w:r>
        <w:rPr>
          <w:rFonts w:eastAsia="Times New Roman" w:cs="Times New Roman"/>
          <w:spacing w:val="3"/>
        </w:rPr>
        <w:t>/</w:t>
      </w:r>
      <w:r>
        <w:rPr>
          <w:rFonts w:eastAsia="Times New Roman" w:cs="Times New Roman"/>
        </w:rPr>
        <w:t>L</w:t>
      </w:r>
      <w:r>
        <w:rPr>
          <w:rFonts w:eastAsia="Times New Roman" w:cs="Times New Roman"/>
          <w:spacing w:val="3"/>
        </w:rPr>
        <w:t xml:space="preserve"> </w:t>
      </w:r>
      <w:r>
        <w:rPr>
          <w:spacing w:val="3"/>
        </w:rPr>
        <w:t>或</w:t>
      </w:r>
      <w:r>
        <w:t xml:space="preserve"> </w:t>
      </w:r>
      <w:r>
        <w:rPr>
          <w:rFonts w:eastAsia="Times New Roman" w:cs="Times New Roman"/>
        </w:rPr>
        <w:t>Bq</w:t>
      </w:r>
      <w:r>
        <w:rPr>
          <w:rFonts w:eastAsia="Times New Roman" w:cs="Times New Roman"/>
          <w:spacing w:val="16"/>
        </w:rPr>
        <w:t>/</w:t>
      </w:r>
      <w:r>
        <w:rPr>
          <w:rFonts w:eastAsia="Times New Roman" w:cs="Times New Roman"/>
        </w:rPr>
        <w:t>kg</w:t>
      </w:r>
      <w:r>
        <w:rPr>
          <w:rFonts w:eastAsia="Times New Roman" w:cs="Times New Roman"/>
          <w:spacing w:val="16"/>
        </w:rPr>
        <w:t xml:space="preserve"> </w:t>
      </w:r>
      <w:r>
        <w:rPr>
          <w:spacing w:val="16"/>
        </w:rPr>
        <w:t xml:space="preserve">或 </w:t>
      </w:r>
      <w:r>
        <w:rPr>
          <w:rFonts w:eastAsia="Times New Roman" w:cs="Times New Roman"/>
        </w:rPr>
        <w:t>Bq</w:t>
      </w:r>
      <w:r>
        <w:rPr>
          <w:rFonts w:eastAsia="Times New Roman" w:cs="Times New Roman"/>
          <w:spacing w:val="16"/>
        </w:rPr>
        <w:t>/</w:t>
      </w:r>
      <w:r>
        <w:rPr>
          <w:rFonts w:eastAsia="Times New Roman" w:cs="Times New Roman"/>
        </w:rPr>
        <w:t>m</w:t>
      </w:r>
      <w:r>
        <w:rPr>
          <w:rFonts w:eastAsia="Times New Roman" w:cs="Times New Roman"/>
          <w:spacing w:val="16"/>
          <w:position w:val="9"/>
          <w:sz w:val="16"/>
          <w:szCs w:val="16"/>
        </w:rPr>
        <w:t xml:space="preserve">3 </w:t>
      </w:r>
      <w:r>
        <w:rPr>
          <w:spacing w:val="16"/>
        </w:rPr>
        <w:t>)和活度(</w:t>
      </w:r>
      <w:r>
        <w:rPr>
          <w:rFonts w:eastAsia="Times New Roman" w:cs="Times New Roman"/>
        </w:rPr>
        <w:t>Bq</w:t>
      </w:r>
      <w:r>
        <w:rPr>
          <w:spacing w:val="16"/>
        </w:rPr>
        <w:t>)</w:t>
      </w:r>
      <w:r>
        <w:rPr>
          <w:spacing w:val="14"/>
        </w:rPr>
        <w:t>。</w:t>
      </w:r>
    </w:p>
    <w:p w14:paraId="29FCCE34">
      <w:pPr>
        <w:sectPr>
          <w:pgSz w:w="11907" w:h="16841"/>
          <w:pgMar w:top="1418" w:right="1134" w:bottom="1418" w:left="1701" w:header="0" w:footer="1134" w:gutter="0"/>
          <w:cols w:space="720" w:num="1"/>
          <w:docGrid w:linePitch="286" w:charSpace="0"/>
        </w:sectPr>
      </w:pPr>
    </w:p>
    <w:p w14:paraId="627F5FAE">
      <w:pPr>
        <w:pStyle w:val="11"/>
      </w:pPr>
      <w:r>
        <w:t>表 6  评价依据</w:t>
      </w:r>
    </w:p>
    <w:tbl>
      <w:tblPr>
        <w:tblStyle w:val="15"/>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7938"/>
      </w:tblGrid>
      <w:tr w14:paraId="7CB42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84" w:hRule="atLeast"/>
        </w:trPr>
        <w:tc>
          <w:tcPr>
            <w:tcW w:w="964" w:type="dxa"/>
            <w:vAlign w:val="center"/>
          </w:tcPr>
          <w:p w14:paraId="4B86784B">
            <w:pPr>
              <w:spacing w:line="360" w:lineRule="auto"/>
              <w:jc w:val="center"/>
              <w:rPr>
                <w:rFonts w:hint="eastAsia" w:ascii="宋体" w:hAnsi="宋体" w:eastAsia="宋体" w:cs="宋体"/>
                <w:sz w:val="24"/>
                <w:szCs w:val="24"/>
              </w:rPr>
            </w:pPr>
            <w:r>
              <w:rPr>
                <w:rFonts w:ascii="宋体" w:hAnsi="宋体" w:eastAsia="宋体" w:cs="宋体"/>
                <w:spacing w:val="-2"/>
                <w:sz w:val="24"/>
                <w:szCs w:val="24"/>
                <w14:textOutline w14:w="4356" w14:cap="flat" w14:cmpd="sng" w14:algn="ctr">
                  <w14:solidFill>
                    <w14:srgbClr w14:val="000000"/>
                  </w14:solidFill>
                  <w14:prstDash w14:val="solid"/>
                  <w14:miter w14:val="0"/>
                </w14:textOutline>
              </w:rPr>
              <w:t>法规</w:t>
            </w:r>
          </w:p>
          <w:p w14:paraId="00C1A62C">
            <w:pPr>
              <w:spacing w:line="360" w:lineRule="auto"/>
              <w:jc w:val="center"/>
              <w:rPr>
                <w:rFonts w:hint="eastAsia" w:ascii="宋体" w:hAnsi="宋体" w:eastAsia="宋体" w:cs="宋体"/>
                <w:sz w:val="24"/>
                <w:szCs w:val="24"/>
              </w:rPr>
            </w:pPr>
            <w:r>
              <w:rPr>
                <w:rFonts w:ascii="宋体" w:hAnsi="宋体" w:eastAsia="宋体" w:cs="宋体"/>
                <w:spacing w:val="-3"/>
                <w:sz w:val="24"/>
                <w:szCs w:val="24"/>
                <w14:textOutline w14:w="4356" w14:cap="flat" w14:cmpd="sng" w14:algn="ctr">
                  <w14:solidFill>
                    <w14:srgbClr w14:val="000000"/>
                  </w14:solidFill>
                  <w14:prstDash w14:val="solid"/>
                  <w14:miter w14:val="0"/>
                </w14:textOutline>
              </w:rPr>
              <w:t>文</w:t>
            </w:r>
            <w:r>
              <w:rPr>
                <w:rFonts w:ascii="宋体" w:hAnsi="宋体" w:eastAsia="宋体" w:cs="宋体"/>
                <w:spacing w:val="-2"/>
                <w:sz w:val="24"/>
                <w:szCs w:val="24"/>
                <w14:textOutline w14:w="4356" w14:cap="flat" w14:cmpd="sng" w14:algn="ctr">
                  <w14:solidFill>
                    <w14:srgbClr w14:val="000000"/>
                  </w14:solidFill>
                  <w14:prstDash w14:val="solid"/>
                  <w14:miter w14:val="0"/>
                </w14:textOutline>
              </w:rPr>
              <w:t>件</w:t>
            </w:r>
          </w:p>
        </w:tc>
        <w:tc>
          <w:tcPr>
            <w:tcW w:w="7938" w:type="dxa"/>
          </w:tcPr>
          <w:p w14:paraId="2010A00E">
            <w:pPr>
              <w:pStyle w:val="2"/>
              <w:ind w:firstLine="480"/>
            </w:pPr>
            <w:r>
              <w:t>(</w:t>
            </w:r>
            <w:r>
              <w:rPr>
                <w:rFonts w:eastAsia="Times New Roman" w:cs="Times New Roman"/>
              </w:rPr>
              <w:t>1</w:t>
            </w:r>
            <w:r>
              <w:t xml:space="preserve">)《中华人民共和国环境保护法》(修订本)：“国家主席令第 </w:t>
            </w:r>
            <w:r>
              <w:rPr>
                <w:rFonts w:eastAsia="Times New Roman" w:cs="Times New Roman"/>
              </w:rPr>
              <w:t>9</w:t>
            </w:r>
            <w:r>
              <w:rPr>
                <w:rFonts w:eastAsia="Times New Roman" w:cs="Times New Roman"/>
                <w:spacing w:val="4"/>
              </w:rPr>
              <w:t xml:space="preserve"> </w:t>
            </w:r>
            <w:r>
              <w:t xml:space="preserve">号 </w:t>
            </w:r>
            <w:r>
              <w:rPr>
                <w:spacing w:val="-20"/>
              </w:rPr>
              <w:t>公</w:t>
            </w:r>
            <w:r>
              <w:rPr>
                <w:spacing w:val="-11"/>
              </w:rPr>
              <w:t xml:space="preserve">布”， </w:t>
            </w:r>
            <w:r>
              <w:rPr>
                <w:rFonts w:eastAsia="Times New Roman" w:cs="Times New Roman"/>
                <w:spacing w:val="-11"/>
              </w:rPr>
              <w:t xml:space="preserve">2015 </w:t>
            </w:r>
            <w:r>
              <w:rPr>
                <w:spacing w:val="-11"/>
              </w:rPr>
              <w:t xml:space="preserve">年 </w:t>
            </w:r>
            <w:r>
              <w:rPr>
                <w:rFonts w:eastAsia="Times New Roman" w:cs="Times New Roman"/>
                <w:spacing w:val="-11"/>
              </w:rPr>
              <w:t xml:space="preserve">1 </w:t>
            </w:r>
            <w:r>
              <w:rPr>
                <w:spacing w:val="-11"/>
              </w:rPr>
              <w:t xml:space="preserve">月 </w:t>
            </w:r>
            <w:r>
              <w:rPr>
                <w:rFonts w:eastAsia="Times New Roman" w:cs="Times New Roman"/>
                <w:spacing w:val="-11"/>
              </w:rPr>
              <w:t xml:space="preserve">1 </w:t>
            </w:r>
            <w:r>
              <w:rPr>
                <w:spacing w:val="-11"/>
              </w:rPr>
              <w:t>日施行</w:t>
            </w:r>
          </w:p>
          <w:p w14:paraId="38D90A29">
            <w:pPr>
              <w:pStyle w:val="2"/>
              <w:ind w:firstLine="468"/>
            </w:pPr>
            <w:r>
              <w:rPr>
                <w:spacing w:val="-6"/>
              </w:rPr>
              <w:t>(</w:t>
            </w:r>
            <w:r>
              <w:rPr>
                <w:rFonts w:eastAsia="Times New Roman" w:cs="Times New Roman"/>
                <w:spacing w:val="-6"/>
              </w:rPr>
              <w:t>2</w:t>
            </w:r>
            <w:r>
              <w:rPr>
                <w:spacing w:val="-6"/>
              </w:rPr>
              <w:t>)《</w:t>
            </w:r>
            <w:r>
              <w:rPr>
                <w:spacing w:val="-5"/>
              </w:rPr>
              <w:t>中</w:t>
            </w:r>
            <w:r>
              <w:rPr>
                <w:spacing w:val="-3"/>
              </w:rPr>
              <w:t>华人民共和国环境影响评价法》(</w:t>
            </w:r>
            <w:r>
              <w:rPr>
                <w:rFonts w:eastAsia="Times New Roman" w:cs="Times New Roman"/>
                <w:spacing w:val="-3"/>
              </w:rPr>
              <w:t xml:space="preserve">2018 </w:t>
            </w:r>
            <w:r>
              <w:rPr>
                <w:spacing w:val="-3"/>
              </w:rPr>
              <w:t>修正版)，</w:t>
            </w:r>
            <w:r>
              <w:rPr>
                <w:rFonts w:eastAsia="Times New Roman" w:cs="Times New Roman"/>
                <w:spacing w:val="-3"/>
              </w:rPr>
              <w:t xml:space="preserve">2018 </w:t>
            </w:r>
            <w:r>
              <w:rPr>
                <w:spacing w:val="-3"/>
              </w:rPr>
              <w:t xml:space="preserve">年 </w:t>
            </w:r>
            <w:r>
              <w:rPr>
                <w:rFonts w:eastAsia="Times New Roman" w:cs="Times New Roman"/>
                <w:spacing w:val="-3"/>
              </w:rPr>
              <w:t xml:space="preserve">12 </w:t>
            </w:r>
            <w:r>
              <w:rPr>
                <w:spacing w:val="-3"/>
              </w:rPr>
              <w:t>月</w:t>
            </w:r>
            <w:r>
              <w:t xml:space="preserve"> </w:t>
            </w:r>
            <w:r>
              <w:rPr>
                <w:rFonts w:eastAsia="Times New Roman" w:cs="Times New Roman"/>
                <w:spacing w:val="-17"/>
              </w:rPr>
              <w:t>2</w:t>
            </w:r>
            <w:r>
              <w:rPr>
                <w:rFonts w:eastAsia="Times New Roman" w:cs="Times New Roman"/>
                <w:spacing w:val="-9"/>
              </w:rPr>
              <w:t xml:space="preserve">9 </w:t>
            </w:r>
            <w:r>
              <w:rPr>
                <w:spacing w:val="-9"/>
              </w:rPr>
              <w:t xml:space="preserve">日修订， </w:t>
            </w:r>
            <w:r>
              <w:rPr>
                <w:rFonts w:eastAsia="Times New Roman" w:cs="Times New Roman"/>
                <w:spacing w:val="-9"/>
              </w:rPr>
              <w:t xml:space="preserve">2018 </w:t>
            </w:r>
            <w:r>
              <w:rPr>
                <w:spacing w:val="-9"/>
              </w:rPr>
              <w:t xml:space="preserve">年 </w:t>
            </w:r>
            <w:r>
              <w:rPr>
                <w:rFonts w:eastAsia="Times New Roman" w:cs="Times New Roman"/>
                <w:spacing w:val="-9"/>
              </w:rPr>
              <w:t xml:space="preserve">12 </w:t>
            </w:r>
            <w:r>
              <w:rPr>
                <w:spacing w:val="-9"/>
              </w:rPr>
              <w:t xml:space="preserve">月 </w:t>
            </w:r>
            <w:r>
              <w:rPr>
                <w:rFonts w:eastAsia="Times New Roman" w:cs="Times New Roman"/>
                <w:spacing w:val="-9"/>
              </w:rPr>
              <w:t xml:space="preserve">29 </w:t>
            </w:r>
            <w:r>
              <w:rPr>
                <w:spacing w:val="-9"/>
              </w:rPr>
              <w:t>起施行</w:t>
            </w:r>
          </w:p>
          <w:p w14:paraId="79679A66">
            <w:pPr>
              <w:pStyle w:val="2"/>
              <w:ind w:firstLine="436"/>
            </w:pPr>
            <w:r>
              <w:rPr>
                <w:spacing w:val="-22"/>
              </w:rPr>
              <w:t>(</w:t>
            </w:r>
            <w:r>
              <w:rPr>
                <w:rFonts w:eastAsia="Times New Roman" w:cs="Times New Roman"/>
                <w:spacing w:val="-22"/>
              </w:rPr>
              <w:t>3</w:t>
            </w:r>
            <w:r>
              <w:rPr>
                <w:spacing w:val="-16"/>
              </w:rPr>
              <w:t>)</w:t>
            </w:r>
            <w:r>
              <w:rPr>
                <w:spacing w:val="-11"/>
              </w:rPr>
              <w:t xml:space="preserve">《中华人民共和国放射性污染防治法》：“国家主席令第 </w:t>
            </w:r>
            <w:r>
              <w:rPr>
                <w:rFonts w:eastAsia="Times New Roman" w:cs="Times New Roman"/>
                <w:spacing w:val="-11"/>
              </w:rPr>
              <w:t xml:space="preserve">6 </w:t>
            </w:r>
            <w:r>
              <w:rPr>
                <w:spacing w:val="-11"/>
              </w:rPr>
              <w:t>号公布”，</w:t>
            </w:r>
            <w:r>
              <w:rPr>
                <w:rFonts w:eastAsia="Times New Roman" w:cs="Times New Roman"/>
                <w:spacing w:val="-10"/>
              </w:rPr>
              <w:t>2</w:t>
            </w:r>
            <w:r>
              <w:rPr>
                <w:rFonts w:eastAsia="Times New Roman" w:cs="Times New Roman"/>
                <w:spacing w:val="-6"/>
              </w:rPr>
              <w:t xml:space="preserve">003 </w:t>
            </w:r>
            <w:r>
              <w:rPr>
                <w:spacing w:val="-6"/>
              </w:rPr>
              <w:t xml:space="preserve">年 </w:t>
            </w:r>
            <w:r>
              <w:rPr>
                <w:rFonts w:eastAsia="Times New Roman" w:cs="Times New Roman"/>
                <w:spacing w:val="-6"/>
              </w:rPr>
              <w:t xml:space="preserve">10 </w:t>
            </w:r>
            <w:r>
              <w:rPr>
                <w:spacing w:val="-6"/>
              </w:rPr>
              <w:t xml:space="preserve">月 </w:t>
            </w:r>
            <w:r>
              <w:rPr>
                <w:rFonts w:eastAsia="Times New Roman" w:cs="Times New Roman"/>
                <w:spacing w:val="-6"/>
              </w:rPr>
              <w:t xml:space="preserve">1 </w:t>
            </w:r>
            <w:r>
              <w:rPr>
                <w:spacing w:val="-6"/>
              </w:rPr>
              <w:t>日起施行</w:t>
            </w:r>
          </w:p>
          <w:p w14:paraId="39E1440F">
            <w:pPr>
              <w:pStyle w:val="2"/>
              <w:ind w:firstLine="468"/>
              <w:rPr>
                <w:spacing w:val="-6"/>
              </w:rPr>
            </w:pPr>
            <w:r>
              <w:rPr>
                <w:rFonts w:hint="eastAsia"/>
                <w:spacing w:val="-6"/>
              </w:rPr>
              <w:t>(4)《中华人民共和国固体废物污染环境防治法》（2020年修订版），</w:t>
            </w:r>
            <w:r>
              <w:rPr>
                <w:spacing w:val="-6"/>
              </w:rPr>
              <w:t>中华人民共和国2020年主席令第43号，2020年4月29日修订，2020年9月1日施行</w:t>
            </w:r>
          </w:p>
          <w:p w14:paraId="169B38F0">
            <w:pPr>
              <w:pStyle w:val="2"/>
              <w:ind w:firstLine="468"/>
            </w:pPr>
            <w:r>
              <w:rPr>
                <w:spacing w:val="-6"/>
              </w:rPr>
              <w:t>(</w:t>
            </w:r>
            <w:r>
              <w:rPr>
                <w:rFonts w:hint="eastAsia" w:cs="Times New Roman" w:eastAsiaTheme="minorEastAsia"/>
                <w:spacing w:val="-6"/>
              </w:rPr>
              <w:t>5</w:t>
            </w:r>
            <w:r>
              <w:rPr>
                <w:spacing w:val="-6"/>
              </w:rPr>
              <w:t>)《建设项</w:t>
            </w:r>
            <w:r>
              <w:rPr>
                <w:spacing w:val="-5"/>
              </w:rPr>
              <w:t>目</w:t>
            </w:r>
            <w:r>
              <w:rPr>
                <w:spacing w:val="-3"/>
              </w:rPr>
              <w:t>环境保护管理条例》(</w:t>
            </w:r>
            <w:r>
              <w:rPr>
                <w:rFonts w:eastAsia="Times New Roman" w:cs="Times New Roman"/>
                <w:spacing w:val="-3"/>
              </w:rPr>
              <w:t xml:space="preserve">2017 </w:t>
            </w:r>
            <w:r>
              <w:rPr>
                <w:spacing w:val="-3"/>
              </w:rPr>
              <w:t xml:space="preserve">年修正版)，国务院令第 </w:t>
            </w:r>
            <w:r>
              <w:rPr>
                <w:rFonts w:eastAsia="Times New Roman" w:cs="Times New Roman"/>
                <w:spacing w:val="-3"/>
              </w:rPr>
              <w:t>682</w:t>
            </w:r>
            <w:r>
              <w:rPr>
                <w:rFonts w:eastAsia="Times New Roman" w:cs="Times New Roman"/>
              </w:rPr>
              <w:t xml:space="preserve"> </w:t>
            </w:r>
            <w:r>
              <w:rPr>
                <w:spacing w:val="-14"/>
              </w:rPr>
              <w:t>号</w:t>
            </w:r>
            <w:r>
              <w:rPr>
                <w:spacing w:val="-11"/>
              </w:rPr>
              <w:t xml:space="preserve">， </w:t>
            </w:r>
            <w:r>
              <w:rPr>
                <w:rFonts w:eastAsia="Times New Roman" w:cs="Times New Roman"/>
                <w:spacing w:val="-11"/>
              </w:rPr>
              <w:t xml:space="preserve">2017 </w:t>
            </w:r>
            <w:r>
              <w:rPr>
                <w:spacing w:val="-11"/>
              </w:rPr>
              <w:t xml:space="preserve">年 </w:t>
            </w:r>
            <w:r>
              <w:rPr>
                <w:rFonts w:eastAsia="Times New Roman" w:cs="Times New Roman"/>
                <w:spacing w:val="-11"/>
              </w:rPr>
              <w:t xml:space="preserve">10 </w:t>
            </w:r>
            <w:r>
              <w:rPr>
                <w:spacing w:val="-11"/>
              </w:rPr>
              <w:t xml:space="preserve">月 </w:t>
            </w:r>
            <w:r>
              <w:rPr>
                <w:rFonts w:eastAsia="Times New Roman" w:cs="Times New Roman"/>
                <w:spacing w:val="-11"/>
              </w:rPr>
              <w:t xml:space="preserve">1 </w:t>
            </w:r>
            <w:r>
              <w:rPr>
                <w:spacing w:val="-11"/>
              </w:rPr>
              <w:t>日发布施行</w:t>
            </w:r>
          </w:p>
          <w:p w14:paraId="5BE408A8">
            <w:pPr>
              <w:pStyle w:val="2"/>
              <w:ind w:firstLine="464"/>
            </w:pPr>
            <w:r>
              <w:rPr>
                <w:spacing w:val="-8"/>
              </w:rPr>
              <w:t>(</w:t>
            </w:r>
            <w:r>
              <w:rPr>
                <w:rFonts w:hint="eastAsia" w:cs="Times New Roman" w:eastAsiaTheme="minorEastAsia"/>
                <w:spacing w:val="-8"/>
              </w:rPr>
              <w:t>6</w:t>
            </w:r>
            <w:r>
              <w:rPr>
                <w:spacing w:val="-8"/>
              </w:rPr>
              <w:t>)《放</w:t>
            </w:r>
            <w:r>
              <w:rPr>
                <w:spacing w:val="-4"/>
              </w:rPr>
              <w:t>射性同位素与射线装置安全和防护条例》(</w:t>
            </w:r>
            <w:r>
              <w:rPr>
                <w:rFonts w:eastAsia="Times New Roman" w:cs="Times New Roman"/>
                <w:spacing w:val="-4"/>
              </w:rPr>
              <w:t xml:space="preserve">2019 </w:t>
            </w:r>
            <w:r>
              <w:rPr>
                <w:spacing w:val="-4"/>
              </w:rPr>
              <w:t>年修正版)，</w:t>
            </w:r>
            <w:r>
              <w:rPr>
                <w:spacing w:val="-13"/>
              </w:rPr>
              <w:t>国</w:t>
            </w:r>
            <w:r>
              <w:rPr>
                <w:spacing w:val="-11"/>
              </w:rPr>
              <w:t xml:space="preserve">务院令第 </w:t>
            </w:r>
            <w:r>
              <w:rPr>
                <w:rFonts w:eastAsia="Times New Roman" w:cs="Times New Roman"/>
                <w:spacing w:val="-11"/>
              </w:rPr>
              <w:t xml:space="preserve">709 </w:t>
            </w:r>
            <w:r>
              <w:rPr>
                <w:spacing w:val="-11"/>
              </w:rPr>
              <w:t>号，</w:t>
            </w:r>
            <w:r>
              <w:rPr>
                <w:rFonts w:eastAsia="Times New Roman" w:cs="Times New Roman"/>
                <w:spacing w:val="-11"/>
              </w:rPr>
              <w:t xml:space="preserve">2019 </w:t>
            </w:r>
            <w:r>
              <w:rPr>
                <w:spacing w:val="-11"/>
              </w:rPr>
              <w:t xml:space="preserve">年 </w:t>
            </w:r>
            <w:r>
              <w:rPr>
                <w:rFonts w:eastAsia="Times New Roman" w:cs="Times New Roman"/>
                <w:spacing w:val="-11"/>
              </w:rPr>
              <w:t xml:space="preserve">3 </w:t>
            </w:r>
            <w:r>
              <w:rPr>
                <w:spacing w:val="-11"/>
              </w:rPr>
              <w:t xml:space="preserve">月 </w:t>
            </w:r>
            <w:r>
              <w:rPr>
                <w:rFonts w:eastAsia="Times New Roman" w:cs="Times New Roman"/>
                <w:spacing w:val="-11"/>
              </w:rPr>
              <w:t xml:space="preserve">2 </w:t>
            </w:r>
            <w:r>
              <w:rPr>
                <w:spacing w:val="-11"/>
              </w:rPr>
              <w:t>日起施行</w:t>
            </w:r>
          </w:p>
          <w:p w14:paraId="562CFB15">
            <w:pPr>
              <w:pStyle w:val="2"/>
              <w:ind w:firstLine="482"/>
            </w:pPr>
            <w:r>
              <w:rPr>
                <w:spacing w:val="1"/>
              </w:rPr>
              <w:t>(</w:t>
            </w:r>
            <w:r>
              <w:rPr>
                <w:rFonts w:hint="eastAsia" w:cs="Times New Roman" w:eastAsiaTheme="minorEastAsia"/>
                <w:spacing w:val="1"/>
              </w:rPr>
              <w:t>7</w:t>
            </w:r>
            <w:r>
              <w:rPr>
                <w:spacing w:val="1"/>
              </w:rPr>
              <w:t>)《建设项目环境影响评价分类管理名录(</w:t>
            </w:r>
            <w:r>
              <w:rPr>
                <w:rFonts w:eastAsia="Times New Roman" w:cs="Times New Roman"/>
                <w:spacing w:val="1"/>
              </w:rPr>
              <w:t>2021</w:t>
            </w:r>
            <w:r>
              <w:rPr>
                <w:spacing w:val="1"/>
              </w:rPr>
              <w:t>年</w:t>
            </w:r>
            <w:r>
              <w:t>版) 》，中华人民</w:t>
            </w:r>
            <w:r>
              <w:rPr>
                <w:spacing w:val="-12"/>
              </w:rPr>
              <w:t>共和</w:t>
            </w:r>
            <w:r>
              <w:rPr>
                <w:spacing w:val="-7"/>
              </w:rPr>
              <w:t>国</w:t>
            </w:r>
            <w:r>
              <w:rPr>
                <w:spacing w:val="-6"/>
              </w:rPr>
              <w:t xml:space="preserve">生态环境部令第 </w:t>
            </w:r>
            <w:r>
              <w:rPr>
                <w:rFonts w:eastAsia="Times New Roman" w:cs="Times New Roman"/>
                <w:spacing w:val="-6"/>
              </w:rPr>
              <w:t xml:space="preserve">16 </w:t>
            </w:r>
            <w:r>
              <w:rPr>
                <w:spacing w:val="-6"/>
              </w:rPr>
              <w:t xml:space="preserve">号公布，自 </w:t>
            </w:r>
            <w:r>
              <w:rPr>
                <w:rFonts w:eastAsia="Times New Roman" w:cs="Times New Roman"/>
                <w:spacing w:val="-6"/>
              </w:rPr>
              <w:t xml:space="preserve">2021 </w:t>
            </w:r>
            <w:r>
              <w:rPr>
                <w:spacing w:val="-6"/>
              </w:rPr>
              <w:t xml:space="preserve">年 </w:t>
            </w:r>
            <w:r>
              <w:rPr>
                <w:rFonts w:eastAsia="Times New Roman" w:cs="Times New Roman"/>
                <w:spacing w:val="-6"/>
              </w:rPr>
              <w:t xml:space="preserve">1 </w:t>
            </w:r>
            <w:r>
              <w:rPr>
                <w:spacing w:val="-6"/>
              </w:rPr>
              <w:t xml:space="preserve">月 </w:t>
            </w:r>
            <w:r>
              <w:rPr>
                <w:rFonts w:eastAsia="Times New Roman" w:cs="Times New Roman"/>
                <w:spacing w:val="-6"/>
              </w:rPr>
              <w:t xml:space="preserve">1 </w:t>
            </w:r>
            <w:r>
              <w:rPr>
                <w:spacing w:val="-6"/>
              </w:rPr>
              <w:t>日起施行</w:t>
            </w:r>
          </w:p>
          <w:p w14:paraId="16A93D9B">
            <w:pPr>
              <w:pStyle w:val="2"/>
              <w:ind w:firstLine="462"/>
            </w:pPr>
            <w:r>
              <w:rPr>
                <w:spacing w:val="-9"/>
              </w:rPr>
              <w:t>(</w:t>
            </w:r>
            <w:r>
              <w:rPr>
                <w:rFonts w:hint="eastAsia" w:cs="Times New Roman" w:eastAsiaTheme="minorEastAsia"/>
                <w:spacing w:val="-6"/>
              </w:rPr>
              <w:t>8</w:t>
            </w:r>
            <w:r>
              <w:rPr>
                <w:spacing w:val="-6"/>
              </w:rPr>
              <w:t>)《关于发布射线装置分类的公告》，环境保护部、国家卫生和计划生</w:t>
            </w:r>
            <w:r>
              <w:rPr>
                <w:spacing w:val="-8"/>
              </w:rPr>
              <w:t xml:space="preserve">育委员会公告 </w:t>
            </w:r>
            <w:r>
              <w:rPr>
                <w:rFonts w:eastAsia="Times New Roman" w:cs="Times New Roman"/>
                <w:spacing w:val="-6"/>
              </w:rPr>
              <w:t>2</w:t>
            </w:r>
            <w:r>
              <w:rPr>
                <w:rFonts w:eastAsia="Times New Roman" w:cs="Times New Roman"/>
                <w:spacing w:val="-4"/>
              </w:rPr>
              <w:t xml:space="preserve">017 </w:t>
            </w:r>
            <w:r>
              <w:rPr>
                <w:spacing w:val="-4"/>
              </w:rPr>
              <w:t xml:space="preserve">年 第 </w:t>
            </w:r>
            <w:r>
              <w:rPr>
                <w:rFonts w:eastAsia="Times New Roman" w:cs="Times New Roman"/>
                <w:spacing w:val="-4"/>
              </w:rPr>
              <w:t xml:space="preserve">66 </w:t>
            </w:r>
            <w:r>
              <w:rPr>
                <w:spacing w:val="-4"/>
              </w:rPr>
              <w:t>号，</w:t>
            </w:r>
            <w:r>
              <w:rPr>
                <w:rFonts w:eastAsia="Times New Roman" w:cs="Times New Roman"/>
                <w:spacing w:val="-4"/>
              </w:rPr>
              <w:t xml:space="preserve">2017 </w:t>
            </w:r>
            <w:r>
              <w:rPr>
                <w:spacing w:val="-4"/>
              </w:rPr>
              <w:t xml:space="preserve">年 </w:t>
            </w:r>
            <w:r>
              <w:rPr>
                <w:rFonts w:eastAsia="Times New Roman" w:cs="Times New Roman"/>
                <w:spacing w:val="-4"/>
              </w:rPr>
              <w:t xml:space="preserve">12 </w:t>
            </w:r>
            <w:r>
              <w:rPr>
                <w:spacing w:val="-4"/>
              </w:rPr>
              <w:t xml:space="preserve">月 </w:t>
            </w:r>
            <w:r>
              <w:rPr>
                <w:rFonts w:eastAsia="Times New Roman" w:cs="Times New Roman"/>
                <w:spacing w:val="-4"/>
              </w:rPr>
              <w:t xml:space="preserve">5 </w:t>
            </w:r>
            <w:r>
              <w:rPr>
                <w:spacing w:val="-4"/>
              </w:rPr>
              <w:t>日起施行</w:t>
            </w:r>
          </w:p>
          <w:p w14:paraId="75AD2924">
            <w:pPr>
              <w:pStyle w:val="2"/>
              <w:ind w:firstLine="488"/>
            </w:pPr>
            <w:r>
              <w:rPr>
                <w:spacing w:val="4"/>
              </w:rPr>
              <w:t>(</w:t>
            </w:r>
            <w:r>
              <w:rPr>
                <w:rFonts w:hint="eastAsia" w:cs="Times New Roman" w:eastAsiaTheme="minorEastAsia"/>
                <w:spacing w:val="4"/>
              </w:rPr>
              <w:t>9</w:t>
            </w:r>
            <w:r>
              <w:rPr>
                <w:spacing w:val="4"/>
              </w:rPr>
              <w:t>)《放射性同位素与射线装置安全许可管理办法》(</w:t>
            </w:r>
            <w:r>
              <w:rPr>
                <w:rFonts w:eastAsia="Times New Roman" w:cs="Times New Roman"/>
                <w:spacing w:val="4"/>
              </w:rPr>
              <w:t>2021</w:t>
            </w:r>
            <w:r>
              <w:rPr>
                <w:spacing w:val="4"/>
              </w:rPr>
              <w:t>年修正) 生</w:t>
            </w:r>
            <w:r>
              <w:rPr>
                <w:spacing w:val="-10"/>
              </w:rPr>
              <w:t xml:space="preserve">态环境部令第 </w:t>
            </w:r>
            <w:r>
              <w:rPr>
                <w:rFonts w:eastAsia="Times New Roman" w:cs="Times New Roman"/>
                <w:spacing w:val="-10"/>
              </w:rPr>
              <w:t xml:space="preserve">20 </w:t>
            </w:r>
            <w:r>
              <w:rPr>
                <w:spacing w:val="-10"/>
              </w:rPr>
              <w:t>号，</w:t>
            </w:r>
            <w:r>
              <w:rPr>
                <w:rFonts w:eastAsia="Times New Roman" w:cs="Times New Roman"/>
                <w:spacing w:val="-10"/>
              </w:rPr>
              <w:t xml:space="preserve">2021 </w:t>
            </w:r>
            <w:r>
              <w:rPr>
                <w:spacing w:val="-10"/>
              </w:rPr>
              <w:t xml:space="preserve">年 </w:t>
            </w:r>
            <w:r>
              <w:rPr>
                <w:rFonts w:eastAsia="Times New Roman" w:cs="Times New Roman"/>
                <w:spacing w:val="-10"/>
              </w:rPr>
              <w:t xml:space="preserve">1 </w:t>
            </w:r>
            <w:r>
              <w:rPr>
                <w:spacing w:val="-10"/>
              </w:rPr>
              <w:t xml:space="preserve">月 </w:t>
            </w:r>
            <w:r>
              <w:rPr>
                <w:rFonts w:eastAsia="Times New Roman" w:cs="Times New Roman"/>
                <w:spacing w:val="-10"/>
              </w:rPr>
              <w:t xml:space="preserve">4 </w:t>
            </w:r>
            <w:r>
              <w:rPr>
                <w:spacing w:val="-10"/>
              </w:rPr>
              <w:t>日起施</w:t>
            </w:r>
            <w:r>
              <w:rPr>
                <w:spacing w:val="-6"/>
              </w:rPr>
              <w:t>行</w:t>
            </w:r>
          </w:p>
          <w:p w14:paraId="0F102F03">
            <w:pPr>
              <w:pStyle w:val="2"/>
              <w:ind w:firstLine="460"/>
            </w:pPr>
            <w:r>
              <w:rPr>
                <w:spacing w:val="-10"/>
              </w:rPr>
              <w:t>(</w:t>
            </w:r>
            <w:r>
              <w:rPr>
                <w:rFonts w:hint="eastAsia" w:cs="Times New Roman" w:eastAsiaTheme="minorEastAsia"/>
                <w:spacing w:val="-10"/>
              </w:rPr>
              <w:t>10</w:t>
            </w:r>
            <w:r>
              <w:rPr>
                <w:spacing w:val="-10"/>
              </w:rPr>
              <w:t>)</w:t>
            </w:r>
            <w:r>
              <w:rPr>
                <w:spacing w:val="-9"/>
              </w:rPr>
              <w:t>《</w:t>
            </w:r>
            <w:r>
              <w:rPr>
                <w:spacing w:val="-5"/>
              </w:rPr>
              <w:t xml:space="preserve">放射性同位素与射线装置安全和防护管理办法》，环保部令第 </w:t>
            </w:r>
            <w:r>
              <w:rPr>
                <w:rFonts w:eastAsia="Times New Roman" w:cs="Times New Roman"/>
                <w:spacing w:val="-5"/>
              </w:rPr>
              <w:t>18</w:t>
            </w:r>
            <w:r>
              <w:rPr>
                <w:rFonts w:eastAsia="Times New Roman" w:cs="Times New Roman"/>
              </w:rPr>
              <w:t xml:space="preserve"> </w:t>
            </w:r>
            <w:r>
              <w:rPr>
                <w:spacing w:val="-24"/>
              </w:rPr>
              <w:t>号</w:t>
            </w:r>
            <w:r>
              <w:rPr>
                <w:spacing w:val="-12"/>
              </w:rPr>
              <w:t xml:space="preserve">， </w:t>
            </w:r>
            <w:r>
              <w:rPr>
                <w:rFonts w:eastAsia="Times New Roman" w:cs="Times New Roman"/>
                <w:spacing w:val="-12"/>
              </w:rPr>
              <w:t xml:space="preserve">2011 </w:t>
            </w:r>
            <w:r>
              <w:rPr>
                <w:spacing w:val="-12"/>
              </w:rPr>
              <w:t xml:space="preserve">年 </w:t>
            </w:r>
            <w:r>
              <w:rPr>
                <w:rFonts w:eastAsia="Times New Roman" w:cs="Times New Roman"/>
                <w:spacing w:val="-12"/>
              </w:rPr>
              <w:t xml:space="preserve">5 </w:t>
            </w:r>
            <w:r>
              <w:rPr>
                <w:spacing w:val="-12"/>
              </w:rPr>
              <w:t xml:space="preserve">月 </w:t>
            </w:r>
            <w:r>
              <w:rPr>
                <w:rFonts w:eastAsia="Times New Roman" w:cs="Times New Roman"/>
                <w:spacing w:val="-12"/>
              </w:rPr>
              <w:t xml:space="preserve">1 </w:t>
            </w:r>
            <w:r>
              <w:rPr>
                <w:spacing w:val="-12"/>
              </w:rPr>
              <w:t>日起施行</w:t>
            </w:r>
          </w:p>
          <w:p w14:paraId="7AE82CF9">
            <w:pPr>
              <w:pStyle w:val="2"/>
              <w:ind w:firstLine="472"/>
            </w:pPr>
            <w:r>
              <w:rPr>
                <w:spacing w:val="-4"/>
              </w:rPr>
              <w:t>(</w:t>
            </w:r>
            <w:r>
              <w:rPr>
                <w:rFonts w:eastAsia="Times New Roman" w:cs="Times New Roman"/>
                <w:spacing w:val="-4"/>
              </w:rPr>
              <w:t>1</w:t>
            </w:r>
            <w:r>
              <w:rPr>
                <w:rFonts w:hint="eastAsia" w:cs="Times New Roman" w:eastAsiaTheme="minorEastAsia"/>
                <w:spacing w:val="-4"/>
              </w:rPr>
              <w:t>1</w:t>
            </w:r>
            <w:r>
              <w:rPr>
                <w:spacing w:val="-4"/>
              </w:rPr>
              <w:t>)《建</w:t>
            </w:r>
            <w:r>
              <w:rPr>
                <w:spacing w:val="-3"/>
              </w:rPr>
              <w:t>设</w:t>
            </w:r>
            <w:r>
              <w:rPr>
                <w:spacing w:val="-2"/>
              </w:rPr>
              <w:t>项目环境影响报告书</w:t>
            </w:r>
            <w:r>
              <w:rPr>
                <w:rFonts w:hint="eastAsia"/>
                <w:spacing w:val="-2"/>
              </w:rPr>
              <w:t>（表）</w:t>
            </w:r>
            <w:r>
              <w:rPr>
                <w:spacing w:val="-2"/>
              </w:rPr>
              <w:t>编制监督管理办法》，生态环境</w:t>
            </w:r>
            <w:r>
              <w:rPr>
                <w:spacing w:val="-8"/>
              </w:rPr>
              <w:t xml:space="preserve">部令第 </w:t>
            </w:r>
            <w:r>
              <w:rPr>
                <w:rFonts w:eastAsia="Times New Roman" w:cs="Times New Roman"/>
                <w:spacing w:val="-8"/>
              </w:rPr>
              <w:t>9</w:t>
            </w:r>
            <w:r>
              <w:rPr>
                <w:rFonts w:eastAsia="Times New Roman" w:cs="Times New Roman"/>
                <w:spacing w:val="-5"/>
              </w:rPr>
              <w:t xml:space="preserve"> </w:t>
            </w:r>
            <w:r>
              <w:rPr>
                <w:spacing w:val="-4"/>
              </w:rPr>
              <w:t>号，自</w:t>
            </w:r>
            <w:r>
              <w:rPr>
                <w:rFonts w:eastAsia="Times New Roman" w:cs="Times New Roman"/>
                <w:spacing w:val="-4"/>
              </w:rPr>
              <w:t xml:space="preserve">2019 </w:t>
            </w:r>
            <w:r>
              <w:rPr>
                <w:spacing w:val="-4"/>
              </w:rPr>
              <w:t xml:space="preserve">年 </w:t>
            </w:r>
            <w:r>
              <w:rPr>
                <w:rFonts w:eastAsia="Times New Roman" w:cs="Times New Roman"/>
                <w:spacing w:val="-4"/>
              </w:rPr>
              <w:t xml:space="preserve">11 </w:t>
            </w:r>
            <w:r>
              <w:rPr>
                <w:spacing w:val="-4"/>
              </w:rPr>
              <w:t xml:space="preserve">月 </w:t>
            </w:r>
            <w:r>
              <w:rPr>
                <w:rFonts w:eastAsia="Times New Roman" w:cs="Times New Roman"/>
                <w:spacing w:val="-4"/>
              </w:rPr>
              <w:t xml:space="preserve">1 </w:t>
            </w:r>
            <w:r>
              <w:rPr>
                <w:spacing w:val="-4"/>
              </w:rPr>
              <w:t>日起施行</w:t>
            </w:r>
          </w:p>
          <w:p w14:paraId="38125713">
            <w:pPr>
              <w:pStyle w:val="2"/>
              <w:ind w:firstLine="496"/>
            </w:pPr>
            <w:r>
              <w:rPr>
                <w:spacing w:val="8"/>
              </w:rPr>
              <w:t>(</w:t>
            </w:r>
            <w:r>
              <w:rPr>
                <w:rFonts w:eastAsia="Times New Roman" w:cs="Times New Roman"/>
                <w:spacing w:val="8"/>
              </w:rPr>
              <w:t>1</w:t>
            </w:r>
            <w:r>
              <w:rPr>
                <w:rFonts w:hint="eastAsia" w:cs="Times New Roman"/>
                <w:spacing w:val="8"/>
              </w:rPr>
              <w:t>2</w:t>
            </w:r>
            <w:r>
              <w:rPr>
                <w:spacing w:val="7"/>
              </w:rPr>
              <w:t>)</w:t>
            </w:r>
            <w:r>
              <w:rPr>
                <w:spacing w:val="4"/>
              </w:rPr>
              <w:t>《关于建立放射性同位素与射线装置辐射事故分级处理和报告制度</w:t>
            </w:r>
            <w:r>
              <w:rPr>
                <w:spacing w:val="-10"/>
              </w:rPr>
              <w:t>的通知》国家</w:t>
            </w:r>
            <w:r>
              <w:rPr>
                <w:spacing w:val="-9"/>
              </w:rPr>
              <w:t>环</w:t>
            </w:r>
            <w:r>
              <w:rPr>
                <w:spacing w:val="-5"/>
              </w:rPr>
              <w:t>保总局，环发</w:t>
            </w:r>
            <w:r>
              <w:rPr>
                <w:rFonts w:eastAsia="Times New Roman" w:cs="Times New Roman"/>
                <w:spacing w:val="-5"/>
              </w:rPr>
              <w:t xml:space="preserve">[2006]145 </w:t>
            </w:r>
            <w:r>
              <w:rPr>
                <w:spacing w:val="-5"/>
              </w:rPr>
              <w:t>号，</w:t>
            </w:r>
            <w:r>
              <w:rPr>
                <w:rFonts w:eastAsia="Times New Roman" w:cs="Times New Roman"/>
                <w:spacing w:val="-5"/>
              </w:rPr>
              <w:t xml:space="preserve">2006 </w:t>
            </w:r>
            <w:r>
              <w:rPr>
                <w:spacing w:val="-5"/>
              </w:rPr>
              <w:t xml:space="preserve">年 </w:t>
            </w:r>
            <w:r>
              <w:rPr>
                <w:rFonts w:eastAsia="Times New Roman" w:cs="Times New Roman"/>
                <w:spacing w:val="-5"/>
              </w:rPr>
              <w:t xml:space="preserve">9 </w:t>
            </w:r>
            <w:r>
              <w:rPr>
                <w:spacing w:val="-5"/>
              </w:rPr>
              <w:t xml:space="preserve">月 </w:t>
            </w:r>
            <w:r>
              <w:rPr>
                <w:rFonts w:eastAsia="Times New Roman" w:cs="Times New Roman"/>
                <w:spacing w:val="-5"/>
              </w:rPr>
              <w:t xml:space="preserve">26 </w:t>
            </w:r>
            <w:r>
              <w:rPr>
                <w:spacing w:val="-5"/>
              </w:rPr>
              <w:t>日起施行</w:t>
            </w:r>
          </w:p>
          <w:p w14:paraId="32A34F3E">
            <w:pPr>
              <w:pStyle w:val="2"/>
              <w:ind w:firstLine="472"/>
            </w:pPr>
            <w:r>
              <w:rPr>
                <w:spacing w:val="-4"/>
              </w:rPr>
              <w:t>(</w:t>
            </w:r>
            <w:r>
              <w:rPr>
                <w:rFonts w:eastAsia="Times New Roman" w:cs="Times New Roman"/>
                <w:spacing w:val="-4"/>
              </w:rPr>
              <w:t>1</w:t>
            </w:r>
            <w:r>
              <w:rPr>
                <w:rFonts w:hint="eastAsia" w:cs="Times New Roman" w:eastAsiaTheme="minorEastAsia"/>
                <w:spacing w:val="-4"/>
              </w:rPr>
              <w:t>3</w:t>
            </w:r>
            <w:r>
              <w:rPr>
                <w:spacing w:val="-4"/>
              </w:rPr>
              <w:t>)《关于核技术</w:t>
            </w:r>
            <w:r>
              <w:rPr>
                <w:spacing w:val="-2"/>
              </w:rPr>
              <w:t>利用辐射安全与防护培训和考核有关事项的公告》，</w:t>
            </w:r>
            <w:r>
              <w:rPr>
                <w:spacing w:val="-20"/>
              </w:rPr>
              <w:t>生态</w:t>
            </w:r>
            <w:r>
              <w:rPr>
                <w:spacing w:val="-14"/>
              </w:rPr>
              <w:t>环</w:t>
            </w:r>
            <w:r>
              <w:rPr>
                <w:spacing w:val="-10"/>
              </w:rPr>
              <w:t xml:space="preserve">境部公告 </w:t>
            </w:r>
            <w:r>
              <w:rPr>
                <w:rFonts w:eastAsia="Times New Roman" w:cs="Times New Roman"/>
                <w:spacing w:val="-10"/>
              </w:rPr>
              <w:t xml:space="preserve">2019 </w:t>
            </w:r>
            <w:r>
              <w:rPr>
                <w:spacing w:val="-10"/>
              </w:rPr>
              <w:t xml:space="preserve">年第 </w:t>
            </w:r>
            <w:r>
              <w:rPr>
                <w:rFonts w:eastAsia="Times New Roman" w:cs="Times New Roman"/>
                <w:spacing w:val="-10"/>
              </w:rPr>
              <w:t xml:space="preserve">57 </w:t>
            </w:r>
            <w:r>
              <w:rPr>
                <w:spacing w:val="-10"/>
              </w:rPr>
              <w:t>号，</w:t>
            </w:r>
            <w:r>
              <w:rPr>
                <w:rFonts w:eastAsia="Times New Roman" w:cs="Times New Roman"/>
                <w:spacing w:val="-10"/>
              </w:rPr>
              <w:t xml:space="preserve">2020 </w:t>
            </w:r>
            <w:r>
              <w:rPr>
                <w:spacing w:val="-10"/>
              </w:rPr>
              <w:t xml:space="preserve">年 </w:t>
            </w:r>
            <w:r>
              <w:rPr>
                <w:rFonts w:eastAsia="Times New Roman" w:cs="Times New Roman"/>
                <w:spacing w:val="-10"/>
              </w:rPr>
              <w:t xml:space="preserve">1 </w:t>
            </w:r>
            <w:r>
              <w:rPr>
                <w:spacing w:val="-10"/>
              </w:rPr>
              <w:t xml:space="preserve">月 </w:t>
            </w:r>
            <w:r>
              <w:rPr>
                <w:rFonts w:eastAsia="Times New Roman" w:cs="Times New Roman"/>
                <w:spacing w:val="-10"/>
              </w:rPr>
              <w:t xml:space="preserve">1 </w:t>
            </w:r>
            <w:r>
              <w:rPr>
                <w:spacing w:val="-10"/>
              </w:rPr>
              <w:t>日起施行</w:t>
            </w:r>
          </w:p>
          <w:p w14:paraId="531622D2">
            <w:pPr>
              <w:pStyle w:val="2"/>
              <w:ind w:firstLine="480"/>
              <w:rPr>
                <w:rFonts w:eastAsiaTheme="minorEastAsia"/>
              </w:rPr>
            </w:pPr>
            <w:r>
              <w:rPr>
                <w:rFonts w:eastAsiaTheme="minorEastAsia"/>
              </w:rPr>
              <w:t>(1</w:t>
            </w:r>
            <w:r>
              <w:rPr>
                <w:rFonts w:hint="eastAsia" w:eastAsiaTheme="minorEastAsia"/>
              </w:rPr>
              <w:t>4</w:t>
            </w:r>
            <w:r>
              <w:rPr>
                <w:rFonts w:eastAsiaTheme="minorEastAsia"/>
              </w:rPr>
              <w:t>)《关于发布〈建设项目环境影响报告书</w:t>
            </w:r>
            <w:r>
              <w:rPr>
                <w:rFonts w:hint="eastAsia" w:eastAsiaTheme="minorEastAsia"/>
              </w:rPr>
              <w:t>（表）</w:t>
            </w:r>
            <w:r>
              <w:rPr>
                <w:rFonts w:eastAsiaTheme="minorEastAsia"/>
              </w:rPr>
              <w:t>编制监督管理办法〉</w:t>
            </w:r>
            <w:r>
              <w:rPr>
                <w:rFonts w:hint="eastAsia" w:eastAsiaTheme="minorEastAsia"/>
              </w:rPr>
              <w:t>配套文件的公告》，</w:t>
            </w:r>
            <w:r>
              <w:rPr>
                <w:rFonts w:eastAsiaTheme="minorEastAsia"/>
              </w:rPr>
              <w:t xml:space="preserve"> </w:t>
            </w:r>
            <w:r>
              <w:rPr>
                <w:rFonts w:hint="eastAsia" w:eastAsiaTheme="minorEastAsia"/>
              </w:rPr>
              <w:t>生态环境部公告</w:t>
            </w:r>
            <w:r>
              <w:rPr>
                <w:rFonts w:eastAsiaTheme="minorEastAsia"/>
              </w:rPr>
              <w:t xml:space="preserve"> 2019 </w:t>
            </w:r>
            <w:r>
              <w:rPr>
                <w:rFonts w:hint="eastAsia" w:eastAsiaTheme="minorEastAsia"/>
              </w:rPr>
              <w:t>年第</w:t>
            </w:r>
            <w:r>
              <w:rPr>
                <w:rFonts w:eastAsiaTheme="minorEastAsia"/>
              </w:rPr>
              <w:t xml:space="preserve"> 38 </w:t>
            </w:r>
            <w:r>
              <w:rPr>
                <w:rFonts w:hint="eastAsia" w:eastAsiaTheme="minorEastAsia"/>
              </w:rPr>
              <w:t>号，</w:t>
            </w:r>
            <w:r>
              <w:rPr>
                <w:rFonts w:eastAsiaTheme="minorEastAsia"/>
              </w:rPr>
              <w:t xml:space="preserve">2019 </w:t>
            </w:r>
            <w:r>
              <w:rPr>
                <w:rFonts w:hint="eastAsia" w:eastAsiaTheme="minorEastAsia"/>
              </w:rPr>
              <w:t>年</w:t>
            </w:r>
            <w:r>
              <w:rPr>
                <w:rFonts w:eastAsiaTheme="minorEastAsia"/>
              </w:rPr>
              <w:t xml:space="preserve"> 10 </w:t>
            </w:r>
            <w:r>
              <w:rPr>
                <w:rFonts w:hint="eastAsia" w:eastAsiaTheme="minorEastAsia"/>
              </w:rPr>
              <w:t>月</w:t>
            </w:r>
            <w:r>
              <w:rPr>
                <w:rFonts w:eastAsiaTheme="minorEastAsia"/>
              </w:rPr>
              <w:t xml:space="preserve"> 24 </w:t>
            </w:r>
            <w:r>
              <w:rPr>
                <w:rFonts w:hint="eastAsia" w:eastAsiaTheme="minorEastAsia"/>
              </w:rPr>
              <w:t>日</w:t>
            </w:r>
          </w:p>
          <w:p w14:paraId="47F190D1">
            <w:pPr>
              <w:pStyle w:val="2"/>
              <w:ind w:firstLine="480"/>
              <w:rPr>
                <w:rFonts w:eastAsiaTheme="minorEastAsia"/>
              </w:rPr>
            </w:pPr>
            <w:r>
              <w:rPr>
                <w:rFonts w:eastAsiaTheme="minorEastAsia"/>
              </w:rPr>
              <w:t>(1</w:t>
            </w:r>
            <w:r>
              <w:rPr>
                <w:rFonts w:hint="eastAsia" w:eastAsiaTheme="minorEastAsia"/>
              </w:rPr>
              <w:t>5</w:t>
            </w:r>
            <w:r>
              <w:rPr>
                <w:rFonts w:eastAsiaTheme="minorEastAsia"/>
              </w:rPr>
              <w:t>)</w:t>
            </w:r>
            <w:r>
              <w:rPr>
                <w:rFonts w:hint="eastAsia" w:eastAsiaTheme="minorEastAsia"/>
              </w:rPr>
              <w:t>《江苏省辐射污染防治条例》</w:t>
            </w:r>
            <w:r>
              <w:rPr>
                <w:rFonts w:eastAsiaTheme="minorEastAsia"/>
              </w:rPr>
              <w:t xml:space="preserve">(2018 </w:t>
            </w:r>
            <w:r>
              <w:rPr>
                <w:rFonts w:hint="eastAsia" w:eastAsiaTheme="minorEastAsia"/>
              </w:rPr>
              <w:t>年修正版</w:t>
            </w:r>
            <w:r>
              <w:rPr>
                <w:rFonts w:eastAsiaTheme="minorEastAsia"/>
              </w:rPr>
              <w:t>)</w:t>
            </w:r>
            <w:r>
              <w:rPr>
                <w:rFonts w:hint="eastAsia" w:eastAsiaTheme="minorEastAsia"/>
              </w:rPr>
              <w:t>，江苏省第十三届人民代表大会常务委员会公告第</w:t>
            </w:r>
            <w:r>
              <w:rPr>
                <w:rFonts w:eastAsiaTheme="minorEastAsia"/>
              </w:rPr>
              <w:t xml:space="preserve"> 2 </w:t>
            </w:r>
            <w:r>
              <w:rPr>
                <w:rFonts w:hint="eastAsia" w:eastAsiaTheme="minorEastAsia"/>
              </w:rPr>
              <w:t>号，</w:t>
            </w:r>
            <w:r>
              <w:rPr>
                <w:rFonts w:eastAsiaTheme="minorEastAsia"/>
              </w:rPr>
              <w:t xml:space="preserve">2018 </w:t>
            </w:r>
            <w:r>
              <w:rPr>
                <w:rFonts w:hint="eastAsia" w:eastAsiaTheme="minorEastAsia"/>
              </w:rPr>
              <w:t>年</w:t>
            </w:r>
            <w:r>
              <w:rPr>
                <w:rFonts w:eastAsiaTheme="minorEastAsia"/>
              </w:rPr>
              <w:t xml:space="preserve"> 5 </w:t>
            </w:r>
            <w:r>
              <w:rPr>
                <w:rFonts w:hint="eastAsia" w:eastAsiaTheme="minorEastAsia"/>
              </w:rPr>
              <w:t>月</w:t>
            </w:r>
            <w:r>
              <w:rPr>
                <w:rFonts w:eastAsiaTheme="minorEastAsia"/>
              </w:rPr>
              <w:t xml:space="preserve"> 1 </w:t>
            </w:r>
            <w:r>
              <w:rPr>
                <w:rFonts w:hint="eastAsia" w:eastAsiaTheme="minorEastAsia"/>
              </w:rPr>
              <w:t>日起施行</w:t>
            </w:r>
          </w:p>
          <w:p w14:paraId="194D7CE4">
            <w:pPr>
              <w:pStyle w:val="2"/>
              <w:ind w:firstLine="480"/>
              <w:rPr>
                <w:rFonts w:eastAsiaTheme="minorEastAsia"/>
              </w:rPr>
            </w:pPr>
            <w:r>
              <w:rPr>
                <w:rFonts w:eastAsiaTheme="minorEastAsia"/>
              </w:rPr>
              <w:t>(1</w:t>
            </w:r>
            <w:r>
              <w:rPr>
                <w:rFonts w:hint="eastAsia" w:eastAsiaTheme="minorEastAsia"/>
              </w:rPr>
              <w:t>6</w:t>
            </w:r>
            <w:r>
              <w:rPr>
                <w:rFonts w:eastAsiaTheme="minorEastAsia"/>
              </w:rPr>
              <w:t>)</w:t>
            </w:r>
            <w:r>
              <w:rPr>
                <w:rFonts w:hint="eastAsia" w:eastAsiaTheme="minorEastAsia"/>
              </w:rPr>
              <w:t>《省政府关于印发江苏省“三线一单”生态环境分区管控方案的通知》，苏政发〔</w:t>
            </w:r>
            <w:r>
              <w:rPr>
                <w:rFonts w:eastAsiaTheme="minorEastAsia"/>
              </w:rPr>
              <w:t>2020</w:t>
            </w:r>
            <w:r>
              <w:rPr>
                <w:rFonts w:hint="eastAsia" w:eastAsiaTheme="minorEastAsia"/>
              </w:rPr>
              <w:t>〕</w:t>
            </w:r>
            <w:r>
              <w:rPr>
                <w:rFonts w:eastAsiaTheme="minorEastAsia"/>
              </w:rPr>
              <w:t xml:space="preserve">49 </w:t>
            </w:r>
            <w:r>
              <w:rPr>
                <w:rFonts w:hint="eastAsia" w:eastAsiaTheme="minorEastAsia"/>
              </w:rPr>
              <w:t>号，</w:t>
            </w:r>
            <w:r>
              <w:rPr>
                <w:rFonts w:eastAsiaTheme="minorEastAsia"/>
              </w:rPr>
              <w:t xml:space="preserve">2020 </w:t>
            </w:r>
            <w:r>
              <w:rPr>
                <w:rFonts w:hint="eastAsia" w:eastAsiaTheme="minorEastAsia"/>
              </w:rPr>
              <w:t>年</w:t>
            </w:r>
            <w:r>
              <w:rPr>
                <w:rFonts w:eastAsiaTheme="minorEastAsia"/>
              </w:rPr>
              <w:t xml:space="preserve"> 6 </w:t>
            </w:r>
            <w:r>
              <w:rPr>
                <w:rFonts w:hint="eastAsia" w:eastAsiaTheme="minorEastAsia"/>
              </w:rPr>
              <w:t>月</w:t>
            </w:r>
            <w:r>
              <w:rPr>
                <w:rFonts w:eastAsiaTheme="minorEastAsia"/>
              </w:rPr>
              <w:t xml:space="preserve"> 21 </w:t>
            </w:r>
            <w:r>
              <w:rPr>
                <w:rFonts w:hint="eastAsia" w:eastAsiaTheme="minorEastAsia"/>
              </w:rPr>
              <w:t>日</w:t>
            </w:r>
          </w:p>
          <w:p w14:paraId="4CBCFDEF">
            <w:pPr>
              <w:pStyle w:val="2"/>
              <w:ind w:firstLine="480"/>
              <w:rPr>
                <w:rFonts w:eastAsiaTheme="minorEastAsia"/>
              </w:rPr>
            </w:pPr>
            <w:r>
              <w:rPr>
                <w:rFonts w:eastAsiaTheme="minorEastAsia"/>
              </w:rPr>
              <w:t>(1</w:t>
            </w:r>
            <w:r>
              <w:rPr>
                <w:rFonts w:hint="eastAsia" w:eastAsiaTheme="minorEastAsia"/>
              </w:rPr>
              <w:t>7</w:t>
            </w:r>
            <w:r>
              <w:rPr>
                <w:rFonts w:eastAsiaTheme="minorEastAsia"/>
              </w:rPr>
              <w:t>)</w:t>
            </w:r>
            <w:r>
              <w:rPr>
                <w:rFonts w:hint="eastAsia" w:eastAsiaTheme="minorEastAsia"/>
              </w:rPr>
              <w:t>《江苏省政府关于印发江苏省国家级生态保护红线规划的通知》，苏政发〔</w:t>
            </w:r>
            <w:r>
              <w:rPr>
                <w:rFonts w:eastAsiaTheme="minorEastAsia"/>
              </w:rPr>
              <w:t>2018</w:t>
            </w:r>
            <w:r>
              <w:rPr>
                <w:rFonts w:hint="eastAsia" w:eastAsiaTheme="minorEastAsia"/>
              </w:rPr>
              <w:t>〕</w:t>
            </w:r>
            <w:r>
              <w:rPr>
                <w:rFonts w:eastAsiaTheme="minorEastAsia"/>
              </w:rPr>
              <w:t xml:space="preserve">74 </w:t>
            </w:r>
            <w:r>
              <w:rPr>
                <w:rFonts w:hint="eastAsia" w:eastAsiaTheme="minorEastAsia"/>
              </w:rPr>
              <w:t>号</w:t>
            </w:r>
            <w:r>
              <w:rPr>
                <w:rFonts w:eastAsiaTheme="minorEastAsia"/>
              </w:rPr>
              <w:t xml:space="preserve"> 2018 </w:t>
            </w:r>
            <w:r>
              <w:rPr>
                <w:rFonts w:hint="eastAsia" w:eastAsiaTheme="minorEastAsia"/>
              </w:rPr>
              <w:t>年</w:t>
            </w:r>
            <w:r>
              <w:rPr>
                <w:rFonts w:eastAsiaTheme="minorEastAsia"/>
              </w:rPr>
              <w:t xml:space="preserve"> 6 </w:t>
            </w:r>
            <w:r>
              <w:rPr>
                <w:rFonts w:hint="eastAsia" w:eastAsiaTheme="minorEastAsia"/>
              </w:rPr>
              <w:t>月</w:t>
            </w:r>
            <w:r>
              <w:rPr>
                <w:rFonts w:eastAsiaTheme="minorEastAsia"/>
              </w:rPr>
              <w:t xml:space="preserve"> 9 </w:t>
            </w:r>
            <w:r>
              <w:rPr>
                <w:rFonts w:hint="eastAsia" w:eastAsiaTheme="minorEastAsia"/>
              </w:rPr>
              <w:t>日</w:t>
            </w:r>
          </w:p>
          <w:p w14:paraId="0966A221">
            <w:pPr>
              <w:pStyle w:val="2"/>
              <w:ind w:firstLine="480"/>
              <w:rPr>
                <w:rFonts w:eastAsiaTheme="minorEastAsia"/>
              </w:rPr>
            </w:pPr>
            <w:r>
              <w:rPr>
                <w:rFonts w:eastAsiaTheme="minorEastAsia"/>
              </w:rPr>
              <w:t>(1</w:t>
            </w:r>
            <w:r>
              <w:rPr>
                <w:rFonts w:hint="eastAsia" w:eastAsiaTheme="minorEastAsia"/>
              </w:rPr>
              <w:t>8</w:t>
            </w:r>
            <w:r>
              <w:rPr>
                <w:rFonts w:eastAsiaTheme="minorEastAsia"/>
              </w:rPr>
              <w:t>)《江苏省生态空间管控区域调整管理办法》</w:t>
            </w:r>
            <w:r>
              <w:rPr>
                <w:rFonts w:hint="eastAsia" w:eastAsiaTheme="minorEastAsia"/>
              </w:rPr>
              <w:t>，</w:t>
            </w:r>
            <w:r>
              <w:rPr>
                <w:rFonts w:eastAsiaTheme="minorEastAsia"/>
              </w:rPr>
              <w:t>苏政办发〔2021〕3号，2021年2月1日起施行</w:t>
            </w:r>
          </w:p>
          <w:p w14:paraId="65FBFE85">
            <w:pPr>
              <w:pStyle w:val="2"/>
              <w:ind w:firstLine="480"/>
              <w:rPr>
                <w:rFonts w:eastAsiaTheme="minorEastAsia"/>
              </w:rPr>
            </w:pPr>
            <w:r>
              <w:rPr>
                <w:rFonts w:eastAsiaTheme="minorEastAsia"/>
              </w:rPr>
              <w:t>(1</w:t>
            </w:r>
            <w:r>
              <w:rPr>
                <w:rFonts w:hint="eastAsia" w:eastAsiaTheme="minorEastAsia"/>
              </w:rPr>
              <w:t>9</w:t>
            </w:r>
            <w:r>
              <w:rPr>
                <w:rFonts w:eastAsiaTheme="minorEastAsia"/>
              </w:rPr>
              <w:t>)</w:t>
            </w:r>
            <w:r>
              <w:rPr>
                <w:rFonts w:hint="eastAsia" w:eastAsiaTheme="minorEastAsia"/>
              </w:rPr>
              <w:t>《关于进一步加强生态保护红线监督管理的通知》，苏自然资函</w:t>
            </w:r>
            <w:r>
              <w:rPr>
                <w:rFonts w:eastAsiaTheme="minorEastAsia"/>
              </w:rPr>
              <w:t>〔202</w:t>
            </w:r>
            <w:r>
              <w:rPr>
                <w:rFonts w:hint="eastAsia" w:eastAsiaTheme="minorEastAsia"/>
              </w:rPr>
              <w:t>3</w:t>
            </w:r>
            <w:r>
              <w:rPr>
                <w:rFonts w:eastAsiaTheme="minorEastAsia"/>
              </w:rPr>
              <w:t>〕880</w:t>
            </w:r>
            <w:r>
              <w:rPr>
                <w:rFonts w:hint="eastAsia" w:eastAsiaTheme="minorEastAsia"/>
              </w:rPr>
              <w:t>号，</w:t>
            </w:r>
            <w:r>
              <w:rPr>
                <w:rFonts w:eastAsiaTheme="minorEastAsia"/>
              </w:rPr>
              <w:t>2023</w:t>
            </w:r>
            <w:r>
              <w:rPr>
                <w:rFonts w:hint="eastAsia" w:eastAsiaTheme="minorEastAsia"/>
              </w:rPr>
              <w:t>年</w:t>
            </w:r>
            <w:r>
              <w:rPr>
                <w:rFonts w:eastAsiaTheme="minorEastAsia"/>
              </w:rPr>
              <w:t>10</w:t>
            </w:r>
            <w:r>
              <w:rPr>
                <w:rFonts w:hint="eastAsia" w:eastAsiaTheme="minorEastAsia"/>
              </w:rPr>
              <w:t>月</w:t>
            </w:r>
            <w:r>
              <w:rPr>
                <w:rFonts w:eastAsiaTheme="minorEastAsia"/>
              </w:rPr>
              <w:t>10</w:t>
            </w:r>
            <w:r>
              <w:rPr>
                <w:rFonts w:hint="eastAsia" w:eastAsiaTheme="minorEastAsia"/>
              </w:rPr>
              <w:t>日起施行</w:t>
            </w:r>
          </w:p>
          <w:p w14:paraId="76E01A1A">
            <w:pPr>
              <w:pStyle w:val="2"/>
              <w:ind w:firstLine="480"/>
              <w:rPr>
                <w:rFonts w:eastAsiaTheme="minorEastAsia"/>
              </w:rPr>
            </w:pPr>
            <w:r>
              <w:rPr>
                <w:rFonts w:eastAsiaTheme="minorEastAsia"/>
              </w:rPr>
              <w:t>(</w:t>
            </w:r>
            <w:r>
              <w:rPr>
                <w:rFonts w:hint="eastAsia" w:eastAsiaTheme="minorEastAsia"/>
              </w:rPr>
              <w:t>20</w:t>
            </w:r>
            <w:r>
              <w:rPr>
                <w:rFonts w:eastAsiaTheme="minorEastAsia"/>
              </w:rPr>
              <w:t>)《关于启用环境影响评价信用平台的公告》</w:t>
            </w:r>
            <w:r>
              <w:rPr>
                <w:rFonts w:hint="eastAsia" w:eastAsiaTheme="minorEastAsia"/>
              </w:rPr>
              <w:t>，</w:t>
            </w:r>
            <w:r>
              <w:rPr>
                <w:rFonts w:eastAsiaTheme="minorEastAsia"/>
              </w:rPr>
              <w:t>生态环境部公告2019年第39号，2019年11月1日起施行</w:t>
            </w:r>
          </w:p>
          <w:p w14:paraId="3E23C11C">
            <w:pPr>
              <w:pStyle w:val="2"/>
              <w:ind w:firstLine="480"/>
              <w:rPr>
                <w:rFonts w:eastAsiaTheme="minorEastAsia"/>
              </w:rPr>
            </w:pPr>
            <w:r>
              <w:t>(</w:t>
            </w:r>
            <w:r>
              <w:rPr>
                <w:rFonts w:hint="eastAsia"/>
              </w:rPr>
              <w:t>21</w:t>
            </w:r>
            <w:r>
              <w:t>)《省生态环境厅关于进一步做好建设项目环境影响报告书(表)编制单位监管工作的通知》</w:t>
            </w:r>
            <w:r>
              <w:rPr>
                <w:rFonts w:hint="eastAsia"/>
              </w:rPr>
              <w:t>，</w:t>
            </w:r>
            <w:r>
              <w:t>苏环办</w:t>
            </w:r>
            <w:bookmarkStart w:id="2" w:name="OLE_LINK2"/>
            <w:r>
              <w:t>〔2021〕</w:t>
            </w:r>
            <w:bookmarkEnd w:id="2"/>
            <w:r>
              <w:t>187号，2021年11月9日</w:t>
            </w:r>
          </w:p>
        </w:tc>
      </w:tr>
    </w:tbl>
    <w:p w14:paraId="173F0C33">
      <w:pPr>
        <w:sectPr>
          <w:pgSz w:w="11907" w:h="16841"/>
          <w:pgMar w:top="1418" w:right="1134" w:bottom="1418" w:left="1701" w:header="0" w:footer="1134" w:gutter="0"/>
          <w:cols w:space="720" w:num="1"/>
        </w:sectPr>
      </w:pPr>
    </w:p>
    <w:p w14:paraId="68C3B008">
      <w:pPr>
        <w:spacing w:line="99" w:lineRule="exact"/>
      </w:pPr>
    </w:p>
    <w:tbl>
      <w:tblPr>
        <w:tblStyle w:val="15"/>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7938"/>
      </w:tblGrid>
      <w:tr w14:paraId="7A62D3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4" w:hRule="atLeast"/>
        </w:trPr>
        <w:tc>
          <w:tcPr>
            <w:tcW w:w="964" w:type="dxa"/>
            <w:vAlign w:val="center"/>
          </w:tcPr>
          <w:p w14:paraId="7784AFB5">
            <w:pPr>
              <w:spacing w:line="360" w:lineRule="auto"/>
              <w:jc w:val="center"/>
              <w:rPr>
                <w:rFonts w:hint="eastAsia" w:ascii="宋体" w:hAnsi="宋体" w:eastAsia="宋体" w:cs="宋体"/>
                <w:spacing w:val="-2"/>
                <w:sz w:val="24"/>
                <w:szCs w:val="24"/>
                <w14:textOutline w14:w="4356" w14:cap="flat" w14:cmpd="sng" w14:algn="ctr">
                  <w14:solidFill>
                    <w14:srgbClr w14:val="000000"/>
                  </w14:solidFill>
                  <w14:prstDash w14:val="solid"/>
                  <w14:miter w14:val="0"/>
                </w14:textOutline>
              </w:rPr>
            </w:pPr>
            <w:r>
              <w:rPr>
                <w:rFonts w:ascii="宋体" w:hAnsi="宋体" w:eastAsia="宋体" w:cs="宋体"/>
                <w:spacing w:val="-2"/>
                <w:sz w:val="24"/>
                <w:szCs w:val="24"/>
                <w14:textOutline w14:w="4356" w14:cap="flat" w14:cmpd="sng" w14:algn="ctr">
                  <w14:solidFill>
                    <w14:srgbClr w14:val="000000"/>
                  </w14:solidFill>
                  <w14:prstDash w14:val="solid"/>
                  <w14:miter w14:val="0"/>
                </w14:textOutline>
              </w:rPr>
              <w:t>技术</w:t>
            </w:r>
          </w:p>
          <w:p w14:paraId="3855BC06">
            <w:pPr>
              <w:spacing w:line="360" w:lineRule="auto"/>
              <w:jc w:val="center"/>
              <w:rPr>
                <w:rFonts w:hint="eastAsia" w:ascii="宋体" w:hAnsi="宋体" w:eastAsia="宋体" w:cs="宋体"/>
                <w:spacing w:val="-2"/>
                <w:sz w:val="24"/>
                <w:szCs w:val="24"/>
                <w14:textOutline w14:w="4356" w14:cap="flat" w14:cmpd="sng" w14:algn="ctr">
                  <w14:solidFill>
                    <w14:srgbClr w14:val="000000"/>
                  </w14:solidFill>
                  <w14:prstDash w14:val="solid"/>
                  <w14:miter w14:val="0"/>
                </w14:textOutline>
              </w:rPr>
            </w:pPr>
            <w:r>
              <w:rPr>
                <w:rFonts w:ascii="宋体" w:hAnsi="宋体" w:eastAsia="宋体" w:cs="宋体"/>
                <w:spacing w:val="-2"/>
                <w:sz w:val="24"/>
                <w:szCs w:val="24"/>
                <w14:textOutline w14:w="4356" w14:cap="flat" w14:cmpd="sng" w14:algn="ctr">
                  <w14:solidFill>
                    <w14:srgbClr w14:val="000000"/>
                  </w14:solidFill>
                  <w14:prstDash w14:val="solid"/>
                  <w14:miter w14:val="0"/>
                </w14:textOutline>
              </w:rPr>
              <w:t>标准</w:t>
            </w:r>
          </w:p>
        </w:tc>
        <w:tc>
          <w:tcPr>
            <w:tcW w:w="7938" w:type="dxa"/>
          </w:tcPr>
          <w:p w14:paraId="4C1B0307">
            <w:pPr>
              <w:pStyle w:val="2"/>
              <w:ind w:firstLine="480"/>
            </w:pPr>
            <w:r>
              <w:t>(1)《建设项目环境影响评价技术导则 总纲》(HJ2.1-2016)</w:t>
            </w:r>
          </w:p>
          <w:p w14:paraId="434FFD02">
            <w:pPr>
              <w:pStyle w:val="2"/>
              <w:ind w:firstLine="480"/>
            </w:pPr>
            <w:r>
              <w:t>(2)《辐射环境保护管理导则-核技术利用建设项目 环境影响评价文件的内容和格式》(HJ10.1-2016)</w:t>
            </w:r>
          </w:p>
          <w:p w14:paraId="6EAA0AEB">
            <w:pPr>
              <w:pStyle w:val="2"/>
              <w:ind w:firstLine="492"/>
            </w:pPr>
            <w:r>
              <w:rPr>
                <w:spacing w:val="6"/>
              </w:rPr>
              <w:t>(</w:t>
            </w:r>
            <w:r>
              <w:rPr>
                <w:spacing w:val="4"/>
              </w:rPr>
              <w:t>3)《辐射环境监测技术规范》(</w:t>
            </w:r>
            <w:r>
              <w:t>HJ</w:t>
            </w:r>
            <w:r>
              <w:rPr>
                <w:spacing w:val="4"/>
              </w:rPr>
              <w:t>61-2021)</w:t>
            </w:r>
          </w:p>
          <w:p w14:paraId="0C71C75F">
            <w:pPr>
              <w:pStyle w:val="2"/>
              <w:ind w:firstLine="480"/>
            </w:pPr>
            <w:r>
              <w:t>(4)《环境 γ 辐射剂量率测量技术规范》(HJ1157-2021)</w:t>
            </w:r>
          </w:p>
          <w:p w14:paraId="03FA2D81">
            <w:pPr>
              <w:pStyle w:val="2"/>
              <w:ind w:firstLine="520"/>
            </w:pPr>
            <w:r>
              <w:rPr>
                <w:spacing w:val="20"/>
              </w:rPr>
              <w:t>(</w:t>
            </w:r>
            <w:r>
              <w:rPr>
                <w:spacing w:val="15"/>
              </w:rPr>
              <w:t>5</w:t>
            </w:r>
            <w:r>
              <w:rPr>
                <w:spacing w:val="10"/>
              </w:rPr>
              <w:t>)《电离辐射防护与辐射源安全基本标准》(</w:t>
            </w:r>
            <w:r>
              <w:t>GB</w:t>
            </w:r>
            <w:r>
              <w:rPr>
                <w:spacing w:val="10"/>
              </w:rPr>
              <w:t>18871-2002)</w:t>
            </w:r>
          </w:p>
          <w:p w14:paraId="2FB064DD">
            <w:pPr>
              <w:pStyle w:val="2"/>
              <w:ind w:firstLine="480"/>
            </w:pPr>
            <w:r>
              <w:t>(</w:t>
            </w:r>
            <w:r>
              <w:rPr>
                <w:rFonts w:hint="eastAsia"/>
              </w:rPr>
              <w:t>6</w:t>
            </w:r>
            <w:r>
              <w:t>) 《工业 X 射线探伤室辐射屏蔽规范》(GBZ/T250-2014)</w:t>
            </w:r>
            <w:r>
              <w:rPr>
                <w:rFonts w:hint="eastAsia"/>
              </w:rPr>
              <w:t>及1号修改单</w:t>
            </w:r>
          </w:p>
          <w:p w14:paraId="1D1A3234">
            <w:pPr>
              <w:pStyle w:val="2"/>
              <w:ind w:firstLine="480"/>
            </w:pPr>
            <w:r>
              <w:t>(</w:t>
            </w:r>
            <w:r>
              <w:rPr>
                <w:rFonts w:hint="eastAsia"/>
              </w:rPr>
              <w:t>7</w:t>
            </w:r>
            <w:r>
              <w:t>) 《工业</w:t>
            </w:r>
            <w:r>
              <w:rPr>
                <w:rFonts w:hint="eastAsia"/>
              </w:rPr>
              <w:t>探伤放射防护标准</w:t>
            </w:r>
            <w:r>
              <w:t>》(GBZ</w:t>
            </w:r>
            <w:r>
              <w:rPr>
                <w:rFonts w:hint="eastAsia"/>
              </w:rPr>
              <w:t>117</w:t>
            </w:r>
            <w:r>
              <w:t>-20</w:t>
            </w:r>
            <w:r>
              <w:rPr>
                <w:rFonts w:hint="eastAsia"/>
              </w:rPr>
              <w:t>22</w:t>
            </w:r>
            <w:r>
              <w:t>)</w:t>
            </w:r>
          </w:p>
          <w:p w14:paraId="7FF0F111">
            <w:pPr>
              <w:pStyle w:val="2"/>
              <w:ind w:firstLine="480"/>
            </w:pPr>
            <w:r>
              <w:t>(</w:t>
            </w:r>
            <w:r>
              <w:rPr>
                <w:rFonts w:hint="eastAsia"/>
              </w:rPr>
              <w:t>8</w:t>
            </w:r>
            <w:r>
              <w:t xml:space="preserve">) </w:t>
            </w:r>
            <w:r>
              <w:rPr>
                <w:rFonts w:hint="eastAsia"/>
              </w:rPr>
              <w:t>《环境影响评价技术导则 生态影响类》（HJ19-2022）</w:t>
            </w:r>
          </w:p>
          <w:p w14:paraId="1104A60C">
            <w:pPr>
              <w:pStyle w:val="2"/>
              <w:ind w:firstLine="480"/>
            </w:pPr>
            <w:r>
              <w:rPr>
                <w:rFonts w:hint="eastAsia"/>
              </w:rPr>
              <w:t>(9)《职业性外照射个人监测规范》（GBZ128-2019）</w:t>
            </w:r>
          </w:p>
        </w:tc>
      </w:tr>
      <w:tr w14:paraId="50721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0" w:hRule="atLeast"/>
        </w:trPr>
        <w:tc>
          <w:tcPr>
            <w:tcW w:w="964" w:type="dxa"/>
            <w:vAlign w:val="center"/>
          </w:tcPr>
          <w:p w14:paraId="3C655212">
            <w:pPr>
              <w:spacing w:line="360" w:lineRule="auto"/>
              <w:jc w:val="center"/>
              <w:rPr>
                <w:rFonts w:hint="eastAsia" w:ascii="宋体" w:hAnsi="宋体" w:eastAsia="宋体" w:cs="宋体"/>
                <w:sz w:val="24"/>
                <w:szCs w:val="24"/>
              </w:rPr>
            </w:pPr>
            <w:r>
              <w:rPr>
                <w:rFonts w:ascii="宋体" w:hAnsi="宋体" w:eastAsia="宋体" w:cs="宋体"/>
                <w:spacing w:val="-2"/>
                <w:sz w:val="24"/>
                <w:szCs w:val="24"/>
                <w14:textOutline w14:w="4356" w14:cap="flat" w14:cmpd="sng" w14:algn="ctr">
                  <w14:solidFill>
                    <w14:srgbClr w14:val="000000"/>
                  </w14:solidFill>
                  <w14:prstDash w14:val="solid"/>
                  <w14:miter w14:val="0"/>
                </w14:textOutline>
              </w:rPr>
              <w:t>其它</w:t>
            </w:r>
          </w:p>
        </w:tc>
        <w:tc>
          <w:tcPr>
            <w:tcW w:w="7938" w:type="dxa"/>
          </w:tcPr>
          <w:p w14:paraId="160A3F4E">
            <w:pPr>
              <w:pStyle w:val="28"/>
              <w:rPr>
                <w:b/>
                <w:bCs/>
              </w:rPr>
            </w:pPr>
            <w:r>
              <w:rPr>
                <w:b/>
                <w:bCs/>
              </w:rPr>
              <w:t>与本项目相关附件：</w:t>
            </w:r>
          </w:p>
          <w:p w14:paraId="5E3874CD">
            <w:pPr>
              <w:pStyle w:val="28"/>
              <w:ind w:firstLine="496" w:firstLineChars="200"/>
              <w:rPr>
                <w:spacing w:val="4"/>
              </w:rPr>
            </w:pPr>
            <w:r>
              <w:rPr>
                <w:rFonts w:hint="eastAsia"/>
                <w:spacing w:val="4"/>
              </w:rPr>
              <w:t>（1）备案证（附件1）</w:t>
            </w:r>
          </w:p>
          <w:p w14:paraId="222B40BF">
            <w:pPr>
              <w:pStyle w:val="28"/>
              <w:ind w:firstLine="496" w:firstLineChars="200"/>
            </w:pPr>
            <w:r>
              <w:rPr>
                <w:rFonts w:hint="eastAsia"/>
                <w:spacing w:val="4"/>
              </w:rPr>
              <w:t>（1）</w:t>
            </w:r>
            <w:r>
              <w:rPr>
                <w:spacing w:val="4"/>
              </w:rPr>
              <w:t>项目</w:t>
            </w:r>
            <w:r>
              <w:t>委托书 (附件</w:t>
            </w:r>
            <w:r>
              <w:rPr>
                <w:rFonts w:hint="eastAsia" w:cs="Times New Roman" w:eastAsiaTheme="minorEastAsia"/>
              </w:rPr>
              <w:t>2</w:t>
            </w:r>
            <w:r>
              <w:t>)</w:t>
            </w:r>
          </w:p>
          <w:p w14:paraId="705F95B5">
            <w:pPr>
              <w:pStyle w:val="28"/>
              <w:ind w:firstLine="544" w:firstLineChars="200"/>
            </w:pPr>
            <w:r>
              <w:rPr>
                <w:rFonts w:hint="eastAsia"/>
                <w:spacing w:val="16"/>
              </w:rPr>
              <w:t>（2）</w:t>
            </w:r>
            <w:r>
              <w:rPr>
                <w:spacing w:val="8"/>
              </w:rPr>
              <w:t>射线装置使用承诺书(附件</w:t>
            </w:r>
            <w:r>
              <w:rPr>
                <w:rFonts w:hint="eastAsia" w:cs="Times New Roman" w:eastAsiaTheme="minorEastAsia"/>
                <w:spacing w:val="8"/>
              </w:rPr>
              <w:t>3</w:t>
            </w:r>
            <w:r>
              <w:rPr>
                <w:spacing w:val="8"/>
              </w:rPr>
              <w:t>)</w:t>
            </w:r>
          </w:p>
          <w:p w14:paraId="1DFF350C">
            <w:pPr>
              <w:pStyle w:val="28"/>
              <w:ind w:firstLine="488" w:firstLineChars="200"/>
            </w:pPr>
            <w:r>
              <w:rPr>
                <w:rFonts w:hint="eastAsia"/>
              </w:rPr>
              <w:t>（3）</w:t>
            </w:r>
            <w:r>
              <w:rPr>
                <w:spacing w:val="1"/>
              </w:rPr>
              <w:t>屏蔽设计说明 (附件</w:t>
            </w:r>
            <w:r>
              <w:rPr>
                <w:rFonts w:hint="eastAsia" w:cs="Times New Roman" w:eastAsiaTheme="minorEastAsia"/>
                <w:spacing w:val="1"/>
              </w:rPr>
              <w:t>4</w:t>
            </w:r>
            <w:r>
              <w:rPr>
                <w:spacing w:val="1"/>
              </w:rPr>
              <w:t>)</w:t>
            </w:r>
          </w:p>
          <w:p w14:paraId="75868324">
            <w:pPr>
              <w:pStyle w:val="28"/>
              <w:ind w:firstLine="488" w:firstLineChars="200"/>
            </w:pPr>
            <w:r>
              <w:rPr>
                <w:rFonts w:hint="eastAsia"/>
              </w:rPr>
              <w:t>（4）</w:t>
            </w:r>
            <w:r>
              <w:t>辐射环境现状检测报告 (附件</w:t>
            </w:r>
            <w:r>
              <w:rPr>
                <w:rFonts w:hint="eastAsia" w:cs="Times New Roman" w:eastAsiaTheme="minorEastAsia"/>
                <w:spacing w:val="1"/>
              </w:rPr>
              <w:t>5</w:t>
            </w:r>
            <w:r>
              <w:t>)</w:t>
            </w:r>
          </w:p>
          <w:p w14:paraId="63C83570">
            <w:pPr>
              <w:pStyle w:val="28"/>
              <w:ind w:firstLine="488" w:firstLineChars="200"/>
            </w:pPr>
            <w:r>
              <w:rPr>
                <w:rFonts w:hint="eastAsia"/>
              </w:rPr>
              <w:t>（5）厂房租赁合同（附件6）</w:t>
            </w:r>
          </w:p>
          <w:p w14:paraId="5BFDED19">
            <w:pPr>
              <w:pStyle w:val="28"/>
              <w:ind w:firstLine="488" w:firstLineChars="200"/>
            </w:pPr>
            <w:r>
              <w:rPr>
                <w:rFonts w:hint="eastAsia"/>
              </w:rPr>
              <w:t>（6）X 射线管技术参数（附件7）</w:t>
            </w:r>
          </w:p>
          <w:p w14:paraId="14CE5CFE">
            <w:pPr>
              <w:pStyle w:val="28"/>
              <w:ind w:firstLine="488" w:firstLineChars="200"/>
            </w:pPr>
            <w:r>
              <w:rPr>
                <w:rFonts w:hint="eastAsia"/>
              </w:rPr>
              <w:t>（7）</w:t>
            </w:r>
            <w:r>
              <w:t>江苏省生态环境分区管控综合查询报告书</w:t>
            </w:r>
            <w:r>
              <w:rPr>
                <w:rFonts w:hint="eastAsia"/>
              </w:rPr>
              <w:t>（附件8）</w:t>
            </w:r>
          </w:p>
          <w:p w14:paraId="1842A9A0">
            <w:pPr>
              <w:pStyle w:val="28"/>
              <w:ind w:firstLine="488" w:firstLineChars="200"/>
            </w:pPr>
            <w:r>
              <w:rPr>
                <w:rFonts w:hint="eastAsia"/>
              </w:rPr>
              <w:t>（8）专家意见及修改清单（附件9）</w:t>
            </w:r>
          </w:p>
        </w:tc>
      </w:tr>
    </w:tbl>
    <w:p w14:paraId="4415260C">
      <w:pPr>
        <w:sectPr>
          <w:pgSz w:w="11907" w:h="16841"/>
          <w:pgMar w:top="1431" w:right="1296" w:bottom="1322" w:left="1702" w:header="0" w:footer="1135" w:gutter="0"/>
          <w:cols w:space="720" w:num="1"/>
        </w:sectPr>
      </w:pPr>
    </w:p>
    <w:p w14:paraId="7A6175B2">
      <w:pPr>
        <w:pStyle w:val="11"/>
      </w:pPr>
      <w:r>
        <w:rPr>
          <w:spacing w:val="-6"/>
        </w:rPr>
        <w:t>表</w:t>
      </w:r>
      <w:r>
        <w:t xml:space="preserve"> </w:t>
      </w:r>
      <w:r>
        <w:rPr>
          <w:rFonts w:eastAsia="Times New Roman" w:cs="Times New Roman"/>
        </w:rPr>
        <w:t xml:space="preserve">7  </w:t>
      </w:r>
      <w:r>
        <w:t>保护目标与评价标准</w:t>
      </w:r>
    </w:p>
    <w:tbl>
      <w:tblPr>
        <w:tblStyle w:val="15"/>
        <w:tblW w:w="91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156"/>
      </w:tblGrid>
      <w:tr w14:paraId="48E15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0" w:hRule="atLeast"/>
        </w:trPr>
        <w:tc>
          <w:tcPr>
            <w:tcW w:w="9154" w:type="dxa"/>
          </w:tcPr>
          <w:p w14:paraId="07ED179E">
            <w:pPr>
              <w:pStyle w:val="28"/>
              <w:rPr>
                <w:b/>
                <w:bCs/>
              </w:rPr>
            </w:pPr>
            <w:r>
              <w:rPr>
                <w:b/>
                <w:bCs/>
                <w:spacing w:val="-2"/>
              </w:rPr>
              <w:t>评</w:t>
            </w:r>
            <w:r>
              <w:rPr>
                <w:b/>
                <w:bCs/>
              </w:rPr>
              <w:t>价范围</w:t>
            </w:r>
          </w:p>
          <w:p w14:paraId="2DAFB5E2">
            <w:pPr>
              <w:pStyle w:val="2"/>
              <w:ind w:firstLine="488"/>
            </w:pPr>
            <w:r>
              <w:rPr>
                <w:spacing w:val="4"/>
              </w:rPr>
              <w:t>根据《辐</w:t>
            </w:r>
            <w:r>
              <w:rPr>
                <w:spacing w:val="3"/>
              </w:rPr>
              <w:t>射</w:t>
            </w:r>
            <w:r>
              <w:rPr>
                <w:spacing w:val="2"/>
              </w:rPr>
              <w:t>环境保护管理导则-核技术利用建设项目环境影响评价文件的内容和</w:t>
            </w:r>
            <w:r>
              <w:t xml:space="preserve"> </w:t>
            </w:r>
            <w:r>
              <w:rPr>
                <w:spacing w:val="-2"/>
              </w:rPr>
              <w:t>格式》(</w:t>
            </w:r>
            <w:r>
              <w:t>HJ 10.1-2016)中</w:t>
            </w:r>
            <w:r>
              <w:rPr>
                <w:rFonts w:hint="eastAsia"/>
              </w:rPr>
              <w:t>“</w:t>
            </w:r>
            <w:r>
              <w:t>放射源和射线装置应用项目的评价范围，通常取装置所在场</w:t>
            </w:r>
            <w:r>
              <w:rPr>
                <w:spacing w:val="-4"/>
              </w:rPr>
              <w:t>所实体屏蔽物边界外 50</w:t>
            </w:r>
            <w:r>
              <w:rPr>
                <w:spacing w:val="-2"/>
              </w:rPr>
              <w:t>m</w:t>
            </w:r>
            <w:r>
              <w:rPr>
                <w:spacing w:val="-4"/>
              </w:rPr>
              <w:t xml:space="preserve"> 的</w:t>
            </w:r>
            <w:r>
              <w:rPr>
                <w:spacing w:val="-3"/>
              </w:rPr>
              <w:t>范</w:t>
            </w:r>
            <w:r>
              <w:rPr>
                <w:spacing w:val="-2"/>
              </w:rPr>
              <w:t>围</w:t>
            </w:r>
            <w:r>
              <w:rPr>
                <w:rFonts w:hint="eastAsia"/>
                <w:spacing w:val="-2"/>
              </w:rPr>
              <w:t>”</w:t>
            </w:r>
            <w:r>
              <w:rPr>
                <w:spacing w:val="-2"/>
              </w:rPr>
              <w:t>相关规定，确定本项目评价范围为</w:t>
            </w:r>
            <w:r>
              <w:rPr>
                <w:rFonts w:hint="eastAsia"/>
                <w:spacing w:val="-2"/>
              </w:rPr>
              <w:t>曝光室</w:t>
            </w:r>
            <w:r>
              <w:rPr>
                <w:spacing w:val="-4"/>
              </w:rPr>
              <w:t>边界外 50m 区域</w:t>
            </w:r>
            <w:r>
              <w:rPr>
                <w:rFonts w:hint="eastAsia"/>
                <w:spacing w:val="-4"/>
              </w:rPr>
              <w:t>，本项目评价范围见附图2</w:t>
            </w:r>
            <w:r>
              <w:rPr>
                <w:spacing w:val="-4"/>
              </w:rPr>
              <w:t>。</w:t>
            </w:r>
          </w:p>
        </w:tc>
      </w:tr>
      <w:tr w14:paraId="5FA5D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9" w:hRule="atLeast"/>
        </w:trPr>
        <w:tc>
          <w:tcPr>
            <w:tcW w:w="9154" w:type="dxa"/>
          </w:tcPr>
          <w:p w14:paraId="08A25880">
            <w:pPr>
              <w:pStyle w:val="28"/>
              <w:rPr>
                <w:b/>
                <w:bCs/>
              </w:rPr>
            </w:pPr>
            <w:r>
              <w:rPr>
                <w:b/>
                <w:bCs/>
              </w:rPr>
              <w:t>保护目标</w:t>
            </w:r>
          </w:p>
          <w:p w14:paraId="08069817">
            <w:pPr>
              <w:pStyle w:val="2"/>
              <w:ind w:firstLine="480"/>
            </w:pPr>
            <w:r>
              <w:rPr>
                <w:rFonts w:hint="eastAsia"/>
              </w:rPr>
              <w:t>本项目评价范围内不涉及国家公园、自然保护区、风景名胜区、世界文化和自然遗产地、海洋特别保护区、饮用水水源保护区等环境敏感区。对照《江苏省国家级生态保护红线规划》</w:t>
            </w:r>
            <w:r>
              <w:t>(</w:t>
            </w:r>
            <w:r>
              <w:rPr>
                <w:rFonts w:hint="eastAsia"/>
              </w:rPr>
              <w:t>苏政发〔</w:t>
            </w:r>
            <w:r>
              <w:t>2018</w:t>
            </w:r>
            <w:r>
              <w:rPr>
                <w:rFonts w:hint="eastAsia"/>
              </w:rPr>
              <w:t>〕</w:t>
            </w:r>
            <w:r>
              <w:t>74</w:t>
            </w:r>
            <w:r>
              <w:rPr>
                <w:rFonts w:hint="eastAsia"/>
              </w:rPr>
              <w:t>号</w:t>
            </w:r>
            <w:r>
              <w:t>)</w:t>
            </w:r>
            <w:r>
              <w:rPr>
                <w:rFonts w:hint="eastAsia"/>
              </w:rPr>
              <w:t>《省政府关于印发江苏省生态空间管控区域规划的通知》</w:t>
            </w:r>
            <w:r>
              <w:t>(</w:t>
            </w:r>
            <w:r>
              <w:rPr>
                <w:rFonts w:hint="eastAsia"/>
              </w:rPr>
              <w:t>苏政发</w:t>
            </w:r>
            <w:r>
              <w:t>(2020)1</w:t>
            </w:r>
            <w:r>
              <w:rPr>
                <w:rFonts w:hint="eastAsia"/>
              </w:rPr>
              <w:t>号</w:t>
            </w:r>
            <w:r>
              <w:t>)</w:t>
            </w:r>
            <w:r>
              <w:rPr>
                <w:rFonts w:hint="eastAsia"/>
              </w:rPr>
              <w:t>，本项目评价范围不涉及江苏省国家级生态保护红线、江苏省生态空间管控区域，对照《环境影响评价技术导则生态影响》</w:t>
            </w:r>
            <w:r>
              <w:t>(HJ19-2022)</w:t>
            </w:r>
            <w:r>
              <w:rPr>
                <w:rFonts w:hint="eastAsia"/>
              </w:rPr>
              <w:t>，本项目评价范围内不涉及受影响的重要物种、生态敏感区以及其他需要保护的物种、种群、生物群落及生态空间等生态保护目标。</w:t>
            </w:r>
          </w:p>
          <w:p w14:paraId="0B4B3CC9">
            <w:pPr>
              <w:pStyle w:val="2"/>
              <w:ind w:firstLine="480"/>
            </w:pPr>
            <w:r>
              <w:rPr>
                <w:rFonts w:hint="eastAsia"/>
              </w:rPr>
              <w:t xml:space="preserve">本项目利用 </w:t>
            </w:r>
            <w:r>
              <w:t>X</w:t>
            </w:r>
            <w:r>
              <w:rPr>
                <w:rFonts w:hint="eastAsia"/>
              </w:rPr>
              <w:t xml:space="preserve"> 射线进行无损检测，占用资源少，不会降低评价范围内的水、气、土壤的环境功能类别和环境质量，符合“三线一单”相关要求。本项目</w:t>
            </w:r>
            <w:r>
              <w:t>X</w:t>
            </w:r>
            <w:r>
              <w:rPr>
                <w:rFonts w:hint="eastAsia"/>
              </w:rPr>
              <w:t>射线实时成像检测装置周围</w:t>
            </w:r>
            <w:r>
              <w:t>50m</w:t>
            </w:r>
            <w:r>
              <w:rPr>
                <w:rFonts w:hint="eastAsia"/>
              </w:rPr>
              <w:t>范围内没有居民区、学校等环境敏感目标，本项目保护目标主要为辐射工作人员、</w:t>
            </w:r>
            <w:r>
              <w:t>X</w:t>
            </w:r>
            <w:r>
              <w:rPr>
                <w:rFonts w:hint="eastAsia"/>
              </w:rPr>
              <w:t>射线实时成像检测装置建址周围评价范围内的公众。</w:t>
            </w:r>
          </w:p>
          <w:p w14:paraId="7B20830D">
            <w:pPr>
              <w:pStyle w:val="21"/>
            </w:pPr>
            <w:r>
              <w:t>表 7-1  本项目</w:t>
            </w:r>
            <w:r>
              <w:rPr>
                <w:rFonts w:hint="eastAsia"/>
              </w:rPr>
              <w:t>建址</w:t>
            </w:r>
            <w:r>
              <w:t>评价范围内</w:t>
            </w:r>
            <w:r>
              <w:rPr>
                <w:rFonts w:hint="eastAsia"/>
              </w:rPr>
              <w:t>环境</w:t>
            </w:r>
            <w:r>
              <w:t>保护目标情况一览表</w:t>
            </w:r>
          </w:p>
          <w:tbl>
            <w:tblPr>
              <w:tblStyle w:val="13"/>
              <w:tblW w:w="915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2712"/>
              <w:gridCol w:w="1361"/>
              <w:gridCol w:w="1830"/>
              <w:gridCol w:w="1830"/>
            </w:tblGrid>
            <w:tr w14:paraId="0102CB6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129" w:type="dxa"/>
                  <w:gridSpan w:val="2"/>
                  <w:vAlign w:val="center"/>
                </w:tcPr>
                <w:p w14:paraId="29507ADE">
                  <w:pPr>
                    <w:pStyle w:val="24"/>
                    <w:widowControl w:val="0"/>
                  </w:pPr>
                  <w:r>
                    <w:t>环境保护目标</w:t>
                  </w:r>
                </w:p>
              </w:tc>
              <w:tc>
                <w:tcPr>
                  <w:tcW w:w="1361" w:type="dxa"/>
                  <w:vAlign w:val="center"/>
                </w:tcPr>
                <w:p w14:paraId="0F8654EB">
                  <w:pPr>
                    <w:pStyle w:val="24"/>
                    <w:widowControl w:val="0"/>
                  </w:pPr>
                  <w:r>
                    <w:t>规模</w:t>
                  </w:r>
                </w:p>
              </w:tc>
              <w:tc>
                <w:tcPr>
                  <w:tcW w:w="1830" w:type="dxa"/>
                  <w:vAlign w:val="center"/>
                </w:tcPr>
                <w:p w14:paraId="2F746CAD">
                  <w:pPr>
                    <w:pStyle w:val="24"/>
                    <w:widowControl w:val="0"/>
                  </w:pPr>
                  <w:r>
                    <w:t>方位</w:t>
                  </w:r>
                </w:p>
              </w:tc>
              <w:tc>
                <w:tcPr>
                  <w:tcW w:w="1830" w:type="dxa"/>
                  <w:vAlign w:val="center"/>
                </w:tcPr>
                <w:p w14:paraId="2079F042">
                  <w:pPr>
                    <w:pStyle w:val="24"/>
                    <w:widowControl w:val="0"/>
                  </w:pPr>
                  <w:r>
                    <w:t>距离</w:t>
                  </w:r>
                </w:p>
              </w:tc>
            </w:tr>
            <w:tr w14:paraId="0A5279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1417" w:type="dxa"/>
                  <w:vAlign w:val="center"/>
                </w:tcPr>
                <w:p w14:paraId="6342D7F5">
                  <w:pPr>
                    <w:pStyle w:val="24"/>
                    <w:widowControl w:val="0"/>
                  </w:pPr>
                  <w:r>
                    <w:t>辐射工作人员</w:t>
                  </w:r>
                </w:p>
              </w:tc>
              <w:tc>
                <w:tcPr>
                  <w:tcW w:w="2712" w:type="dxa"/>
                  <w:vAlign w:val="center"/>
                </w:tcPr>
                <w:p w14:paraId="1663B729">
                  <w:pPr>
                    <w:pStyle w:val="24"/>
                    <w:widowControl w:val="0"/>
                  </w:pPr>
                  <w:r>
                    <w:t>操作人员</w:t>
                  </w:r>
                </w:p>
              </w:tc>
              <w:tc>
                <w:tcPr>
                  <w:tcW w:w="1361" w:type="dxa"/>
                  <w:vAlign w:val="center"/>
                </w:tcPr>
                <w:p w14:paraId="0A766714">
                  <w:pPr>
                    <w:pStyle w:val="24"/>
                    <w:widowControl w:val="0"/>
                  </w:pPr>
                  <w:r>
                    <w:t>2 人</w:t>
                  </w:r>
                </w:p>
              </w:tc>
              <w:tc>
                <w:tcPr>
                  <w:tcW w:w="1830" w:type="dxa"/>
                  <w:vAlign w:val="center"/>
                </w:tcPr>
                <w:p w14:paraId="7B5D332B">
                  <w:pPr>
                    <w:pStyle w:val="24"/>
                    <w:widowControl w:val="0"/>
                  </w:pPr>
                  <w:r>
                    <w:t>X 射线曝光室</w:t>
                  </w:r>
                  <w:r>
                    <w:rPr>
                      <w:rFonts w:hint="eastAsia"/>
                    </w:rPr>
                    <w:t>西侧</w:t>
                  </w:r>
                  <w:r>
                    <w:t>、操作室内</w:t>
                  </w:r>
                </w:p>
              </w:tc>
              <w:tc>
                <w:tcPr>
                  <w:tcW w:w="1830" w:type="dxa"/>
                  <w:vAlign w:val="center"/>
                </w:tcPr>
                <w:p w14:paraId="4180EEB5">
                  <w:pPr>
                    <w:pStyle w:val="24"/>
                    <w:widowControl w:val="0"/>
                  </w:pPr>
                  <w:r>
                    <w:t>1m</w:t>
                  </w:r>
                </w:p>
              </w:tc>
            </w:tr>
            <w:tr w14:paraId="258983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17" w:type="dxa"/>
                  <w:vMerge w:val="restart"/>
                  <w:vAlign w:val="center"/>
                </w:tcPr>
                <w:p w14:paraId="1916DA4E">
                  <w:pPr>
                    <w:pStyle w:val="24"/>
                    <w:widowControl w:val="0"/>
                  </w:pPr>
                  <w:r>
                    <w:t>公众</w:t>
                  </w:r>
                </w:p>
              </w:tc>
              <w:tc>
                <w:tcPr>
                  <w:tcW w:w="2712" w:type="dxa"/>
                  <w:vAlign w:val="center"/>
                </w:tcPr>
                <w:p w14:paraId="1CC1A45A">
                  <w:pPr>
                    <w:pStyle w:val="24"/>
                    <w:widowControl w:val="0"/>
                  </w:pPr>
                  <w:r>
                    <w:rPr>
                      <w:rFonts w:hint="eastAsia"/>
                    </w:rPr>
                    <w:t>五金、原料仓库</w:t>
                  </w:r>
                  <w:r>
                    <w:t>工作人员</w:t>
                  </w:r>
                </w:p>
              </w:tc>
              <w:tc>
                <w:tcPr>
                  <w:tcW w:w="1361" w:type="dxa"/>
                  <w:vAlign w:val="center"/>
                </w:tcPr>
                <w:p w14:paraId="4BCAC525">
                  <w:pPr>
                    <w:pStyle w:val="24"/>
                    <w:widowControl w:val="0"/>
                  </w:pPr>
                  <w:r>
                    <w:t>约 5 人</w:t>
                  </w:r>
                </w:p>
              </w:tc>
              <w:tc>
                <w:tcPr>
                  <w:tcW w:w="1830" w:type="dxa"/>
                  <w:vAlign w:val="center"/>
                </w:tcPr>
                <w:p w14:paraId="3CF9FBFA">
                  <w:pPr>
                    <w:pStyle w:val="24"/>
                    <w:widowControl w:val="0"/>
                  </w:pPr>
                  <w:r>
                    <w:t>曝光室东侧</w:t>
                  </w:r>
                </w:p>
              </w:tc>
              <w:tc>
                <w:tcPr>
                  <w:tcW w:w="1830" w:type="dxa"/>
                  <w:vAlign w:val="center"/>
                </w:tcPr>
                <w:p w14:paraId="5D446FFF">
                  <w:pPr>
                    <w:pStyle w:val="24"/>
                    <w:widowControl w:val="0"/>
                  </w:pPr>
                  <w:r>
                    <w:t>10m~25m</w:t>
                  </w:r>
                </w:p>
              </w:tc>
            </w:tr>
            <w:tr w14:paraId="41A7A05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17" w:type="dxa"/>
                  <w:vMerge w:val="continue"/>
                  <w:vAlign w:val="center"/>
                </w:tcPr>
                <w:p w14:paraId="27771A6B">
                  <w:pPr>
                    <w:pStyle w:val="24"/>
                    <w:widowControl w:val="0"/>
                  </w:pPr>
                </w:p>
              </w:tc>
              <w:tc>
                <w:tcPr>
                  <w:tcW w:w="2712" w:type="dxa"/>
                  <w:vAlign w:val="center"/>
                </w:tcPr>
                <w:p w14:paraId="1F3D4786">
                  <w:pPr>
                    <w:pStyle w:val="24"/>
                    <w:widowControl w:val="0"/>
                  </w:pPr>
                  <w:r>
                    <w:rPr>
                      <w:rFonts w:hint="eastAsia"/>
                    </w:rPr>
                    <w:t>螺旋焊管</w:t>
                  </w:r>
                  <w:r>
                    <w:t>车间工作人员</w:t>
                  </w:r>
                </w:p>
              </w:tc>
              <w:tc>
                <w:tcPr>
                  <w:tcW w:w="1361" w:type="dxa"/>
                  <w:vAlign w:val="center"/>
                </w:tcPr>
                <w:p w14:paraId="0CEDB28E">
                  <w:pPr>
                    <w:pStyle w:val="24"/>
                    <w:widowControl w:val="0"/>
                  </w:pPr>
                  <w:r>
                    <w:t xml:space="preserve">约 </w:t>
                  </w:r>
                  <w:r>
                    <w:rPr>
                      <w:rFonts w:hint="eastAsia"/>
                    </w:rPr>
                    <w:t>2</w:t>
                  </w:r>
                  <w:r>
                    <w:t>0 人</w:t>
                  </w:r>
                </w:p>
              </w:tc>
              <w:tc>
                <w:tcPr>
                  <w:tcW w:w="1830" w:type="dxa"/>
                  <w:vAlign w:val="center"/>
                </w:tcPr>
                <w:p w14:paraId="15E7A105">
                  <w:pPr>
                    <w:pStyle w:val="24"/>
                    <w:widowControl w:val="0"/>
                  </w:pPr>
                  <w:r>
                    <w:t>曝光室</w:t>
                  </w:r>
                  <w:r>
                    <w:rPr>
                      <w:rFonts w:hint="eastAsia"/>
                    </w:rPr>
                    <w:t>北</w:t>
                  </w:r>
                  <w:r>
                    <w:t>侧</w:t>
                  </w:r>
                </w:p>
              </w:tc>
              <w:tc>
                <w:tcPr>
                  <w:tcW w:w="1830" w:type="dxa"/>
                  <w:vAlign w:val="center"/>
                </w:tcPr>
                <w:p w14:paraId="7218EF77">
                  <w:pPr>
                    <w:pStyle w:val="24"/>
                    <w:widowControl w:val="0"/>
                  </w:pPr>
                  <w:r>
                    <w:t>25m~50m</w:t>
                  </w:r>
                </w:p>
              </w:tc>
            </w:tr>
            <w:tr w14:paraId="0DA347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17" w:type="dxa"/>
                  <w:vMerge w:val="continue"/>
                  <w:vAlign w:val="center"/>
                </w:tcPr>
                <w:p w14:paraId="56BF0A0A">
                  <w:pPr>
                    <w:pStyle w:val="24"/>
                    <w:widowControl w:val="0"/>
                  </w:pPr>
                </w:p>
              </w:tc>
              <w:tc>
                <w:tcPr>
                  <w:tcW w:w="2712" w:type="dxa"/>
                  <w:vAlign w:val="center"/>
                </w:tcPr>
                <w:p w14:paraId="79F0F2B4">
                  <w:pPr>
                    <w:pStyle w:val="24"/>
                    <w:widowControl w:val="0"/>
                  </w:pPr>
                  <w:r>
                    <w:rPr>
                      <w:rFonts w:hint="eastAsia"/>
                    </w:rPr>
                    <w:t>成品仓库工作人员</w:t>
                  </w:r>
                </w:p>
              </w:tc>
              <w:tc>
                <w:tcPr>
                  <w:tcW w:w="1361" w:type="dxa"/>
                  <w:vAlign w:val="center"/>
                </w:tcPr>
                <w:p w14:paraId="2B9BD1C3">
                  <w:pPr>
                    <w:pStyle w:val="24"/>
                    <w:widowControl w:val="0"/>
                  </w:pPr>
                  <w:r>
                    <w:t xml:space="preserve">约 </w:t>
                  </w:r>
                  <w:r>
                    <w:rPr>
                      <w:rFonts w:hint="eastAsia"/>
                    </w:rPr>
                    <w:t>5</w:t>
                  </w:r>
                  <w:r>
                    <w:t xml:space="preserve"> 人</w:t>
                  </w:r>
                </w:p>
              </w:tc>
              <w:tc>
                <w:tcPr>
                  <w:tcW w:w="1830" w:type="dxa"/>
                  <w:vAlign w:val="center"/>
                </w:tcPr>
                <w:p w14:paraId="13CAEEC0">
                  <w:pPr>
                    <w:pStyle w:val="24"/>
                    <w:widowControl w:val="0"/>
                  </w:pPr>
                  <w:r>
                    <w:t>曝光室</w:t>
                  </w:r>
                  <w:r>
                    <w:rPr>
                      <w:rFonts w:hint="eastAsia"/>
                    </w:rPr>
                    <w:t>西</w:t>
                  </w:r>
                  <w:r>
                    <w:t>侧</w:t>
                  </w:r>
                </w:p>
              </w:tc>
              <w:tc>
                <w:tcPr>
                  <w:tcW w:w="1830" w:type="dxa"/>
                  <w:vAlign w:val="center"/>
                </w:tcPr>
                <w:p w14:paraId="6B35E51C">
                  <w:pPr>
                    <w:pStyle w:val="24"/>
                    <w:widowControl w:val="0"/>
                  </w:pPr>
                  <w:r>
                    <w:rPr>
                      <w:rFonts w:hint="eastAsia"/>
                    </w:rPr>
                    <w:t>25</w:t>
                  </w:r>
                  <w:r>
                    <w:t>~</w:t>
                  </w:r>
                  <w:r>
                    <w:rPr>
                      <w:rFonts w:hint="eastAsia"/>
                    </w:rPr>
                    <w:t>5</w:t>
                  </w:r>
                  <w:r>
                    <w:t>0m</w:t>
                  </w:r>
                </w:p>
              </w:tc>
            </w:tr>
            <w:tr w14:paraId="286953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17" w:type="dxa"/>
                  <w:vMerge w:val="continue"/>
                  <w:vAlign w:val="center"/>
                </w:tcPr>
                <w:p w14:paraId="3010B95A">
                  <w:pPr>
                    <w:pStyle w:val="24"/>
                    <w:widowControl w:val="0"/>
                  </w:pPr>
                </w:p>
              </w:tc>
              <w:tc>
                <w:tcPr>
                  <w:tcW w:w="2712" w:type="dxa"/>
                  <w:vAlign w:val="center"/>
                </w:tcPr>
                <w:p w14:paraId="0CA36CBE">
                  <w:pPr>
                    <w:pStyle w:val="24"/>
                    <w:widowControl w:val="0"/>
                  </w:pPr>
                  <w:bookmarkStart w:id="3" w:name="OLE_LINK16"/>
                  <w:r>
                    <w:rPr>
                      <w:rFonts w:hint="eastAsia"/>
                    </w:rPr>
                    <w:t>江阴市远景能源有限公司</w:t>
                  </w:r>
                  <w:bookmarkEnd w:id="3"/>
                  <w:r>
                    <w:rPr>
                      <w:rFonts w:hint="eastAsia"/>
                    </w:rPr>
                    <w:t>车间工作人员</w:t>
                  </w:r>
                </w:p>
              </w:tc>
              <w:tc>
                <w:tcPr>
                  <w:tcW w:w="1361" w:type="dxa"/>
                  <w:vAlign w:val="center"/>
                </w:tcPr>
                <w:p w14:paraId="748F6D97">
                  <w:pPr>
                    <w:pStyle w:val="24"/>
                    <w:widowControl w:val="0"/>
                  </w:pPr>
                  <w:r>
                    <w:t>约 10</w:t>
                  </w:r>
                  <w:r>
                    <w:rPr>
                      <w:rFonts w:hint="eastAsia"/>
                    </w:rPr>
                    <w:t xml:space="preserve">0 </w:t>
                  </w:r>
                  <w:r>
                    <w:t>人</w:t>
                  </w:r>
                </w:p>
              </w:tc>
              <w:tc>
                <w:tcPr>
                  <w:tcW w:w="1830" w:type="dxa"/>
                  <w:vAlign w:val="center"/>
                </w:tcPr>
                <w:p w14:paraId="3D6C3F61">
                  <w:pPr>
                    <w:pStyle w:val="24"/>
                    <w:widowControl w:val="0"/>
                  </w:pPr>
                  <w:r>
                    <w:t>曝光室</w:t>
                  </w:r>
                  <w:r>
                    <w:rPr>
                      <w:rFonts w:hint="eastAsia"/>
                    </w:rPr>
                    <w:t>南侧</w:t>
                  </w:r>
                </w:p>
              </w:tc>
              <w:tc>
                <w:tcPr>
                  <w:tcW w:w="1830" w:type="dxa"/>
                  <w:vAlign w:val="center"/>
                </w:tcPr>
                <w:p w14:paraId="7CC83A16">
                  <w:pPr>
                    <w:pStyle w:val="24"/>
                    <w:widowControl w:val="0"/>
                  </w:pPr>
                  <w:r>
                    <w:t>25~50m</w:t>
                  </w:r>
                </w:p>
              </w:tc>
            </w:tr>
          </w:tbl>
          <w:p w14:paraId="6BBA2838">
            <w:pPr>
              <w:pStyle w:val="2"/>
              <w:ind w:firstLine="480"/>
            </w:pPr>
          </w:p>
        </w:tc>
      </w:tr>
      <w:tr w14:paraId="16EE1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154" w:type="dxa"/>
          </w:tcPr>
          <w:p w14:paraId="788DC9EA">
            <w:pPr>
              <w:pStyle w:val="28"/>
              <w:rPr>
                <w:b/>
                <w:bCs/>
              </w:rPr>
            </w:pPr>
            <w:r>
              <w:rPr>
                <w:b/>
                <w:bCs/>
              </w:rPr>
              <w:t>评价标准</w:t>
            </w:r>
          </w:p>
          <w:p w14:paraId="728814A2">
            <w:pPr>
              <w:pStyle w:val="3"/>
            </w:pPr>
            <w:r>
              <w:t>1《电离辐射防护与辐射源安全基本标准》(GB18871-2002)</w:t>
            </w:r>
          </w:p>
          <w:p w14:paraId="698C8A27">
            <w:pPr>
              <w:pStyle w:val="21"/>
            </w:pPr>
            <w:r>
              <w:t>表 7-2  工作人员职业照射和公众照射剂量限值</w:t>
            </w:r>
          </w:p>
          <w:p w14:paraId="4F9CEB62">
            <w:pPr>
              <w:spacing w:line="27" w:lineRule="exact"/>
            </w:pPr>
          </w:p>
          <w:tbl>
            <w:tblPr>
              <w:tblStyle w:val="15"/>
              <w:tblW w:w="5000" w:type="pct"/>
              <w:tblInd w:w="0" w:type="dxa"/>
              <w:tblBorders>
                <w:top w:val="single" w:color="000000" w:sz="2" w:space="0"/>
                <w:left w:val="single" w:color="000000" w:sz="2" w:space="0"/>
                <w:bottom w:val="single" w:color="auto" w:sz="4"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216"/>
              <w:gridCol w:w="7929"/>
            </w:tblGrid>
            <w:tr w14:paraId="4486AEE7">
              <w:tblPrEx>
                <w:tblBorders>
                  <w:top w:val="single" w:color="000000" w:sz="2" w:space="0"/>
                  <w:left w:val="single" w:color="000000" w:sz="2" w:space="0"/>
                  <w:bottom w:val="single" w:color="auto" w:sz="4"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blHeader/>
              </w:trPr>
              <w:tc>
                <w:tcPr>
                  <w:tcW w:w="665" w:type="pct"/>
                  <w:tcBorders>
                    <w:left w:val="nil"/>
                  </w:tcBorders>
                  <w:vAlign w:val="center"/>
                </w:tcPr>
                <w:p w14:paraId="51FEFA0C">
                  <w:pPr>
                    <w:pStyle w:val="24"/>
                    <w:rPr>
                      <w:b/>
                      <w:bCs w:val="0"/>
                    </w:rPr>
                  </w:pPr>
                </w:p>
              </w:tc>
              <w:tc>
                <w:tcPr>
                  <w:tcW w:w="4335" w:type="pct"/>
                  <w:tcBorders>
                    <w:right w:val="nil"/>
                  </w:tcBorders>
                  <w:vAlign w:val="center"/>
                </w:tcPr>
                <w:p w14:paraId="3DCB8A55">
                  <w:pPr>
                    <w:pStyle w:val="24"/>
                    <w:rPr>
                      <w:b/>
                      <w:bCs w:val="0"/>
                    </w:rPr>
                  </w:pPr>
                  <w:r>
                    <w:rPr>
                      <w:b/>
                      <w:bCs w:val="0"/>
                    </w:rPr>
                    <w:t>剂量限值</w:t>
                  </w:r>
                </w:p>
              </w:tc>
            </w:tr>
            <w:tr w14:paraId="75A2DE62">
              <w:tblPrEx>
                <w:tblBorders>
                  <w:top w:val="single" w:color="000000" w:sz="2" w:space="0"/>
                  <w:left w:val="single" w:color="000000" w:sz="2" w:space="0"/>
                  <w:bottom w:val="single" w:color="auto" w:sz="4"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4" w:hRule="atLeast"/>
              </w:trPr>
              <w:tc>
                <w:tcPr>
                  <w:tcW w:w="665" w:type="pct"/>
                  <w:tcBorders>
                    <w:left w:val="nil"/>
                  </w:tcBorders>
                  <w:vAlign w:val="center"/>
                </w:tcPr>
                <w:p w14:paraId="7DF0AD74">
                  <w:pPr>
                    <w:pStyle w:val="24"/>
                  </w:pPr>
                  <w:r>
                    <w:t>职业照射剂量限</w:t>
                  </w:r>
                </w:p>
              </w:tc>
              <w:tc>
                <w:tcPr>
                  <w:tcW w:w="4335" w:type="pct"/>
                  <w:tcBorders>
                    <w:right w:val="nil"/>
                  </w:tcBorders>
                  <w:vAlign w:val="center"/>
                </w:tcPr>
                <w:p w14:paraId="153B3DAB">
                  <w:pPr>
                    <w:pStyle w:val="24"/>
                    <w:jc w:val="both"/>
                  </w:pPr>
                  <w:r>
                    <w:t>工作人员所接受的职业照射水平不应超过下述限值：</w:t>
                  </w:r>
                </w:p>
                <w:p w14:paraId="155AAF53">
                  <w:pPr>
                    <w:pStyle w:val="24"/>
                    <w:jc w:val="both"/>
                  </w:pPr>
                  <w:r>
                    <w:rPr>
                      <w:rFonts w:hint="eastAsia" w:ascii="宋体" w:hAnsi="宋体" w:cs="宋体"/>
                    </w:rPr>
                    <w:t>①</w:t>
                  </w:r>
                  <w:r>
                    <w:t>由审管部门决定的连续 5 年的年平均有效剂量(但不可作任何追溯性平均)，20mSv；</w:t>
                  </w:r>
                </w:p>
                <w:p w14:paraId="5304AE63">
                  <w:pPr>
                    <w:pStyle w:val="24"/>
                    <w:jc w:val="both"/>
                  </w:pPr>
                  <w:r>
                    <w:rPr>
                      <w:rFonts w:hint="eastAsia" w:ascii="宋体" w:hAnsi="宋体" w:cs="宋体"/>
                    </w:rPr>
                    <w:t>②</w:t>
                  </w:r>
                  <w:r>
                    <w:t>任何一年中的有效剂量，50mSv。</w:t>
                  </w:r>
                </w:p>
              </w:tc>
            </w:tr>
            <w:tr w14:paraId="6B8DFCD2">
              <w:tblPrEx>
                <w:tblBorders>
                  <w:top w:val="single" w:color="000000" w:sz="2" w:space="0"/>
                  <w:left w:val="single" w:color="000000" w:sz="2" w:space="0"/>
                  <w:bottom w:val="single" w:color="auto" w:sz="4"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8" w:hRule="atLeast"/>
              </w:trPr>
              <w:tc>
                <w:tcPr>
                  <w:tcW w:w="665" w:type="pct"/>
                  <w:tcBorders>
                    <w:left w:val="nil"/>
                  </w:tcBorders>
                  <w:vAlign w:val="center"/>
                </w:tcPr>
                <w:p w14:paraId="043A4E51">
                  <w:pPr>
                    <w:pStyle w:val="24"/>
                  </w:pPr>
                  <w:r>
                    <w:t>公众照射</w:t>
                  </w:r>
                </w:p>
                <w:p w14:paraId="4BDB1E84">
                  <w:pPr>
                    <w:pStyle w:val="24"/>
                  </w:pPr>
                  <w:r>
                    <w:t>剂量限值</w:t>
                  </w:r>
                </w:p>
              </w:tc>
              <w:tc>
                <w:tcPr>
                  <w:tcW w:w="4335" w:type="pct"/>
                  <w:tcBorders>
                    <w:right w:val="nil"/>
                  </w:tcBorders>
                  <w:vAlign w:val="center"/>
                </w:tcPr>
                <w:p w14:paraId="302E846C">
                  <w:pPr>
                    <w:pStyle w:val="24"/>
                    <w:jc w:val="both"/>
                  </w:pPr>
                  <w:r>
                    <w:t>实践使公众有关关键人群组的成员所受的平均剂量估计值不应超 过下述限值：</w:t>
                  </w:r>
                </w:p>
                <w:p w14:paraId="039AEE3E">
                  <w:pPr>
                    <w:pStyle w:val="24"/>
                    <w:jc w:val="both"/>
                  </w:pPr>
                  <w:r>
                    <w:rPr>
                      <w:rFonts w:hint="eastAsia" w:ascii="宋体" w:hAnsi="宋体" w:cs="宋体"/>
                    </w:rPr>
                    <w:t>①</w:t>
                  </w:r>
                  <w:r>
                    <w:t xml:space="preserve"> 年有效剂量，1mSv；</w:t>
                  </w:r>
                </w:p>
                <w:p w14:paraId="69B26D2E">
                  <w:pPr>
                    <w:pStyle w:val="24"/>
                    <w:jc w:val="both"/>
                  </w:pPr>
                  <w:r>
                    <w:rPr>
                      <w:rFonts w:hint="eastAsia" w:ascii="宋体" w:hAnsi="宋体" w:cs="宋体"/>
                    </w:rPr>
                    <w:t>②</w:t>
                  </w:r>
                  <w:r>
                    <w:rPr>
                      <w:rFonts w:hint="eastAsia"/>
                    </w:rPr>
                    <w:t xml:space="preserve"> </w:t>
                  </w:r>
                  <w:r>
                    <w:t>特殊情况下，如果</w:t>
                  </w:r>
                  <w:r>
                    <w:rPr>
                      <w:rFonts w:hint="eastAsia"/>
                    </w:rPr>
                    <w:t xml:space="preserve"> </w:t>
                  </w:r>
                  <w:r>
                    <w:t>5</w:t>
                  </w:r>
                  <w:r>
                    <w:rPr>
                      <w:rFonts w:hint="eastAsia"/>
                    </w:rPr>
                    <w:t xml:space="preserve"> </w:t>
                  </w:r>
                  <w:r>
                    <w:t xml:space="preserve"> 个连续年的年平均剂量不超过 1mSv， 则某一单一年份的有效剂量可提高到 5mSv。</w:t>
                  </w:r>
                </w:p>
                <w:p w14:paraId="7D136170">
                  <w:pPr>
                    <w:pStyle w:val="24"/>
                    <w:jc w:val="both"/>
                  </w:pPr>
                  <w:r>
                    <w:t xml:space="preserve">剂量约束值通常应在公众照射剂量限值 10% </w:t>
                  </w:r>
                  <w:r>
                    <w:rPr>
                      <w:rFonts w:hint="eastAsia"/>
                    </w:rPr>
                    <w:t>～</w:t>
                  </w:r>
                  <w:r>
                    <w:t>30%  (即 0.1mSv</w:t>
                  </w:r>
                  <w:r>
                    <w:rPr>
                      <w:rFonts w:hint="eastAsia"/>
                    </w:rPr>
                    <w:t>～</w:t>
                  </w:r>
                  <w:r>
                    <w:t>0.3 mSv) 的范围之内。</w:t>
                  </w:r>
                </w:p>
              </w:tc>
            </w:tr>
          </w:tbl>
          <w:p w14:paraId="4128FD4C">
            <w:pPr>
              <w:pStyle w:val="3"/>
              <w:jc w:val="both"/>
            </w:pPr>
            <w:r>
              <w:t>2《工业探伤放射防护标准》(GBZ 117-2022)（本标准于 2022.10.13 发布，并于 2023.03.01 实施，本次环评执行该标准）</w:t>
            </w:r>
          </w:p>
          <w:p w14:paraId="5C8A33EF">
            <w:pPr>
              <w:pStyle w:val="2"/>
              <w:ind w:firstLine="480"/>
            </w:pPr>
            <w:r>
              <w:rPr>
                <w:rFonts w:hint="eastAsia"/>
              </w:rPr>
              <w:t>5  探伤机的防护要求</w:t>
            </w:r>
          </w:p>
          <w:p w14:paraId="3CF7442C">
            <w:pPr>
              <w:pStyle w:val="2"/>
              <w:ind w:firstLine="480"/>
            </w:pPr>
            <w:r>
              <w:rPr>
                <w:rFonts w:hint="eastAsia"/>
              </w:rPr>
              <w:t>5.1 X 射线探伤机</w:t>
            </w:r>
          </w:p>
          <w:p w14:paraId="74FF187C">
            <w:pPr>
              <w:pStyle w:val="2"/>
              <w:ind w:firstLine="480"/>
            </w:pPr>
            <w:r>
              <w:rPr>
                <w:rFonts w:hint="eastAsia"/>
              </w:rPr>
              <w:t>5.1.1 X 射线探伤机在额定工作条件下，距X射线管焦点100cm处的漏射线所致周围剂量当量率应符合下表的要求，在随机文件中应有这些指标的说明。其他放射防护性能应符合GB/T26837的要求。</w:t>
            </w:r>
          </w:p>
          <w:p w14:paraId="795B3857">
            <w:pPr>
              <w:pStyle w:val="21"/>
            </w:pPr>
            <w:r>
              <w:rPr>
                <w:rFonts w:hint="eastAsia"/>
              </w:rPr>
              <w:t>表7-3 X 射线管头组装体漏射线所致周围剂量当量率控制值</w:t>
            </w:r>
          </w:p>
          <w:tbl>
            <w:tblPr>
              <w:tblStyle w:val="13"/>
              <w:tblW w:w="0" w:type="auto"/>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572"/>
              <w:gridCol w:w="4573"/>
            </w:tblGrid>
            <w:tr w14:paraId="1CE7352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c>
                <w:tcPr>
                  <w:tcW w:w="4575" w:type="dxa"/>
                  <w:vAlign w:val="center"/>
                </w:tcPr>
                <w:p w14:paraId="3B8D6601">
                  <w:pPr>
                    <w:pStyle w:val="24"/>
                    <w:widowControl w:val="0"/>
                  </w:pPr>
                  <w:r>
                    <w:rPr>
                      <w:rFonts w:hint="eastAsia"/>
                    </w:rPr>
                    <w:t>管电压</w:t>
                  </w:r>
                </w:p>
              </w:tc>
              <w:tc>
                <w:tcPr>
                  <w:tcW w:w="4575" w:type="dxa"/>
                  <w:vAlign w:val="center"/>
                </w:tcPr>
                <w:p w14:paraId="3A8F0CB4">
                  <w:pPr>
                    <w:pStyle w:val="24"/>
                    <w:widowControl w:val="0"/>
                  </w:pPr>
                  <w:r>
                    <w:rPr>
                      <w:rFonts w:hint="eastAsia"/>
                    </w:rPr>
                    <w:t>漏射线所致周围剂量当量率（mSv/h）</w:t>
                  </w:r>
                </w:p>
              </w:tc>
            </w:tr>
            <w:tr w14:paraId="39C4FF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5" w:type="dxa"/>
                  <w:vAlign w:val="center"/>
                </w:tcPr>
                <w:p w14:paraId="6CEED1E3">
                  <w:pPr>
                    <w:pStyle w:val="24"/>
                    <w:widowControl w:val="0"/>
                  </w:pPr>
                  <w:r>
                    <w:rPr>
                      <w:rFonts w:hint="eastAsia"/>
                    </w:rPr>
                    <w:t>&lt;150</w:t>
                  </w:r>
                </w:p>
              </w:tc>
              <w:tc>
                <w:tcPr>
                  <w:tcW w:w="4575" w:type="dxa"/>
                  <w:vAlign w:val="center"/>
                </w:tcPr>
                <w:p w14:paraId="20F6DE90">
                  <w:pPr>
                    <w:pStyle w:val="24"/>
                    <w:widowControl w:val="0"/>
                  </w:pPr>
                  <w:r>
                    <w:rPr>
                      <w:rFonts w:hint="eastAsia"/>
                    </w:rPr>
                    <w:t>&lt;1</w:t>
                  </w:r>
                </w:p>
              </w:tc>
            </w:tr>
            <w:tr w14:paraId="5DD4E1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5" w:type="dxa"/>
                  <w:vAlign w:val="center"/>
                </w:tcPr>
                <w:p w14:paraId="55951104">
                  <w:pPr>
                    <w:pStyle w:val="24"/>
                    <w:widowControl w:val="0"/>
                  </w:pPr>
                  <w:r>
                    <w:rPr>
                      <w:rFonts w:hint="eastAsia"/>
                    </w:rPr>
                    <w:t>150~200</w:t>
                  </w:r>
                </w:p>
              </w:tc>
              <w:tc>
                <w:tcPr>
                  <w:tcW w:w="4575" w:type="dxa"/>
                  <w:vAlign w:val="center"/>
                </w:tcPr>
                <w:p w14:paraId="52BAA83C">
                  <w:pPr>
                    <w:pStyle w:val="24"/>
                    <w:widowControl w:val="0"/>
                  </w:pPr>
                  <w:r>
                    <w:rPr>
                      <w:rFonts w:hint="eastAsia"/>
                    </w:rPr>
                    <w:t>&lt;2.5</w:t>
                  </w:r>
                </w:p>
              </w:tc>
            </w:tr>
            <w:tr w14:paraId="36A886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5" w:type="dxa"/>
                  <w:vAlign w:val="center"/>
                </w:tcPr>
                <w:p w14:paraId="4AD09F2C">
                  <w:pPr>
                    <w:pStyle w:val="24"/>
                    <w:widowControl w:val="0"/>
                  </w:pPr>
                  <w:r>
                    <w:rPr>
                      <w:rFonts w:hint="eastAsia"/>
                    </w:rPr>
                    <w:t>&gt;200</w:t>
                  </w:r>
                </w:p>
              </w:tc>
              <w:tc>
                <w:tcPr>
                  <w:tcW w:w="4575" w:type="dxa"/>
                  <w:vAlign w:val="center"/>
                </w:tcPr>
                <w:p w14:paraId="40772A8F">
                  <w:pPr>
                    <w:pStyle w:val="24"/>
                    <w:widowControl w:val="0"/>
                  </w:pPr>
                  <w:r>
                    <w:rPr>
                      <w:rFonts w:hint="eastAsia"/>
                    </w:rPr>
                    <w:t>&lt;5</w:t>
                  </w:r>
                </w:p>
              </w:tc>
            </w:tr>
          </w:tbl>
          <w:p w14:paraId="7A2B2285">
            <w:pPr>
              <w:pStyle w:val="2"/>
              <w:ind w:firstLine="480"/>
            </w:pPr>
            <w:r>
              <w:rPr>
                <w:rFonts w:hint="eastAsia"/>
              </w:rPr>
              <w:t>6 固定式探伤的放射防护要求</w:t>
            </w:r>
          </w:p>
          <w:p w14:paraId="63D82FF1">
            <w:pPr>
              <w:pStyle w:val="2"/>
              <w:ind w:firstLine="480"/>
            </w:pPr>
            <w:r>
              <w:rPr>
                <w:rFonts w:hint="eastAsia"/>
              </w:rPr>
              <w:t>6.1 探伤室放射防护要求</w:t>
            </w:r>
          </w:p>
          <w:p w14:paraId="77B4127B">
            <w:pPr>
              <w:pStyle w:val="2"/>
              <w:ind w:firstLine="480"/>
            </w:pPr>
            <w:r>
              <w:rPr>
                <w:rFonts w:hint="eastAsia"/>
              </w:rPr>
              <w:t>6.1.1 探伤室的设置应充分注意周围的辐射安全，操作室应避开有用线束照射的方向并应与探伤室分开。探伤室的屏蔽墙厚度应充分考虑源项大小、直射、散射、屏蔽物材料和结构等各种因素。无迷路探伤室门的防护性能应不小于同侧墙的防护性能。X 射线探伤室的屏蔽计算方法参见GBZ/T250。</w:t>
            </w:r>
          </w:p>
          <w:p w14:paraId="5235E208">
            <w:pPr>
              <w:pStyle w:val="2"/>
              <w:ind w:firstLine="480"/>
            </w:pPr>
            <w:r>
              <w:rPr>
                <w:rFonts w:hint="eastAsia"/>
              </w:rPr>
              <w:t>6.1.2 应对探伤工作场所实行分区管理，分区管理应符合GB18871的要求。</w:t>
            </w:r>
          </w:p>
          <w:p w14:paraId="782D35BA">
            <w:pPr>
              <w:pStyle w:val="2"/>
              <w:ind w:firstLine="480"/>
            </w:pPr>
            <w:r>
              <w:rPr>
                <w:rFonts w:hint="eastAsia"/>
              </w:rPr>
              <w:t>6.1.3 探伤室墙体和门的辐射屏蔽应同时满足：</w:t>
            </w:r>
          </w:p>
          <w:p w14:paraId="79732531">
            <w:pPr>
              <w:pStyle w:val="2"/>
              <w:ind w:firstLine="480"/>
            </w:pPr>
            <w:r>
              <w:rPr>
                <w:rFonts w:hint="eastAsia"/>
              </w:rPr>
              <w:t>a）关注点的周围剂量当量参考控制水平，对放射工作场所，其值应不大于100</w:t>
            </w:r>
            <w:r>
              <w:t>μ</w:t>
            </w:r>
            <w:r>
              <w:rPr>
                <w:rFonts w:hint="eastAsia"/>
              </w:rPr>
              <w:t>Sv/周，对公众场所，其值应不大于5</w:t>
            </w:r>
            <w:r>
              <w:t>μ</w:t>
            </w:r>
            <w:r>
              <w:rPr>
                <w:rFonts w:hint="eastAsia"/>
              </w:rPr>
              <w:t>Sv/周；</w:t>
            </w:r>
          </w:p>
          <w:p w14:paraId="5166B61F">
            <w:pPr>
              <w:pStyle w:val="2"/>
              <w:ind w:firstLine="480"/>
            </w:pPr>
            <w:r>
              <w:rPr>
                <w:rFonts w:hint="eastAsia"/>
              </w:rPr>
              <w:t>b）屏蔽体外30cm处周围剂量当量率参考控制水平应不大于2.5</w:t>
            </w:r>
            <w:r>
              <w:t>μ</w:t>
            </w:r>
            <w:r>
              <w:rPr>
                <w:rFonts w:hint="eastAsia"/>
              </w:rPr>
              <w:t>Sv/h。</w:t>
            </w:r>
          </w:p>
          <w:p w14:paraId="6C659DB3">
            <w:pPr>
              <w:pStyle w:val="2"/>
              <w:ind w:firstLine="480"/>
            </w:pPr>
            <w:r>
              <w:rPr>
                <w:rFonts w:hint="eastAsia"/>
              </w:rPr>
              <w:t>6.1.4 探伤室顶的辐射屏蔽应满足：</w:t>
            </w:r>
          </w:p>
          <w:p w14:paraId="115FBF16">
            <w:pPr>
              <w:pStyle w:val="2"/>
              <w:ind w:firstLine="480"/>
            </w:pPr>
            <w:r>
              <w:rPr>
                <w:rFonts w:hint="eastAsia"/>
              </w:rPr>
              <w:t>a）探伤室上方已建、拟建建筑物或探伤室旁邻近建筑物在自辐射源点到探伤室顶内表面边缘所张立体角区域内时，探伤室顶的辐射屏蔽要求同6.1.3；</w:t>
            </w:r>
          </w:p>
          <w:p w14:paraId="21326791">
            <w:pPr>
              <w:pStyle w:val="2"/>
              <w:ind w:firstLine="480"/>
            </w:pPr>
            <w:r>
              <w:rPr>
                <w:rFonts w:hint="eastAsia"/>
              </w:rPr>
              <w:t>b）对没有人员到达的探伤室顶，探伤室顶外表面30cm处的周围剂量当量率参考控制水平通常可取100</w:t>
            </w:r>
            <w:r>
              <w:rPr>
                <w:rFonts w:cs="Times New Roman"/>
              </w:rPr>
              <w:t>μ</w:t>
            </w:r>
            <w:r>
              <w:rPr>
                <w:rFonts w:hint="eastAsia"/>
              </w:rPr>
              <w:t>Sv/h。</w:t>
            </w:r>
          </w:p>
          <w:p w14:paraId="25BBDE79">
            <w:pPr>
              <w:pStyle w:val="2"/>
              <w:ind w:firstLine="480"/>
            </w:pPr>
            <w:r>
              <w:rPr>
                <w:rFonts w:hint="eastAsia"/>
              </w:rPr>
              <w:t>6.1.5 探伤室应设置门-机联锁装置，应在门（包括人员进出门和探伤工件进出门）关闭后才能进行探伤作业。门-机联锁装置的设置应方便探伤室内部的人员在紧急情况下离开探伤室。在探伤过程中，防护门被意外打开时，应能立刻停止出束或回源。探伤室内有多台探伤装置时，每台装置均应与防护门联锁。</w:t>
            </w:r>
          </w:p>
          <w:p w14:paraId="335295A9">
            <w:pPr>
              <w:pStyle w:val="2"/>
              <w:ind w:firstLine="480"/>
            </w:pPr>
            <w:r>
              <w:rPr>
                <w:rFonts w:hint="eastAsia"/>
              </w:rPr>
              <w:t>6.1.6 探伤室门口和内部应同时设有显示“预备”和“照射”状态的指示灯和声音提示装置，并与探伤机联锁。“预备”信号应持续足够长的时间，以确保探伤室内人员安全离开。“预备”信号和“照射”信号应有明显的区别，并且应与该工作场所内使用的其他报警信号有明显区别。在醒目的位置处应有对“照射”和“预备”信号意义的说明。</w:t>
            </w:r>
          </w:p>
          <w:p w14:paraId="024435BC">
            <w:pPr>
              <w:pStyle w:val="2"/>
              <w:ind w:firstLine="480"/>
            </w:pPr>
            <w:r>
              <w:rPr>
                <w:rFonts w:hint="eastAsia"/>
              </w:rPr>
              <w:t>6.1.7 探伤室内和探伤室出入口应安装监视装置，在控制室的实验台应有专用的监视器，可监视探伤室内人员的活动和探伤设备的运行情况。</w:t>
            </w:r>
          </w:p>
          <w:p w14:paraId="0DCE2FC3">
            <w:pPr>
              <w:pStyle w:val="2"/>
              <w:ind w:firstLine="480"/>
            </w:pPr>
            <w:r>
              <w:rPr>
                <w:rFonts w:hint="eastAsia"/>
              </w:rPr>
              <w:t>6.1.8 探伤室防护门上应有符合GB 18871要求的电离辐射警告标志和中文警示说明。</w:t>
            </w:r>
          </w:p>
          <w:p w14:paraId="3A0B03BD">
            <w:pPr>
              <w:pStyle w:val="2"/>
              <w:ind w:firstLine="480"/>
            </w:pPr>
            <w:r>
              <w:rPr>
                <w:rFonts w:hint="eastAsia"/>
              </w:rPr>
              <w:t>6.1.9 探伤室内应安装紧急停机按钮或拉绳，确保出现紧急事故时，能立即停止照射。按钮或拉绳的安装，应使人员处在探伤室内任何位置时都不需要穿过主射线束就能够使用。按钮或拉绳应带有标签，标明使用方法。</w:t>
            </w:r>
          </w:p>
          <w:p w14:paraId="539B4778">
            <w:pPr>
              <w:pStyle w:val="2"/>
              <w:ind w:firstLine="480"/>
            </w:pPr>
            <w:r>
              <w:rPr>
                <w:rFonts w:hint="eastAsia"/>
              </w:rPr>
              <w:t>6.1.10 探伤室应设置机械通风装置，排风管道外口避免朝向人员活动密集区。每小时有效通风换气次数应不小于3次。</w:t>
            </w:r>
          </w:p>
          <w:p w14:paraId="0711B052">
            <w:pPr>
              <w:pStyle w:val="2"/>
              <w:ind w:firstLine="480"/>
            </w:pPr>
            <w:r>
              <w:rPr>
                <w:rFonts w:hint="eastAsia"/>
              </w:rPr>
              <w:t>6.1.11 探伤室应配置固定式场所辐射探测报警装置。</w:t>
            </w:r>
          </w:p>
          <w:p w14:paraId="4CA5F894">
            <w:pPr>
              <w:spacing w:line="360" w:lineRule="auto"/>
              <w:ind w:left="42" w:leftChars="20" w:firstLine="452" w:firstLineChars="200"/>
              <w:rPr>
                <w:rFonts w:ascii="Times New Roman" w:hAnsi="Times New Roman" w:eastAsia="宋体" w:cs="Times New Roman"/>
                <w:spacing w:val="-7"/>
                <w:sz w:val="24"/>
                <w:szCs w:val="24"/>
              </w:rPr>
            </w:pPr>
            <w:r>
              <w:rPr>
                <w:rFonts w:hint="eastAsia" w:ascii="Times New Roman" w:hAnsi="Times New Roman" w:eastAsia="宋体" w:cs="Times New Roman"/>
                <w:spacing w:val="-7"/>
                <w:sz w:val="24"/>
                <w:szCs w:val="24"/>
              </w:rPr>
              <w:t>6.2 探伤室探伤操作的放射防护要求</w:t>
            </w:r>
          </w:p>
          <w:p w14:paraId="163E27DA">
            <w:pPr>
              <w:pStyle w:val="2"/>
              <w:ind w:firstLine="480"/>
            </w:pPr>
            <w:r>
              <w:rPr>
                <w:rFonts w:hint="eastAsia"/>
              </w:rPr>
              <w:t>6.2.1 对正常使用的探伤室应检查探伤室防护门-机联锁装置、照射信号指示灯等防护安全措施。</w:t>
            </w:r>
          </w:p>
          <w:p w14:paraId="698B80C1">
            <w:pPr>
              <w:pStyle w:val="2"/>
              <w:ind w:firstLine="480"/>
            </w:pPr>
            <w:r>
              <w:rPr>
                <w:rFonts w:hint="eastAsia"/>
              </w:rPr>
              <w:t>6.2.2 探伤工作人员在进入探伤室时，除佩戴常规个人剂量计外，还应携带个人剂量报警仪和便携式X-</w:t>
            </w:r>
            <w:r>
              <w:rPr>
                <w:rFonts w:cs="Times New Roman"/>
              </w:rPr>
              <w:t>γ</w:t>
            </w:r>
            <w:r>
              <w:rPr>
                <w:rFonts w:hint="eastAsia"/>
              </w:rPr>
              <w:t>剂量率仪。当剂量率达到设定的报警阈值报警时，探伤工作人员应立即退出探伤室，同时防止其他人进入探伤室，并立即向辐射防护负责人报告。</w:t>
            </w:r>
          </w:p>
          <w:p w14:paraId="4DDEB57D">
            <w:pPr>
              <w:pStyle w:val="2"/>
              <w:ind w:firstLine="480"/>
            </w:pPr>
            <w:r>
              <w:rPr>
                <w:rFonts w:hint="eastAsia"/>
              </w:rPr>
              <w:t>6.2.3 应定期测量探伤室外周围区域的剂量率水平，包括操作者工作位置和周围毗邻区域人员居留处。测量值应与参考控制水平相比较。当测量值高于参考控制水平时，应终止探伤工作并向辐射防护负责人报告。</w:t>
            </w:r>
          </w:p>
          <w:p w14:paraId="09A067EF">
            <w:pPr>
              <w:pStyle w:val="2"/>
              <w:ind w:firstLine="480"/>
            </w:pPr>
            <w:r>
              <w:rPr>
                <w:rFonts w:hint="eastAsia"/>
              </w:rPr>
              <w:t>6.2.4 交接班或当班使用便携式 X-</w:t>
            </w:r>
            <w:r>
              <w:rPr>
                <w:rFonts w:cs="Times New Roman"/>
              </w:rPr>
              <w:t>γ</w:t>
            </w:r>
            <w:r>
              <w:rPr>
                <w:rFonts w:hint="eastAsia"/>
              </w:rPr>
              <w:t xml:space="preserve"> 剂量率仪前，应检查是否能正常工作。如发现便携式X-</w:t>
            </w:r>
            <w:r>
              <w:rPr>
                <w:rFonts w:cs="Times New Roman"/>
              </w:rPr>
              <w:t>γ</w:t>
            </w:r>
            <w:r>
              <w:rPr>
                <w:rFonts w:hint="eastAsia"/>
              </w:rPr>
              <w:t>剂量率仪不能正常工作，则不应开始探伤工作。</w:t>
            </w:r>
          </w:p>
          <w:p w14:paraId="69C003D4">
            <w:pPr>
              <w:pStyle w:val="2"/>
              <w:ind w:firstLine="480"/>
            </w:pPr>
            <w:r>
              <w:rPr>
                <w:rFonts w:hint="eastAsia"/>
              </w:rPr>
              <w:t>6.2.5 探伤工作人员应正确使用配备的辐射防护装置，如准直器和附加屏蔽，把潜在的辐射降到最低。</w:t>
            </w:r>
          </w:p>
          <w:p w14:paraId="065FCB37">
            <w:pPr>
              <w:pStyle w:val="2"/>
              <w:ind w:firstLine="480"/>
            </w:pPr>
            <w:r>
              <w:rPr>
                <w:rFonts w:hint="eastAsia"/>
              </w:rPr>
              <w:t>6.2.6 在每一次照射前，操作人员都应该确认探伤室内部没有人员驻留并关闭防护门。只有在防护门关闭、所有防护与安全装置系统都启动并正常运行的情况下，才能开始探伤工作。</w:t>
            </w:r>
          </w:p>
          <w:p w14:paraId="24039F60">
            <w:pPr>
              <w:pStyle w:val="3"/>
            </w:pPr>
            <w:r>
              <w:t>3《工业 X 射线探伤室辐射屏蔽规范》 (GBZ/T250-2014)及修改单</w:t>
            </w:r>
          </w:p>
          <w:p w14:paraId="3A05E7AA">
            <w:pPr>
              <w:pStyle w:val="2"/>
              <w:ind w:firstLine="480"/>
            </w:pPr>
            <w:r>
              <w:t>本标准规定了工业 X 射线探伤室辐射屏蔽要求。本标准适用于 500kV 以下的工业 X 射线探伤</w:t>
            </w:r>
            <w:r>
              <w:rPr>
                <w:spacing w:val="-1"/>
              </w:rPr>
              <w:t>装置的探伤室</w:t>
            </w:r>
            <w:r>
              <w:t>。</w:t>
            </w:r>
          </w:p>
          <w:p w14:paraId="0F952AAB">
            <w:pPr>
              <w:pStyle w:val="2"/>
              <w:ind w:firstLine="480"/>
              <w:rPr>
                <w:b/>
                <w:bCs/>
              </w:rPr>
            </w:pPr>
            <w:r>
              <w:rPr>
                <w:b/>
                <w:bCs/>
                <w:spacing w:val="-1"/>
              </w:rPr>
              <w:t>3.2  需</w:t>
            </w:r>
            <w:r>
              <w:rPr>
                <w:b/>
                <w:bCs/>
              </w:rPr>
              <w:t>要屏蔽的辐射</w:t>
            </w:r>
          </w:p>
          <w:p w14:paraId="6892A7A7">
            <w:pPr>
              <w:pStyle w:val="2"/>
              <w:ind w:firstLine="478"/>
            </w:pPr>
            <w:r>
              <w:rPr>
                <w:spacing w:val="-1"/>
              </w:rPr>
              <w:t>3.2.</w:t>
            </w:r>
            <w:r>
              <w:t>1</w:t>
            </w:r>
            <w:r>
              <w:rPr>
                <w:rFonts w:hint="eastAsia"/>
              </w:rPr>
              <w:t xml:space="preserve"> </w:t>
            </w:r>
            <w:r>
              <w:t>相应有用线束的整个墙面均考虑有用线束屏蔽</w:t>
            </w:r>
            <w:r>
              <w:rPr>
                <w:rFonts w:hint="eastAsia"/>
              </w:rPr>
              <w:t>，</w:t>
            </w:r>
            <w:r>
              <w:t>不需考虑进入有用线束区的散射辐射。</w:t>
            </w:r>
          </w:p>
          <w:p w14:paraId="5D36A116">
            <w:pPr>
              <w:pStyle w:val="2"/>
              <w:ind w:firstLine="478"/>
            </w:pPr>
            <w:r>
              <w:rPr>
                <w:spacing w:val="-1"/>
              </w:rPr>
              <w:t>3.2.2  散射辐射考虑以 0°入射探伤工件的90°</w:t>
            </w:r>
            <w:r>
              <w:t>散射辐射。</w:t>
            </w:r>
          </w:p>
          <w:p w14:paraId="13CEA6A8">
            <w:pPr>
              <w:pStyle w:val="2"/>
              <w:ind w:firstLine="478"/>
            </w:pPr>
            <w:r>
              <w:rPr>
                <w:spacing w:val="-1"/>
              </w:rPr>
              <w:t xml:space="preserve">3.2.3 </w:t>
            </w:r>
            <w:r>
              <w:t>当可能存在泄漏辐射和散射辐射的复</w:t>
            </w:r>
            <w:r>
              <w:rPr>
                <w:rFonts w:hint="eastAsia"/>
              </w:rPr>
              <w:t>合</w:t>
            </w:r>
            <w:r>
              <w:t>作用时</w:t>
            </w:r>
            <w:r>
              <w:rPr>
                <w:rFonts w:hint="eastAsia"/>
              </w:rPr>
              <w:t>，</w:t>
            </w:r>
            <w:r>
              <w:t>通常分别估</w:t>
            </w:r>
            <w:r>
              <w:rPr>
                <w:rFonts w:hint="eastAsia"/>
              </w:rPr>
              <w:t>算</w:t>
            </w:r>
            <w:r>
              <w:t>泄漏辐射和各项散射辐射，</w:t>
            </w:r>
            <w:r>
              <w:rPr>
                <w:spacing w:val="8"/>
              </w:rPr>
              <w:t>当</w:t>
            </w:r>
            <w:r>
              <w:rPr>
                <w:spacing w:val="5"/>
              </w:rPr>
              <w:t>它们的屏蔽厚度相差一个什</w:t>
            </w:r>
            <w:r>
              <w:rPr>
                <w:rFonts w:hint="eastAsia"/>
                <w:spacing w:val="5"/>
              </w:rPr>
              <w:t>值</w:t>
            </w:r>
            <w:r>
              <w:rPr>
                <w:spacing w:val="5"/>
              </w:rPr>
              <w:t>层厚度(</w:t>
            </w:r>
            <w:r>
              <w:t>TVL</w:t>
            </w:r>
            <w:r>
              <w:rPr>
                <w:spacing w:val="5"/>
              </w:rPr>
              <w:t>)或更大时，采用其中较厚的屏蔽</w:t>
            </w:r>
            <w:r>
              <w:rPr>
                <w:rFonts w:hint="eastAsia"/>
                <w:spacing w:val="5"/>
              </w:rPr>
              <w:t>，</w:t>
            </w:r>
            <w:r>
              <w:rPr>
                <w:spacing w:val="5"/>
              </w:rPr>
              <w:t>当相差不足一个</w:t>
            </w:r>
            <w:r>
              <w:t xml:space="preserve"> TVL</w:t>
            </w:r>
            <w:r>
              <w:rPr>
                <w:spacing w:val="8"/>
              </w:rPr>
              <w:t xml:space="preserve"> </w:t>
            </w:r>
            <w:r>
              <w:rPr>
                <w:spacing w:val="7"/>
              </w:rPr>
              <w:t>时</w:t>
            </w:r>
            <w:r>
              <w:rPr>
                <w:rFonts w:hint="eastAsia"/>
                <w:spacing w:val="7"/>
              </w:rPr>
              <w:t>，</w:t>
            </w:r>
            <w:r>
              <w:rPr>
                <w:spacing w:val="7"/>
              </w:rPr>
              <w:t>则在较厚的屏蔽上增加</w:t>
            </w:r>
            <w:r>
              <w:rPr>
                <w:rFonts w:hint="eastAsia"/>
                <w:spacing w:val="7"/>
              </w:rPr>
              <w:t>一</w:t>
            </w:r>
            <w:r>
              <w:rPr>
                <w:spacing w:val="7"/>
              </w:rPr>
              <w:t>个半值层厚度(</w:t>
            </w:r>
            <w:r>
              <w:t>HVL</w:t>
            </w:r>
            <w:r>
              <w:rPr>
                <w:spacing w:val="7"/>
              </w:rPr>
              <w:t>)。</w:t>
            </w:r>
          </w:p>
          <w:p w14:paraId="79DC3074">
            <w:pPr>
              <w:pStyle w:val="2"/>
              <w:ind w:firstLine="480"/>
              <w:rPr>
                <w:b/>
                <w:bCs/>
              </w:rPr>
            </w:pPr>
            <w:r>
              <w:rPr>
                <w:b/>
                <w:bCs/>
                <w:spacing w:val="-1"/>
              </w:rPr>
              <w:t>3.3  其</w:t>
            </w:r>
            <w:r>
              <w:rPr>
                <w:b/>
                <w:bCs/>
              </w:rPr>
              <w:t>他要求</w:t>
            </w:r>
          </w:p>
          <w:p w14:paraId="0F3BBF8A">
            <w:pPr>
              <w:pStyle w:val="2"/>
              <w:ind w:firstLine="476"/>
            </w:pPr>
            <w:r>
              <w:rPr>
                <w:spacing w:val="-2"/>
              </w:rPr>
              <w:t>3.3.</w:t>
            </w:r>
            <w:r>
              <w:rPr>
                <w:spacing w:val="-1"/>
              </w:rPr>
              <w:t>1  探伤室一般应设有人员门和单独的工件门。对于探伤可人工搬运的小型工件探伤室</w:t>
            </w:r>
            <w:r>
              <w:rPr>
                <w:rFonts w:hint="eastAsia"/>
                <w:spacing w:val="-1"/>
              </w:rPr>
              <w:t>，</w:t>
            </w:r>
            <w:r>
              <w:rPr>
                <w:spacing w:val="-1"/>
              </w:rPr>
              <w:t>可以仅设人员门。</w:t>
            </w:r>
            <w:r>
              <w:rPr>
                <w:rFonts w:hint="eastAsia"/>
                <w:spacing w:val="-1"/>
              </w:rPr>
              <w:t>探</w:t>
            </w:r>
            <w:r>
              <w:rPr>
                <w:spacing w:val="-1"/>
              </w:rPr>
              <w:t>伤室人员门宜采用迷路</w:t>
            </w:r>
            <w:r>
              <w:t>形式。</w:t>
            </w:r>
          </w:p>
          <w:p w14:paraId="022FCC1B">
            <w:pPr>
              <w:pStyle w:val="2"/>
              <w:ind w:firstLine="478"/>
            </w:pPr>
            <w:r>
              <w:rPr>
                <w:spacing w:val="-1"/>
              </w:rPr>
              <w:t>3.3.2</w:t>
            </w:r>
            <w:r>
              <w:t xml:space="preserve">  探伤装置的控制</w:t>
            </w:r>
            <w:r>
              <w:rPr>
                <w:rFonts w:hint="eastAsia"/>
              </w:rPr>
              <w:t>室</w:t>
            </w:r>
            <w:r>
              <w:t>应置于探伤室外</w:t>
            </w:r>
            <w:r>
              <w:rPr>
                <w:rFonts w:hint="eastAsia"/>
              </w:rPr>
              <w:t>，</w:t>
            </w:r>
            <w:r>
              <w:t>控制室和人员门应避开有用线束照射的方向。</w:t>
            </w:r>
          </w:p>
          <w:p w14:paraId="7EB5D968">
            <w:pPr>
              <w:pStyle w:val="2"/>
              <w:ind w:firstLine="478"/>
            </w:pPr>
            <w:r>
              <w:rPr>
                <w:spacing w:val="-1"/>
              </w:rPr>
              <w:t>3.3.3  屏蔽设计中</w:t>
            </w:r>
            <w:r>
              <w:rPr>
                <w:rFonts w:hint="eastAsia"/>
                <w:spacing w:val="-1"/>
              </w:rPr>
              <w:t>，</w:t>
            </w:r>
            <w:r>
              <w:rPr>
                <w:spacing w:val="-1"/>
              </w:rPr>
              <w:t>应考虑缝隙、管孔和薄弱</w:t>
            </w:r>
            <w:r>
              <w:t>环节的屏蔽。</w:t>
            </w:r>
          </w:p>
          <w:p w14:paraId="2162746E">
            <w:pPr>
              <w:pStyle w:val="2"/>
              <w:ind w:firstLine="482"/>
              <w:rPr>
                <w:spacing w:val="-1"/>
              </w:rPr>
            </w:pPr>
            <w:r>
              <w:rPr>
                <w:spacing w:val="1"/>
              </w:rPr>
              <w:t>3.3.4  当探伤室</w:t>
            </w:r>
            <w:r>
              <w:t>使用多台 X 射线探伤装置时</w:t>
            </w:r>
            <w:r>
              <w:rPr>
                <w:rFonts w:hint="eastAsia"/>
              </w:rPr>
              <w:t>，</w:t>
            </w:r>
            <w:r>
              <w:t>按最高管电压和相应该管电压下的常用最大管电</w:t>
            </w:r>
            <w:r>
              <w:rPr>
                <w:spacing w:val="-1"/>
              </w:rPr>
              <w:t>流设计屏蔽。</w:t>
            </w:r>
          </w:p>
          <w:p w14:paraId="59195DED">
            <w:pPr>
              <w:pStyle w:val="3"/>
            </w:pPr>
            <w:r>
              <w:rPr>
                <w:spacing w:val="1"/>
              </w:rPr>
              <w:t xml:space="preserve">4 </w:t>
            </w:r>
            <w:r>
              <w:rPr>
                <w:rFonts w:hint="eastAsia"/>
                <w:spacing w:val="1"/>
              </w:rPr>
              <w:t>本</w:t>
            </w:r>
            <w:r>
              <w:t>项目管理目标</w:t>
            </w:r>
          </w:p>
          <w:p w14:paraId="3D352F41">
            <w:pPr>
              <w:pStyle w:val="2"/>
              <w:ind w:firstLine="464"/>
            </w:pPr>
            <w:r>
              <w:rPr>
                <w:spacing w:val="-8"/>
              </w:rPr>
              <w:t>综合</w:t>
            </w:r>
            <w:r>
              <w:rPr>
                <w:spacing w:val="-5"/>
              </w:rPr>
              <w:t>考</w:t>
            </w:r>
            <w:r>
              <w:rPr>
                <w:spacing w:val="-4"/>
              </w:rPr>
              <w:t>虑 《电离辐射防护与辐射源安全基本标准》(GB18871-2002) 、《工业探伤放射防护</w:t>
            </w:r>
            <w:r>
              <w:rPr>
                <w:rFonts w:hint="eastAsia"/>
                <w:spacing w:val="-4"/>
              </w:rPr>
              <w:t>标准</w:t>
            </w:r>
            <w:r>
              <w:rPr>
                <w:spacing w:val="-2"/>
              </w:rPr>
              <w:t>》(GBZ</w:t>
            </w:r>
            <w:r>
              <w:rPr>
                <w:rFonts w:hint="eastAsia"/>
                <w:spacing w:val="-2"/>
              </w:rPr>
              <w:t xml:space="preserve"> </w:t>
            </w:r>
            <w:r>
              <w:rPr>
                <w:spacing w:val="-2"/>
              </w:rPr>
              <w:t>117-20</w:t>
            </w:r>
            <w:r>
              <w:rPr>
                <w:rFonts w:hint="eastAsia"/>
                <w:spacing w:val="-2"/>
              </w:rPr>
              <w:t>22</w:t>
            </w:r>
            <w:r>
              <w:rPr>
                <w:spacing w:val="-2"/>
              </w:rPr>
              <w:t>)及《工业X射线探伤室辐射屏蔽规范》 (GBZ/T</w:t>
            </w:r>
            <w:r>
              <w:rPr>
                <w:spacing w:val="14"/>
              </w:rPr>
              <w:t>2</w:t>
            </w:r>
            <w:r>
              <w:rPr>
                <w:spacing w:val="9"/>
              </w:rPr>
              <w:t>5</w:t>
            </w:r>
            <w:r>
              <w:rPr>
                <w:spacing w:val="7"/>
              </w:rPr>
              <w:t>0-2014)等评价标准。</w:t>
            </w:r>
          </w:p>
          <w:p w14:paraId="3C62A881">
            <w:pPr>
              <w:pStyle w:val="2"/>
              <w:ind w:firstLine="508"/>
            </w:pPr>
            <w:r>
              <w:rPr>
                <w:spacing w:val="14"/>
              </w:rPr>
              <w:t>(</w:t>
            </w:r>
            <w:r>
              <w:rPr>
                <w:spacing w:val="10"/>
              </w:rPr>
              <w:t>1</w:t>
            </w:r>
            <w:r>
              <w:rPr>
                <w:spacing w:val="7"/>
              </w:rPr>
              <w:t>) 本项目</w:t>
            </w:r>
            <w:r>
              <w:rPr>
                <w:rFonts w:hint="eastAsia"/>
                <w:spacing w:val="7"/>
              </w:rPr>
              <w:t>辐射工作人员、公众剂量约束值分别</w:t>
            </w:r>
            <w:r>
              <w:rPr>
                <w:spacing w:val="7"/>
              </w:rPr>
              <w:t>取《电离辐射防护与辐射源安全基本标准》</w:t>
            </w:r>
            <w:r>
              <w:t xml:space="preserve"> </w:t>
            </w:r>
            <w:r>
              <w:rPr>
                <w:spacing w:val="7"/>
              </w:rPr>
              <w:t>(</w:t>
            </w:r>
            <w:r>
              <w:t>GB</w:t>
            </w:r>
            <w:r>
              <w:rPr>
                <w:spacing w:val="7"/>
              </w:rPr>
              <w:t>18871-2002)中职业人员年有效剂量值的1/4</w:t>
            </w:r>
            <w:r>
              <w:rPr>
                <w:rFonts w:hint="eastAsia"/>
                <w:spacing w:val="7"/>
              </w:rPr>
              <w:t>和</w:t>
            </w:r>
            <w:r>
              <w:rPr>
                <w:spacing w:val="11"/>
              </w:rPr>
              <w:t>公众年有效剂量值的1/10</w:t>
            </w:r>
            <w:r>
              <w:rPr>
                <w:spacing w:val="7"/>
              </w:rPr>
              <w:t>，即</w:t>
            </w:r>
            <w:r>
              <w:rPr>
                <w:rFonts w:hint="eastAsia"/>
                <w:spacing w:val="7"/>
              </w:rPr>
              <w:t>辐射工作人员剂量约束值为</w:t>
            </w:r>
            <w:r>
              <w:rPr>
                <w:spacing w:val="7"/>
              </w:rPr>
              <w:t>5</w:t>
            </w:r>
            <w:r>
              <w:t>mSv</w:t>
            </w:r>
            <w:r>
              <w:rPr>
                <w:spacing w:val="7"/>
              </w:rPr>
              <w:t>/</w:t>
            </w:r>
            <w:r>
              <w:t>a</w:t>
            </w:r>
            <w:r>
              <w:rPr>
                <w:rFonts w:hint="eastAsia"/>
              </w:rPr>
              <w:t>，公众剂量约束值为0</w:t>
            </w:r>
            <w:r>
              <w:t>.1mSv/a</w:t>
            </w:r>
            <w:r>
              <w:rPr>
                <w:rFonts w:hint="eastAsia"/>
                <w:spacing w:val="1"/>
                <w14:textOutline w14:w="4356" w14:cap="flat" w14:cmpd="sng" w14:algn="ctr">
                  <w14:solidFill>
                    <w14:srgbClr w14:val="000000"/>
                  </w14:solidFill>
                  <w14:prstDash w14:val="solid"/>
                  <w14:miter w14:val="0"/>
                </w14:textOutline>
              </w:rPr>
              <w:t>。</w:t>
            </w:r>
          </w:p>
          <w:p w14:paraId="2FE7392D">
            <w:pPr>
              <w:pStyle w:val="2"/>
              <w:ind w:firstLine="480"/>
            </w:pPr>
            <w:r>
              <w:t xml:space="preserve">(2) </w:t>
            </w:r>
            <w:r>
              <w:rPr>
                <w:rFonts w:hint="eastAsia"/>
              </w:rPr>
              <w:t>根据《工业探伤放射防护标准》</w:t>
            </w:r>
            <w:r>
              <w:t>(GBZ 117-2022)</w:t>
            </w:r>
            <w:r>
              <w:rPr>
                <w:rFonts w:hint="eastAsia"/>
              </w:rPr>
              <w:t>“6</w:t>
            </w:r>
            <w:r>
              <w:t>.1.3</w:t>
            </w:r>
            <w:r>
              <w:rPr>
                <w:rFonts w:hint="eastAsia"/>
              </w:rPr>
              <w:t>”，探伤室墙体和门的辐射屏蔽应同时满足：关注点的周围剂量当量参考控制水平，对放射工作场所，其值应不大于</w:t>
            </w:r>
            <w:r>
              <w:t xml:space="preserve"> 100μSv/</w:t>
            </w:r>
            <w:r>
              <w:rPr>
                <w:rFonts w:hint="eastAsia"/>
              </w:rPr>
              <w:t>周，对公众场所，其值应不大于</w:t>
            </w:r>
            <w:r>
              <w:t xml:space="preserve"> 5μSv/</w:t>
            </w:r>
            <w:r>
              <w:rPr>
                <w:rFonts w:hint="eastAsia"/>
              </w:rPr>
              <w:t>周。</w:t>
            </w:r>
          </w:p>
          <w:p w14:paraId="548944CB">
            <w:pPr>
              <w:pStyle w:val="2"/>
              <w:ind w:firstLine="492"/>
            </w:pPr>
            <w:r>
              <w:rPr>
                <w:spacing w:val="6"/>
              </w:rPr>
              <w:t>(3)</w:t>
            </w:r>
            <w:r>
              <w:rPr>
                <w:rFonts w:hint="eastAsia"/>
                <w:spacing w:val="6"/>
              </w:rPr>
              <w:t>根据</w:t>
            </w:r>
            <w:r>
              <w:rPr>
                <w:spacing w:val="-4"/>
              </w:rPr>
              <w:t>《工业探伤放射防护</w:t>
            </w:r>
            <w:r>
              <w:rPr>
                <w:rFonts w:hint="eastAsia"/>
                <w:spacing w:val="-4"/>
              </w:rPr>
              <w:t>标准</w:t>
            </w:r>
            <w:r>
              <w:rPr>
                <w:spacing w:val="-2"/>
              </w:rPr>
              <w:t>》(GBZ</w:t>
            </w:r>
            <w:r>
              <w:rPr>
                <w:rFonts w:hint="eastAsia"/>
                <w:spacing w:val="-2"/>
              </w:rPr>
              <w:t xml:space="preserve"> </w:t>
            </w:r>
            <w:r>
              <w:rPr>
                <w:spacing w:val="-2"/>
              </w:rPr>
              <w:t>117-20</w:t>
            </w:r>
            <w:r>
              <w:rPr>
                <w:rFonts w:hint="eastAsia"/>
                <w:spacing w:val="-2"/>
              </w:rPr>
              <w:t>22</w:t>
            </w:r>
            <w:r>
              <w:rPr>
                <w:spacing w:val="-2"/>
              </w:rPr>
              <w:t>)</w:t>
            </w:r>
            <w:r>
              <w:rPr>
                <w:rFonts w:hint="eastAsia"/>
                <w:spacing w:val="-2"/>
              </w:rPr>
              <w:t>，6.1 探伤室放射防护要求“屏蔽体外 30cm 处周围剂量当量率参考控制水平应不大于 2.5</w:t>
            </w:r>
            <w:r>
              <w:rPr>
                <w:spacing w:val="-2"/>
              </w:rPr>
              <w:t>μ</w:t>
            </w:r>
            <w:r>
              <w:rPr>
                <w:rFonts w:hint="eastAsia"/>
                <w:spacing w:val="-2"/>
              </w:rPr>
              <w:t>Sv/h；对没有人员到达的探伤室顶，探伤室顶外表面 30cm 处的周围剂量当量率参考控制水平通常可取 100</w:t>
            </w:r>
            <w:r>
              <w:rPr>
                <w:spacing w:val="-2"/>
              </w:rPr>
              <w:t>μ</w:t>
            </w:r>
            <w:r>
              <w:rPr>
                <w:rFonts w:hint="eastAsia"/>
                <w:spacing w:val="-2"/>
              </w:rPr>
              <w:t>Sv/h”本项目</w:t>
            </w:r>
            <w:r>
              <w:rPr>
                <w:rFonts w:hint="eastAsia"/>
                <w:spacing w:val="6"/>
              </w:rPr>
              <w:t>曝光室四周、防护门、地面外表面30cm处</w:t>
            </w:r>
            <w:r>
              <w:rPr>
                <w:spacing w:val="3"/>
              </w:rPr>
              <w:t>最高周围剂量当量率参考控制水平不大于</w:t>
            </w:r>
            <w:r>
              <w:rPr>
                <w:b/>
                <w:bCs/>
                <w:spacing w:val="3"/>
              </w:rPr>
              <w:t>2.5μ</w:t>
            </w:r>
            <w:r>
              <w:rPr>
                <w:b/>
                <w:bCs/>
              </w:rPr>
              <w:t>Sv</w:t>
            </w:r>
            <w:r>
              <w:rPr>
                <w:b/>
                <w:bCs/>
                <w:spacing w:val="3"/>
              </w:rPr>
              <w:t>/</w:t>
            </w:r>
            <w:r>
              <w:rPr>
                <w:b/>
                <w:bCs/>
              </w:rPr>
              <w:t>h</w:t>
            </w:r>
            <w:r>
              <w:t>；</w:t>
            </w:r>
            <w:r>
              <w:rPr>
                <w:rFonts w:hint="eastAsia"/>
              </w:rPr>
              <w:t>曝光室顶没有人员到达，房</w:t>
            </w:r>
            <w:r>
              <w:rPr>
                <w:rFonts w:hint="eastAsia"/>
                <w:spacing w:val="-2"/>
              </w:rPr>
              <w:t xml:space="preserve">顶外表面 30cm 处的周围剂量当量率参考控制水平不大于 </w:t>
            </w:r>
            <w:r>
              <w:rPr>
                <w:rFonts w:hint="eastAsia"/>
                <w:b/>
                <w:bCs/>
                <w:spacing w:val="-2"/>
              </w:rPr>
              <w:t>100</w:t>
            </w:r>
            <w:r>
              <w:rPr>
                <w:b/>
                <w:bCs/>
                <w:spacing w:val="-2"/>
              </w:rPr>
              <w:t>μ</w:t>
            </w:r>
            <w:r>
              <w:rPr>
                <w:rFonts w:hint="eastAsia"/>
                <w:b/>
                <w:bCs/>
                <w:spacing w:val="-2"/>
              </w:rPr>
              <w:t>Sv/h</w:t>
            </w:r>
            <w:r>
              <w:rPr>
                <w:spacing w:val="3"/>
              </w:rPr>
              <w:t>。</w:t>
            </w:r>
          </w:p>
          <w:p w14:paraId="31210A98">
            <w:pPr>
              <w:pStyle w:val="3"/>
            </w:pPr>
            <w:r>
              <w:rPr>
                <w:spacing w:val="-6"/>
              </w:rPr>
              <w:t>5</w:t>
            </w:r>
            <w:r>
              <w:t xml:space="preserve"> 参考资料</w:t>
            </w:r>
          </w:p>
          <w:p w14:paraId="5BA043CE">
            <w:pPr>
              <w:pStyle w:val="2"/>
              <w:ind w:firstLine="480"/>
            </w:pPr>
            <w:r>
              <w:rPr>
                <w:rFonts w:hint="eastAsia"/>
              </w:rPr>
              <w:t>《江苏省环境天然贯穿辐射水平调查研究》，辐射防护 第 13 卷第 2 期，1993 年 3月，江苏省环境监测站。</w:t>
            </w:r>
          </w:p>
          <w:p w14:paraId="2E5626D4">
            <w:pPr>
              <w:pStyle w:val="21"/>
            </w:pPr>
            <w:r>
              <w:t>表 7-</w:t>
            </w:r>
            <w:r>
              <w:rPr>
                <w:rFonts w:hint="eastAsia"/>
              </w:rPr>
              <w:t>4</w:t>
            </w:r>
            <w:r>
              <w:t xml:space="preserve"> 江苏省</w:t>
            </w:r>
            <w:r>
              <w:rPr>
                <w:rFonts w:hint="eastAsia"/>
              </w:rPr>
              <w:t>环境天然γ辐射</w:t>
            </w:r>
            <w:r>
              <w:t>空气吸收剂量率(单位：nGy/h)</w:t>
            </w:r>
          </w:p>
          <w:tbl>
            <w:tblPr>
              <w:tblStyle w:val="13"/>
              <w:tblW w:w="0" w:type="auto"/>
              <w:tblInd w:w="113"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56"/>
              <w:gridCol w:w="2257"/>
              <w:gridCol w:w="2257"/>
              <w:gridCol w:w="2257"/>
            </w:tblGrid>
            <w:tr w14:paraId="6E93263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256" w:type="dxa"/>
                  <w:vAlign w:val="center"/>
                </w:tcPr>
                <w:p w14:paraId="3A1C698F">
                  <w:pPr>
                    <w:pStyle w:val="24"/>
                    <w:widowControl w:val="0"/>
                  </w:pPr>
                  <w:r>
                    <w:rPr>
                      <w:rFonts w:hint="eastAsia"/>
                    </w:rPr>
                    <w:t>类别</w:t>
                  </w:r>
                </w:p>
              </w:tc>
              <w:tc>
                <w:tcPr>
                  <w:tcW w:w="2257" w:type="dxa"/>
                  <w:vAlign w:val="center"/>
                </w:tcPr>
                <w:p w14:paraId="6F0A64EB">
                  <w:pPr>
                    <w:pStyle w:val="24"/>
                    <w:widowControl w:val="0"/>
                  </w:pPr>
                  <w:r>
                    <w:rPr>
                      <w:rFonts w:hint="eastAsia"/>
                    </w:rPr>
                    <w:t>原野剂量率</w:t>
                  </w:r>
                </w:p>
              </w:tc>
              <w:tc>
                <w:tcPr>
                  <w:tcW w:w="2257" w:type="dxa"/>
                  <w:vAlign w:val="center"/>
                </w:tcPr>
                <w:p w14:paraId="7CCE80A1">
                  <w:pPr>
                    <w:pStyle w:val="24"/>
                    <w:widowControl w:val="0"/>
                  </w:pPr>
                  <w:r>
                    <w:rPr>
                      <w:rFonts w:hint="eastAsia"/>
                    </w:rPr>
                    <w:t>道路剂量率</w:t>
                  </w:r>
                </w:p>
              </w:tc>
              <w:tc>
                <w:tcPr>
                  <w:tcW w:w="2257" w:type="dxa"/>
                  <w:vAlign w:val="center"/>
                </w:tcPr>
                <w:p w14:paraId="1929AB09">
                  <w:pPr>
                    <w:pStyle w:val="24"/>
                    <w:widowControl w:val="0"/>
                  </w:pPr>
                  <w:r>
                    <w:rPr>
                      <w:rFonts w:hint="eastAsia"/>
                    </w:rPr>
                    <w:t>室内剂量率</w:t>
                  </w:r>
                </w:p>
              </w:tc>
            </w:tr>
            <w:tr w14:paraId="1CFE61C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256" w:type="dxa"/>
                  <w:vAlign w:val="center"/>
                </w:tcPr>
                <w:p w14:paraId="1E2D59A2">
                  <w:pPr>
                    <w:pStyle w:val="24"/>
                    <w:widowControl w:val="0"/>
                  </w:pPr>
                  <w:r>
                    <w:rPr>
                      <w:rFonts w:hint="eastAsia"/>
                    </w:rPr>
                    <w:t>测量范围</w:t>
                  </w:r>
                </w:p>
              </w:tc>
              <w:tc>
                <w:tcPr>
                  <w:tcW w:w="2257" w:type="dxa"/>
                  <w:vAlign w:val="center"/>
                </w:tcPr>
                <w:p w14:paraId="4CD44CEE">
                  <w:pPr>
                    <w:pStyle w:val="24"/>
                    <w:widowControl w:val="0"/>
                  </w:pPr>
                  <w:r>
                    <w:rPr>
                      <w:rFonts w:hint="eastAsia"/>
                    </w:rPr>
                    <w:t>33.1~72.6</w:t>
                  </w:r>
                </w:p>
              </w:tc>
              <w:tc>
                <w:tcPr>
                  <w:tcW w:w="2257" w:type="dxa"/>
                  <w:vAlign w:val="center"/>
                </w:tcPr>
                <w:p w14:paraId="07981F54">
                  <w:pPr>
                    <w:pStyle w:val="24"/>
                    <w:widowControl w:val="0"/>
                  </w:pPr>
                  <w:r>
                    <w:rPr>
                      <w:rFonts w:hint="eastAsia"/>
                    </w:rPr>
                    <w:t>18.1~102.3</w:t>
                  </w:r>
                </w:p>
              </w:tc>
              <w:tc>
                <w:tcPr>
                  <w:tcW w:w="2257" w:type="dxa"/>
                  <w:vAlign w:val="center"/>
                </w:tcPr>
                <w:p w14:paraId="71F69D53">
                  <w:pPr>
                    <w:pStyle w:val="24"/>
                    <w:widowControl w:val="0"/>
                  </w:pPr>
                  <w:r>
                    <w:rPr>
                      <w:rFonts w:hint="eastAsia"/>
                    </w:rPr>
                    <w:t>50.7~129.4</w:t>
                  </w:r>
                </w:p>
              </w:tc>
            </w:tr>
            <w:tr w14:paraId="1716CEB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256" w:type="dxa"/>
                  <w:vAlign w:val="center"/>
                </w:tcPr>
                <w:p w14:paraId="65F8F277">
                  <w:pPr>
                    <w:pStyle w:val="24"/>
                    <w:widowControl w:val="0"/>
                  </w:pPr>
                  <w:r>
                    <w:rPr>
                      <w:rFonts w:hint="eastAsia"/>
                    </w:rPr>
                    <w:t>均值</w:t>
                  </w:r>
                </w:p>
              </w:tc>
              <w:tc>
                <w:tcPr>
                  <w:tcW w:w="2257" w:type="dxa"/>
                  <w:vAlign w:val="center"/>
                </w:tcPr>
                <w:p w14:paraId="1A7AB8C4">
                  <w:pPr>
                    <w:pStyle w:val="24"/>
                    <w:widowControl w:val="0"/>
                  </w:pPr>
                  <w:r>
                    <w:rPr>
                      <w:rFonts w:hint="eastAsia"/>
                    </w:rPr>
                    <w:t>50.4</w:t>
                  </w:r>
                </w:p>
              </w:tc>
              <w:tc>
                <w:tcPr>
                  <w:tcW w:w="2257" w:type="dxa"/>
                  <w:vAlign w:val="center"/>
                </w:tcPr>
                <w:p w14:paraId="710F0281">
                  <w:pPr>
                    <w:pStyle w:val="24"/>
                    <w:widowControl w:val="0"/>
                  </w:pPr>
                  <w:r>
                    <w:rPr>
                      <w:rFonts w:hint="eastAsia"/>
                    </w:rPr>
                    <w:t>47.1</w:t>
                  </w:r>
                </w:p>
              </w:tc>
              <w:tc>
                <w:tcPr>
                  <w:tcW w:w="2257" w:type="dxa"/>
                  <w:vAlign w:val="center"/>
                </w:tcPr>
                <w:p w14:paraId="67DFFDC1">
                  <w:pPr>
                    <w:pStyle w:val="24"/>
                    <w:widowControl w:val="0"/>
                  </w:pPr>
                  <w:r>
                    <w:rPr>
                      <w:rFonts w:hint="eastAsia"/>
                    </w:rPr>
                    <w:t>89.2</w:t>
                  </w:r>
                </w:p>
              </w:tc>
            </w:tr>
            <w:tr w14:paraId="2D0DED3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256" w:type="dxa"/>
                  <w:vAlign w:val="center"/>
                </w:tcPr>
                <w:p w14:paraId="6105617A">
                  <w:pPr>
                    <w:pStyle w:val="24"/>
                    <w:widowControl w:val="0"/>
                  </w:pPr>
                  <w:r>
                    <w:rPr>
                      <w:rFonts w:hint="eastAsia"/>
                    </w:rPr>
                    <w:t>标准差（s）</w:t>
                  </w:r>
                </w:p>
              </w:tc>
              <w:tc>
                <w:tcPr>
                  <w:tcW w:w="2257" w:type="dxa"/>
                  <w:vAlign w:val="center"/>
                </w:tcPr>
                <w:p w14:paraId="26797018">
                  <w:pPr>
                    <w:pStyle w:val="24"/>
                    <w:widowControl w:val="0"/>
                  </w:pPr>
                  <w:r>
                    <w:rPr>
                      <w:rFonts w:hint="eastAsia"/>
                    </w:rPr>
                    <w:t>7.0</w:t>
                  </w:r>
                </w:p>
              </w:tc>
              <w:tc>
                <w:tcPr>
                  <w:tcW w:w="2257" w:type="dxa"/>
                  <w:vAlign w:val="center"/>
                </w:tcPr>
                <w:p w14:paraId="1BCE1C57">
                  <w:pPr>
                    <w:pStyle w:val="24"/>
                    <w:widowControl w:val="0"/>
                  </w:pPr>
                  <w:r>
                    <w:rPr>
                      <w:rFonts w:hint="eastAsia"/>
                    </w:rPr>
                    <w:t>12.3</w:t>
                  </w:r>
                </w:p>
              </w:tc>
              <w:tc>
                <w:tcPr>
                  <w:tcW w:w="2257" w:type="dxa"/>
                  <w:vAlign w:val="center"/>
                </w:tcPr>
                <w:p w14:paraId="4D22045B">
                  <w:pPr>
                    <w:pStyle w:val="24"/>
                    <w:widowControl w:val="0"/>
                  </w:pPr>
                  <w:r>
                    <w:rPr>
                      <w:rFonts w:hint="eastAsia"/>
                    </w:rPr>
                    <w:t>14.0</w:t>
                  </w:r>
                </w:p>
              </w:tc>
            </w:tr>
          </w:tbl>
          <w:p w14:paraId="0A529F91">
            <w:pPr>
              <w:pStyle w:val="6"/>
            </w:pPr>
            <w:r>
              <w:rPr>
                <w:rFonts w:hint="eastAsia"/>
              </w:rPr>
              <w:t>注：[1] 测量值已扣除宇宙射线影响值。</w:t>
            </w:r>
          </w:p>
          <w:p w14:paraId="5F994B64">
            <w:pPr>
              <w:pStyle w:val="6"/>
              <w:rPr>
                <w:rFonts w:eastAsiaTheme="minorEastAsia"/>
              </w:rPr>
            </w:pPr>
            <w:r>
              <w:rPr>
                <w:rFonts w:hint="eastAsia"/>
              </w:rPr>
              <w:t>[2]现状评价时，以“均值</w:t>
            </w:r>
            <w:r>
              <w:rPr>
                <w:rFonts w:hint="eastAsia" w:ascii="微软雅黑" w:hAnsi="微软雅黑" w:eastAsia="微软雅黑" w:cs="微软雅黑"/>
              </w:rPr>
              <w:t>±</w:t>
            </w:r>
            <w:r>
              <w:rPr>
                <w:rFonts w:hint="eastAsia"/>
              </w:rPr>
              <w:t>3s”作为参考值：原野为（50.4</w:t>
            </w:r>
            <w:r>
              <w:rPr>
                <w:rFonts w:hint="eastAsia" w:ascii="微软雅黑" w:hAnsi="微软雅黑" w:eastAsia="微软雅黑" w:cs="微软雅黑"/>
              </w:rPr>
              <w:t>±</w:t>
            </w:r>
            <w:r>
              <w:rPr>
                <w:rFonts w:hint="eastAsia"/>
              </w:rPr>
              <w:t>21.0）nGy/h；道路为（47.1</w:t>
            </w:r>
            <w:r>
              <w:rPr>
                <w:rFonts w:hint="eastAsia" w:ascii="微软雅黑" w:hAnsi="微软雅黑" w:eastAsia="微软雅黑" w:cs="微软雅黑"/>
              </w:rPr>
              <w:t>±</w:t>
            </w:r>
            <w:r>
              <w:rPr>
                <w:rFonts w:hint="eastAsia"/>
              </w:rPr>
              <w:t>36.9）nGy/h；室内为（89.2</w:t>
            </w:r>
            <w:r>
              <w:rPr>
                <w:rFonts w:hint="eastAsia" w:ascii="微软雅黑" w:hAnsi="微软雅黑" w:eastAsia="微软雅黑" w:cs="微软雅黑"/>
              </w:rPr>
              <w:t>±</w:t>
            </w:r>
            <w:r>
              <w:rPr>
                <w:rFonts w:hint="eastAsia"/>
              </w:rPr>
              <w:t>42.0）nGy/h。</w:t>
            </w:r>
          </w:p>
        </w:tc>
      </w:tr>
    </w:tbl>
    <w:p w14:paraId="466FA723">
      <w:pPr>
        <w:sectPr>
          <w:pgSz w:w="11907" w:h="16841"/>
          <w:pgMar w:top="1418" w:right="1134" w:bottom="1418" w:left="1701" w:header="0" w:footer="1134" w:gutter="0"/>
          <w:cols w:space="720" w:num="1"/>
        </w:sectPr>
      </w:pPr>
    </w:p>
    <w:p w14:paraId="446BD10A">
      <w:pPr>
        <w:pStyle w:val="11"/>
      </w:pPr>
      <w:r>
        <w:t>表 8  环境质量和辐射现状</w:t>
      </w:r>
    </w:p>
    <w:tbl>
      <w:tblPr>
        <w:tblStyle w:val="15"/>
        <w:tblW w:w="90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531"/>
        <w:gridCol w:w="4536"/>
      </w:tblGrid>
      <w:tr w14:paraId="09D765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2" w:hRule="atLeast"/>
        </w:trPr>
        <w:tc>
          <w:tcPr>
            <w:tcW w:w="9067" w:type="dxa"/>
            <w:gridSpan w:val="2"/>
          </w:tcPr>
          <w:p w14:paraId="773F58FA">
            <w:pPr>
              <w:pStyle w:val="3"/>
            </w:pPr>
            <w:r>
              <w:rPr>
                <w:rFonts w:eastAsia="Times New Roman" w:cs="Times New Roman"/>
              </w:rPr>
              <w:t xml:space="preserve">1  </w:t>
            </w:r>
            <w:r>
              <w:t>项目地理和场所位置</w:t>
            </w:r>
          </w:p>
          <w:p w14:paraId="782898A0">
            <w:pPr>
              <w:pStyle w:val="2"/>
              <w:ind w:firstLine="464"/>
            </w:pPr>
            <w:r>
              <w:rPr>
                <w:spacing w:val="-8"/>
              </w:rPr>
              <w:t>本</w:t>
            </w:r>
            <w:r>
              <w:rPr>
                <w:spacing w:val="-6"/>
              </w:rPr>
              <w:t>项目建设地址位于</w:t>
            </w:r>
            <w:r>
              <w:rPr>
                <w:rFonts w:hint="eastAsia"/>
                <w:spacing w:val="-6"/>
              </w:rPr>
              <w:t>江阴市利港街道贵宾路60号</w:t>
            </w:r>
            <w:r>
              <w:rPr>
                <w:spacing w:val="-6"/>
              </w:rPr>
              <w:t>，项目地理位置图</w:t>
            </w:r>
            <w:r>
              <w:rPr>
                <w:spacing w:val="14"/>
              </w:rPr>
              <w:t>见附</w:t>
            </w:r>
            <w:r>
              <w:rPr>
                <w:spacing w:val="11"/>
              </w:rPr>
              <w:t>图</w:t>
            </w:r>
            <w:r>
              <w:t>1。</w:t>
            </w:r>
            <w:r>
              <w:rPr>
                <w:rFonts w:hint="eastAsia"/>
              </w:rPr>
              <w:t>公司厂区东侧为贵宾大道，南侧为江阴市远景能源有限公司生产车间，西侧为公司办公楼，北侧为奚墅路，公司厂区平面图及周围环境图见附图2。</w:t>
            </w:r>
          </w:p>
          <w:p w14:paraId="70C67DA5">
            <w:pPr>
              <w:pStyle w:val="2"/>
              <w:ind w:firstLine="480"/>
            </w:pPr>
            <w:r>
              <w:rPr>
                <w:rFonts w:hint="eastAsia"/>
              </w:rPr>
              <w:t>本项目 X 射线实时成像检测装置拟建于公司焊管螺旋车间内，</w:t>
            </w:r>
            <w:r>
              <w:t>东侧为五金仓库和原料仓库，南侧为江阴市远景能源有限公司生产车间，西侧为成品仓库，北侧为本公司焊管螺旋车间</w:t>
            </w:r>
            <w:r>
              <w:rPr>
                <w:rFonts w:hint="eastAsia"/>
              </w:rPr>
              <w:t>生产区域，楼上、楼下均无建筑，焊管螺旋车间平面布局图见附图3。</w:t>
            </w:r>
          </w:p>
          <w:p w14:paraId="04C161F3">
            <w:pPr>
              <w:pStyle w:val="2"/>
              <w:ind w:firstLine="464"/>
              <w:rPr>
                <w:rFonts w:hint="eastAsia" w:ascii="宋体" w:hAnsi="宋体" w:cs="宋体"/>
              </w:rPr>
            </w:pPr>
            <w:r>
              <w:rPr>
                <w:rFonts w:hint="eastAsia"/>
                <w:spacing w:val="-8"/>
              </w:rPr>
              <w:t>本项目 X 射线实时成像检测装置建址周围50m范围内没有居民区、学校等环境敏感目标，本项目辐射环境保护目标主要为辐射工作人员及 X 射线实时成像检测装置周围评价范围内的公众。本项目 X 射线实时成像检测装置周围环境现状见图8-1。</w:t>
            </w:r>
          </w:p>
        </w:tc>
      </w:tr>
      <w:tr w14:paraId="30F08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5" w:hRule="atLeast"/>
        </w:trPr>
        <w:tc>
          <w:tcPr>
            <w:tcW w:w="4531" w:type="dxa"/>
          </w:tcPr>
          <w:p w14:paraId="276DBC84">
            <w:pPr>
              <w:pStyle w:val="23"/>
            </w:pPr>
            <w:r>
              <w:rPr>
                <w:snapToGrid/>
              </w:rPr>
              <w:drawing>
                <wp:inline distT="0" distB="0" distL="0" distR="0">
                  <wp:extent cx="2790825" cy="2092960"/>
                  <wp:effectExtent l="0" t="0" r="0" b="2540"/>
                  <wp:docPr id="37129586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95864" name="图片 1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1850" cy="2094196"/>
                          </a:xfrm>
                          <a:prstGeom prst="rect">
                            <a:avLst/>
                          </a:prstGeom>
                        </pic:spPr>
                      </pic:pic>
                    </a:graphicData>
                  </a:graphic>
                </wp:inline>
              </w:drawing>
            </w:r>
          </w:p>
          <w:p w14:paraId="110948B7">
            <w:pPr>
              <w:spacing w:before="82" w:line="220" w:lineRule="auto"/>
              <w:ind w:left="386"/>
              <w:jc w:val="center"/>
              <w:rPr>
                <w:rFonts w:ascii="Times New Roman" w:hAnsi="Times New Roman" w:eastAsia="Times New Roman" w:cs="Times New Roman"/>
                <w:spacing w:val="-4"/>
              </w:rPr>
            </w:pPr>
            <w:r>
              <w:rPr>
                <w:rFonts w:hint="eastAsia" w:ascii="Times New Roman" w:hAnsi="Times New Roman" w:eastAsia="Times New Roman" w:cs="Times New Roman"/>
                <w:spacing w:val="-4"/>
              </w:rPr>
              <w:t>项目建址</w:t>
            </w:r>
            <w:r>
              <w:rPr>
                <w:rFonts w:hint="eastAsia" w:ascii="Times New Roman" w:hAnsi="Times New Roman" w:eastAsia="宋体" w:cs="Times New Roman"/>
                <w:spacing w:val="-4"/>
              </w:rPr>
              <w:t>东</w:t>
            </w:r>
            <w:r>
              <w:rPr>
                <w:rFonts w:hint="eastAsia" w:ascii="Times New Roman" w:hAnsi="Times New Roman" w:eastAsia="Times New Roman" w:cs="Times New Roman"/>
                <w:spacing w:val="-4"/>
              </w:rPr>
              <w:t>侧</w:t>
            </w:r>
          </w:p>
          <w:p w14:paraId="37E5ED1E">
            <w:pPr>
              <w:spacing w:before="82" w:line="220" w:lineRule="auto"/>
              <w:ind w:left="386"/>
              <w:jc w:val="center"/>
              <w:rPr>
                <w:rFonts w:hint="eastAsia" w:ascii="宋体" w:hAnsi="宋体" w:eastAsia="宋体" w:cs="宋体"/>
                <w:spacing w:val="-4"/>
              </w:rPr>
            </w:pPr>
            <w:r>
              <w:rPr>
                <w:rFonts w:hint="eastAsia" w:ascii="宋体" w:hAnsi="宋体" w:eastAsia="宋体" w:cs="宋体"/>
                <w:spacing w:val="-4"/>
              </w:rPr>
              <w:t>（五金仓库和原料仓库）</w:t>
            </w:r>
          </w:p>
        </w:tc>
        <w:tc>
          <w:tcPr>
            <w:tcW w:w="4536" w:type="dxa"/>
            <w:vAlign w:val="center"/>
          </w:tcPr>
          <w:p w14:paraId="5F6DC9FE">
            <w:pPr>
              <w:pStyle w:val="23"/>
            </w:pPr>
            <w:r>
              <w:rPr>
                <w:snapToGrid/>
              </w:rPr>
              <w:drawing>
                <wp:inline distT="0" distB="0" distL="0" distR="0">
                  <wp:extent cx="2809875" cy="2106930"/>
                  <wp:effectExtent l="0" t="0" r="0" b="7620"/>
                  <wp:docPr id="19636087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608713" name="图片 1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11145" cy="2108358"/>
                          </a:xfrm>
                          <a:prstGeom prst="rect">
                            <a:avLst/>
                          </a:prstGeom>
                        </pic:spPr>
                      </pic:pic>
                    </a:graphicData>
                  </a:graphic>
                </wp:inline>
              </w:drawing>
            </w:r>
          </w:p>
          <w:p w14:paraId="5FAAF55B">
            <w:pPr>
              <w:spacing w:before="82" w:line="220" w:lineRule="auto"/>
              <w:ind w:left="274"/>
              <w:jc w:val="center"/>
              <w:rPr>
                <w:rFonts w:ascii="Times New Roman" w:hAnsi="Times New Roman" w:eastAsia="Times New Roman" w:cs="Times New Roman"/>
                <w:spacing w:val="-4"/>
              </w:rPr>
            </w:pPr>
            <w:r>
              <w:rPr>
                <w:rFonts w:hint="eastAsia" w:ascii="Times New Roman" w:hAnsi="Times New Roman" w:eastAsia="Times New Roman" w:cs="Times New Roman"/>
                <w:spacing w:val="-4"/>
              </w:rPr>
              <w:t>项目建址</w:t>
            </w:r>
            <w:r>
              <w:rPr>
                <w:rFonts w:hint="eastAsia" w:ascii="Times New Roman" w:hAnsi="Times New Roman" w:eastAsia="宋体" w:cs="Times New Roman"/>
                <w:spacing w:val="-4"/>
              </w:rPr>
              <w:t>南</w:t>
            </w:r>
            <w:r>
              <w:rPr>
                <w:rFonts w:hint="eastAsia" w:ascii="Times New Roman" w:hAnsi="Times New Roman" w:eastAsia="Times New Roman" w:cs="Times New Roman"/>
                <w:spacing w:val="-4"/>
              </w:rPr>
              <w:t>侧</w:t>
            </w:r>
          </w:p>
          <w:p w14:paraId="7413A6BD">
            <w:pPr>
              <w:spacing w:before="82" w:line="220" w:lineRule="auto"/>
              <w:ind w:left="274"/>
              <w:jc w:val="center"/>
            </w:pPr>
            <w:r>
              <w:rPr>
                <w:rFonts w:hint="eastAsia" w:ascii="宋体" w:hAnsi="宋体" w:eastAsia="宋体" w:cs="宋体"/>
                <w:spacing w:val="-4"/>
              </w:rPr>
              <w:t>（江阴市远景能源有限公司生产车间）</w:t>
            </w:r>
          </w:p>
        </w:tc>
      </w:tr>
      <w:tr w14:paraId="08AB5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5" w:hRule="atLeast"/>
        </w:trPr>
        <w:tc>
          <w:tcPr>
            <w:tcW w:w="4531" w:type="dxa"/>
          </w:tcPr>
          <w:p w14:paraId="77FF1A5C">
            <w:pPr>
              <w:pStyle w:val="23"/>
              <w:spacing w:before="120" w:beforeLines="50"/>
            </w:pPr>
            <w:r>
              <w:rPr>
                <w:snapToGrid/>
              </w:rPr>
              <w:drawing>
                <wp:inline distT="0" distB="0" distL="0" distR="0">
                  <wp:extent cx="2133600" cy="2844800"/>
                  <wp:effectExtent l="0" t="0" r="0" b="0"/>
                  <wp:docPr id="161390626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906264" name="图片 1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36791" cy="2849213"/>
                          </a:xfrm>
                          <a:prstGeom prst="rect">
                            <a:avLst/>
                          </a:prstGeom>
                        </pic:spPr>
                      </pic:pic>
                    </a:graphicData>
                  </a:graphic>
                </wp:inline>
              </w:drawing>
            </w:r>
          </w:p>
          <w:p w14:paraId="369AF672">
            <w:pPr>
              <w:pStyle w:val="23"/>
              <w:rPr>
                <w:b w:val="0"/>
                <w:bCs w:val="0"/>
              </w:rPr>
            </w:pPr>
            <w:r>
              <w:rPr>
                <w:rFonts w:hint="eastAsia"/>
                <w:b w:val="0"/>
                <w:bCs w:val="0"/>
              </w:rPr>
              <w:t>项目建址西侧</w:t>
            </w:r>
          </w:p>
          <w:p w14:paraId="0136DD11">
            <w:pPr>
              <w:pStyle w:val="23"/>
              <w:rPr>
                <w:b w:val="0"/>
                <w:bCs w:val="0"/>
              </w:rPr>
            </w:pPr>
            <w:r>
              <w:rPr>
                <w:rFonts w:hint="eastAsia"/>
                <w:b w:val="0"/>
                <w:bCs w:val="0"/>
              </w:rPr>
              <w:t>（成品仓库）</w:t>
            </w:r>
          </w:p>
        </w:tc>
        <w:tc>
          <w:tcPr>
            <w:tcW w:w="4536" w:type="dxa"/>
            <w:vAlign w:val="center"/>
          </w:tcPr>
          <w:p w14:paraId="11EF291C">
            <w:pPr>
              <w:pStyle w:val="23"/>
            </w:pPr>
            <w:r>
              <w:rPr>
                <w:snapToGrid/>
              </w:rPr>
              <w:drawing>
                <wp:inline distT="0" distB="0" distL="0" distR="0">
                  <wp:extent cx="2790825" cy="2092960"/>
                  <wp:effectExtent l="0" t="0" r="0" b="2540"/>
                  <wp:docPr id="15360274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027424" name="图片 1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91256" cy="2093288"/>
                          </a:xfrm>
                          <a:prstGeom prst="rect">
                            <a:avLst/>
                          </a:prstGeom>
                        </pic:spPr>
                      </pic:pic>
                    </a:graphicData>
                  </a:graphic>
                </wp:inline>
              </w:drawing>
            </w:r>
          </w:p>
          <w:p w14:paraId="7EC28A36">
            <w:pPr>
              <w:pStyle w:val="23"/>
              <w:rPr>
                <w:b w:val="0"/>
                <w:bCs w:val="0"/>
              </w:rPr>
            </w:pPr>
            <w:r>
              <w:rPr>
                <w:rFonts w:hint="eastAsia"/>
                <w:b w:val="0"/>
                <w:bCs w:val="0"/>
              </w:rPr>
              <w:t>项目建址北侧</w:t>
            </w:r>
          </w:p>
          <w:p w14:paraId="30CB7745">
            <w:pPr>
              <w:pStyle w:val="23"/>
              <w:rPr>
                <w:b w:val="0"/>
                <w:bCs w:val="0"/>
              </w:rPr>
            </w:pPr>
            <w:r>
              <w:rPr>
                <w:rFonts w:hint="eastAsia"/>
                <w:b w:val="0"/>
                <w:bCs w:val="0"/>
              </w:rPr>
              <w:t>（焊管螺旋车间）</w:t>
            </w:r>
          </w:p>
        </w:tc>
      </w:tr>
      <w:tr w14:paraId="2D031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0" w:hRule="atLeast"/>
        </w:trPr>
        <w:tc>
          <w:tcPr>
            <w:tcW w:w="4531" w:type="dxa"/>
          </w:tcPr>
          <w:p w14:paraId="36BEEEE0">
            <w:pPr>
              <w:pStyle w:val="23"/>
            </w:pPr>
            <w:r>
              <w:t xml:space="preserve"> </w:t>
            </w:r>
            <w:r>
              <w:rPr>
                <w:snapToGrid/>
              </w:rPr>
              <w:drawing>
                <wp:inline distT="0" distB="0" distL="0" distR="0">
                  <wp:extent cx="2227580" cy="2495550"/>
                  <wp:effectExtent l="0" t="0" r="1270" b="0"/>
                  <wp:docPr id="159306208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062088" name="图片 16"/>
                          <pic:cNvPicPr>
                            <a:picLocks noChangeAspect="1"/>
                          </pic:cNvPicPr>
                        </pic:nvPicPr>
                        <pic:blipFill>
                          <a:blip r:embed="rId12" cstate="print">
                            <a:extLst>
                              <a:ext uri="{28A0092B-C50C-407E-A947-70E740481C1C}">
                                <a14:useLocalDpi xmlns:a14="http://schemas.microsoft.com/office/drawing/2010/main" val="0"/>
                              </a:ext>
                            </a:extLst>
                          </a:blip>
                          <a:srcRect r="33053"/>
                          <a:stretch>
                            <a:fillRect/>
                          </a:stretch>
                        </pic:blipFill>
                        <pic:spPr>
                          <a:xfrm>
                            <a:off x="0" y="0"/>
                            <a:ext cx="2236245" cy="2505631"/>
                          </a:xfrm>
                          <a:prstGeom prst="rect">
                            <a:avLst/>
                          </a:prstGeom>
                          <a:ln>
                            <a:noFill/>
                          </a:ln>
                        </pic:spPr>
                      </pic:pic>
                    </a:graphicData>
                  </a:graphic>
                </wp:inline>
              </w:drawing>
            </w:r>
          </w:p>
          <w:p w14:paraId="55DEE3B0">
            <w:pPr>
              <w:spacing w:before="81" w:line="220" w:lineRule="auto"/>
              <w:jc w:val="center"/>
              <w:rPr>
                <w:rFonts w:hint="eastAsia" w:ascii="宋体" w:hAnsi="宋体" w:eastAsia="宋体" w:cs="宋体"/>
              </w:rPr>
            </w:pPr>
            <w:r>
              <w:rPr>
                <w:rFonts w:hint="eastAsia" w:ascii="宋体" w:hAnsi="宋体" w:eastAsia="宋体" w:cs="宋体"/>
                <w:spacing w:val="-2"/>
              </w:rPr>
              <w:t>项目建设地址</w:t>
            </w:r>
          </w:p>
        </w:tc>
        <w:tc>
          <w:tcPr>
            <w:tcW w:w="4536" w:type="dxa"/>
          </w:tcPr>
          <w:p w14:paraId="3AE1B6E1">
            <w:pPr>
              <w:pStyle w:val="23"/>
            </w:pPr>
            <w:r>
              <w:rPr>
                <w:snapToGrid/>
              </w:rPr>
              <w:drawing>
                <wp:inline distT="0" distB="0" distL="0" distR="0">
                  <wp:extent cx="1800225" cy="2399665"/>
                  <wp:effectExtent l="0" t="0" r="0" b="635"/>
                  <wp:docPr id="27268072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80729" name="图片 1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7041" cy="2409254"/>
                          </a:xfrm>
                          <a:prstGeom prst="rect">
                            <a:avLst/>
                          </a:prstGeom>
                        </pic:spPr>
                      </pic:pic>
                    </a:graphicData>
                  </a:graphic>
                </wp:inline>
              </w:drawing>
            </w:r>
          </w:p>
          <w:p w14:paraId="44C8A63A">
            <w:pPr>
              <w:jc w:val="center"/>
              <w:rPr>
                <w:rFonts w:hint="eastAsia" w:ascii="宋体" w:hAnsi="宋体" w:eastAsia="宋体" w:cs="宋体"/>
                <w:spacing w:val="-3"/>
              </w:rPr>
            </w:pPr>
            <w:r>
              <w:rPr>
                <w:rFonts w:hint="eastAsia" w:ascii="宋体" w:hAnsi="宋体" w:eastAsia="宋体" w:cs="宋体"/>
                <w:spacing w:val="-3"/>
              </w:rPr>
              <w:t>项目建址南侧</w:t>
            </w:r>
          </w:p>
          <w:p w14:paraId="44A5F05E">
            <w:pPr>
              <w:pStyle w:val="2"/>
              <w:spacing w:line="240" w:lineRule="auto"/>
              <w:ind w:left="0" w:right="0" w:firstLine="0" w:firstLineChars="0"/>
              <w:jc w:val="center"/>
            </w:pPr>
            <w:r>
              <w:rPr>
                <w:rFonts w:hint="eastAsia"/>
              </w:rPr>
              <w:t>（停车场）</w:t>
            </w:r>
          </w:p>
        </w:tc>
      </w:tr>
      <w:tr w14:paraId="5A8D2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067" w:type="dxa"/>
            <w:gridSpan w:val="2"/>
          </w:tcPr>
          <w:p w14:paraId="69A778D5">
            <w:pPr>
              <w:pStyle w:val="21"/>
            </w:pPr>
            <w:r>
              <w:t xml:space="preserve"> 8-1 本项目X 射线</w:t>
            </w:r>
            <w:r>
              <w:rPr>
                <w:rFonts w:hint="eastAsia"/>
              </w:rPr>
              <w:t>曝光室</w:t>
            </w:r>
            <w:r>
              <w:t>建址周围环境现状</w:t>
            </w:r>
            <w:r>
              <w:rPr>
                <w:rFonts w:hint="eastAsia"/>
              </w:rPr>
              <w:t>本项目</w:t>
            </w:r>
          </w:p>
          <w:p w14:paraId="58D37BB6">
            <w:pPr>
              <w:pStyle w:val="3"/>
            </w:pPr>
            <w:r>
              <w:t>2  环境现状评价的对象、监测因子和监测点位</w:t>
            </w:r>
          </w:p>
          <w:p w14:paraId="443DEA61">
            <w:pPr>
              <w:pStyle w:val="2"/>
              <w:ind w:firstLine="480"/>
            </w:pPr>
            <w:r>
              <w:t>评价对象：</w:t>
            </w:r>
            <w:bookmarkStart w:id="4" w:name="OLE_LINK17"/>
            <w:r>
              <w:rPr>
                <w:rFonts w:hint="eastAsia"/>
              </w:rPr>
              <w:t>X 射线实时成像检测装置建设地址</w:t>
            </w:r>
            <w:bookmarkEnd w:id="4"/>
            <w:r>
              <w:rPr>
                <w:rFonts w:hint="eastAsia"/>
              </w:rPr>
              <w:t>及</w:t>
            </w:r>
            <w:r>
              <w:t>周围辐射环境</w:t>
            </w:r>
          </w:p>
          <w:p w14:paraId="16556F58">
            <w:pPr>
              <w:pStyle w:val="2"/>
              <w:ind w:firstLine="480"/>
            </w:pPr>
            <w:r>
              <w:t>监测因子： γ 辐射空气吸收剂量率</w:t>
            </w:r>
          </w:p>
          <w:p w14:paraId="669D5038">
            <w:pPr>
              <w:pStyle w:val="2"/>
              <w:ind w:firstLine="480"/>
            </w:pPr>
            <w:r>
              <w:t xml:space="preserve">监测点位：X 射线实时成像检测装置建设地址周围布置监测点位，共计 </w:t>
            </w:r>
            <w:r>
              <w:rPr>
                <w:rFonts w:hint="eastAsia"/>
              </w:rPr>
              <w:t xml:space="preserve">5 </w:t>
            </w:r>
            <w:r>
              <w:t>个监测点位</w:t>
            </w:r>
          </w:p>
          <w:p w14:paraId="3C1B5899">
            <w:pPr>
              <w:pStyle w:val="3"/>
            </w:pPr>
            <w:r>
              <w:t>3  监测方案、质量保证措施及监测结果</w:t>
            </w:r>
          </w:p>
          <w:p w14:paraId="0022C0C6">
            <w:pPr>
              <w:pStyle w:val="4"/>
            </w:pPr>
            <w:r>
              <w:t>3.1 监测方案</w:t>
            </w:r>
          </w:p>
          <w:p w14:paraId="504A2194">
            <w:pPr>
              <w:pStyle w:val="2"/>
              <w:ind w:firstLine="480"/>
            </w:pPr>
            <w:r>
              <w:t>监测项目：</w:t>
            </w:r>
            <w:bookmarkStart w:id="5" w:name="OLE_LINK7"/>
            <w:r>
              <w:rPr>
                <w:rFonts w:hint="eastAsia"/>
              </w:rPr>
              <w:t>X-</w:t>
            </w:r>
            <w:r>
              <w:t>γ</w:t>
            </w:r>
            <w:bookmarkEnd w:id="5"/>
            <w:r>
              <w:t xml:space="preserve"> 辐射剂量率</w:t>
            </w:r>
          </w:p>
          <w:p w14:paraId="46F706B4">
            <w:pPr>
              <w:pStyle w:val="2"/>
              <w:ind w:firstLine="480"/>
            </w:pPr>
            <w:r>
              <w:t>监测布点：</w:t>
            </w:r>
            <w:r>
              <w:rPr>
                <w:rFonts w:hint="eastAsia"/>
              </w:rPr>
              <w:t>在螺旋焊管车间内东、南、西、北部及中央等处布点</w:t>
            </w:r>
            <w:r>
              <w:t>，具体点位见图 8-2</w:t>
            </w:r>
          </w:p>
          <w:p w14:paraId="0DC90AC0">
            <w:pPr>
              <w:pStyle w:val="2"/>
              <w:ind w:firstLine="480"/>
            </w:pPr>
            <w:r>
              <w:t>监测时间： 20</w:t>
            </w:r>
            <w:r>
              <w:rPr>
                <w:rFonts w:hint="eastAsia"/>
              </w:rPr>
              <w:t>26</w:t>
            </w:r>
            <w:r>
              <w:t xml:space="preserve">年 </w:t>
            </w:r>
            <w:r>
              <w:rPr>
                <w:rFonts w:hint="eastAsia"/>
              </w:rPr>
              <w:t xml:space="preserve">5 </w:t>
            </w:r>
            <w:r>
              <w:t xml:space="preserve">月 </w:t>
            </w:r>
            <w:r>
              <w:rPr>
                <w:rFonts w:hint="eastAsia"/>
              </w:rPr>
              <w:t>11</w:t>
            </w:r>
            <w:r>
              <w:t xml:space="preserve"> 日</w:t>
            </w:r>
          </w:p>
          <w:p w14:paraId="74AE15AE">
            <w:pPr>
              <w:pStyle w:val="2"/>
              <w:ind w:firstLine="480"/>
            </w:pPr>
            <w:r>
              <w:t>监测单位：</w:t>
            </w:r>
            <w:r>
              <w:rPr>
                <w:rFonts w:hint="eastAsia"/>
              </w:rPr>
              <w:t>江苏省辐射环境保护咨询有限公司</w:t>
            </w:r>
          </w:p>
          <w:p w14:paraId="6DBCDE44">
            <w:pPr>
              <w:pStyle w:val="2"/>
              <w:ind w:firstLine="480"/>
            </w:pPr>
            <w:r>
              <w:t xml:space="preserve">监测仪器： </w:t>
            </w:r>
            <w:r>
              <w:rPr>
                <w:rFonts w:hint="eastAsia"/>
              </w:rPr>
              <w:t xml:space="preserve">FH40G型便携式 </w:t>
            </w:r>
            <w:r>
              <w:t>X-γ</w:t>
            </w:r>
            <w:r>
              <w:rPr>
                <w:rFonts w:hint="eastAsia"/>
              </w:rPr>
              <w:t xml:space="preserve"> 辐射剂量率仪</w:t>
            </w:r>
          </w:p>
          <w:p w14:paraId="35557598">
            <w:pPr>
              <w:pStyle w:val="2"/>
              <w:ind w:firstLine="480"/>
            </w:pPr>
            <w:r>
              <w:rPr>
                <w:rFonts w:hint="eastAsia"/>
              </w:rPr>
              <w:t>仪器</w:t>
            </w:r>
            <w:r>
              <w:t>编号：</w:t>
            </w:r>
            <w:r>
              <w:rPr>
                <w:rFonts w:hint="eastAsia"/>
              </w:rPr>
              <w:t>030850（主机）、11392（探头）</w:t>
            </w:r>
          </w:p>
          <w:p w14:paraId="55829B50">
            <w:pPr>
              <w:pStyle w:val="2"/>
              <w:ind w:firstLine="480"/>
            </w:pPr>
            <w:r>
              <w:t>检定有效期：</w:t>
            </w:r>
            <w:r>
              <w:rPr>
                <w:rFonts w:hint="eastAsia"/>
              </w:rPr>
              <w:t>2025.6.20</w:t>
            </w:r>
            <w:r>
              <w:t xml:space="preserve"> ~</w:t>
            </w:r>
            <w:r>
              <w:rPr>
                <w:rFonts w:hint="eastAsia"/>
              </w:rPr>
              <w:t>2026.6.19</w:t>
            </w:r>
          </w:p>
          <w:p w14:paraId="7F268BF8">
            <w:pPr>
              <w:pStyle w:val="2"/>
              <w:ind w:firstLine="480"/>
            </w:pPr>
            <w:r>
              <w:rPr>
                <w:rFonts w:hint="eastAsia"/>
              </w:rPr>
              <w:t>测量范围：</w:t>
            </w:r>
            <w:r>
              <w:t>1</w:t>
            </w:r>
            <w:r>
              <w:rPr>
                <w:rFonts w:hint="eastAsia" w:cs="Times New Roman"/>
              </w:rPr>
              <w:t>n</w:t>
            </w:r>
            <w:r>
              <w:t>Sv/h</w:t>
            </w:r>
            <w:r>
              <w:rPr>
                <w:rFonts w:hint="eastAsia"/>
              </w:rPr>
              <w:t>~100</w:t>
            </w:r>
            <w:r>
              <w:rPr>
                <w:rFonts w:cs="Times New Roman"/>
              </w:rPr>
              <w:t>μ</w:t>
            </w:r>
            <w:r>
              <w:t>Sv/h</w:t>
            </w:r>
            <w:r>
              <w:rPr>
                <w:rFonts w:hint="eastAsia"/>
              </w:rPr>
              <w:t>；</w:t>
            </w:r>
          </w:p>
          <w:p w14:paraId="102E290E">
            <w:pPr>
              <w:pStyle w:val="2"/>
              <w:ind w:firstLine="480"/>
            </w:pPr>
            <w:r>
              <w:rPr>
                <w:rFonts w:hint="eastAsia"/>
              </w:rPr>
              <w:t>能量响应范围：主机：40</w:t>
            </w:r>
            <w:r>
              <w:t>keV~</w:t>
            </w:r>
            <w:r>
              <w:rPr>
                <w:rFonts w:hint="eastAsia"/>
              </w:rPr>
              <w:t>4.4</w:t>
            </w:r>
            <w:r>
              <w:t>MeV</w:t>
            </w:r>
          </w:p>
          <w:p w14:paraId="0E8D2382">
            <w:pPr>
              <w:pStyle w:val="2"/>
              <w:ind w:firstLine="480"/>
            </w:pPr>
            <w:r>
              <w:t>监测方法：《环境 γ 辐射剂量率测量技术规范》(HJ 1157-2021)</w:t>
            </w:r>
          </w:p>
          <w:p w14:paraId="5797E4BA">
            <w:pPr>
              <w:pStyle w:val="2"/>
              <w:ind w:firstLine="480"/>
            </w:pPr>
            <w:r>
              <w:t>数据记录及处理：</w:t>
            </w:r>
            <w:bookmarkStart w:id="6" w:name="_Hlk133150759"/>
            <w:r>
              <w:t>每个点位读取 10 个数据，读取间隔不小于</w:t>
            </w:r>
            <w:r>
              <w:rPr>
                <w:rFonts w:hint="eastAsia"/>
              </w:rPr>
              <w:t xml:space="preserve"> </w:t>
            </w:r>
            <w:r>
              <w:t>20s，并待计数稳定后读取数值。每组数据计算每个点位的平均值</w:t>
            </w:r>
            <w:r>
              <w:rPr>
                <w:rFonts w:hint="eastAsia"/>
              </w:rPr>
              <w:t>。使用</w:t>
            </w:r>
            <w:r>
              <w:rPr>
                <w:rFonts w:hint="eastAsia"/>
                <w:vertAlign w:val="superscript"/>
              </w:rPr>
              <w:t>137</w:t>
            </w:r>
            <w:r>
              <w:rPr>
                <w:rFonts w:hint="eastAsia"/>
              </w:rPr>
              <w:t>Cs作为检定/校准参考辐射源，换算系数取1.20Sv/Gy。</w:t>
            </w:r>
          </w:p>
          <w:bookmarkEnd w:id="6"/>
          <w:p w14:paraId="792E9DBE">
            <w:pPr>
              <w:pStyle w:val="4"/>
            </w:pPr>
            <w:r>
              <w:t>3.2  质量保证措施</w:t>
            </w:r>
          </w:p>
          <w:p w14:paraId="0C666AA0">
            <w:pPr>
              <w:pStyle w:val="2"/>
              <w:ind w:firstLine="480"/>
            </w:pPr>
            <w:r>
              <w:t>监测单位：</w:t>
            </w:r>
            <w:r>
              <w:rPr>
                <w:rFonts w:hint="eastAsia"/>
              </w:rPr>
              <w:t>江苏省辐射环境保护咨询有限公司</w:t>
            </w:r>
            <w:r>
              <w:t>，公司已通过检验检测机构资质认定</w:t>
            </w:r>
            <w:r>
              <w:rPr>
                <w:rFonts w:hint="eastAsia"/>
              </w:rPr>
              <w:t>，CMA资质证书号：251012341069</w:t>
            </w:r>
          </w:p>
          <w:p w14:paraId="5015457B">
            <w:pPr>
              <w:pStyle w:val="2"/>
              <w:ind w:firstLine="480"/>
            </w:pPr>
            <w:r>
              <w:t>监测布点质量保证：根据</w:t>
            </w:r>
            <w:bookmarkStart w:id="7" w:name="_Hlk133150556"/>
            <w:r>
              <w:rPr>
                <w:rFonts w:hint="eastAsia"/>
              </w:rPr>
              <w:t>《环境</w:t>
            </w:r>
            <w:r>
              <w:t xml:space="preserve"> γ </w:t>
            </w:r>
            <w:r>
              <w:rPr>
                <w:rFonts w:hint="eastAsia"/>
              </w:rPr>
              <w:t>辐射剂量率测量技术规范》</w:t>
            </w:r>
            <w:r>
              <w:t>(HJ 1157-2021)</w:t>
            </w:r>
            <w:bookmarkEnd w:id="7"/>
            <w:r>
              <w:t>有关布点原则进行布点</w:t>
            </w:r>
            <w:r>
              <w:rPr>
                <w:rFonts w:hint="eastAsia"/>
              </w:rPr>
              <w:t>。</w:t>
            </w:r>
          </w:p>
          <w:p w14:paraId="5B1752DA">
            <w:pPr>
              <w:pStyle w:val="2"/>
              <w:ind w:firstLine="480"/>
            </w:pPr>
            <w:r>
              <w:t>监测过程质量控制质量保证：本项目监测按照《辐射环境监测技术规范》(HJ 61-2021)的要求，实施全过程质量控制</w:t>
            </w:r>
            <w:r>
              <w:rPr>
                <w:rFonts w:hint="eastAsia"/>
              </w:rPr>
              <w:t>。</w:t>
            </w:r>
          </w:p>
          <w:p w14:paraId="28D266DD">
            <w:pPr>
              <w:pStyle w:val="2"/>
              <w:ind w:firstLine="480"/>
            </w:pPr>
            <w:r>
              <w:t>监测人员、监测仪器及监测结果质量保证：监测人员均经过考核并持有检测上岗证，所有监测仪器均经过计量部门检定，并在有效期内，监测仪器使用前经过检定，监测报告实行三级审核。</w:t>
            </w:r>
          </w:p>
          <w:p w14:paraId="2AC0F4D1">
            <w:pPr>
              <w:pStyle w:val="4"/>
            </w:pPr>
            <w:r>
              <w:t>3.3  监测结果</w:t>
            </w:r>
          </w:p>
          <w:p w14:paraId="477CC92C">
            <w:pPr>
              <w:pStyle w:val="2"/>
              <w:ind w:firstLine="480"/>
            </w:pPr>
            <w:r>
              <w:t>评价方法：参照江苏省</w:t>
            </w:r>
            <w:r>
              <w:rPr>
                <w:rFonts w:hint="eastAsia"/>
              </w:rPr>
              <w:t xml:space="preserve">环境天然 </w:t>
            </w:r>
            <w:r>
              <w:t xml:space="preserve">γ </w:t>
            </w:r>
            <w:r>
              <w:rPr>
                <w:rFonts w:hint="eastAsia"/>
              </w:rPr>
              <w:t>辐射剂量率调查结果进行评价，</w:t>
            </w:r>
            <w:r>
              <w:t>监测结果见表8-1，详细检测结果见附件</w:t>
            </w:r>
            <w:r>
              <w:rPr>
                <w:rFonts w:hint="eastAsia"/>
              </w:rPr>
              <w:t>5</w:t>
            </w:r>
            <w:r>
              <w:t>。</w:t>
            </w:r>
          </w:p>
          <w:p w14:paraId="193E6F42">
            <w:pPr>
              <w:pStyle w:val="21"/>
            </w:pPr>
            <w:r>
              <w:t xml:space="preserve">表 8-1  </w:t>
            </w:r>
            <w:r>
              <w:rPr>
                <w:rFonts w:hint="eastAsia"/>
              </w:rPr>
              <w:t>X 射线实时成像检测装置项目</w:t>
            </w:r>
            <w:r>
              <w:t>周围 γ 辐射空气吸收剂量率测量结果</w:t>
            </w:r>
          </w:p>
          <w:tbl>
            <w:tblPr>
              <w:tblStyle w:val="15"/>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846"/>
              <w:gridCol w:w="2845"/>
              <w:gridCol w:w="2182"/>
              <w:gridCol w:w="2183"/>
            </w:tblGrid>
            <w:tr w14:paraId="4C8D3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19" w:type="pct"/>
                  <w:tcBorders>
                    <w:left w:val="nil"/>
                  </w:tcBorders>
                  <w:vAlign w:val="center"/>
                </w:tcPr>
                <w:p w14:paraId="0B3EFB64">
                  <w:pPr>
                    <w:pStyle w:val="24"/>
                  </w:pPr>
                  <w:r>
                    <w:t>测点编号</w:t>
                  </w:r>
                </w:p>
              </w:tc>
              <w:tc>
                <w:tcPr>
                  <w:tcW w:w="1571" w:type="pct"/>
                  <w:vAlign w:val="center"/>
                </w:tcPr>
                <w:p w14:paraId="0A3ED897">
                  <w:pPr>
                    <w:pStyle w:val="24"/>
                  </w:pPr>
                  <w:r>
                    <w:t>测点位置描述</w:t>
                  </w:r>
                </w:p>
              </w:tc>
              <w:tc>
                <w:tcPr>
                  <w:tcW w:w="1205" w:type="pct"/>
                  <w:tcBorders>
                    <w:right w:val="nil"/>
                  </w:tcBorders>
                  <w:vAlign w:val="center"/>
                </w:tcPr>
                <w:p w14:paraId="2807C13E">
                  <w:pPr>
                    <w:pStyle w:val="24"/>
                  </w:pPr>
                  <w:r>
                    <w:t>测量结果 (nGy/h)</w:t>
                  </w:r>
                </w:p>
              </w:tc>
              <w:tc>
                <w:tcPr>
                  <w:tcW w:w="1205" w:type="pct"/>
                  <w:tcBorders>
                    <w:right w:val="nil"/>
                  </w:tcBorders>
                  <w:vAlign w:val="center"/>
                </w:tcPr>
                <w:p w14:paraId="3E8038B2">
                  <w:pPr>
                    <w:pStyle w:val="24"/>
                  </w:pPr>
                  <w:r>
                    <w:rPr>
                      <w:rFonts w:hint="eastAsia"/>
                    </w:rPr>
                    <w:t>测点类型</w:t>
                  </w:r>
                </w:p>
              </w:tc>
            </w:tr>
            <w:tr w14:paraId="4249D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019" w:type="pct"/>
                  <w:tcBorders>
                    <w:left w:val="nil"/>
                  </w:tcBorders>
                  <w:vAlign w:val="center"/>
                </w:tcPr>
                <w:p w14:paraId="618484CB">
                  <w:pPr>
                    <w:pStyle w:val="24"/>
                  </w:pPr>
                  <w:r>
                    <w:t>1</w:t>
                  </w:r>
                </w:p>
              </w:tc>
              <w:tc>
                <w:tcPr>
                  <w:tcW w:w="1571" w:type="pct"/>
                  <w:vAlign w:val="center"/>
                </w:tcPr>
                <w:p w14:paraId="33E74340">
                  <w:pPr>
                    <w:pStyle w:val="24"/>
                  </w:pPr>
                  <w:r>
                    <w:rPr>
                      <w:rFonts w:hint="eastAsia"/>
                    </w:rPr>
                    <w:t>本项目曝光室东侧</w:t>
                  </w:r>
                </w:p>
              </w:tc>
              <w:tc>
                <w:tcPr>
                  <w:tcW w:w="1205" w:type="pct"/>
                  <w:tcBorders>
                    <w:right w:val="nil"/>
                  </w:tcBorders>
                  <w:vAlign w:val="center"/>
                </w:tcPr>
                <w:p w14:paraId="4A0BD07B">
                  <w:pPr>
                    <w:pStyle w:val="24"/>
                    <w:rPr>
                      <w:rFonts w:hint="default" w:eastAsia="宋体"/>
                      <w:lang w:val="en-US" w:eastAsia="zh-CN"/>
                    </w:rPr>
                  </w:pPr>
                  <w:r>
                    <w:rPr>
                      <w:rFonts w:hint="eastAsia"/>
                      <w:lang w:val="en-US" w:eastAsia="zh-CN"/>
                    </w:rPr>
                    <w:t>**</w:t>
                  </w:r>
                </w:p>
              </w:tc>
              <w:tc>
                <w:tcPr>
                  <w:tcW w:w="1205" w:type="pct"/>
                  <w:tcBorders>
                    <w:right w:val="nil"/>
                  </w:tcBorders>
                  <w:vAlign w:val="center"/>
                </w:tcPr>
                <w:p w14:paraId="5ABFC865">
                  <w:pPr>
                    <w:pStyle w:val="24"/>
                  </w:pPr>
                  <w:r>
                    <w:rPr>
                      <w:rFonts w:hint="eastAsia"/>
                    </w:rPr>
                    <w:t>平房</w:t>
                  </w:r>
                </w:p>
              </w:tc>
            </w:tr>
            <w:tr w14:paraId="14945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19" w:type="pct"/>
                  <w:tcBorders>
                    <w:left w:val="nil"/>
                  </w:tcBorders>
                  <w:vAlign w:val="center"/>
                </w:tcPr>
                <w:p w14:paraId="26C4F5B0">
                  <w:pPr>
                    <w:pStyle w:val="24"/>
                  </w:pPr>
                  <w:r>
                    <w:t>2</w:t>
                  </w:r>
                </w:p>
              </w:tc>
              <w:tc>
                <w:tcPr>
                  <w:tcW w:w="1571" w:type="pct"/>
                  <w:vAlign w:val="center"/>
                </w:tcPr>
                <w:p w14:paraId="6D1232C2">
                  <w:pPr>
                    <w:pStyle w:val="24"/>
                  </w:pPr>
                  <w:r>
                    <w:rPr>
                      <w:rFonts w:hint="eastAsia"/>
                    </w:rPr>
                    <w:t>本项目曝光室南侧</w:t>
                  </w:r>
                </w:p>
              </w:tc>
              <w:tc>
                <w:tcPr>
                  <w:tcW w:w="1205" w:type="pct"/>
                  <w:tcBorders>
                    <w:right w:val="nil"/>
                  </w:tcBorders>
                  <w:vAlign w:val="center"/>
                </w:tcPr>
                <w:p w14:paraId="6E3223CD">
                  <w:pPr>
                    <w:pStyle w:val="24"/>
                    <w:rPr>
                      <w:rFonts w:hint="default" w:eastAsia="宋体"/>
                      <w:lang w:val="en-US" w:eastAsia="zh-CN"/>
                    </w:rPr>
                  </w:pPr>
                  <w:r>
                    <w:rPr>
                      <w:rFonts w:hint="eastAsia"/>
                      <w:lang w:val="en-US" w:eastAsia="zh-CN"/>
                    </w:rPr>
                    <w:t>**</w:t>
                  </w:r>
                </w:p>
              </w:tc>
              <w:tc>
                <w:tcPr>
                  <w:tcW w:w="1205" w:type="pct"/>
                  <w:tcBorders>
                    <w:right w:val="nil"/>
                  </w:tcBorders>
                  <w:vAlign w:val="center"/>
                </w:tcPr>
                <w:p w14:paraId="2E1A629C">
                  <w:pPr>
                    <w:pStyle w:val="24"/>
                  </w:pPr>
                  <w:r>
                    <w:rPr>
                      <w:rFonts w:hint="eastAsia"/>
                    </w:rPr>
                    <w:t>平房</w:t>
                  </w:r>
                </w:p>
              </w:tc>
            </w:tr>
            <w:tr w14:paraId="58004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19" w:type="pct"/>
                  <w:tcBorders>
                    <w:left w:val="nil"/>
                  </w:tcBorders>
                  <w:vAlign w:val="center"/>
                </w:tcPr>
                <w:p w14:paraId="1A9633BD">
                  <w:pPr>
                    <w:pStyle w:val="24"/>
                  </w:pPr>
                  <w:r>
                    <w:t>3</w:t>
                  </w:r>
                </w:p>
              </w:tc>
              <w:tc>
                <w:tcPr>
                  <w:tcW w:w="1571" w:type="pct"/>
                  <w:vAlign w:val="center"/>
                </w:tcPr>
                <w:p w14:paraId="0F4BA172">
                  <w:pPr>
                    <w:pStyle w:val="24"/>
                  </w:pPr>
                  <w:r>
                    <w:rPr>
                      <w:rFonts w:hint="eastAsia"/>
                    </w:rPr>
                    <w:t>本项目操作室西侧</w:t>
                  </w:r>
                </w:p>
              </w:tc>
              <w:tc>
                <w:tcPr>
                  <w:tcW w:w="1205" w:type="pct"/>
                  <w:tcBorders>
                    <w:right w:val="nil"/>
                  </w:tcBorders>
                  <w:vAlign w:val="center"/>
                </w:tcPr>
                <w:p w14:paraId="637D4656">
                  <w:pPr>
                    <w:pStyle w:val="24"/>
                    <w:rPr>
                      <w:rFonts w:hint="default" w:eastAsia="宋体"/>
                      <w:lang w:val="en-US" w:eastAsia="zh-CN"/>
                    </w:rPr>
                  </w:pPr>
                  <w:r>
                    <w:rPr>
                      <w:rFonts w:hint="eastAsia"/>
                      <w:lang w:val="en-US" w:eastAsia="zh-CN"/>
                    </w:rPr>
                    <w:t>**</w:t>
                  </w:r>
                </w:p>
              </w:tc>
              <w:tc>
                <w:tcPr>
                  <w:tcW w:w="1205" w:type="pct"/>
                  <w:tcBorders>
                    <w:right w:val="nil"/>
                  </w:tcBorders>
                  <w:vAlign w:val="center"/>
                </w:tcPr>
                <w:p w14:paraId="21360B70">
                  <w:pPr>
                    <w:pStyle w:val="24"/>
                  </w:pPr>
                  <w:r>
                    <w:rPr>
                      <w:rFonts w:hint="eastAsia"/>
                    </w:rPr>
                    <w:t>平房</w:t>
                  </w:r>
                </w:p>
              </w:tc>
            </w:tr>
            <w:tr w14:paraId="0F06A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019" w:type="pct"/>
                  <w:tcBorders>
                    <w:left w:val="nil"/>
                  </w:tcBorders>
                  <w:vAlign w:val="center"/>
                </w:tcPr>
                <w:p w14:paraId="1E8C3C3C">
                  <w:pPr>
                    <w:pStyle w:val="24"/>
                  </w:pPr>
                  <w:r>
                    <w:t>4</w:t>
                  </w:r>
                </w:p>
              </w:tc>
              <w:tc>
                <w:tcPr>
                  <w:tcW w:w="1571" w:type="pct"/>
                  <w:vAlign w:val="center"/>
                </w:tcPr>
                <w:p w14:paraId="04EF9A46">
                  <w:pPr>
                    <w:pStyle w:val="24"/>
                  </w:pPr>
                  <w:r>
                    <w:rPr>
                      <w:rFonts w:hint="eastAsia"/>
                    </w:rPr>
                    <w:t>本项目曝光室北侧</w:t>
                  </w:r>
                </w:p>
              </w:tc>
              <w:tc>
                <w:tcPr>
                  <w:tcW w:w="1205" w:type="pct"/>
                  <w:tcBorders>
                    <w:right w:val="nil"/>
                  </w:tcBorders>
                  <w:vAlign w:val="center"/>
                </w:tcPr>
                <w:p w14:paraId="76FE260D">
                  <w:pPr>
                    <w:pStyle w:val="24"/>
                    <w:rPr>
                      <w:rFonts w:hint="default" w:eastAsia="宋体"/>
                      <w:lang w:val="en-US" w:eastAsia="zh-CN"/>
                    </w:rPr>
                  </w:pPr>
                  <w:r>
                    <w:rPr>
                      <w:rFonts w:hint="eastAsia"/>
                      <w:lang w:val="en-US" w:eastAsia="zh-CN"/>
                    </w:rPr>
                    <w:t>**</w:t>
                  </w:r>
                </w:p>
              </w:tc>
              <w:tc>
                <w:tcPr>
                  <w:tcW w:w="1205" w:type="pct"/>
                  <w:tcBorders>
                    <w:right w:val="nil"/>
                  </w:tcBorders>
                  <w:vAlign w:val="center"/>
                </w:tcPr>
                <w:p w14:paraId="0808DA88">
                  <w:pPr>
                    <w:pStyle w:val="24"/>
                  </w:pPr>
                  <w:r>
                    <w:rPr>
                      <w:rFonts w:hint="eastAsia"/>
                    </w:rPr>
                    <w:t>平房</w:t>
                  </w:r>
                </w:p>
              </w:tc>
            </w:tr>
            <w:tr w14:paraId="2ABB9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19" w:type="pct"/>
                  <w:tcBorders>
                    <w:left w:val="nil"/>
                  </w:tcBorders>
                  <w:vAlign w:val="center"/>
                </w:tcPr>
                <w:p w14:paraId="0DC89C71">
                  <w:pPr>
                    <w:pStyle w:val="24"/>
                  </w:pPr>
                  <w:r>
                    <w:t>5</w:t>
                  </w:r>
                </w:p>
              </w:tc>
              <w:tc>
                <w:tcPr>
                  <w:tcW w:w="1571" w:type="pct"/>
                  <w:vAlign w:val="center"/>
                </w:tcPr>
                <w:p w14:paraId="642652A5">
                  <w:pPr>
                    <w:pStyle w:val="24"/>
                  </w:pPr>
                  <w:r>
                    <w:rPr>
                      <w:rFonts w:hint="eastAsia"/>
                    </w:rPr>
                    <w:t>本项目曝光室内</w:t>
                  </w:r>
                </w:p>
              </w:tc>
              <w:tc>
                <w:tcPr>
                  <w:tcW w:w="1205" w:type="pct"/>
                  <w:tcBorders>
                    <w:right w:val="nil"/>
                  </w:tcBorders>
                  <w:vAlign w:val="center"/>
                </w:tcPr>
                <w:p w14:paraId="2D3D7B9A">
                  <w:pPr>
                    <w:pStyle w:val="24"/>
                    <w:rPr>
                      <w:rFonts w:hint="default" w:eastAsia="宋体"/>
                      <w:lang w:val="en-US" w:eastAsia="zh-CN"/>
                    </w:rPr>
                  </w:pPr>
                  <w:r>
                    <w:rPr>
                      <w:rFonts w:hint="eastAsia"/>
                      <w:lang w:val="en-US" w:eastAsia="zh-CN"/>
                    </w:rPr>
                    <w:t>**</w:t>
                  </w:r>
                  <w:bookmarkStart w:id="27" w:name="_GoBack"/>
                  <w:bookmarkEnd w:id="27"/>
                </w:p>
              </w:tc>
              <w:tc>
                <w:tcPr>
                  <w:tcW w:w="1205" w:type="pct"/>
                  <w:tcBorders>
                    <w:right w:val="nil"/>
                  </w:tcBorders>
                  <w:vAlign w:val="center"/>
                </w:tcPr>
                <w:p w14:paraId="5CCB20E0">
                  <w:pPr>
                    <w:pStyle w:val="24"/>
                  </w:pPr>
                  <w:r>
                    <w:rPr>
                      <w:rFonts w:hint="eastAsia"/>
                    </w:rPr>
                    <w:t>楼房</w:t>
                  </w:r>
                </w:p>
              </w:tc>
            </w:tr>
          </w:tbl>
          <w:p w14:paraId="7AF07763">
            <w:pPr>
              <w:pStyle w:val="6"/>
            </w:pPr>
            <w:r>
              <w:t>注：测量数据已扣仪器宇宙响应值。</w:t>
            </w:r>
            <w:r>
              <w:rPr>
                <w:rFonts w:hint="eastAsia"/>
              </w:rPr>
              <w:t>宇宙响应射线值已经过屏蔽修正，楼房屏蔽修正因子取0.8，平房取0.9，道路取1。</w:t>
            </w:r>
          </w:p>
          <w:p w14:paraId="76210134">
            <w:pPr>
              <w:pStyle w:val="23"/>
            </w:pPr>
            <w:r>
              <w:rPr>
                <w:snapToGrid/>
              </w:rPr>
              <w:drawing>
                <wp:inline distT="0" distB="0" distL="0" distR="0">
                  <wp:extent cx="5638800" cy="3139440"/>
                  <wp:effectExtent l="0" t="0" r="0" b="3810"/>
                  <wp:docPr id="18907697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769770" name="图片 1"/>
                          <pic:cNvPicPr>
                            <a:picLocks noChangeAspect="1"/>
                          </pic:cNvPicPr>
                        </pic:nvPicPr>
                        <pic:blipFill>
                          <a:blip r:embed="rId14"/>
                          <a:stretch>
                            <a:fillRect/>
                          </a:stretch>
                        </pic:blipFill>
                        <pic:spPr>
                          <a:xfrm>
                            <a:off x="0" y="0"/>
                            <a:ext cx="5640343" cy="3140363"/>
                          </a:xfrm>
                          <a:prstGeom prst="rect">
                            <a:avLst/>
                          </a:prstGeom>
                        </pic:spPr>
                      </pic:pic>
                    </a:graphicData>
                  </a:graphic>
                </wp:inline>
              </w:drawing>
            </w:r>
          </w:p>
          <w:p w14:paraId="64FC6BBD">
            <w:pPr>
              <w:pStyle w:val="21"/>
            </w:pPr>
            <w:r>
              <w:t xml:space="preserve">图 8-2  </w:t>
            </w:r>
            <w:r>
              <w:rPr>
                <w:rFonts w:hint="eastAsia"/>
              </w:rPr>
              <w:t>X 射线实时成像检测装置项目</w:t>
            </w:r>
            <w:r>
              <w:t>周围环境 γ 辐射空气吸收剂量监测点位示意图</w:t>
            </w:r>
          </w:p>
          <w:p w14:paraId="42BE21FA">
            <w:pPr>
              <w:pStyle w:val="3"/>
            </w:pPr>
            <w:r>
              <w:t>4  环境现状调查结果评价</w:t>
            </w:r>
          </w:p>
          <w:p w14:paraId="132A5861">
            <w:pPr>
              <w:pStyle w:val="2"/>
              <w:ind w:firstLine="460"/>
            </w:pPr>
            <w:r>
              <w:rPr>
                <w:spacing w:val="-10"/>
              </w:rPr>
              <w:t>从现场监测结果可知，</w:t>
            </w:r>
            <w:r>
              <w:rPr>
                <w:spacing w:val="-8"/>
              </w:rPr>
              <w:t>X</w:t>
            </w:r>
            <w:r>
              <w:rPr>
                <w:rFonts w:hint="eastAsia"/>
                <w:spacing w:val="-8"/>
              </w:rPr>
              <w:t xml:space="preserve"> </w:t>
            </w:r>
            <w:r>
              <w:rPr>
                <w:spacing w:val="-8"/>
              </w:rPr>
              <w:t>射线实时成像检测装置项目</w:t>
            </w:r>
            <w:r>
              <w:rPr>
                <w:spacing w:val="-10"/>
              </w:rPr>
              <w:t xml:space="preserve">周围环境 </w:t>
            </w:r>
            <w:r>
              <w:rPr>
                <w:rFonts w:eastAsia="Times New Roman" w:cs="Times New Roman"/>
                <w:spacing w:val="-10"/>
              </w:rPr>
              <w:t xml:space="preserve">γ </w:t>
            </w:r>
            <w:r>
              <w:rPr>
                <w:spacing w:val="-10"/>
              </w:rPr>
              <w:t>辐</w:t>
            </w:r>
            <w:r>
              <w:rPr>
                <w:spacing w:val="1"/>
              </w:rPr>
              <w:t>射空气吸收剂量率为(</w:t>
            </w:r>
            <w:r>
              <w:rPr>
                <w:rFonts w:hint="eastAsia" w:cs="Times New Roman"/>
                <w:spacing w:val="1"/>
                <w:lang w:val="en-US" w:eastAsia="zh-CN"/>
              </w:rPr>
              <w:t>**</w:t>
            </w:r>
            <w:r>
              <w:rPr>
                <w:rFonts w:cs="Times New Roman"/>
                <w:spacing w:val="1"/>
              </w:rPr>
              <w:t>～</w:t>
            </w:r>
            <w:r>
              <w:rPr>
                <w:rFonts w:hint="eastAsia" w:cs="Times New Roman"/>
                <w:spacing w:val="1"/>
                <w:lang w:val="en-US" w:eastAsia="zh-CN"/>
              </w:rPr>
              <w:t>**</w:t>
            </w:r>
            <w:r>
              <w:t>)</w:t>
            </w:r>
            <w:r>
              <w:rPr>
                <w:rFonts w:eastAsia="Times New Roman" w:cs="Times New Roman"/>
              </w:rPr>
              <w:t>nGy/h</w:t>
            </w:r>
            <w:r>
              <w:t>，</w:t>
            </w:r>
            <w:r>
              <w:rPr>
                <w:rFonts w:hint="eastAsia"/>
              </w:rPr>
              <w:t xml:space="preserve">与江苏省室内环境天然 </w:t>
            </w:r>
            <w:r>
              <w:rPr>
                <w:rFonts w:cs="Times New Roman"/>
              </w:rPr>
              <w:t>γ</w:t>
            </w:r>
            <w:r>
              <w:rPr>
                <w:rFonts w:hint="eastAsia" w:cs="Times New Roman"/>
              </w:rPr>
              <w:t xml:space="preserve"> </w:t>
            </w:r>
            <w:r>
              <w:rPr>
                <w:rFonts w:hint="eastAsia"/>
              </w:rPr>
              <w:t>辐射剂量率涨落范围（</w:t>
            </w:r>
            <w:r>
              <w:rPr>
                <w:rFonts w:cs="Times New Roman"/>
              </w:rPr>
              <w:t>89.2</w:t>
            </w:r>
            <w:r>
              <w:rPr>
                <w:rFonts w:eastAsia="微软雅黑" w:cs="Times New Roman"/>
              </w:rPr>
              <w:t>±</w:t>
            </w:r>
            <w:r>
              <w:rPr>
                <w:rFonts w:hint="eastAsia" w:eastAsia="微软雅黑" w:cs="Times New Roman"/>
              </w:rPr>
              <w:t>42.0</w:t>
            </w:r>
            <w:r>
              <w:rPr>
                <w:rFonts w:cs="Times New Roman"/>
              </w:rPr>
              <w:t>nGy/h</w:t>
            </w:r>
            <w:r>
              <w:rPr>
                <w:rFonts w:hint="eastAsia"/>
              </w:rPr>
              <w:t>）相当</w:t>
            </w:r>
            <w:r>
              <w:t>。</w:t>
            </w:r>
          </w:p>
        </w:tc>
      </w:tr>
    </w:tbl>
    <w:p w14:paraId="74CD71ED">
      <w:pPr>
        <w:rPr>
          <w:rFonts w:eastAsiaTheme="minorEastAsia"/>
        </w:rPr>
        <w:sectPr>
          <w:pgSz w:w="11907" w:h="16841"/>
          <w:pgMar w:top="1418" w:right="1134" w:bottom="1418" w:left="1701" w:header="0" w:footer="1134" w:gutter="0"/>
          <w:cols w:space="720" w:num="1"/>
        </w:sectPr>
      </w:pPr>
    </w:p>
    <w:p w14:paraId="089894E6">
      <w:pPr>
        <w:pStyle w:val="11"/>
      </w:pPr>
      <w:r>
        <w:t>表 9  项目工程分析与源项</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2"/>
      </w:tblGrid>
      <w:tr w14:paraId="3B2D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2" w:type="dxa"/>
          </w:tcPr>
          <w:p w14:paraId="60950283">
            <w:pPr>
              <w:pStyle w:val="28"/>
              <w:widowControl w:val="0"/>
              <w:jc w:val="both"/>
              <w:rPr>
                <w:b/>
                <w:bCs/>
              </w:rPr>
            </w:pPr>
            <w:r>
              <w:rPr>
                <w:b/>
                <w:bCs/>
                <w:spacing w:val="-1"/>
              </w:rPr>
              <w:t>工程设备</w:t>
            </w:r>
            <w:r>
              <w:rPr>
                <w:b/>
                <w:bCs/>
              </w:rPr>
              <w:t>与工艺分析</w:t>
            </w:r>
          </w:p>
          <w:p w14:paraId="4F8E35F4">
            <w:pPr>
              <w:pStyle w:val="3"/>
              <w:widowControl w:val="0"/>
              <w:jc w:val="both"/>
            </w:pPr>
            <w:r>
              <w:t>1 工程设备</w:t>
            </w:r>
          </w:p>
          <w:p w14:paraId="2697D428">
            <w:pPr>
              <w:pStyle w:val="2"/>
              <w:widowControl w:val="0"/>
              <w:ind w:firstLine="480"/>
            </w:pPr>
            <w:r>
              <w:t>根据生产、检测需要，江阴市胜辉管道科技有限公司</w:t>
            </w:r>
            <w:r>
              <w:rPr>
                <w:rFonts w:hint="eastAsia"/>
              </w:rPr>
              <w:t>新建1台固定式 X 射线实时成像检测装置包括曝光室、操作室和操作台等，在曝光室内使用</w:t>
            </w:r>
            <w:r>
              <w:t>1台固定式X射线</w:t>
            </w:r>
            <w:r>
              <w:rPr>
                <w:rFonts w:hint="eastAsia"/>
              </w:rPr>
              <w:t>实时成像检测</w:t>
            </w:r>
            <w:r>
              <w:t>装置，用于开展公司生产的金属壳体的无损检测。本项目</w:t>
            </w:r>
            <w:r>
              <w:rPr>
                <w:rFonts w:hint="eastAsia"/>
              </w:rPr>
              <w:t>X射线实时成像检测</w:t>
            </w:r>
            <w:r>
              <w:t>装置的型号为XYD-320型，其最大管电压为320kV，最大管电流为5.6mA。</w:t>
            </w:r>
            <w:r>
              <w:rPr>
                <w:rFonts w:hint="eastAsia"/>
              </w:rPr>
              <w:t xml:space="preserve">本项目 </w:t>
            </w:r>
            <w:r>
              <w:t>X</w:t>
            </w:r>
            <w:r>
              <w:rPr>
                <w:rFonts w:hint="eastAsia"/>
              </w:rPr>
              <w:t xml:space="preserve"> </w:t>
            </w:r>
            <w:r>
              <w:t>射线实时成像检测装置</w:t>
            </w:r>
            <w:r>
              <w:rPr>
                <w:rFonts w:hint="eastAsia"/>
              </w:rPr>
              <w:t>的主要参数如下表所示。</w:t>
            </w:r>
          </w:p>
          <w:p w14:paraId="59573F9A">
            <w:pPr>
              <w:pStyle w:val="21"/>
              <w:widowControl w:val="0"/>
            </w:pPr>
            <w:r>
              <w:rPr>
                <w:rFonts w:hint="eastAsia"/>
              </w:rPr>
              <w:t>表9-1 本项目X 射线实时成像检测装置主要设备参数</w:t>
            </w:r>
          </w:p>
          <w:tbl>
            <w:tblPr>
              <w:tblStyle w:val="13"/>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13"/>
              <w:gridCol w:w="1022"/>
              <w:gridCol w:w="651"/>
              <w:gridCol w:w="1062"/>
              <w:gridCol w:w="1029"/>
              <w:gridCol w:w="1318"/>
              <w:gridCol w:w="648"/>
              <w:gridCol w:w="1140"/>
              <w:gridCol w:w="763"/>
            </w:tblGrid>
            <w:tr w14:paraId="5C06BD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E57EAB3">
                  <w:pPr>
                    <w:pStyle w:val="24"/>
                    <w:widowControl w:val="0"/>
                  </w:pPr>
                  <w:r>
                    <w:rPr>
                      <w:rFonts w:hint="eastAsia"/>
                    </w:rPr>
                    <w:t>厂家</w:t>
                  </w:r>
                </w:p>
              </w:tc>
              <w:tc>
                <w:tcPr>
                  <w:tcW w:w="0" w:type="auto"/>
                  <w:vAlign w:val="center"/>
                </w:tcPr>
                <w:p w14:paraId="0DD3D53C">
                  <w:pPr>
                    <w:pStyle w:val="24"/>
                    <w:widowControl w:val="0"/>
                  </w:pPr>
                  <w:r>
                    <w:rPr>
                      <w:rFonts w:hint="eastAsia"/>
                    </w:rPr>
                    <w:t>型号</w:t>
                  </w:r>
                </w:p>
              </w:tc>
              <w:tc>
                <w:tcPr>
                  <w:tcW w:w="0" w:type="auto"/>
                  <w:vAlign w:val="center"/>
                </w:tcPr>
                <w:p w14:paraId="12A80A2F">
                  <w:pPr>
                    <w:pStyle w:val="24"/>
                    <w:widowControl w:val="0"/>
                  </w:pPr>
                  <w:r>
                    <w:rPr>
                      <w:rFonts w:hint="eastAsia"/>
                    </w:rPr>
                    <w:t>类别</w:t>
                  </w:r>
                </w:p>
              </w:tc>
              <w:tc>
                <w:tcPr>
                  <w:tcW w:w="0" w:type="auto"/>
                  <w:vAlign w:val="center"/>
                </w:tcPr>
                <w:p w14:paraId="539B6711">
                  <w:pPr>
                    <w:pStyle w:val="24"/>
                    <w:widowControl w:val="0"/>
                  </w:pPr>
                  <w:r>
                    <w:rPr>
                      <w:rFonts w:hint="eastAsia"/>
                    </w:rPr>
                    <w:t>最大管电压kV</w:t>
                  </w:r>
                </w:p>
              </w:tc>
              <w:tc>
                <w:tcPr>
                  <w:tcW w:w="1029" w:type="dxa"/>
                  <w:vAlign w:val="center"/>
                </w:tcPr>
                <w:p w14:paraId="0BCDE7A6">
                  <w:pPr>
                    <w:pStyle w:val="24"/>
                    <w:widowControl w:val="0"/>
                  </w:pPr>
                  <w:r>
                    <w:rPr>
                      <w:rFonts w:hint="eastAsia"/>
                    </w:rPr>
                    <w:t>最大管电流mA</w:t>
                  </w:r>
                </w:p>
              </w:tc>
              <w:tc>
                <w:tcPr>
                  <w:tcW w:w="1318" w:type="dxa"/>
                  <w:vAlign w:val="center"/>
                </w:tcPr>
                <w:p w14:paraId="753C7111">
                  <w:pPr>
                    <w:pStyle w:val="24"/>
                    <w:widowControl w:val="0"/>
                  </w:pPr>
                  <w:r>
                    <w:rPr>
                      <w:rFonts w:hint="eastAsia"/>
                    </w:rPr>
                    <w:t>辐射角</w:t>
                  </w:r>
                </w:p>
              </w:tc>
              <w:tc>
                <w:tcPr>
                  <w:tcW w:w="648" w:type="dxa"/>
                  <w:vAlign w:val="center"/>
                </w:tcPr>
                <w:p w14:paraId="2ACA87FF">
                  <w:pPr>
                    <w:pStyle w:val="24"/>
                    <w:widowControl w:val="0"/>
                  </w:pPr>
                  <w:r>
                    <w:rPr>
                      <w:rFonts w:hint="eastAsia"/>
                    </w:rPr>
                    <w:t>固有滤过</w:t>
                  </w:r>
                </w:p>
              </w:tc>
              <w:tc>
                <w:tcPr>
                  <w:tcW w:w="0" w:type="auto"/>
                  <w:vAlign w:val="center"/>
                </w:tcPr>
                <w:p w14:paraId="36D00DFD">
                  <w:pPr>
                    <w:pStyle w:val="24"/>
                    <w:widowControl w:val="0"/>
                  </w:pPr>
                  <w:r>
                    <w:rPr>
                      <w:rFonts w:hint="eastAsia"/>
                    </w:rPr>
                    <w:t>最大工件厚度</w:t>
                  </w:r>
                </w:p>
              </w:tc>
              <w:tc>
                <w:tcPr>
                  <w:tcW w:w="0" w:type="auto"/>
                  <w:vAlign w:val="center"/>
                </w:tcPr>
                <w:p w14:paraId="66B58045">
                  <w:pPr>
                    <w:pStyle w:val="24"/>
                    <w:widowControl w:val="0"/>
                  </w:pPr>
                  <w:r>
                    <w:rPr>
                      <w:rFonts w:hint="eastAsia"/>
                    </w:rPr>
                    <w:t>工作方式</w:t>
                  </w:r>
                </w:p>
              </w:tc>
            </w:tr>
            <w:tr w14:paraId="4259C90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jc w:val="center"/>
              </w:trPr>
              <w:tc>
                <w:tcPr>
                  <w:tcW w:w="0" w:type="auto"/>
                  <w:vAlign w:val="center"/>
                </w:tcPr>
                <w:p w14:paraId="099AB07D">
                  <w:pPr>
                    <w:pStyle w:val="24"/>
                    <w:widowControl w:val="0"/>
                  </w:pPr>
                  <w:r>
                    <w:rPr>
                      <w:rFonts w:hint="eastAsia"/>
                    </w:rPr>
                    <w:t>丹东新力探伤机厂</w:t>
                  </w:r>
                </w:p>
              </w:tc>
              <w:tc>
                <w:tcPr>
                  <w:tcW w:w="0" w:type="auto"/>
                  <w:vAlign w:val="center"/>
                </w:tcPr>
                <w:p w14:paraId="0E7164E2">
                  <w:pPr>
                    <w:pStyle w:val="24"/>
                    <w:widowControl w:val="0"/>
                  </w:pPr>
                  <w:r>
                    <w:rPr>
                      <w:rFonts w:hint="eastAsia"/>
                    </w:rPr>
                    <w:t>XYD-320型</w:t>
                  </w:r>
                </w:p>
              </w:tc>
              <w:tc>
                <w:tcPr>
                  <w:tcW w:w="0" w:type="auto"/>
                  <w:vAlign w:val="center"/>
                </w:tcPr>
                <w:p w14:paraId="2F37F1CB">
                  <w:pPr>
                    <w:pStyle w:val="24"/>
                    <w:widowControl w:val="0"/>
                  </w:pPr>
                  <w:r>
                    <w:rPr>
                      <w:rFonts w:hint="eastAsia"/>
                    </w:rPr>
                    <w:t>定向机</w:t>
                  </w:r>
                </w:p>
              </w:tc>
              <w:tc>
                <w:tcPr>
                  <w:tcW w:w="0" w:type="auto"/>
                  <w:vAlign w:val="center"/>
                </w:tcPr>
                <w:p w14:paraId="1043BB5C">
                  <w:pPr>
                    <w:pStyle w:val="24"/>
                    <w:widowControl w:val="0"/>
                  </w:pPr>
                  <w:r>
                    <w:rPr>
                      <w:rFonts w:hint="eastAsia"/>
                    </w:rPr>
                    <w:t>320</w:t>
                  </w:r>
                </w:p>
              </w:tc>
              <w:tc>
                <w:tcPr>
                  <w:tcW w:w="1029" w:type="dxa"/>
                  <w:vAlign w:val="center"/>
                </w:tcPr>
                <w:p w14:paraId="11777E42">
                  <w:pPr>
                    <w:pStyle w:val="24"/>
                    <w:widowControl w:val="0"/>
                  </w:pPr>
                  <w:r>
                    <w:rPr>
                      <w:rFonts w:hint="eastAsia"/>
                    </w:rPr>
                    <w:t>5.6</w:t>
                  </w:r>
                </w:p>
              </w:tc>
              <w:tc>
                <w:tcPr>
                  <w:tcW w:w="1318" w:type="dxa"/>
                  <w:vAlign w:val="center"/>
                </w:tcPr>
                <w:p w14:paraId="3033688B">
                  <w:pPr>
                    <w:pStyle w:val="24"/>
                    <w:widowControl w:val="0"/>
                  </w:pPr>
                  <w:r>
                    <w:t>40°×30°</w:t>
                  </w:r>
                </w:p>
              </w:tc>
              <w:tc>
                <w:tcPr>
                  <w:tcW w:w="648" w:type="dxa"/>
                  <w:vAlign w:val="center"/>
                </w:tcPr>
                <w:p w14:paraId="3F3E69AC">
                  <w:pPr>
                    <w:pStyle w:val="24"/>
                    <w:widowControl w:val="0"/>
                  </w:pPr>
                  <w:r>
                    <w:rPr>
                      <w:rFonts w:hint="eastAsia"/>
                    </w:rPr>
                    <w:t>3mm铍</w:t>
                  </w:r>
                </w:p>
              </w:tc>
              <w:tc>
                <w:tcPr>
                  <w:tcW w:w="0" w:type="auto"/>
                  <w:vAlign w:val="center"/>
                </w:tcPr>
                <w:p w14:paraId="5868C8C5">
                  <w:pPr>
                    <w:pStyle w:val="24"/>
                    <w:widowControl w:val="0"/>
                  </w:pPr>
                  <w:r>
                    <w:rPr>
                      <w:rFonts w:hint="eastAsia"/>
                    </w:rPr>
                    <w:t>35mm Fe</w:t>
                  </w:r>
                </w:p>
              </w:tc>
              <w:tc>
                <w:tcPr>
                  <w:tcW w:w="0" w:type="auto"/>
                  <w:vAlign w:val="center"/>
                </w:tcPr>
                <w:p w14:paraId="46EB0CE0">
                  <w:pPr>
                    <w:pStyle w:val="24"/>
                    <w:widowControl w:val="0"/>
                  </w:pPr>
                  <w:r>
                    <w:rPr>
                      <w:rFonts w:hint="eastAsia"/>
                    </w:rPr>
                    <w:t>连续工作</w:t>
                  </w:r>
                </w:p>
              </w:tc>
            </w:tr>
          </w:tbl>
          <w:p w14:paraId="4A6ABAFF">
            <w:pPr>
              <w:pStyle w:val="2"/>
              <w:widowControl w:val="0"/>
              <w:ind w:firstLine="480"/>
            </w:pPr>
            <w:r>
              <w:rPr>
                <w:rFonts w:hint="eastAsia"/>
              </w:rPr>
              <w:t>本项目 X 射线实时成像检测装置包括 X 射线管、控制箱、接收屏、计算机（图像处理）、机械传动系统、连接电缆等。控制箱和计算机位于操作室内，控制箱用于调节</w:t>
            </w:r>
            <w:r>
              <w:t>X 射线实时成像检测装置</w:t>
            </w:r>
            <w:r>
              <w:rPr>
                <w:rFonts w:hint="eastAsia"/>
              </w:rPr>
              <w:t>管电压、曝光时间以及设备的停启；计算机用于处理图像。连接电缆用于连接控制器和X射线管。X 射线管、接收屏和机械传动系统位于曝光室。X 射线管用于在控制箱设置条件下进行曝光探伤。本项目采用单壁透照法，即 X 射线管放在被检测金属壳体内，接收屏放在被检测金属壳体外。本项目 X 射线控制箱如下。</w:t>
            </w:r>
          </w:p>
          <w:p w14:paraId="058D36B2">
            <w:pPr>
              <w:pStyle w:val="23"/>
              <w:widowControl w:val="0"/>
            </w:pPr>
            <w:r>
              <w:rPr>
                <w:snapToGrid/>
              </w:rPr>
              <w:drawing>
                <wp:inline distT="0" distB="0" distL="0" distR="0">
                  <wp:extent cx="1705610" cy="3009900"/>
                  <wp:effectExtent l="0" t="0" r="8890" b="0"/>
                  <wp:docPr id="76708275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82756" name="图片 12"/>
                          <pic:cNvPicPr>
                            <a:picLocks noChangeAspect="1"/>
                          </pic:cNvPicPr>
                        </pic:nvPicPr>
                        <pic:blipFill>
                          <a:blip r:embed="rId15" cstate="print">
                            <a:extLst>
                              <a:ext uri="{28A0092B-C50C-407E-A947-70E740481C1C}">
                                <a14:useLocalDpi xmlns:a14="http://schemas.microsoft.com/office/drawing/2010/main" val="0"/>
                              </a:ext>
                            </a:extLst>
                          </a:blip>
                          <a:srcRect l="24376" t="16937" r="26865" b="18527"/>
                          <a:stretch>
                            <a:fillRect/>
                          </a:stretch>
                        </pic:blipFill>
                        <pic:spPr>
                          <a:xfrm>
                            <a:off x="0" y="0"/>
                            <a:ext cx="1718111" cy="3031961"/>
                          </a:xfrm>
                          <a:prstGeom prst="rect">
                            <a:avLst/>
                          </a:prstGeom>
                          <a:ln>
                            <a:noFill/>
                          </a:ln>
                        </pic:spPr>
                      </pic:pic>
                    </a:graphicData>
                  </a:graphic>
                </wp:inline>
              </w:drawing>
            </w:r>
          </w:p>
          <w:p w14:paraId="397FA42E">
            <w:pPr>
              <w:pStyle w:val="21"/>
              <w:widowControl w:val="0"/>
            </w:pPr>
            <w:r>
              <w:rPr>
                <w:rFonts w:hint="eastAsia"/>
              </w:rPr>
              <w:t>图 9-1 X 射线控制箱外观图</w:t>
            </w:r>
          </w:p>
          <w:p w14:paraId="37FA321A">
            <w:pPr>
              <w:pStyle w:val="3"/>
              <w:widowControl w:val="0"/>
              <w:jc w:val="both"/>
            </w:pPr>
            <w:r>
              <w:t>2</w:t>
            </w:r>
            <w:r>
              <w:rPr>
                <w:rFonts w:hint="eastAsia"/>
              </w:rPr>
              <w:t xml:space="preserve"> 工作原理</w:t>
            </w:r>
          </w:p>
          <w:p w14:paraId="3D05DA65">
            <w:pPr>
              <w:pStyle w:val="4"/>
              <w:widowControl w:val="0"/>
              <w:jc w:val="both"/>
            </w:pPr>
            <w:r>
              <w:t xml:space="preserve"> </w:t>
            </w:r>
            <w:r>
              <w:rPr>
                <w:rFonts w:hint="eastAsia"/>
              </w:rPr>
              <w:t xml:space="preserve">2.1 </w:t>
            </w:r>
            <w:r>
              <w:t>X 射线</w:t>
            </w:r>
            <w:r>
              <w:rPr>
                <w:rFonts w:hint="eastAsia"/>
              </w:rPr>
              <w:t>产生</w:t>
            </w:r>
            <w:r>
              <w:t>工作原理</w:t>
            </w:r>
          </w:p>
          <w:p w14:paraId="249839EC">
            <w:pPr>
              <w:pStyle w:val="2"/>
              <w:widowControl w:val="0"/>
              <w:ind w:firstLine="480"/>
            </w:pPr>
            <w:r>
              <w:rPr>
                <w:rFonts w:hint="eastAsia"/>
              </w:rPr>
              <w:t>X 射线实时成像检测装置核心部件是 X 射线管。X 射线管由阴极和阳极组成，阴极通常是装在聚焦杯中的钨灯丝，阳极笔则根据需要，可由不同的材料制成各种形状，一般用高原子序数的难熔金属（如钨、铂、金、钽等）制成，当灯丝通电加热时，电子就“蒸发”出来，而聚焦杯使这些电子聚集成束，直接向嵌在金属阳极中的靶体射击。高电压加在X射线管的两极之间，使电子在射到靶体之前被加速达到很高的速度，这些高速电子到达靶面被靶突然阻挡从而产生 X 射线，X射线的波长很短一般为0.001～0.1mm。X 射线以光速直线传播，不受电场和磁场的影响，可穿透物质，在穿透过程中有衰减，X 射线无损检测的实质是根据被检验工件与其内部缺欠介质对射线能量衰减程度不同，而引起射线透过工件后强度差异。X射线无损检测过程中，由于被检工件内部结构密度不同，其对射线的阻挡能力也不一样，物质的密度越大，射线强度减弱越大。当工件内部存在气孔、裂缝、夹渣等缺陷时，射线穿过有缺陷的路径比没有缺陷的路径所透过的物质密度要小得多，其强度减弱较小，即透过的射线强度较大，从而可以从图像上的差异判断焊接的质量、缺陷位置和被检样品内部的细微结构等。典型的X射线管结构图见下图。</w:t>
            </w:r>
          </w:p>
          <w:p w14:paraId="7EF2D56B">
            <w:pPr>
              <w:pStyle w:val="23"/>
              <w:widowControl w:val="0"/>
            </w:pPr>
            <w:r>
              <w:drawing>
                <wp:inline distT="0" distB="0" distL="0" distR="0">
                  <wp:extent cx="3310255" cy="1440180"/>
                  <wp:effectExtent l="0" t="0" r="4445" b="7620"/>
                  <wp:docPr id="60" name="图片 60"/>
                  <wp:cNvGraphicFramePr/>
                  <a:graphic xmlns:a="http://schemas.openxmlformats.org/drawingml/2006/main">
                    <a:graphicData uri="http://schemas.openxmlformats.org/drawingml/2006/picture">
                      <pic:pic xmlns:pic="http://schemas.openxmlformats.org/drawingml/2006/picture">
                        <pic:nvPicPr>
                          <pic:cNvPr id="60" name="图片 60"/>
                          <pic:cNvPicPr/>
                        </pic:nvPicPr>
                        <pic:blipFill>
                          <a:blip r:embed="rId16"/>
                          <a:stretch>
                            <a:fillRect/>
                          </a:stretch>
                        </pic:blipFill>
                        <pic:spPr>
                          <a:xfrm>
                            <a:off x="0" y="0"/>
                            <a:ext cx="3313447" cy="1441979"/>
                          </a:xfrm>
                          <a:prstGeom prst="rect">
                            <a:avLst/>
                          </a:prstGeom>
                        </pic:spPr>
                      </pic:pic>
                    </a:graphicData>
                  </a:graphic>
                </wp:inline>
              </w:drawing>
            </w:r>
          </w:p>
          <w:p w14:paraId="44F25D09">
            <w:pPr>
              <w:pStyle w:val="21"/>
              <w:widowControl w:val="0"/>
            </w:pPr>
            <w:r>
              <w:t xml:space="preserve">图 </w:t>
            </w:r>
            <w:r>
              <w:rPr>
                <w:rFonts w:eastAsia="Times New Roman"/>
              </w:rPr>
              <w:t>9-</w:t>
            </w:r>
            <w:r>
              <w:rPr>
                <w:rFonts w:hint="eastAsia"/>
              </w:rPr>
              <w:t xml:space="preserve">2 </w:t>
            </w:r>
            <w:r>
              <w:t xml:space="preserve">典型的 </w:t>
            </w:r>
            <w:r>
              <w:rPr>
                <w:rFonts w:eastAsia="Times New Roman"/>
                <w:spacing w:val="-6"/>
              </w:rPr>
              <w:t>X</w:t>
            </w:r>
            <w:r>
              <w:rPr>
                <w:rFonts w:eastAsia="Times New Roman"/>
              </w:rPr>
              <w:t xml:space="preserve"> </w:t>
            </w:r>
            <w:r>
              <w:t>射线管结构图</w:t>
            </w:r>
          </w:p>
          <w:p w14:paraId="122593E5">
            <w:pPr>
              <w:pStyle w:val="4"/>
              <w:widowControl w:val="0"/>
              <w:jc w:val="both"/>
            </w:pPr>
            <w:r>
              <w:rPr>
                <w:rFonts w:hint="eastAsia"/>
              </w:rPr>
              <w:t>2.2 X 射线实时成像检测装置原理</w:t>
            </w:r>
          </w:p>
          <w:p w14:paraId="1F36782B">
            <w:pPr>
              <w:pStyle w:val="2"/>
              <w:widowControl w:val="0"/>
              <w:ind w:firstLine="480"/>
            </w:pPr>
            <w:r>
              <w:t>X</w:t>
            </w:r>
            <w:r>
              <w:rPr>
                <w:rFonts w:hint="eastAsia"/>
              </w:rPr>
              <w:t xml:space="preserve"> </w:t>
            </w:r>
            <w:r>
              <w:t>射线实时成像检测装置基本原理是X射线管中加速的电子撞击阳极靶产生</w:t>
            </w:r>
            <w:r>
              <w:rPr>
                <w:rFonts w:hint="eastAsia"/>
              </w:rPr>
              <w:t xml:space="preserve"> </w:t>
            </w:r>
            <w:r>
              <w:t>X射线，X射线穿透被测</w:t>
            </w:r>
            <w:r>
              <w:rPr>
                <w:rFonts w:hint="eastAsia"/>
              </w:rPr>
              <w:t>金属壳体</w:t>
            </w:r>
            <w:r>
              <w:t>被图像增强器所接收，图像增强器把不可见的</w:t>
            </w:r>
            <w:r>
              <w:rPr>
                <w:rFonts w:hint="eastAsia"/>
              </w:rPr>
              <w:t xml:space="preserve"> </w:t>
            </w:r>
            <w:r>
              <w:t>X</w:t>
            </w:r>
            <w:r>
              <w:rPr>
                <w:rFonts w:hint="eastAsia"/>
              </w:rPr>
              <w:t xml:space="preserve"> </w:t>
            </w:r>
            <w:r>
              <w:t>射线检测信号转换为光学图像；用高清晰度电视摄像机摄取光学图像，输入计算机进行</w:t>
            </w:r>
            <w:r>
              <w:rPr>
                <w:rFonts w:hint="eastAsia"/>
              </w:rPr>
              <w:t xml:space="preserve"> </w:t>
            </w:r>
            <w:r>
              <w:t>A/D</w:t>
            </w:r>
            <w:r>
              <w:rPr>
                <w:rFonts w:hint="eastAsia"/>
              </w:rPr>
              <w:t xml:space="preserve"> </w:t>
            </w:r>
            <w:r>
              <w:t>转换，转换为数字图像，经计算机处理后，还原在显示器屏幕上显示出材料内部的缺陷性质、大小、位置等信息，再根据图像的灰度对检测结果进行缺陷等级评定，从而达到检测的目的。X</w:t>
            </w:r>
            <w:r>
              <w:rPr>
                <w:rFonts w:hint="eastAsia"/>
              </w:rPr>
              <w:t xml:space="preserve"> </w:t>
            </w:r>
            <w:r>
              <w:t>射线实时成像检测装置工作原理示意图见</w:t>
            </w:r>
            <w:r>
              <w:rPr>
                <w:rFonts w:hint="eastAsia"/>
              </w:rPr>
              <w:t>下图</w:t>
            </w:r>
            <w:r>
              <w:t>。</w:t>
            </w:r>
          </w:p>
          <w:p w14:paraId="09831263">
            <w:pPr>
              <w:pStyle w:val="23"/>
              <w:widowControl w:val="0"/>
            </w:pPr>
            <w:r>
              <w:rPr>
                <w:snapToGrid/>
              </w:rPr>
              <w:drawing>
                <wp:inline distT="0" distB="0" distL="0" distR="0">
                  <wp:extent cx="5448300" cy="2087245"/>
                  <wp:effectExtent l="0" t="0" r="0" b="8255"/>
                  <wp:docPr id="12499502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50299" name="图片 1"/>
                          <pic:cNvPicPr>
                            <a:picLocks noChangeAspect="1"/>
                          </pic:cNvPicPr>
                        </pic:nvPicPr>
                        <pic:blipFill>
                          <a:blip r:embed="rId17"/>
                          <a:stretch>
                            <a:fillRect/>
                          </a:stretch>
                        </pic:blipFill>
                        <pic:spPr>
                          <a:xfrm>
                            <a:off x="0" y="0"/>
                            <a:ext cx="5455102" cy="2090262"/>
                          </a:xfrm>
                          <a:prstGeom prst="rect">
                            <a:avLst/>
                          </a:prstGeom>
                        </pic:spPr>
                      </pic:pic>
                    </a:graphicData>
                  </a:graphic>
                </wp:inline>
              </w:drawing>
            </w:r>
          </w:p>
          <w:p w14:paraId="4429B5B7">
            <w:pPr>
              <w:pStyle w:val="21"/>
              <w:widowControl w:val="0"/>
            </w:pPr>
            <w:r>
              <w:rPr>
                <w:rFonts w:hint="eastAsia"/>
              </w:rPr>
              <w:t>图 9-3 典型 X 射线实时成像工作原理图</w:t>
            </w:r>
          </w:p>
          <w:p w14:paraId="0F2CFFD4">
            <w:pPr>
              <w:pStyle w:val="3"/>
              <w:widowControl w:val="0"/>
              <w:jc w:val="both"/>
            </w:pPr>
            <w:r>
              <w:t>3 X</w:t>
            </w:r>
            <w:r>
              <w:rPr>
                <w:rFonts w:hint="eastAsia"/>
              </w:rPr>
              <w:t xml:space="preserve"> </w:t>
            </w:r>
            <w:r>
              <w:t>射线</w:t>
            </w:r>
            <w:r>
              <w:rPr>
                <w:rFonts w:hint="eastAsia"/>
              </w:rPr>
              <w:t>实时成像检测装置</w:t>
            </w:r>
            <w:r>
              <w:t>工艺流程及产污环节</w:t>
            </w:r>
          </w:p>
          <w:p w14:paraId="5218BC91">
            <w:pPr>
              <w:pStyle w:val="2"/>
              <w:widowControl w:val="0"/>
              <w:ind w:firstLine="480"/>
            </w:pPr>
            <w:r>
              <w:rPr>
                <w:rFonts w:hint="eastAsia"/>
              </w:rPr>
              <w:t xml:space="preserve">本项目 </w:t>
            </w:r>
            <w:r>
              <w:t>X</w:t>
            </w:r>
            <w:r>
              <w:rPr>
                <w:rFonts w:hint="eastAsia"/>
              </w:rPr>
              <w:t xml:space="preserve"> 射线实时成像检测装置检测时，待检测管件经传送装置送入曝光室内（本项目被检测管件为直径630mm~3000mm，长12m的圆柱体），辐射工作人员在操作室内进行操作，对工件焊缝等需检测部位进行无损检测，其工作流程如下：</w:t>
            </w:r>
          </w:p>
          <w:p w14:paraId="1A06DFC5">
            <w:pPr>
              <w:pStyle w:val="2"/>
              <w:widowControl w:val="0"/>
              <w:ind w:firstLine="480"/>
            </w:pPr>
            <w:r>
              <w:rPr>
                <w:rFonts w:hint="eastAsia"/>
              </w:rPr>
              <w:t>（1）工作前检查曝光室机联锁装置、照射信号指示灯、急停按钮等辐射防护安全措施是否正常；</w:t>
            </w:r>
          </w:p>
          <w:p w14:paraId="14C33AEC">
            <w:pPr>
              <w:pStyle w:val="2"/>
              <w:widowControl w:val="0"/>
              <w:ind w:firstLine="480"/>
            </w:pPr>
            <w:r>
              <w:rPr>
                <w:rFonts w:hint="eastAsia"/>
              </w:rPr>
              <w:t>（2）将待检测管件通过传送装置从进/出料口送至曝光室内，在待检测焊缝区域到达曝光室的检测区域后停止传送装置；</w:t>
            </w:r>
          </w:p>
          <w:p w14:paraId="20B8259C">
            <w:pPr>
              <w:pStyle w:val="2"/>
              <w:widowControl w:val="0"/>
              <w:ind w:firstLine="480"/>
            </w:pPr>
            <w:r>
              <w:rPr>
                <w:rFonts w:hint="eastAsia"/>
              </w:rPr>
              <w:t>（3）辐射工作人员在操作室内操作，通过控制箱调整射线管位置至合适位置；</w:t>
            </w:r>
          </w:p>
          <w:p w14:paraId="53879C26">
            <w:pPr>
              <w:pStyle w:val="2"/>
              <w:widowControl w:val="0"/>
              <w:ind w:firstLine="480"/>
            </w:pPr>
            <w:r>
              <w:rPr>
                <w:rFonts w:hint="eastAsia"/>
              </w:rPr>
              <w:t xml:space="preserve">（4）进/出料口铅门关闭，辐射工作人员开启 </w:t>
            </w:r>
            <w:r>
              <w:t>X</w:t>
            </w:r>
            <w:r>
              <w:rPr>
                <w:rFonts w:hint="eastAsia"/>
              </w:rPr>
              <w:t xml:space="preserve"> 射线实时成像检测装置进行自动扫描检测，检测过程中会产生</w:t>
            </w:r>
            <w:r>
              <w:t>X</w:t>
            </w:r>
            <w:r>
              <w:rPr>
                <w:rFonts w:hint="eastAsia"/>
              </w:rPr>
              <w:t>射线及少量</w:t>
            </w:r>
            <w:r>
              <w:t>O</w:t>
            </w:r>
            <w:r>
              <w:rPr>
                <w:rFonts w:hint="eastAsia"/>
                <w:vertAlign w:val="subscript"/>
              </w:rPr>
              <w:t>3</w:t>
            </w:r>
            <w:r>
              <w:rPr>
                <w:rFonts w:hint="eastAsia"/>
              </w:rPr>
              <w:t>、</w:t>
            </w:r>
            <w:r>
              <w:t>NO</w:t>
            </w:r>
            <w:r>
              <w:rPr>
                <w:rFonts w:hint="eastAsia"/>
                <w:vertAlign w:val="subscript"/>
              </w:rPr>
              <w:t>X</w:t>
            </w:r>
            <w:r>
              <w:rPr>
                <w:rFonts w:hint="eastAsia"/>
              </w:rPr>
              <w:t>；</w:t>
            </w:r>
          </w:p>
          <w:p w14:paraId="147E4CC7">
            <w:pPr>
              <w:pStyle w:val="2"/>
              <w:widowControl w:val="0"/>
              <w:ind w:firstLine="480"/>
            </w:pPr>
            <w:r>
              <w:rPr>
                <w:rFonts w:hint="eastAsia"/>
              </w:rPr>
              <w:t>（5）通过操作室内的计算机对工件内部缺陷进行辨别；</w:t>
            </w:r>
          </w:p>
          <w:p w14:paraId="7A776BFB">
            <w:pPr>
              <w:pStyle w:val="2"/>
              <w:widowControl w:val="0"/>
              <w:ind w:firstLine="480"/>
            </w:pPr>
            <w:r>
              <w:rPr>
                <w:rFonts w:hint="eastAsia"/>
              </w:rPr>
              <w:t>（6）检测完毕后，关机，控制被检测工件由曝光室进/出料口传出。</w:t>
            </w:r>
          </w:p>
          <w:p w14:paraId="6CC4AB14">
            <w:pPr>
              <w:pStyle w:val="2"/>
              <w:widowControl w:val="0"/>
              <w:ind w:firstLine="468"/>
            </w:pPr>
            <w:r>
              <w:rPr>
                <w:spacing w:val="-6"/>
              </w:rPr>
              <w:t>本项目</w:t>
            </w:r>
            <w:r>
              <w:rPr>
                <w:rFonts w:hint="eastAsia"/>
                <w:spacing w:val="-6"/>
              </w:rPr>
              <w:t xml:space="preserve"> </w:t>
            </w:r>
            <w:r>
              <w:rPr>
                <w:spacing w:val="-3"/>
              </w:rPr>
              <w:t>X</w:t>
            </w:r>
            <w:r>
              <w:rPr>
                <w:rFonts w:hint="eastAsia"/>
                <w:spacing w:val="-3"/>
              </w:rPr>
              <w:t xml:space="preserve"> </w:t>
            </w:r>
            <w:r>
              <w:rPr>
                <w:spacing w:val="-6"/>
              </w:rPr>
              <w:t>射线</w:t>
            </w:r>
            <w:r>
              <w:rPr>
                <w:rFonts w:hint="eastAsia"/>
                <w:spacing w:val="-6"/>
              </w:rPr>
              <w:t>实时成像检测装置</w:t>
            </w:r>
            <w:r>
              <w:rPr>
                <w:spacing w:val="-3"/>
              </w:rPr>
              <w:t>工作流程及产污环节示意图见</w:t>
            </w:r>
            <w:r>
              <w:rPr>
                <w:rFonts w:hint="eastAsia"/>
                <w:spacing w:val="-3"/>
              </w:rPr>
              <w:t>下图</w:t>
            </w:r>
            <w:r>
              <w:rPr>
                <w:spacing w:val="-3"/>
              </w:rPr>
              <w:t>。</w:t>
            </w:r>
          </w:p>
          <w:p w14:paraId="4FE42210">
            <w:pPr>
              <w:pStyle w:val="23"/>
              <w:widowControl w:val="0"/>
            </w:pPr>
            <w:r>
              <w:drawing>
                <wp:inline distT="0" distB="0" distL="0" distR="0">
                  <wp:extent cx="5000625" cy="2066925"/>
                  <wp:effectExtent l="0" t="0" r="0" b="9525"/>
                  <wp:docPr id="7660396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039674" name="图片 1"/>
                          <pic:cNvPicPr>
                            <a:picLocks noChangeAspect="1"/>
                          </pic:cNvPicPr>
                        </pic:nvPicPr>
                        <pic:blipFill>
                          <a:blip r:embed="rId18"/>
                          <a:stretch>
                            <a:fillRect/>
                          </a:stretch>
                        </pic:blipFill>
                        <pic:spPr>
                          <a:xfrm>
                            <a:off x="0" y="0"/>
                            <a:ext cx="5008290" cy="2070152"/>
                          </a:xfrm>
                          <a:prstGeom prst="rect">
                            <a:avLst/>
                          </a:prstGeom>
                        </pic:spPr>
                      </pic:pic>
                    </a:graphicData>
                  </a:graphic>
                </wp:inline>
              </w:drawing>
            </w:r>
          </w:p>
          <w:p w14:paraId="7DFBAD21">
            <w:pPr>
              <w:pStyle w:val="21"/>
              <w:widowControl w:val="0"/>
              <w:rPr>
                <w:rFonts w:eastAsiaTheme="minorEastAsia"/>
              </w:rPr>
            </w:pPr>
            <w:r>
              <w:rPr>
                <w:spacing w:val="-4"/>
              </w:rPr>
              <w:t xml:space="preserve">图 </w:t>
            </w:r>
            <w:r>
              <w:rPr>
                <w:rFonts w:eastAsia="Times New Roman"/>
                <w:spacing w:val="-4"/>
              </w:rPr>
              <w:t xml:space="preserve">9-6  </w:t>
            </w:r>
            <w:r>
              <w:rPr>
                <w:spacing w:val="-4"/>
              </w:rPr>
              <w:t>本项目</w:t>
            </w:r>
            <w:r>
              <w:rPr>
                <w:rFonts w:hint="eastAsia"/>
                <w:spacing w:val="-4"/>
              </w:rPr>
              <w:t xml:space="preserve"> </w:t>
            </w:r>
            <w:r>
              <w:rPr>
                <w:rFonts w:eastAsia="Times New Roman"/>
              </w:rPr>
              <w:t>X</w:t>
            </w:r>
            <w:r>
              <w:rPr>
                <w:rFonts w:hint="eastAsia" w:eastAsiaTheme="minorEastAsia"/>
              </w:rPr>
              <w:t xml:space="preserve"> </w:t>
            </w:r>
            <w:r>
              <w:t>射线</w:t>
            </w:r>
            <w:r>
              <w:rPr>
                <w:rFonts w:hint="eastAsia"/>
              </w:rPr>
              <w:t>实时成像检测装置</w:t>
            </w:r>
            <w:r>
              <w:t>工作流程及产污环节分析示意图</w:t>
            </w:r>
          </w:p>
        </w:tc>
      </w:tr>
      <w:tr w14:paraId="6AEE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2" w:hRule="atLeast"/>
        </w:trPr>
        <w:tc>
          <w:tcPr>
            <w:tcW w:w="9072" w:type="dxa"/>
          </w:tcPr>
          <w:p w14:paraId="66ED07B7">
            <w:pPr>
              <w:pStyle w:val="28"/>
              <w:widowControl w:val="0"/>
              <w:jc w:val="both"/>
              <w:rPr>
                <w:b/>
                <w:bCs/>
              </w:rPr>
            </w:pPr>
            <w:r>
              <w:rPr>
                <w:b/>
                <w:bCs/>
                <w:spacing w:val="-2"/>
              </w:rPr>
              <w:t>污</w:t>
            </w:r>
            <w:r>
              <w:rPr>
                <w:b/>
                <w:bCs/>
              </w:rPr>
              <w:t>染源项描述</w:t>
            </w:r>
          </w:p>
          <w:p w14:paraId="2E4DE853">
            <w:pPr>
              <w:pStyle w:val="3"/>
              <w:widowControl w:val="0"/>
              <w:jc w:val="both"/>
            </w:pPr>
            <w:r>
              <w:t>1 放射性污染源分析</w:t>
            </w:r>
          </w:p>
          <w:p w14:paraId="7DD680C1">
            <w:pPr>
              <w:pStyle w:val="2"/>
              <w:widowControl w:val="0"/>
              <w:ind w:firstLine="480"/>
            </w:pPr>
            <w:r>
              <w:t>由 X 射线装置工作原理可知，</w:t>
            </w:r>
            <w:r>
              <w:rPr>
                <w:spacing w:val="-1"/>
              </w:rPr>
              <w:t>X</w:t>
            </w:r>
            <w:r>
              <w:t xml:space="preserve"> 射线是随机器的开、关而产生和消失。因此正常</w:t>
            </w:r>
            <w:r>
              <w:rPr>
                <w:spacing w:val="-30"/>
              </w:rPr>
              <w:t>工</w:t>
            </w:r>
            <w:r>
              <w:rPr>
                <w:spacing w:val="-18"/>
              </w:rPr>
              <w:t>况</w:t>
            </w:r>
            <w:r>
              <w:rPr>
                <w:spacing w:val="-15"/>
              </w:rPr>
              <w:t xml:space="preserve">时， 在开机曝光期间， </w:t>
            </w:r>
            <w:r>
              <w:rPr>
                <w:rFonts w:hint="eastAsia"/>
                <w:spacing w:val="-15"/>
              </w:rPr>
              <w:t>X 射线是项目主要污染物。本项目 X 射线辐射类型主要分为以下三类：</w:t>
            </w:r>
          </w:p>
          <w:p w14:paraId="57C6BC5E">
            <w:pPr>
              <w:pStyle w:val="2"/>
              <w:widowControl w:val="0"/>
              <w:ind w:firstLine="480"/>
              <w:rPr>
                <w:rFonts w:eastAsiaTheme="minorEastAsia"/>
              </w:rPr>
            </w:pPr>
            <w:r>
              <w:rPr>
                <w:rFonts w:hint="eastAsia" w:eastAsiaTheme="minorEastAsia"/>
              </w:rPr>
              <w:t>有用线束辐射：射线装置发出的用于工件检测的辐射束，又称主射线束。本项目 X 射线管固有滤波为3mm铍（支撑材料见附件7），参考《工业 X 射线探伤室辐射屏蔽规范》（GBZ/T 250-2014）表B.1，保守以300kV及400kV下 X 射线管输出量20.9</w:t>
            </w:r>
            <w:r>
              <w:t>mGy</w:t>
            </w:r>
            <w:r>
              <w:rPr>
                <w:rFonts w:eastAsia="Times New Roman" w:cs="Times New Roman"/>
              </w:rPr>
              <w:t>·m</w:t>
            </w:r>
            <w:r>
              <w:rPr>
                <w:rFonts w:eastAsia="Times New Roman" w:cs="Times New Roman"/>
                <w:position w:val="9"/>
                <w:sz w:val="16"/>
                <w:szCs w:val="16"/>
              </w:rPr>
              <w:t>2</w:t>
            </w:r>
            <w:r>
              <w:rPr>
                <w:rFonts w:eastAsia="Times New Roman" w:cs="Times New Roman"/>
              </w:rPr>
              <w:t>/(mA·</w:t>
            </w:r>
            <w:r>
              <w:rPr>
                <w:rFonts w:hint="eastAsia" w:cs="Times New Roman" w:eastAsiaTheme="minorEastAsia"/>
              </w:rPr>
              <w:t>min</w:t>
            </w:r>
            <w:r>
              <w:rPr>
                <w:rFonts w:eastAsia="Times New Roman" w:cs="Times New Roman"/>
              </w:rPr>
              <w:t>)</w:t>
            </w:r>
            <w:r>
              <w:t xml:space="preserve"> </w:t>
            </w:r>
            <w:r>
              <w:rPr>
                <w:rFonts w:hint="eastAsia"/>
              </w:rPr>
              <w:t>及23.5</w:t>
            </w:r>
            <w:r>
              <w:t>mGy</w:t>
            </w:r>
            <w:r>
              <w:rPr>
                <w:rFonts w:eastAsia="Times New Roman" w:cs="Times New Roman"/>
              </w:rPr>
              <w:t>·m</w:t>
            </w:r>
            <w:r>
              <w:rPr>
                <w:rFonts w:eastAsia="Times New Roman" w:cs="Times New Roman"/>
                <w:position w:val="9"/>
                <w:sz w:val="16"/>
                <w:szCs w:val="16"/>
              </w:rPr>
              <w:t>2</w:t>
            </w:r>
            <w:r>
              <w:rPr>
                <w:rFonts w:eastAsia="Times New Roman" w:cs="Times New Roman"/>
              </w:rPr>
              <w:t>/(mA·</w:t>
            </w:r>
            <w:r>
              <w:rPr>
                <w:rFonts w:hint="eastAsia" w:cs="Times New Roman" w:eastAsiaTheme="minorEastAsia"/>
              </w:rPr>
              <w:t>min</w:t>
            </w:r>
            <w:r>
              <w:rPr>
                <w:rFonts w:eastAsia="Times New Roman" w:cs="Times New Roman"/>
              </w:rPr>
              <w:t>)</w:t>
            </w:r>
            <w:r>
              <w:rPr>
                <w:rFonts w:hint="eastAsia" w:ascii="宋体" w:hAnsi="宋体" w:cs="宋体"/>
              </w:rPr>
              <w:t>进行插值计算得到，</w:t>
            </w:r>
            <w:r>
              <w:rPr>
                <w:rFonts w:cs="Times New Roman"/>
              </w:rPr>
              <w:t>320kV</w:t>
            </w:r>
            <w:r>
              <w:rPr>
                <w:rFonts w:hint="eastAsia" w:cs="Times New Roman"/>
              </w:rPr>
              <w:t>的 X 射线管1m处的输出量为21.4</w:t>
            </w:r>
            <w:r>
              <w:t xml:space="preserve"> mGy</w:t>
            </w:r>
            <w:r>
              <w:rPr>
                <w:rFonts w:eastAsia="Times New Roman" w:cs="Times New Roman"/>
              </w:rPr>
              <w:t>·m</w:t>
            </w:r>
            <w:r>
              <w:rPr>
                <w:rFonts w:eastAsia="Times New Roman" w:cs="Times New Roman"/>
                <w:position w:val="9"/>
                <w:sz w:val="16"/>
                <w:szCs w:val="16"/>
              </w:rPr>
              <w:t>2</w:t>
            </w:r>
            <w:r>
              <w:rPr>
                <w:rFonts w:eastAsia="Times New Roman" w:cs="Times New Roman"/>
              </w:rPr>
              <w:t>/(mA·</w:t>
            </w:r>
            <w:r>
              <w:rPr>
                <w:rFonts w:hint="eastAsia" w:cs="Times New Roman" w:eastAsiaTheme="minorEastAsia"/>
              </w:rPr>
              <w:t>min</w:t>
            </w:r>
            <w:r>
              <w:rPr>
                <w:rFonts w:eastAsia="Times New Roman" w:cs="Times New Roman"/>
              </w:rPr>
              <w:t>)</w:t>
            </w:r>
            <w:r>
              <w:rPr>
                <w:rFonts w:hint="eastAsia" w:ascii="宋体" w:hAnsi="宋体" w:cs="宋体"/>
              </w:rPr>
              <w:t>。</w:t>
            </w:r>
          </w:p>
          <w:p w14:paraId="06BA338D">
            <w:pPr>
              <w:pStyle w:val="2"/>
              <w:widowControl w:val="0"/>
              <w:ind w:firstLine="480"/>
            </w:pPr>
            <w:r>
              <w:rPr>
                <w:rFonts w:hint="eastAsia"/>
              </w:rPr>
              <w:t>漏射线辐射：由辐射源点在各个方向上从屏蔽装置中泄漏出来的射线称为漏射线。参考《工业探伤放射防护标准》（</w:t>
            </w:r>
            <w:r>
              <w:t>GBZ117-2022</w:t>
            </w:r>
            <w:r>
              <w:rPr>
                <w:rFonts w:hint="eastAsia"/>
              </w:rPr>
              <w:t>）表</w:t>
            </w:r>
            <w:r>
              <w:t>1</w:t>
            </w:r>
            <w:r>
              <w:rPr>
                <w:rFonts w:hint="eastAsia"/>
              </w:rPr>
              <w:t xml:space="preserve">，本项目距 </w:t>
            </w:r>
            <w:r>
              <w:t>X</w:t>
            </w:r>
            <w:r>
              <w:rPr>
                <w:rFonts w:hint="eastAsia"/>
              </w:rPr>
              <w:t xml:space="preserve"> 射线机辐射源点（靶点）</w:t>
            </w:r>
            <w:r>
              <w:t>1m</w:t>
            </w:r>
            <w:r>
              <w:rPr>
                <w:rFonts w:hint="eastAsia"/>
              </w:rPr>
              <w:t>处的泄漏辐射剂量率为</w:t>
            </w:r>
            <w:r>
              <w:t>5×10</w:t>
            </w:r>
            <w:r>
              <w:rPr>
                <w:rFonts w:hint="eastAsia"/>
                <w:vertAlign w:val="superscript"/>
              </w:rPr>
              <w:t>3</w:t>
            </w:r>
            <w:r>
              <w:rPr>
                <w:rFonts w:cs="Times New Roman"/>
              </w:rPr>
              <w:t>μ</w:t>
            </w:r>
            <w:r>
              <w:rPr>
                <w:rFonts w:hint="eastAsia"/>
              </w:rPr>
              <w:t>Sv</w:t>
            </w:r>
            <w:r>
              <w:t>/h</w:t>
            </w:r>
            <w:r>
              <w:rPr>
                <w:rFonts w:hint="eastAsia"/>
              </w:rPr>
              <w:t>。</w:t>
            </w:r>
          </w:p>
          <w:p w14:paraId="499A5580">
            <w:pPr>
              <w:pStyle w:val="2"/>
              <w:widowControl w:val="0"/>
              <w:ind w:firstLine="480"/>
            </w:pPr>
            <w:r>
              <w:rPr>
                <w:rFonts w:hint="eastAsia"/>
              </w:rPr>
              <w:t>散射辐射：当主射线照射到检测工件时，会产生散布于各个方面上的散射辐射，参考《工业</w:t>
            </w:r>
            <w:r>
              <w:t>X</w:t>
            </w:r>
            <w:r>
              <w:rPr>
                <w:rFonts w:hint="eastAsia"/>
              </w:rPr>
              <w:t>射线探伤室屏蔽屏蔽规范》（</w:t>
            </w:r>
            <w:r>
              <w:t>GBZ/T250-2014</w:t>
            </w:r>
            <w:r>
              <w:rPr>
                <w:rFonts w:hint="eastAsia"/>
              </w:rPr>
              <w:t>）表</w:t>
            </w:r>
            <w:r>
              <w:t>2</w:t>
            </w:r>
            <w:r>
              <w:rPr>
                <w:rFonts w:hint="eastAsia"/>
              </w:rPr>
              <w:t>，320</w:t>
            </w:r>
            <w:r>
              <w:t>kV</w:t>
            </w:r>
            <w:r>
              <w:rPr>
                <w:rFonts w:hint="eastAsia"/>
              </w:rPr>
              <w:t>的</w:t>
            </w:r>
            <w:r>
              <w:t>X</w:t>
            </w:r>
            <w:r>
              <w:rPr>
                <w:rFonts w:hint="eastAsia"/>
              </w:rPr>
              <w:t>射线</w:t>
            </w:r>
            <w:r>
              <w:t>90°</w:t>
            </w:r>
            <w:r>
              <w:rPr>
                <w:rFonts w:hint="eastAsia"/>
              </w:rPr>
              <w:t>散射辐射相应的</w:t>
            </w:r>
            <w:r>
              <w:t>X</w:t>
            </w:r>
            <w:r>
              <w:rPr>
                <w:rFonts w:hint="eastAsia"/>
              </w:rPr>
              <w:t>射线为</w:t>
            </w:r>
            <w:r>
              <w:t>2</w:t>
            </w:r>
            <w:r>
              <w:rPr>
                <w:rFonts w:hint="eastAsia"/>
              </w:rPr>
              <w:t>5</w:t>
            </w:r>
            <w:r>
              <w:t>0kV</w:t>
            </w:r>
            <w:r>
              <w:rPr>
                <w:rFonts w:hint="eastAsia"/>
              </w:rPr>
              <w:t>。</w:t>
            </w:r>
          </w:p>
          <w:p w14:paraId="5EA7DB7B">
            <w:pPr>
              <w:pStyle w:val="2"/>
              <w:widowControl w:val="0"/>
              <w:ind w:firstLine="480"/>
            </w:pPr>
            <w:r>
              <w:rPr>
                <w:rFonts w:hint="eastAsia"/>
              </w:rPr>
              <w:t>详细参数见下表。</w:t>
            </w:r>
          </w:p>
          <w:p w14:paraId="416DD5E6">
            <w:pPr>
              <w:pStyle w:val="21"/>
              <w:widowControl w:val="0"/>
            </w:pPr>
            <w:r>
              <w:rPr>
                <w:rFonts w:hint="eastAsia"/>
              </w:rPr>
              <w:t>表9-1 本项目 X 射线实时成像检测装置参数一览表</w:t>
            </w:r>
          </w:p>
          <w:tbl>
            <w:tblPr>
              <w:tblStyle w:val="13"/>
              <w:tblW w:w="0" w:type="auto"/>
              <w:tblInd w:w="113"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316"/>
              <w:gridCol w:w="6417"/>
            </w:tblGrid>
            <w:tr w14:paraId="221947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19" w:type="dxa"/>
                  <w:vAlign w:val="center"/>
                </w:tcPr>
                <w:p w14:paraId="7DF8D242">
                  <w:pPr>
                    <w:pStyle w:val="24"/>
                    <w:widowControl w:val="0"/>
                  </w:pPr>
                  <w:r>
                    <w:rPr>
                      <w:rFonts w:hint="eastAsia"/>
                    </w:rPr>
                    <w:t>设备型号</w:t>
                  </w:r>
                </w:p>
              </w:tc>
              <w:tc>
                <w:tcPr>
                  <w:tcW w:w="6424" w:type="dxa"/>
                  <w:vAlign w:val="center"/>
                </w:tcPr>
                <w:p w14:paraId="4DA73140">
                  <w:pPr>
                    <w:pStyle w:val="24"/>
                    <w:widowControl w:val="0"/>
                  </w:pPr>
                  <w:r>
                    <w:rPr>
                      <w:rFonts w:hint="eastAsia"/>
                    </w:rPr>
                    <w:t>XYD-320型 X 射线实时成像检测装置</w:t>
                  </w:r>
                </w:p>
              </w:tc>
            </w:tr>
            <w:tr w14:paraId="05E8026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19" w:type="dxa"/>
                  <w:vAlign w:val="center"/>
                </w:tcPr>
                <w:p w14:paraId="3EC8BA82">
                  <w:pPr>
                    <w:pStyle w:val="24"/>
                    <w:widowControl w:val="0"/>
                  </w:pPr>
                  <w:r>
                    <w:rPr>
                      <w:rFonts w:hint="eastAsia"/>
                    </w:rPr>
                    <w:t>最大管电压</w:t>
                  </w:r>
                </w:p>
              </w:tc>
              <w:tc>
                <w:tcPr>
                  <w:tcW w:w="6424" w:type="dxa"/>
                  <w:vAlign w:val="center"/>
                </w:tcPr>
                <w:p w14:paraId="35A7EAD0">
                  <w:pPr>
                    <w:pStyle w:val="24"/>
                    <w:widowControl w:val="0"/>
                  </w:pPr>
                  <w:r>
                    <w:rPr>
                      <w:rFonts w:hint="eastAsia"/>
                    </w:rPr>
                    <w:t>320kV</w:t>
                  </w:r>
                </w:p>
              </w:tc>
            </w:tr>
            <w:tr w14:paraId="4A69DB0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19" w:type="dxa"/>
                  <w:vAlign w:val="center"/>
                </w:tcPr>
                <w:p w14:paraId="30B034C2">
                  <w:pPr>
                    <w:pStyle w:val="24"/>
                    <w:widowControl w:val="0"/>
                  </w:pPr>
                  <w:r>
                    <w:rPr>
                      <w:rFonts w:hint="eastAsia"/>
                    </w:rPr>
                    <w:t>最大管电流</w:t>
                  </w:r>
                </w:p>
              </w:tc>
              <w:tc>
                <w:tcPr>
                  <w:tcW w:w="6424" w:type="dxa"/>
                  <w:vAlign w:val="center"/>
                </w:tcPr>
                <w:p w14:paraId="72E4B111">
                  <w:pPr>
                    <w:pStyle w:val="24"/>
                    <w:widowControl w:val="0"/>
                  </w:pPr>
                  <w:r>
                    <w:rPr>
                      <w:rFonts w:hint="eastAsia"/>
                    </w:rPr>
                    <w:t>5.6mA</w:t>
                  </w:r>
                </w:p>
              </w:tc>
            </w:tr>
            <w:tr w14:paraId="69DA90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19" w:type="dxa"/>
                  <w:vAlign w:val="center"/>
                </w:tcPr>
                <w:p w14:paraId="5A046D23">
                  <w:pPr>
                    <w:pStyle w:val="24"/>
                    <w:widowControl w:val="0"/>
                  </w:pPr>
                  <w:r>
                    <w:rPr>
                      <w:rFonts w:hint="eastAsia"/>
                    </w:rPr>
                    <w:t>X 射线机的发射率常数</w:t>
                  </w:r>
                </w:p>
              </w:tc>
              <w:tc>
                <w:tcPr>
                  <w:tcW w:w="6424" w:type="dxa"/>
                  <w:vAlign w:val="center"/>
                </w:tcPr>
                <w:p w14:paraId="76DBD07F">
                  <w:pPr>
                    <w:pStyle w:val="24"/>
                    <w:widowControl w:val="0"/>
                  </w:pPr>
                  <w:r>
                    <w:rPr>
                      <w:rFonts w:hint="eastAsia"/>
                    </w:rPr>
                    <w:t>21.4</w:t>
                  </w:r>
                  <w:r>
                    <w:t xml:space="preserve"> mGy</w:t>
                  </w:r>
                  <w:r>
                    <w:rPr>
                      <w:rFonts w:eastAsia="Times New Roman"/>
                    </w:rPr>
                    <w:t>·m</w:t>
                  </w:r>
                  <w:r>
                    <w:rPr>
                      <w:rFonts w:eastAsia="Times New Roman"/>
                      <w:position w:val="9"/>
                      <w:sz w:val="16"/>
                      <w:szCs w:val="16"/>
                    </w:rPr>
                    <w:t>2</w:t>
                  </w:r>
                  <w:r>
                    <w:rPr>
                      <w:rFonts w:eastAsia="Times New Roman"/>
                    </w:rPr>
                    <w:t>/(mA·</w:t>
                  </w:r>
                  <w:r>
                    <w:rPr>
                      <w:rFonts w:hint="eastAsia" w:eastAsiaTheme="minorEastAsia"/>
                    </w:rPr>
                    <w:t>min</w:t>
                  </w:r>
                  <w:r>
                    <w:rPr>
                      <w:rFonts w:eastAsia="Times New Roman"/>
                    </w:rPr>
                    <w:t>)</w:t>
                  </w:r>
                </w:p>
              </w:tc>
            </w:tr>
            <w:tr w14:paraId="76A242E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19" w:type="dxa"/>
                  <w:vAlign w:val="center"/>
                </w:tcPr>
                <w:p w14:paraId="00F3A04A">
                  <w:pPr>
                    <w:pStyle w:val="24"/>
                    <w:widowControl w:val="0"/>
                  </w:pPr>
                  <w:r>
                    <w:rPr>
                      <w:rFonts w:hint="eastAsia"/>
                    </w:rPr>
                    <w:t>泄漏辐射剂量率</w:t>
                  </w:r>
                </w:p>
              </w:tc>
              <w:tc>
                <w:tcPr>
                  <w:tcW w:w="6424" w:type="dxa"/>
                  <w:vAlign w:val="center"/>
                </w:tcPr>
                <w:p w14:paraId="1D58E6FD">
                  <w:pPr>
                    <w:pStyle w:val="24"/>
                    <w:widowControl w:val="0"/>
                  </w:pPr>
                  <w:r>
                    <w:t>5×10</w:t>
                  </w:r>
                  <w:r>
                    <w:rPr>
                      <w:rFonts w:hint="eastAsia"/>
                      <w:vertAlign w:val="superscript"/>
                    </w:rPr>
                    <w:t>3</w:t>
                  </w:r>
                  <w:r>
                    <w:t>μ</w:t>
                  </w:r>
                  <w:r>
                    <w:rPr>
                      <w:rFonts w:hint="eastAsia"/>
                    </w:rPr>
                    <w:t>Sv</w:t>
                  </w:r>
                  <w:r>
                    <w:t>/h</w:t>
                  </w:r>
                </w:p>
              </w:tc>
            </w:tr>
            <w:tr w14:paraId="6AAABA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19" w:type="dxa"/>
                  <w:vAlign w:val="center"/>
                </w:tcPr>
                <w:p w14:paraId="49EDE988">
                  <w:pPr>
                    <w:pStyle w:val="24"/>
                    <w:widowControl w:val="0"/>
                  </w:pPr>
                  <w:r>
                    <w:rPr>
                      <w:rFonts w:hint="eastAsia"/>
                    </w:rPr>
                    <w:t>90°散射后能量</w:t>
                  </w:r>
                </w:p>
              </w:tc>
              <w:tc>
                <w:tcPr>
                  <w:tcW w:w="6424" w:type="dxa"/>
                  <w:vAlign w:val="center"/>
                </w:tcPr>
                <w:p w14:paraId="4724D275">
                  <w:pPr>
                    <w:pStyle w:val="24"/>
                    <w:widowControl w:val="0"/>
                  </w:pPr>
                  <w:r>
                    <w:rPr>
                      <w:rFonts w:hint="eastAsia"/>
                    </w:rPr>
                    <w:t>250kV</w:t>
                  </w:r>
                </w:p>
              </w:tc>
            </w:tr>
          </w:tbl>
          <w:p w14:paraId="05D394BF">
            <w:pPr>
              <w:pStyle w:val="2"/>
              <w:widowControl w:val="0"/>
              <w:ind w:firstLine="480"/>
            </w:pPr>
            <w:r>
              <w:rPr>
                <w:rFonts w:hint="eastAsia"/>
              </w:rPr>
              <w:t>本项目运行过程中无放射性废水、放射性固体废物、放射性废气产生。</w:t>
            </w:r>
          </w:p>
          <w:p w14:paraId="20FE2314">
            <w:pPr>
              <w:pStyle w:val="3"/>
              <w:widowControl w:val="0"/>
              <w:jc w:val="both"/>
            </w:pPr>
            <w:r>
              <w:rPr>
                <w:spacing w:val="1"/>
              </w:rPr>
              <w:t xml:space="preserve">2 </w:t>
            </w:r>
            <w:r>
              <w:t>非放射性污染源分析</w:t>
            </w:r>
          </w:p>
          <w:p w14:paraId="509478E0">
            <w:pPr>
              <w:pStyle w:val="2"/>
              <w:widowControl w:val="0"/>
              <w:ind w:firstLine="480"/>
              <w:rPr>
                <w:b/>
                <w:bCs/>
                <w:spacing w:val="-1"/>
              </w:rPr>
            </w:pPr>
            <w:r>
              <w:t>X</w:t>
            </w:r>
            <w:r>
              <w:rPr>
                <w:rFonts w:hint="eastAsia"/>
              </w:rPr>
              <w:t xml:space="preserve"> </w:t>
            </w:r>
            <w:r>
              <w:rPr>
                <w:spacing w:val="-2"/>
              </w:rPr>
              <w:t>射线</w:t>
            </w:r>
            <w:r>
              <w:rPr>
                <w:rFonts w:hint="eastAsia"/>
                <w:spacing w:val="-2"/>
              </w:rPr>
              <w:t>设备</w:t>
            </w:r>
            <w:r>
              <w:rPr>
                <w:spacing w:val="-2"/>
              </w:rPr>
              <w:t xml:space="preserve">在工作状态时，产生的 </w:t>
            </w:r>
            <w:r>
              <w:t>X</w:t>
            </w:r>
            <w:r>
              <w:rPr>
                <w:spacing w:val="-2"/>
              </w:rPr>
              <w:t xml:space="preserve"> 射线会使空气电离产生少量臭氧和</w:t>
            </w:r>
            <w:r>
              <w:rPr>
                <w:spacing w:val="-1"/>
              </w:rPr>
              <w:t>氮</w:t>
            </w:r>
            <w:r>
              <w:rPr>
                <w:spacing w:val="-16"/>
              </w:rPr>
              <w:t>氧化</w:t>
            </w:r>
            <w:r>
              <w:rPr>
                <w:spacing w:val="-10"/>
              </w:rPr>
              <w:t>物</w:t>
            </w:r>
            <w:r>
              <w:rPr>
                <w:spacing w:val="-8"/>
              </w:rPr>
              <w:t>，臭氧在空气中短时间内可自动分解为氧气，其产生的臭氧和氮氧化物对周围</w:t>
            </w:r>
            <w:r>
              <w:rPr>
                <w:spacing w:val="-1"/>
              </w:rPr>
              <w:t>环境空气质量影响较小</w:t>
            </w:r>
            <w:r>
              <w:t>。</w:t>
            </w:r>
            <w:r>
              <w:rPr>
                <w:rFonts w:hint="eastAsia"/>
              </w:rPr>
              <w:t>本项目X射线设备成像为实时在线成像，因此没有胶片曝光产生的危险废物。</w:t>
            </w:r>
          </w:p>
        </w:tc>
      </w:tr>
    </w:tbl>
    <w:p w14:paraId="4ABE66F8"/>
    <w:p w14:paraId="05810559">
      <w:pPr>
        <w:sectPr>
          <w:pgSz w:w="11907" w:h="16841"/>
          <w:pgMar w:top="1418" w:right="1134" w:bottom="1418" w:left="1701" w:header="0" w:footer="1134" w:gutter="0"/>
          <w:cols w:space="720" w:num="1"/>
        </w:sectPr>
      </w:pPr>
    </w:p>
    <w:p w14:paraId="41B6E539">
      <w:pPr>
        <w:pStyle w:val="11"/>
      </w:pPr>
      <w:r>
        <w:t>表 10  辐射安全与防护</w:t>
      </w:r>
    </w:p>
    <w:tbl>
      <w:tblPr>
        <w:tblStyle w:val="15"/>
        <w:tblW w:w="907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75"/>
      </w:tblGrid>
      <w:tr w14:paraId="6810CE8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776" w:hRule="atLeast"/>
        </w:trPr>
        <w:tc>
          <w:tcPr>
            <w:tcW w:w="9075" w:type="dxa"/>
          </w:tcPr>
          <w:p w14:paraId="208496E6">
            <w:pPr>
              <w:pStyle w:val="28"/>
              <w:rPr>
                <w:b/>
                <w:bCs/>
              </w:rPr>
            </w:pPr>
            <w:r>
              <w:rPr>
                <w:b/>
                <w:bCs/>
              </w:rPr>
              <w:t>项目安</w:t>
            </w:r>
            <w:r>
              <w:rPr>
                <w:b/>
                <w:bCs/>
                <w:spacing w:val="-1"/>
              </w:rPr>
              <w:t>全措施</w:t>
            </w:r>
          </w:p>
          <w:p w14:paraId="199DAB35">
            <w:pPr>
              <w:pStyle w:val="3"/>
            </w:pPr>
            <w:r>
              <w:rPr>
                <w:rFonts w:eastAsia="Times New Roman" w:cs="Times New Roman"/>
                <w:spacing w:val="-1"/>
              </w:rPr>
              <w:t xml:space="preserve">1  </w:t>
            </w:r>
            <w:r>
              <w:rPr>
                <w:spacing w:val="-1"/>
              </w:rPr>
              <w:t>项目</w:t>
            </w:r>
            <w:r>
              <w:t>布局及分区合理性分析</w:t>
            </w:r>
          </w:p>
          <w:p w14:paraId="4A1F30FA">
            <w:pPr>
              <w:pStyle w:val="2"/>
              <w:ind w:firstLine="472"/>
              <w:rPr>
                <w:spacing w:val="-2"/>
              </w:rPr>
            </w:pPr>
            <w:r>
              <w:rPr>
                <w:rFonts w:hint="eastAsia"/>
                <w:spacing w:val="-4"/>
              </w:rPr>
              <w:t>江阴市胜辉管道科技有限公司</w:t>
            </w:r>
            <w:r>
              <w:rPr>
                <w:spacing w:val="-2"/>
              </w:rPr>
              <w:t>新建</w:t>
            </w:r>
            <w:r>
              <w:rPr>
                <w:rFonts w:hint="eastAsia"/>
                <w:spacing w:val="-2"/>
              </w:rPr>
              <w:t xml:space="preserve">1台固定式 </w:t>
            </w:r>
            <w:r>
              <w:rPr>
                <w:spacing w:val="-2"/>
              </w:rPr>
              <w:t>X 射线</w:t>
            </w:r>
            <w:r>
              <w:rPr>
                <w:rFonts w:hint="eastAsia"/>
                <w:spacing w:val="-2"/>
              </w:rPr>
              <w:t>实时成像检测装置包括曝光室、操作室和操作台等，其操作室位于曝光室西侧，主射线垂直朝上照射。本项目 X 射线实时成像检测装置布局设计满足《工业探伤放射防护标准》（GBZ 117-2022）中关于操作室与曝光室室分开设置及操作室应避开有用线束照射方向的要求，布局设计合理。</w:t>
            </w:r>
          </w:p>
          <w:p w14:paraId="50BDC5D4">
            <w:pPr>
              <w:pStyle w:val="2"/>
              <w:ind w:firstLine="480"/>
            </w:pPr>
            <w:r>
              <w:rPr>
                <w:rFonts w:hint="eastAsia"/>
              </w:rPr>
              <w:t>本项目拟将 X 射线实时成像检测装置的曝光室作为本项目的辐射防护控制区，在曝光室表面明显位置设置电离辐射警告标志及中文警示说明，工作时任何人不得进入；拟将 X 射线实时成像检测装置的操作室作为辐射防护监督区，设置明显的电离辐射警示标志和警告标语，并拟设立表明监督区的标牌，工作时无关人员不得进入。本项目 X 射线实时成像检测装置平面布局及分区图示意见下图，其中</w:t>
            </w:r>
            <w:r>
              <w:rPr>
                <w:rFonts w:hint="eastAsia"/>
                <w:color w:val="auto"/>
              </w:rPr>
              <w:t>红色阴影</w:t>
            </w:r>
            <w:r>
              <w:rPr>
                <w:rFonts w:hint="eastAsia"/>
              </w:rPr>
              <w:t>部分表示控制区，蓝色阴影部分表示监督区。本项目辐射防护分区的划分符合</w:t>
            </w:r>
            <w:r>
              <w:t>《工业探伤放射防护标准》（GBZ 117-2022）中</w:t>
            </w:r>
            <w:r>
              <w:rPr>
                <w:rFonts w:hint="eastAsia"/>
              </w:rPr>
              <w:t>关于辐射工作场所的分区规定。</w:t>
            </w:r>
          </w:p>
          <w:p w14:paraId="7660425F">
            <w:pPr>
              <w:pStyle w:val="23"/>
            </w:pPr>
            <w:r>
              <w:rPr>
                <w:snapToGrid/>
              </w:rPr>
              <w:drawing>
                <wp:inline distT="0" distB="0" distL="0" distR="0">
                  <wp:extent cx="5759450" cy="2451735"/>
                  <wp:effectExtent l="0" t="0" r="0" b="5715"/>
                  <wp:docPr id="13707646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764616" name="图片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2800" cy="2453161"/>
                          </a:xfrm>
                          <a:prstGeom prst="rect">
                            <a:avLst/>
                          </a:prstGeom>
                        </pic:spPr>
                      </pic:pic>
                    </a:graphicData>
                  </a:graphic>
                </wp:inline>
              </w:drawing>
            </w:r>
          </w:p>
          <w:p w14:paraId="7B78E5B2">
            <w:pPr>
              <w:pStyle w:val="21"/>
              <w:rPr>
                <w:rFonts w:hint="eastAsia" w:ascii="宋体" w:hAnsi="宋体" w:cs="宋体"/>
              </w:rPr>
            </w:pPr>
            <w:r>
              <w:rPr>
                <w:spacing w:val="-6"/>
              </w:rPr>
              <w:t xml:space="preserve">图 </w:t>
            </w:r>
            <w:r>
              <w:rPr>
                <w:rFonts w:eastAsia="Times New Roman"/>
                <w:spacing w:val="-6"/>
              </w:rPr>
              <w:t>1</w:t>
            </w:r>
            <w:r>
              <w:rPr>
                <w:rFonts w:eastAsia="Times New Roman"/>
                <w:spacing w:val="-5"/>
              </w:rPr>
              <w:t>0</w:t>
            </w:r>
            <w:r>
              <w:rPr>
                <w:rFonts w:eastAsia="Times New Roman"/>
              </w:rPr>
              <w:t xml:space="preserve">-1  </w:t>
            </w:r>
            <w:r>
              <w:t>本项目</w:t>
            </w:r>
            <w:r>
              <w:rPr>
                <w:rFonts w:hint="eastAsia"/>
              </w:rPr>
              <w:t xml:space="preserve"> X 射线实时成像检测装置</w:t>
            </w:r>
            <w:r>
              <w:t>平面布局及分区图</w:t>
            </w:r>
          </w:p>
        </w:tc>
      </w:tr>
    </w:tbl>
    <w:p w14:paraId="67CF19FB">
      <w:pPr>
        <w:sectPr>
          <w:pgSz w:w="11907" w:h="16841"/>
          <w:pgMar w:top="1418" w:right="1134" w:bottom="1418" w:left="1701" w:header="0" w:footer="1134" w:gutter="0"/>
          <w:cols w:space="720" w:num="1"/>
        </w:sectPr>
      </w:pPr>
    </w:p>
    <w:p w14:paraId="0F249A56">
      <w:pPr>
        <w:spacing w:line="99" w:lineRule="exact"/>
      </w:pPr>
    </w:p>
    <w:tbl>
      <w:tblPr>
        <w:tblStyle w:val="15"/>
        <w:tblW w:w="90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3"/>
        <w:gridCol w:w="2977"/>
        <w:gridCol w:w="2126"/>
        <w:gridCol w:w="1709"/>
      </w:tblGrid>
      <w:tr w14:paraId="6F65E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9" w:hRule="atLeast"/>
        </w:trPr>
        <w:tc>
          <w:tcPr>
            <w:tcW w:w="9075" w:type="dxa"/>
            <w:gridSpan w:val="4"/>
          </w:tcPr>
          <w:p w14:paraId="0A419B27">
            <w:pPr>
              <w:pStyle w:val="3"/>
            </w:pPr>
            <w:r>
              <w:rPr>
                <w:rFonts w:eastAsia="Times New Roman" w:cs="Times New Roman"/>
              </w:rPr>
              <w:t xml:space="preserve">2  </w:t>
            </w:r>
            <w:r>
              <w:t>辐射屏蔽设计</w:t>
            </w:r>
          </w:p>
          <w:p w14:paraId="5A5078C6">
            <w:pPr>
              <w:pStyle w:val="2"/>
              <w:ind w:firstLine="436"/>
            </w:pPr>
            <w:r>
              <w:rPr>
                <w:rFonts w:ascii="宋体" w:hAnsi="宋体" w:cs="宋体"/>
                <w:spacing w:val="-22"/>
              </w:rPr>
              <w:t>本</w:t>
            </w:r>
            <w:r>
              <w:rPr>
                <w:rFonts w:ascii="宋体" w:hAnsi="宋体" w:cs="宋体"/>
                <w:spacing w:val="-12"/>
              </w:rPr>
              <w:t>项</w:t>
            </w:r>
            <w:r>
              <w:rPr>
                <w:rFonts w:ascii="宋体" w:hAnsi="宋体" w:cs="宋体"/>
              </w:rPr>
              <w:t>目</w:t>
            </w:r>
            <w:r>
              <w:rPr>
                <w:rFonts w:eastAsia="Times New Roman"/>
              </w:rPr>
              <w:t xml:space="preserve">X </w:t>
            </w:r>
            <w:r>
              <w:rPr>
                <w:rFonts w:ascii="宋体" w:hAnsi="宋体" w:cs="宋体"/>
              </w:rPr>
              <w:t>射线</w:t>
            </w:r>
            <w:r>
              <w:rPr>
                <w:rFonts w:hint="eastAsia" w:ascii="宋体" w:hAnsi="宋体" w:cs="宋体"/>
              </w:rPr>
              <w:t>曝光室</w:t>
            </w:r>
            <w:r>
              <w:rPr>
                <w:rFonts w:ascii="宋体" w:hAnsi="宋体" w:cs="宋体"/>
              </w:rPr>
              <w:t xml:space="preserve">屏蔽防护设计见表 </w:t>
            </w:r>
            <w:r>
              <w:rPr>
                <w:rFonts w:eastAsia="Times New Roman"/>
              </w:rPr>
              <w:t>10-1</w:t>
            </w:r>
            <w:r>
              <w:rPr>
                <w:rFonts w:hint="eastAsia"/>
              </w:rPr>
              <w:t>，屏蔽设计见附图4。</w:t>
            </w:r>
          </w:p>
          <w:p w14:paraId="11E9ECB4">
            <w:pPr>
              <w:pStyle w:val="2"/>
              <w:ind w:firstLine="480"/>
              <w:rPr>
                <w:color w:val="auto"/>
                <w:spacing w:val="-5"/>
              </w:rPr>
            </w:pPr>
            <w:r>
              <w:rPr>
                <w:rFonts w:hint="eastAsia"/>
              </w:rPr>
              <w:t>X 射线曝光室建于螺旋焊管车间内。曝光室内尺寸为45m</w:t>
            </w:r>
            <w:r>
              <w:t>×</w:t>
            </w:r>
            <w:r>
              <w:rPr>
                <w:rFonts w:hint="eastAsia"/>
              </w:rPr>
              <w:t>4.6m</w:t>
            </w:r>
            <w:r>
              <w:t>×</w:t>
            </w:r>
            <w:r>
              <w:rPr>
                <w:rFonts w:hint="eastAsia"/>
              </w:rPr>
              <w:t>6.6m（长</w:t>
            </w:r>
            <w:r>
              <w:t>×</w:t>
            </w:r>
            <w:r>
              <w:rPr>
                <w:rFonts w:hint="eastAsia"/>
              </w:rPr>
              <w:t>宽</w:t>
            </w:r>
            <w:r>
              <w:t>×</w:t>
            </w:r>
            <w:r>
              <w:rPr>
                <w:rFonts w:hint="eastAsia"/>
              </w:rPr>
              <w:t>高）。曝光室采用一体浇筑混凝土材料对 X 射线进行屏蔽，本项目 X 射线实时成像检测装置在检测时主射线方向朝顶部照射，曝光室维修门位于西侧。</w:t>
            </w:r>
          </w:p>
          <w:p w14:paraId="3741B913">
            <w:pPr>
              <w:pStyle w:val="21"/>
            </w:pPr>
            <w:r>
              <w:t xml:space="preserve">表 </w:t>
            </w:r>
            <w:r>
              <w:rPr>
                <w:rFonts w:eastAsia="Times New Roman"/>
              </w:rPr>
              <w:t xml:space="preserve">10-1  </w:t>
            </w:r>
            <w:r>
              <w:t>本项目</w:t>
            </w:r>
            <w:r>
              <w:rPr>
                <w:rFonts w:eastAsia="Times New Roman"/>
              </w:rPr>
              <w:t xml:space="preserve">X </w:t>
            </w:r>
            <w:r>
              <w:t>射线</w:t>
            </w:r>
            <w:r>
              <w:rPr>
                <w:rFonts w:hint="eastAsia"/>
              </w:rPr>
              <w:t>实时成像检测装置</w:t>
            </w:r>
            <w:r>
              <w:t>曝光室蔽设计参数一览表</w:t>
            </w:r>
          </w:p>
        </w:tc>
      </w:tr>
      <w:tr w14:paraId="65D9D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240" w:type="dxa"/>
            <w:gridSpan w:val="2"/>
            <w:vAlign w:val="center"/>
          </w:tcPr>
          <w:p w14:paraId="33C2F255">
            <w:pPr>
              <w:pStyle w:val="24"/>
            </w:pPr>
            <w:r>
              <w:rPr>
                <w:spacing w:val="-2"/>
              </w:rPr>
              <w:t>曝</w:t>
            </w:r>
            <w:r>
              <w:t>光室屏蔽参数</w:t>
            </w:r>
          </w:p>
        </w:tc>
        <w:tc>
          <w:tcPr>
            <w:tcW w:w="2126" w:type="dxa"/>
            <w:vMerge w:val="restart"/>
            <w:tcBorders>
              <w:bottom w:val="nil"/>
            </w:tcBorders>
            <w:vAlign w:val="center"/>
          </w:tcPr>
          <w:p w14:paraId="58D78836">
            <w:pPr>
              <w:pStyle w:val="24"/>
            </w:pPr>
            <w:r>
              <w:t>尺寸参数</w:t>
            </w:r>
          </w:p>
        </w:tc>
        <w:tc>
          <w:tcPr>
            <w:tcW w:w="1709" w:type="dxa"/>
            <w:vMerge w:val="restart"/>
            <w:tcBorders>
              <w:bottom w:val="nil"/>
            </w:tcBorders>
            <w:vAlign w:val="center"/>
          </w:tcPr>
          <w:p w14:paraId="5F915795">
            <w:pPr>
              <w:pStyle w:val="24"/>
            </w:pPr>
            <w:r>
              <w:rPr>
                <w:rFonts w:hint="eastAsia"/>
              </w:rPr>
              <w:t>主射线方向</w:t>
            </w:r>
          </w:p>
        </w:tc>
      </w:tr>
      <w:tr w14:paraId="38BC7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2263" w:type="dxa"/>
            <w:vAlign w:val="center"/>
          </w:tcPr>
          <w:p w14:paraId="7069D378">
            <w:pPr>
              <w:pStyle w:val="24"/>
            </w:pPr>
            <w:r>
              <w:rPr>
                <w:rFonts w:hint="eastAsia"/>
                <w:spacing w:val="-4"/>
              </w:rPr>
              <w:t>位置</w:t>
            </w:r>
          </w:p>
        </w:tc>
        <w:tc>
          <w:tcPr>
            <w:tcW w:w="2977" w:type="dxa"/>
            <w:vAlign w:val="center"/>
          </w:tcPr>
          <w:p w14:paraId="26E28DD1">
            <w:pPr>
              <w:pStyle w:val="24"/>
            </w:pPr>
            <w:r>
              <w:rPr>
                <w:rFonts w:hint="eastAsia"/>
                <w:spacing w:val="-4"/>
              </w:rPr>
              <w:t>屏蔽设计</w:t>
            </w:r>
          </w:p>
        </w:tc>
        <w:tc>
          <w:tcPr>
            <w:tcW w:w="2126" w:type="dxa"/>
            <w:vMerge w:val="continue"/>
            <w:tcBorders>
              <w:top w:val="nil"/>
            </w:tcBorders>
            <w:vAlign w:val="center"/>
          </w:tcPr>
          <w:p w14:paraId="5C676211">
            <w:pPr>
              <w:pStyle w:val="24"/>
            </w:pPr>
          </w:p>
        </w:tc>
        <w:tc>
          <w:tcPr>
            <w:tcW w:w="1709" w:type="dxa"/>
            <w:vMerge w:val="continue"/>
            <w:tcBorders>
              <w:top w:val="nil"/>
            </w:tcBorders>
            <w:vAlign w:val="center"/>
          </w:tcPr>
          <w:p w14:paraId="052A0989">
            <w:pPr>
              <w:pStyle w:val="24"/>
            </w:pPr>
          </w:p>
        </w:tc>
      </w:tr>
      <w:tr w14:paraId="0E4F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8" w:hRule="atLeast"/>
        </w:trPr>
        <w:tc>
          <w:tcPr>
            <w:tcW w:w="2263" w:type="dxa"/>
            <w:vAlign w:val="center"/>
          </w:tcPr>
          <w:p w14:paraId="31BC0C21">
            <w:pPr>
              <w:pStyle w:val="24"/>
            </w:pPr>
            <w:r>
              <w:rPr>
                <w:rFonts w:hint="eastAsia"/>
              </w:rPr>
              <w:t>东侧屏蔽体</w:t>
            </w:r>
          </w:p>
        </w:tc>
        <w:tc>
          <w:tcPr>
            <w:tcW w:w="2977" w:type="dxa"/>
            <w:vAlign w:val="center"/>
          </w:tcPr>
          <w:p w14:paraId="162A256F">
            <w:pPr>
              <w:pStyle w:val="24"/>
            </w:pPr>
            <w:r>
              <w:rPr>
                <w:rFonts w:hint="eastAsia"/>
              </w:rPr>
              <w:t>480mm砖混结构+100mmBaSO</w:t>
            </w:r>
            <w:r>
              <w:rPr>
                <w:rFonts w:hint="eastAsia"/>
                <w:vertAlign w:val="subscript"/>
              </w:rPr>
              <w:t>4</w:t>
            </w:r>
          </w:p>
        </w:tc>
        <w:tc>
          <w:tcPr>
            <w:tcW w:w="2126" w:type="dxa"/>
            <w:vMerge w:val="restart"/>
            <w:vAlign w:val="center"/>
          </w:tcPr>
          <w:p w14:paraId="69EAC5D3">
            <w:pPr>
              <w:pStyle w:val="24"/>
            </w:pPr>
            <w:r>
              <w:rPr>
                <w:rFonts w:hint="eastAsia"/>
                <w:spacing w:val="-4"/>
              </w:rPr>
              <w:t>45</w:t>
            </w:r>
            <w:r>
              <w:rPr>
                <w:rFonts w:eastAsia="Times New Roman"/>
                <w:spacing w:val="-4"/>
              </w:rPr>
              <w:t>m(</w:t>
            </w:r>
            <w:r>
              <w:rPr>
                <w:spacing w:val="-4"/>
              </w:rPr>
              <w:t>长)</w:t>
            </w:r>
            <w:r>
              <w:t xml:space="preserve"> </w:t>
            </w:r>
            <w:r>
              <w:rPr>
                <w:rFonts w:eastAsia="Times New Roman"/>
                <w:spacing w:val="-4"/>
              </w:rPr>
              <w:t>×</w:t>
            </w:r>
            <w:r>
              <w:rPr>
                <w:rFonts w:hint="eastAsia"/>
                <w:spacing w:val="-4"/>
              </w:rPr>
              <w:t xml:space="preserve"> 4.6</w:t>
            </w:r>
            <w:r>
              <w:rPr>
                <w:rFonts w:eastAsia="Times New Roman"/>
                <w:spacing w:val="-2"/>
              </w:rPr>
              <w:t xml:space="preserve">m  </w:t>
            </w:r>
            <w:r>
              <w:rPr>
                <w:spacing w:val="-2"/>
              </w:rPr>
              <w:t>(宽)</w:t>
            </w:r>
            <w:r>
              <w:t xml:space="preserve"> </w:t>
            </w:r>
            <w:r>
              <w:rPr>
                <w:rFonts w:eastAsia="Times New Roman"/>
                <w:spacing w:val="-4"/>
              </w:rPr>
              <w:t>×</w:t>
            </w:r>
            <w:r>
              <w:rPr>
                <w:rFonts w:hint="eastAsia"/>
                <w:spacing w:val="-4"/>
              </w:rPr>
              <w:t xml:space="preserve"> 6.6</w:t>
            </w:r>
            <w:r>
              <w:rPr>
                <w:rFonts w:eastAsia="Times New Roman"/>
                <w:spacing w:val="-2"/>
              </w:rPr>
              <w:t xml:space="preserve">m  </w:t>
            </w:r>
            <w:r>
              <w:rPr>
                <w:spacing w:val="-2"/>
              </w:rPr>
              <w:t>(高)</w:t>
            </w:r>
          </w:p>
        </w:tc>
        <w:tc>
          <w:tcPr>
            <w:tcW w:w="1709" w:type="dxa"/>
            <w:vMerge w:val="restart"/>
            <w:vAlign w:val="center"/>
          </w:tcPr>
          <w:p w14:paraId="6EB419D3">
            <w:pPr>
              <w:pStyle w:val="24"/>
            </w:pPr>
            <w:r>
              <w:rPr>
                <w:rFonts w:hint="eastAsia"/>
                <w:spacing w:val="-2"/>
              </w:rPr>
              <w:t>检测时朝顶部</w:t>
            </w:r>
            <w:r>
              <w:t>照射</w:t>
            </w:r>
          </w:p>
        </w:tc>
      </w:tr>
      <w:tr w14:paraId="693FF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63" w:type="dxa"/>
            <w:vAlign w:val="center"/>
          </w:tcPr>
          <w:p w14:paraId="1F2A32F8">
            <w:pPr>
              <w:pStyle w:val="24"/>
            </w:pPr>
            <w:r>
              <w:rPr>
                <w:rFonts w:hint="eastAsia"/>
              </w:rPr>
              <w:t>南侧屏蔽体</w:t>
            </w:r>
          </w:p>
        </w:tc>
        <w:tc>
          <w:tcPr>
            <w:tcW w:w="2977" w:type="dxa"/>
            <w:vAlign w:val="center"/>
          </w:tcPr>
          <w:p w14:paraId="30F22744">
            <w:pPr>
              <w:pStyle w:val="24"/>
              <w:rPr>
                <w:rFonts w:eastAsiaTheme="minorEastAsia"/>
              </w:rPr>
            </w:pPr>
            <w:r>
              <w:rPr>
                <w:rFonts w:hint="eastAsia"/>
              </w:rPr>
              <w:t>480mm砖混结构+100mmBaSO</w:t>
            </w:r>
            <w:r>
              <w:rPr>
                <w:rFonts w:hint="eastAsia"/>
                <w:vertAlign w:val="subscript"/>
              </w:rPr>
              <w:t>4</w:t>
            </w:r>
          </w:p>
        </w:tc>
        <w:tc>
          <w:tcPr>
            <w:tcW w:w="2126" w:type="dxa"/>
            <w:vMerge w:val="continue"/>
          </w:tcPr>
          <w:p w14:paraId="54D92701"/>
        </w:tc>
        <w:tc>
          <w:tcPr>
            <w:tcW w:w="1709" w:type="dxa"/>
            <w:vMerge w:val="continue"/>
          </w:tcPr>
          <w:p w14:paraId="29BA4042"/>
        </w:tc>
      </w:tr>
      <w:tr w14:paraId="7DE66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1" w:hRule="atLeast"/>
        </w:trPr>
        <w:tc>
          <w:tcPr>
            <w:tcW w:w="2263" w:type="dxa"/>
            <w:vAlign w:val="center"/>
          </w:tcPr>
          <w:p w14:paraId="55FC17FA">
            <w:pPr>
              <w:pStyle w:val="24"/>
            </w:pPr>
            <w:r>
              <w:rPr>
                <w:rFonts w:hint="eastAsia"/>
              </w:rPr>
              <w:t>西侧屏蔽体</w:t>
            </w:r>
          </w:p>
        </w:tc>
        <w:tc>
          <w:tcPr>
            <w:tcW w:w="2977" w:type="dxa"/>
            <w:vAlign w:val="center"/>
          </w:tcPr>
          <w:p w14:paraId="4330BC98">
            <w:pPr>
              <w:pStyle w:val="24"/>
              <w:rPr>
                <w:rFonts w:eastAsia="Times New Roman"/>
              </w:rPr>
            </w:pPr>
            <w:r>
              <w:rPr>
                <w:rFonts w:hint="eastAsia"/>
              </w:rPr>
              <w:t>480mm砖混结构+100mmBaSO</w:t>
            </w:r>
            <w:r>
              <w:rPr>
                <w:rFonts w:hint="eastAsia"/>
                <w:vertAlign w:val="subscript"/>
              </w:rPr>
              <w:t>4</w:t>
            </w:r>
          </w:p>
        </w:tc>
        <w:tc>
          <w:tcPr>
            <w:tcW w:w="2126" w:type="dxa"/>
            <w:vMerge w:val="continue"/>
          </w:tcPr>
          <w:p w14:paraId="3FBFE6D7"/>
        </w:tc>
        <w:tc>
          <w:tcPr>
            <w:tcW w:w="1709" w:type="dxa"/>
            <w:vMerge w:val="continue"/>
          </w:tcPr>
          <w:p w14:paraId="400794DB"/>
        </w:tc>
      </w:tr>
      <w:tr w14:paraId="6A8D8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63" w:type="dxa"/>
            <w:vAlign w:val="center"/>
          </w:tcPr>
          <w:p w14:paraId="0BBF9411">
            <w:pPr>
              <w:pStyle w:val="24"/>
            </w:pPr>
            <w:r>
              <w:rPr>
                <w:rFonts w:hint="eastAsia"/>
              </w:rPr>
              <w:t>北侧屏蔽体</w:t>
            </w:r>
          </w:p>
        </w:tc>
        <w:tc>
          <w:tcPr>
            <w:tcW w:w="2977" w:type="dxa"/>
            <w:vAlign w:val="center"/>
          </w:tcPr>
          <w:p w14:paraId="4FA00D64">
            <w:pPr>
              <w:pStyle w:val="24"/>
              <w:rPr>
                <w:rFonts w:eastAsia="Times New Roman"/>
              </w:rPr>
            </w:pPr>
            <w:r>
              <w:rPr>
                <w:rFonts w:hint="eastAsia"/>
              </w:rPr>
              <w:t>480mm砖混结构+100mmBaSO</w:t>
            </w:r>
            <w:r>
              <w:rPr>
                <w:rFonts w:hint="eastAsia"/>
                <w:vertAlign w:val="subscript"/>
              </w:rPr>
              <w:t>4</w:t>
            </w:r>
          </w:p>
        </w:tc>
        <w:tc>
          <w:tcPr>
            <w:tcW w:w="2126" w:type="dxa"/>
            <w:vMerge w:val="continue"/>
          </w:tcPr>
          <w:p w14:paraId="4A2E9E87"/>
        </w:tc>
        <w:tc>
          <w:tcPr>
            <w:tcW w:w="1709" w:type="dxa"/>
            <w:vMerge w:val="continue"/>
          </w:tcPr>
          <w:p w14:paraId="79847BC7"/>
        </w:tc>
      </w:tr>
      <w:tr w14:paraId="0FA17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63" w:type="dxa"/>
            <w:vAlign w:val="center"/>
          </w:tcPr>
          <w:p w14:paraId="45B6F7F2">
            <w:pPr>
              <w:pStyle w:val="24"/>
            </w:pPr>
            <w:r>
              <w:rPr>
                <w:rFonts w:hint="eastAsia"/>
              </w:rPr>
              <w:t>顶部屏蔽体</w:t>
            </w:r>
          </w:p>
        </w:tc>
        <w:tc>
          <w:tcPr>
            <w:tcW w:w="2977" w:type="dxa"/>
            <w:vAlign w:val="center"/>
          </w:tcPr>
          <w:p w14:paraId="1752D7DB">
            <w:pPr>
              <w:pStyle w:val="24"/>
              <w:rPr>
                <w:rFonts w:eastAsiaTheme="minorEastAsia"/>
              </w:rPr>
            </w:pPr>
            <w:bookmarkStart w:id="8" w:name="OLE_LINK13"/>
            <w:r>
              <w:rPr>
                <w:rFonts w:hint="eastAsia"/>
              </w:rPr>
              <w:t>500mm混凝土+80mmBaSO</w:t>
            </w:r>
            <w:r>
              <w:rPr>
                <w:rFonts w:hint="eastAsia"/>
                <w:vertAlign w:val="subscript"/>
              </w:rPr>
              <w:t>4</w:t>
            </w:r>
            <w:bookmarkEnd w:id="8"/>
          </w:p>
        </w:tc>
        <w:tc>
          <w:tcPr>
            <w:tcW w:w="2126" w:type="dxa"/>
            <w:vMerge w:val="continue"/>
          </w:tcPr>
          <w:p w14:paraId="602FB756"/>
        </w:tc>
        <w:tc>
          <w:tcPr>
            <w:tcW w:w="1709" w:type="dxa"/>
            <w:vMerge w:val="continue"/>
          </w:tcPr>
          <w:p w14:paraId="219942B9"/>
        </w:tc>
      </w:tr>
      <w:tr w14:paraId="6F3F5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8" w:hRule="atLeast"/>
        </w:trPr>
        <w:tc>
          <w:tcPr>
            <w:tcW w:w="2263" w:type="dxa"/>
            <w:vAlign w:val="center"/>
          </w:tcPr>
          <w:p w14:paraId="517CD928">
            <w:pPr>
              <w:pStyle w:val="24"/>
            </w:pPr>
            <w:r>
              <w:rPr>
                <w:rFonts w:hint="eastAsia"/>
              </w:rPr>
              <w:t>维修门（西侧）</w:t>
            </w:r>
          </w:p>
        </w:tc>
        <w:tc>
          <w:tcPr>
            <w:tcW w:w="2977" w:type="dxa"/>
            <w:vAlign w:val="center"/>
          </w:tcPr>
          <w:p w14:paraId="3DA3B430">
            <w:pPr>
              <w:pStyle w:val="24"/>
              <w:rPr>
                <w:rFonts w:eastAsiaTheme="minorEastAsia"/>
              </w:rPr>
            </w:pPr>
            <w:bookmarkStart w:id="9" w:name="OLE_LINK9"/>
            <w:r>
              <w:rPr>
                <w:rFonts w:hint="eastAsia" w:eastAsiaTheme="minorEastAsia"/>
              </w:rPr>
              <w:t>7mm</w:t>
            </w:r>
            <w:bookmarkEnd w:id="9"/>
            <w:r>
              <w:rPr>
                <w:rFonts w:hint="eastAsia" w:eastAsiaTheme="minorEastAsia"/>
              </w:rPr>
              <w:t>Pb</w:t>
            </w:r>
          </w:p>
        </w:tc>
        <w:tc>
          <w:tcPr>
            <w:tcW w:w="2126" w:type="dxa"/>
            <w:vMerge w:val="continue"/>
          </w:tcPr>
          <w:p w14:paraId="4C447B6A"/>
        </w:tc>
        <w:tc>
          <w:tcPr>
            <w:tcW w:w="1709" w:type="dxa"/>
            <w:vMerge w:val="continue"/>
          </w:tcPr>
          <w:p w14:paraId="7A3F7383"/>
        </w:tc>
      </w:tr>
      <w:tr w14:paraId="34833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63" w:type="dxa"/>
            <w:vAlign w:val="center"/>
          </w:tcPr>
          <w:p w14:paraId="6C42A0E8">
            <w:pPr>
              <w:pStyle w:val="24"/>
            </w:pPr>
            <w:r>
              <w:rPr>
                <w:rFonts w:hint="eastAsia"/>
              </w:rPr>
              <w:t>进出料门（东侧）</w:t>
            </w:r>
          </w:p>
        </w:tc>
        <w:tc>
          <w:tcPr>
            <w:tcW w:w="2977" w:type="dxa"/>
            <w:vAlign w:val="center"/>
          </w:tcPr>
          <w:p w14:paraId="5323E262">
            <w:pPr>
              <w:pStyle w:val="24"/>
            </w:pPr>
            <w:r>
              <w:rPr>
                <w:rFonts w:hint="eastAsia" w:eastAsiaTheme="minorEastAsia"/>
              </w:rPr>
              <w:t>7mmPb</w:t>
            </w:r>
          </w:p>
        </w:tc>
        <w:tc>
          <w:tcPr>
            <w:tcW w:w="2126" w:type="dxa"/>
            <w:vMerge w:val="continue"/>
          </w:tcPr>
          <w:p w14:paraId="22B0BE6B"/>
        </w:tc>
        <w:tc>
          <w:tcPr>
            <w:tcW w:w="1709" w:type="dxa"/>
            <w:vMerge w:val="continue"/>
          </w:tcPr>
          <w:p w14:paraId="7185C92A"/>
        </w:tc>
      </w:tr>
      <w:tr w14:paraId="12EC2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63" w:type="dxa"/>
            <w:vAlign w:val="center"/>
          </w:tcPr>
          <w:p w14:paraId="1E2E866A">
            <w:pPr>
              <w:pStyle w:val="24"/>
            </w:pPr>
            <w:r>
              <w:rPr>
                <w:rFonts w:hint="eastAsia"/>
              </w:rPr>
              <w:t>通风口防护罩（南侧）</w:t>
            </w:r>
          </w:p>
        </w:tc>
        <w:tc>
          <w:tcPr>
            <w:tcW w:w="2977" w:type="dxa"/>
            <w:vAlign w:val="center"/>
          </w:tcPr>
          <w:p w14:paraId="79E76300">
            <w:pPr>
              <w:pStyle w:val="24"/>
            </w:pPr>
            <w:r>
              <w:rPr>
                <w:rFonts w:hint="eastAsia"/>
              </w:rPr>
              <w:t>480mm砖混结构+100mmBaSO</w:t>
            </w:r>
            <w:r>
              <w:rPr>
                <w:rFonts w:hint="eastAsia"/>
                <w:vertAlign w:val="subscript"/>
              </w:rPr>
              <w:t>4</w:t>
            </w:r>
          </w:p>
        </w:tc>
        <w:tc>
          <w:tcPr>
            <w:tcW w:w="2126" w:type="dxa"/>
            <w:vMerge w:val="continue"/>
          </w:tcPr>
          <w:p w14:paraId="3CCDF6AE"/>
        </w:tc>
        <w:tc>
          <w:tcPr>
            <w:tcW w:w="1709" w:type="dxa"/>
            <w:vMerge w:val="continue"/>
          </w:tcPr>
          <w:p w14:paraId="447D3878"/>
        </w:tc>
      </w:tr>
      <w:tr w14:paraId="468A8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63" w:type="dxa"/>
            <w:vAlign w:val="center"/>
          </w:tcPr>
          <w:p w14:paraId="46B0C636">
            <w:pPr>
              <w:pStyle w:val="24"/>
            </w:pPr>
            <w:r>
              <w:rPr>
                <w:rFonts w:hint="eastAsia"/>
              </w:rPr>
              <w:t>线缆口防护罩（西侧）</w:t>
            </w:r>
          </w:p>
        </w:tc>
        <w:tc>
          <w:tcPr>
            <w:tcW w:w="2977" w:type="dxa"/>
            <w:vAlign w:val="center"/>
          </w:tcPr>
          <w:p w14:paraId="06B0D39F">
            <w:pPr>
              <w:pStyle w:val="24"/>
            </w:pPr>
            <w:r>
              <w:rPr>
                <w:rFonts w:hint="eastAsia"/>
              </w:rPr>
              <w:t>480mm砖混结构+100mmBaSO</w:t>
            </w:r>
            <w:r>
              <w:rPr>
                <w:rFonts w:hint="eastAsia"/>
                <w:vertAlign w:val="subscript"/>
              </w:rPr>
              <w:t>4</w:t>
            </w:r>
          </w:p>
        </w:tc>
        <w:tc>
          <w:tcPr>
            <w:tcW w:w="2126" w:type="dxa"/>
            <w:vMerge w:val="continue"/>
          </w:tcPr>
          <w:p w14:paraId="48B3319C"/>
        </w:tc>
        <w:tc>
          <w:tcPr>
            <w:tcW w:w="1709" w:type="dxa"/>
            <w:vMerge w:val="continue"/>
          </w:tcPr>
          <w:p w14:paraId="1D830604"/>
        </w:tc>
      </w:tr>
      <w:tr w14:paraId="5FA7C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9075" w:type="dxa"/>
            <w:gridSpan w:val="4"/>
            <w:vAlign w:val="center"/>
          </w:tcPr>
          <w:p w14:paraId="0026FFA8">
            <w:pPr>
              <w:pStyle w:val="6"/>
            </w:pPr>
            <w:r>
              <w:rPr>
                <w:rFonts w:hint="eastAsia"/>
              </w:rPr>
              <w:t>注：本项目砖混结构的密度为1.8 g/cm</w:t>
            </w:r>
            <w:r>
              <w:rPr>
                <w:rFonts w:hint="eastAsia"/>
                <w:vertAlign w:val="superscript"/>
              </w:rPr>
              <w:t>3</w:t>
            </w:r>
            <w:r>
              <w:rPr>
                <w:rFonts w:hint="eastAsia"/>
              </w:rPr>
              <w:t>，BaSO</w:t>
            </w:r>
            <w:r>
              <w:rPr>
                <w:rFonts w:hint="eastAsia"/>
                <w:vertAlign w:val="subscript"/>
              </w:rPr>
              <w:t>4</w:t>
            </w:r>
            <w:r>
              <w:rPr>
                <w:rFonts w:hint="eastAsia"/>
              </w:rPr>
              <w:t>的密度为3.5g/cm</w:t>
            </w:r>
            <w:r>
              <w:rPr>
                <w:rFonts w:hint="eastAsia"/>
                <w:vertAlign w:val="superscript"/>
              </w:rPr>
              <w:t>3</w:t>
            </w:r>
            <w:r>
              <w:rPr>
                <w:rFonts w:hint="eastAsia"/>
              </w:rPr>
              <w:t>。</w:t>
            </w:r>
          </w:p>
          <w:p w14:paraId="0A725807">
            <w:pPr>
              <w:pStyle w:val="2"/>
              <w:ind w:firstLine="420"/>
              <w:rPr>
                <w:sz w:val="21"/>
              </w:rPr>
            </w:pPr>
            <w:r>
              <w:rPr>
                <w:rFonts w:hint="eastAsia"/>
                <w:sz w:val="21"/>
              </w:rPr>
              <w:t>X 射线实时成像检测装置西侧维修门尺寸为1.2m宽×2.2m高，进出料门尺寸为1.8m宽×3.6m高，</w:t>
            </w:r>
            <w:bookmarkStart w:id="10" w:name="OLE_LINK19"/>
            <w:r>
              <w:rPr>
                <w:rFonts w:hint="eastAsia"/>
                <w:sz w:val="21"/>
              </w:rPr>
              <w:t>维修门、</w:t>
            </w:r>
            <w:bookmarkStart w:id="11" w:name="OLE_LINK18"/>
            <w:r>
              <w:rPr>
                <w:rFonts w:hint="eastAsia"/>
                <w:sz w:val="21"/>
              </w:rPr>
              <w:t>进出料门与曝光室屏蔽体缝隙均小于5mm，搭接长度不少于100mm，墙体搭接与门缝间隙不小于10倍。</w:t>
            </w:r>
            <w:bookmarkEnd w:id="10"/>
            <w:bookmarkEnd w:id="11"/>
          </w:p>
        </w:tc>
      </w:tr>
      <w:tr w14:paraId="2AAEB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4" w:hRule="atLeast"/>
        </w:trPr>
        <w:tc>
          <w:tcPr>
            <w:tcW w:w="9075" w:type="dxa"/>
            <w:gridSpan w:val="4"/>
          </w:tcPr>
          <w:p w14:paraId="28C47DE1">
            <w:pPr>
              <w:pStyle w:val="3"/>
            </w:pPr>
            <w:r>
              <w:rPr>
                <w:rFonts w:hint="eastAsia"/>
              </w:rPr>
              <w:t>3 辐射安全措施设计</w:t>
            </w:r>
          </w:p>
          <w:p w14:paraId="151DF1AA">
            <w:pPr>
              <w:pStyle w:val="2"/>
              <w:ind w:firstLine="480"/>
            </w:pPr>
            <w:r>
              <w:rPr>
                <w:rFonts w:hint="eastAsia"/>
              </w:rPr>
              <w:t xml:space="preserve">为确保辐射安全，保障 </w:t>
            </w:r>
            <w:r>
              <w:rPr>
                <w:rFonts w:cs="Times New Roman"/>
              </w:rPr>
              <w:t>X</w:t>
            </w:r>
            <w:r>
              <w:rPr>
                <w:rFonts w:hint="eastAsia" w:cs="Times New Roman"/>
              </w:rPr>
              <w:t xml:space="preserve"> </w:t>
            </w:r>
            <w:r>
              <w:rPr>
                <w:rFonts w:hint="eastAsia"/>
              </w:rPr>
              <w:t>射线实时成像装置安全运行，公司拟根据《工业探伤放射防护标准》（GBZ 117-2022）设计相应的辐射安全装置和保护措施。主要有：</w:t>
            </w:r>
          </w:p>
          <w:p w14:paraId="1F9CBDEB">
            <w:pPr>
              <w:pStyle w:val="4"/>
            </w:pPr>
            <w:r>
              <w:rPr>
                <w:rFonts w:hint="eastAsia"/>
              </w:rPr>
              <w:t>3.1 辐射防护措施</w:t>
            </w:r>
          </w:p>
          <w:p w14:paraId="281DF8A6">
            <w:pPr>
              <w:pStyle w:val="2"/>
              <w:ind w:firstLine="480"/>
            </w:pPr>
            <w:bookmarkStart w:id="12" w:name="OLE_LINK20"/>
            <w:r>
              <w:rPr>
                <w:rFonts w:hint="eastAsia"/>
              </w:rPr>
              <w:t>（1）X 射线实时成像检测装置操作室的操作台处拟设置钥匙开关。只有在打开操作台钥匙开关后，X 射线管才能出束；钥匙只有在停机或待机状态时才能拔出。</w:t>
            </w:r>
          </w:p>
          <w:p w14:paraId="73D8B897">
            <w:pPr>
              <w:pStyle w:val="2"/>
              <w:ind w:firstLine="480"/>
            </w:pPr>
            <w:r>
              <w:rPr>
                <w:rFonts w:hint="eastAsia"/>
              </w:rPr>
              <w:t>（2）拟在 X 射线实时成像检测装置操作室的操作台处设置1个急停按钮，在曝光室内北墙东、西侧和南墙东、西侧各设置1个急停按钮，共设置5个急停按钮。按钮带有标签，表明使用方法，确保出现紧急事故时，能立即停止照射。</w:t>
            </w:r>
          </w:p>
          <w:p w14:paraId="24674A88">
            <w:pPr>
              <w:pStyle w:val="2"/>
              <w:ind w:firstLine="480"/>
            </w:pPr>
            <w:r>
              <w:rPr>
                <w:rFonts w:hint="eastAsia"/>
              </w:rPr>
              <w:t>（3） X 射线实时成像检测装置曝光室顶部外拟设置工作状态指示灯及声音提示装置，并与 X 射线管联锁。设备工作时，警示灯开启，警告无关人员勿靠近设备或在设备附近做不必要的逗留。工作状态指示灯与该工作场所内使用的其他报警信号应有明显区别。</w:t>
            </w:r>
          </w:p>
          <w:p w14:paraId="6E785028">
            <w:pPr>
              <w:pStyle w:val="2"/>
              <w:ind w:firstLine="480"/>
            </w:pPr>
            <w:r>
              <w:rPr>
                <w:rFonts w:hint="eastAsia"/>
              </w:rPr>
              <w:t>（4）X 射线实时成像检测装置西侧维修门和东侧进出料门均拟设置门机连锁装置，只有当防护门完全关闭后才能进行出束检测作业，在出束检测过程中，防护门被意外打开时，能立刻停止出束。</w:t>
            </w:r>
          </w:p>
          <w:p w14:paraId="7EC65C98">
            <w:pPr>
              <w:pStyle w:val="2"/>
              <w:ind w:firstLine="480"/>
            </w:pPr>
            <w:r>
              <w:rPr>
                <w:rFonts w:hint="eastAsia"/>
              </w:rPr>
              <w:t>（5）拟在X 射线实时成像检测装置曝光室铅门和进/出料铅门表面明显位置设置“无关人员禁止靠近”的电离辐射警告标志及警示说明，提醒无关人员勿在其附近逗留。</w:t>
            </w:r>
          </w:p>
          <w:p w14:paraId="662B29BC">
            <w:pPr>
              <w:pStyle w:val="2"/>
              <w:ind w:firstLine="480"/>
            </w:pPr>
            <w:r>
              <w:rPr>
                <w:rFonts w:hint="eastAsia"/>
              </w:rPr>
              <w:t>（6）X 射线实时成像检测装置的曝光室内拟设置4个摄像头，摄像显示装置拟设于操作室内。</w:t>
            </w:r>
          </w:p>
          <w:p w14:paraId="40525DDB">
            <w:pPr>
              <w:pStyle w:val="2"/>
              <w:ind w:firstLine="480"/>
            </w:pPr>
            <w:r>
              <w:rPr>
                <w:rFonts w:hint="eastAsia"/>
              </w:rPr>
              <w:t>（7）拟在 X 射线实时成像检测装置的进出料口外各拟设置1个固定式场所辐射探测报警装置的探头，辐射探测报警装置的显示装置拟安装在操作室内。</w:t>
            </w:r>
          </w:p>
          <w:p w14:paraId="2CFBB3FD">
            <w:pPr>
              <w:pStyle w:val="2"/>
              <w:ind w:firstLine="480"/>
              <w:rPr>
                <w:rFonts w:eastAsiaTheme="minorEastAsia"/>
              </w:rPr>
            </w:pPr>
            <w:r>
              <w:rPr>
                <w:rFonts w:hint="eastAsia" w:eastAsiaTheme="minorEastAsia"/>
              </w:rPr>
              <w:t>本项目</w:t>
            </w:r>
            <w:r>
              <w:rPr>
                <w:rFonts w:eastAsiaTheme="minorEastAsia"/>
              </w:rPr>
              <w:t>本项目 X 射线曝光室辐射安全设计平面布置</w:t>
            </w:r>
            <w:r>
              <w:rPr>
                <w:rFonts w:hint="eastAsia" w:eastAsiaTheme="minorEastAsia"/>
              </w:rPr>
              <w:t>见附图4。</w:t>
            </w:r>
          </w:p>
          <w:bookmarkEnd w:id="12"/>
          <w:p w14:paraId="0D5FA563">
            <w:pPr>
              <w:pStyle w:val="4"/>
            </w:pPr>
            <w:r>
              <w:rPr>
                <w:rFonts w:hint="eastAsia"/>
              </w:rPr>
              <w:t>3.2 操作防护措施</w:t>
            </w:r>
          </w:p>
          <w:p w14:paraId="6A297196">
            <w:pPr>
              <w:pStyle w:val="2"/>
              <w:ind w:left="210" w:leftChars="100" w:firstLine="240" w:firstLineChars="100"/>
              <w:rPr>
                <w:rFonts w:eastAsiaTheme="minorEastAsia"/>
              </w:rPr>
            </w:pPr>
            <w:r>
              <w:rPr>
                <w:rFonts w:hint="eastAsia" w:eastAsiaTheme="minorEastAsia"/>
              </w:rPr>
              <w:t>（1）辐射工作人员在开展检测工作前拟按照《工业探伤放射防护标准》（GBZ117-2022）中5.1.2要求对 X 射线实时成像检测装置进行检查，重点检查安全联锁和警示等是否运行正常。</w:t>
            </w:r>
          </w:p>
          <w:p w14:paraId="7A322AF5">
            <w:pPr>
              <w:pStyle w:val="2"/>
              <w:ind w:firstLine="480"/>
            </w:pPr>
            <w:r>
              <w:rPr>
                <w:rFonts w:hint="eastAsia"/>
              </w:rPr>
              <w:t>（2）辐射工作人员正常使用 X 射线实时成像检测装置时拟检查防护门—机联锁装置、指示灯等防护安全措施。</w:t>
            </w:r>
          </w:p>
          <w:p w14:paraId="2D3A7D6F">
            <w:pPr>
              <w:pStyle w:val="2"/>
              <w:ind w:firstLine="480"/>
            </w:pPr>
            <w:r>
              <w:rPr>
                <w:rFonts w:hint="eastAsia"/>
              </w:rPr>
              <w:t>（3）辐射工作人员拟定期测量 X 射线实时成像检测装置周围区域的剂量率水平，包括操作者工作位置和周围毗邻区域人员居留处。测量值应与参考控制水平相比较。当测量值高于参考控制水平时，应终止检测工作并向辐射防护负责人报告。</w:t>
            </w:r>
          </w:p>
          <w:p w14:paraId="6305A3B9">
            <w:pPr>
              <w:pStyle w:val="2"/>
              <w:ind w:firstLine="480"/>
            </w:pPr>
            <w:r>
              <w:rPr>
                <w:rFonts w:hint="eastAsia"/>
              </w:rPr>
              <w:t>（4）交接班或当班使用便携式</w:t>
            </w:r>
            <w:bookmarkStart w:id="13" w:name="OLE_LINK3"/>
            <w:r>
              <w:rPr>
                <w:rFonts w:hint="eastAsia"/>
              </w:rPr>
              <w:t xml:space="preserve"> X-</w:t>
            </w:r>
            <w:r>
              <w:rPr>
                <w:rFonts w:cs="Times New Roman"/>
              </w:rPr>
              <w:t>γ</w:t>
            </w:r>
            <w:r>
              <w:rPr>
                <w:rFonts w:hint="eastAsia" w:cs="Times New Roman"/>
              </w:rPr>
              <w:t>剂量率仪</w:t>
            </w:r>
            <w:bookmarkEnd w:id="13"/>
            <w:r>
              <w:rPr>
                <w:rFonts w:hint="eastAsia" w:cs="Times New Roman"/>
              </w:rPr>
              <w:t>前，拟检查是否能正常工作，如发现便携式</w:t>
            </w:r>
            <w:r>
              <w:rPr>
                <w:rFonts w:hint="eastAsia"/>
              </w:rPr>
              <w:t>X-</w:t>
            </w:r>
            <w:r>
              <w:rPr>
                <w:rFonts w:cs="Times New Roman"/>
              </w:rPr>
              <w:t>γ</w:t>
            </w:r>
            <w:r>
              <w:rPr>
                <w:rFonts w:hint="eastAsia" w:cs="Times New Roman"/>
              </w:rPr>
              <w:t>剂量率仪不能正常工作，则不应开始检测工作。</w:t>
            </w:r>
          </w:p>
          <w:p w14:paraId="072ADFF6">
            <w:pPr>
              <w:pStyle w:val="2"/>
              <w:ind w:firstLine="480"/>
            </w:pPr>
            <w:r>
              <w:rPr>
                <w:rFonts w:hint="eastAsia"/>
              </w:rPr>
              <w:t>（5）在每一次照射前，操作人员拟确认 X 射线实时成像检测装置的曝光室内部没有人员驻留并关闭防护门。只有在防护门关闭、所有防护与安全装置系统都启动并正常运行的情况下，才能开始检测工作。</w:t>
            </w:r>
          </w:p>
          <w:p w14:paraId="01DA4020">
            <w:pPr>
              <w:pStyle w:val="2"/>
              <w:ind w:firstLine="480"/>
            </w:pPr>
            <w:r>
              <w:rPr>
                <w:rFonts w:hint="eastAsia"/>
              </w:rPr>
              <w:t>（6）公司拟对使用的 X 射线实时成像检测装置维护负责，每年至少维护一次，设备维护拟由受过专业培训的工作人员或设备制造商进行，并做好维护记录。</w:t>
            </w:r>
          </w:p>
          <w:p w14:paraId="5E1EA2EA">
            <w:pPr>
              <w:pStyle w:val="4"/>
            </w:pPr>
            <w:r>
              <w:rPr>
                <w:rFonts w:hint="eastAsia"/>
              </w:rPr>
              <w:t>3.3 探伤设备退役措施</w:t>
            </w:r>
          </w:p>
          <w:p w14:paraId="04BC2DAF">
            <w:pPr>
              <w:pStyle w:val="2"/>
              <w:ind w:firstLine="480"/>
            </w:pPr>
            <w:r>
              <w:rPr>
                <w:rFonts w:hint="eastAsia"/>
              </w:rPr>
              <w:t>当 X 射线实时成像检测装置不再使用时，拟实施退役程序。</w:t>
            </w:r>
          </w:p>
          <w:p w14:paraId="0B876FEB">
            <w:pPr>
              <w:pStyle w:val="2"/>
              <w:ind w:firstLine="480"/>
            </w:pPr>
            <w:r>
              <w:rPr>
                <w:rFonts w:hint="eastAsia"/>
              </w:rPr>
              <w:t>（1）X 射线实时成像检测装置的 X 射线管拟处置至无法使用，或经监管机构批准后，转移给其他已获许可机构。</w:t>
            </w:r>
          </w:p>
          <w:p w14:paraId="24249682">
            <w:pPr>
              <w:pStyle w:val="2"/>
              <w:ind w:firstLine="480"/>
            </w:pPr>
            <w:r>
              <w:rPr>
                <w:rFonts w:hint="eastAsia"/>
              </w:rPr>
              <w:t>（2）清除所有电离辐射警告标志和安全告知。在落实以上辐射安全措施后，本项目的辐射安全措施能够满足辐射安全要求。</w:t>
            </w:r>
          </w:p>
        </w:tc>
      </w:tr>
      <w:tr w14:paraId="537A8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72" w:hRule="atLeast"/>
        </w:trPr>
        <w:tc>
          <w:tcPr>
            <w:tcW w:w="9075" w:type="dxa"/>
            <w:gridSpan w:val="4"/>
          </w:tcPr>
          <w:p w14:paraId="0B189C13">
            <w:pPr>
              <w:pStyle w:val="28"/>
              <w:rPr>
                <w:b/>
                <w:bCs/>
              </w:rPr>
            </w:pPr>
            <w:r>
              <w:rPr>
                <w:b/>
                <w:bCs/>
              </w:rPr>
              <w:t>三废</w:t>
            </w:r>
            <w:r>
              <w:rPr>
                <w:b/>
                <w:bCs/>
                <w:spacing w:val="-1"/>
              </w:rPr>
              <w:t>治理</w:t>
            </w:r>
          </w:p>
          <w:p w14:paraId="4A2832E8">
            <w:pPr>
              <w:pStyle w:val="3"/>
            </w:pPr>
            <w:r>
              <w:t>1 固体废物</w:t>
            </w:r>
          </w:p>
          <w:p w14:paraId="0335DC5B">
            <w:pPr>
              <w:spacing w:before="151" w:line="360" w:lineRule="auto"/>
              <w:ind w:left="42" w:leftChars="20" w:right="38" w:rightChars="18" w:firstLine="468" w:firstLineChars="200"/>
              <w:outlineLvl w:val="0"/>
              <w:rPr>
                <w:rFonts w:ascii="Times New Roman" w:hAnsi="Times New Roman" w:eastAsia="宋体" w:cs="Times New Roman"/>
                <w:spacing w:val="-1"/>
                <w:sz w:val="24"/>
                <w:szCs w:val="24"/>
              </w:rPr>
            </w:pPr>
            <w:r>
              <w:rPr>
                <w:rFonts w:ascii="Times New Roman" w:hAnsi="Times New Roman" w:eastAsia="宋体" w:cs="Times New Roman"/>
                <w:spacing w:val="-3"/>
                <w:sz w:val="24"/>
                <w:szCs w:val="24"/>
              </w:rPr>
              <w:t>本项目运行后不会产生固体废物</w:t>
            </w:r>
            <w:r>
              <w:rPr>
                <w:rFonts w:ascii="Times New Roman" w:hAnsi="Times New Roman" w:eastAsia="宋体" w:cs="Times New Roman"/>
                <w:spacing w:val="-1"/>
                <w:sz w:val="24"/>
                <w:szCs w:val="24"/>
              </w:rPr>
              <w:t>。</w:t>
            </w:r>
          </w:p>
          <w:p w14:paraId="44533C04">
            <w:pPr>
              <w:pStyle w:val="3"/>
            </w:pPr>
            <w:r>
              <w:rPr>
                <w:spacing w:val="-1"/>
              </w:rPr>
              <w:t xml:space="preserve">2 </w:t>
            </w:r>
            <w:r>
              <w:t>液体废物</w:t>
            </w:r>
          </w:p>
          <w:p w14:paraId="48323EB2">
            <w:pPr>
              <w:spacing w:before="152" w:line="360" w:lineRule="auto"/>
              <w:ind w:left="113" w:right="38" w:rightChars="18" w:firstLine="476" w:firstLineChars="200"/>
              <w:rPr>
                <w:rFonts w:ascii="Times New Roman" w:hAnsi="Times New Roman" w:eastAsia="宋体" w:cs="Times New Roman"/>
                <w:sz w:val="24"/>
                <w:szCs w:val="24"/>
              </w:rPr>
            </w:pPr>
            <w:r>
              <w:rPr>
                <w:rFonts w:ascii="Times New Roman" w:hAnsi="Times New Roman" w:eastAsia="宋体" w:cs="Times New Roman"/>
                <w:spacing w:val="-1"/>
                <w:sz w:val="24"/>
                <w:szCs w:val="24"/>
              </w:rPr>
              <w:t>本项目运行后无废液产</w:t>
            </w:r>
            <w:r>
              <w:rPr>
                <w:rFonts w:ascii="Times New Roman" w:hAnsi="Times New Roman" w:eastAsia="宋体" w:cs="Times New Roman"/>
                <w:sz w:val="24"/>
                <w:szCs w:val="24"/>
              </w:rPr>
              <w:t>生。</w:t>
            </w:r>
          </w:p>
          <w:p w14:paraId="4A9C09F5">
            <w:pPr>
              <w:pStyle w:val="3"/>
            </w:pPr>
            <w:r>
              <w:t>3 气体废物</w:t>
            </w:r>
          </w:p>
          <w:p w14:paraId="5F36C6EE">
            <w:pPr>
              <w:pStyle w:val="2"/>
              <w:ind w:firstLine="480"/>
            </w:pPr>
            <w:r>
              <w:t>本项目X射线实时成像检测装置工作时产生的X射线可使空气电离从而产生少量臭氧和氮氧化物。本项目X射线实时成像检测装置的</w:t>
            </w:r>
            <w:r>
              <w:rPr>
                <w:rFonts w:hint="eastAsia"/>
              </w:rPr>
              <w:t>曝光室</w:t>
            </w:r>
            <w:r>
              <w:t>顶部拟设置1个通风</w:t>
            </w:r>
            <w:r>
              <w:rPr>
                <w:rFonts w:hint="eastAsia"/>
              </w:rPr>
              <w:t>口</w:t>
            </w:r>
            <w:r>
              <w:t>，X射线实时成像检测装置</w:t>
            </w:r>
            <w:r>
              <w:rPr>
                <w:rFonts w:hint="eastAsia"/>
              </w:rPr>
              <w:t>曝光室</w:t>
            </w:r>
            <w:r>
              <w:t>内产生的少量臭氧和氮氧化物可通过</w:t>
            </w:r>
            <w:r>
              <w:rPr>
                <w:rFonts w:hint="eastAsia"/>
              </w:rPr>
              <w:t>曝光室</w:t>
            </w:r>
            <w:r>
              <w:t>的进出料口及顶部通风口进入车间，最终通过车间排风系统排入车间外。臭氧常温下50min内可自行分解为氧气，对周围环境影响较小。</w:t>
            </w:r>
          </w:p>
        </w:tc>
      </w:tr>
    </w:tbl>
    <w:p w14:paraId="1F2E9B3A">
      <w:pPr>
        <w:sectPr>
          <w:pgSz w:w="11907" w:h="16841"/>
          <w:pgMar w:top="1418" w:right="1134" w:bottom="1418" w:left="1701" w:header="0" w:footer="1134" w:gutter="0"/>
          <w:cols w:space="720" w:num="1"/>
        </w:sectPr>
      </w:pPr>
    </w:p>
    <w:p w14:paraId="5A05D078">
      <w:pPr>
        <w:pStyle w:val="11"/>
      </w:pPr>
      <w:r>
        <w:t>表 11  环境影响分析</w:t>
      </w:r>
    </w:p>
    <w:tbl>
      <w:tblPr>
        <w:tblStyle w:val="15"/>
        <w:tblW w:w="908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083"/>
      </w:tblGrid>
      <w:tr w14:paraId="5E72D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23" w:hRule="atLeast"/>
        </w:trPr>
        <w:tc>
          <w:tcPr>
            <w:tcW w:w="9081" w:type="dxa"/>
          </w:tcPr>
          <w:p w14:paraId="2C1B619D">
            <w:pPr>
              <w:pStyle w:val="28"/>
              <w:rPr>
                <w:b/>
                <w:bCs/>
              </w:rPr>
            </w:pPr>
            <w:r>
              <w:rPr>
                <w:b/>
                <w:bCs/>
                <w:spacing w:val="-1"/>
              </w:rPr>
              <w:t>建设阶段</w:t>
            </w:r>
            <w:r>
              <w:rPr>
                <w:b/>
                <w:bCs/>
              </w:rPr>
              <w:t>对环境的影响</w:t>
            </w:r>
          </w:p>
          <w:p w14:paraId="317C8B98">
            <w:pPr>
              <w:pStyle w:val="2"/>
              <w:ind w:firstLine="480"/>
            </w:pPr>
            <w:r>
              <w:t>本项目</w:t>
            </w:r>
            <w:r>
              <w:rPr>
                <w:rFonts w:hint="eastAsia"/>
              </w:rPr>
              <w:t>施工期建设 X 射线实时成像检测装置曝光室会产生少量的环境污染（施工人员生活污水、施工废气、施工噪声及施工固体废物影响），产生的影响均为短期的，项目建成后，影响即自行消除。该单位在施工阶段采取上述污染防治措施后，施工期的环境影响将得到有效控制，对当地环境影响较小。本项目建筑施工包括：地基施工</w:t>
            </w:r>
            <w:r>
              <w:rPr>
                <w:rFonts w:hint="eastAsia" w:ascii="宋体" w:hAnsi="宋体"/>
              </w:rPr>
              <w:t>→</w:t>
            </w:r>
            <w:r>
              <w:rPr>
                <w:rFonts w:hint="eastAsia"/>
              </w:rPr>
              <w:t>墙体及房间内部主要设施搭建</w:t>
            </w:r>
            <w:r>
              <w:rPr>
                <w:rFonts w:hint="eastAsia" w:ascii="宋体" w:hAnsi="宋体"/>
              </w:rPr>
              <w:t>→混凝土一体化浇筑→房间附件及电缆、通风管线安装</w:t>
            </w:r>
          </w:p>
          <w:p w14:paraId="12040B9B">
            <w:pPr>
              <w:pStyle w:val="2"/>
              <w:ind w:firstLine="480"/>
            </w:pPr>
            <w:r>
              <w:rPr>
                <w:rFonts w:hint="eastAsia"/>
              </w:rPr>
              <w:t>工程施工期间的废水主要有施工人员的生活污水和施工废水。本项目施工期较短，少量施工废水沉淀后回用，施工人员生活污水排入厂区的化粪池中。</w:t>
            </w:r>
          </w:p>
          <w:p w14:paraId="403DF46D">
            <w:pPr>
              <w:pStyle w:val="2"/>
              <w:ind w:firstLine="480"/>
            </w:pPr>
            <w:r>
              <w:rPr>
                <w:rFonts w:hint="eastAsia"/>
              </w:rPr>
              <w:t>施工期废气主要为施工产生的扬尘以及运输车辆排放的尾气，均为无组织排放，对环境的影响较小。</w:t>
            </w:r>
          </w:p>
          <w:p w14:paraId="23D6DF81">
            <w:pPr>
              <w:pStyle w:val="2"/>
              <w:ind w:firstLine="480"/>
            </w:pPr>
            <w:r>
              <w:rPr>
                <w:rFonts w:hint="eastAsia"/>
              </w:rPr>
              <w:t>施工过程中的噪声主要来源于运输设备的车辆产生的噪声，该噪声源属于移动式声源，且为非持续性噪声，施工时间较短，对周围的声环境影响不大。</w:t>
            </w:r>
          </w:p>
          <w:p w14:paraId="05490C8B">
            <w:pPr>
              <w:pStyle w:val="2"/>
              <w:ind w:firstLine="480"/>
            </w:pPr>
            <w:r>
              <w:rPr>
                <w:rFonts w:hint="eastAsia"/>
              </w:rPr>
              <w:t>施工期的固体废物主要包括建筑垃圾和施工人员的生活垃圾。建筑垃圾和生活垃圾应分别堆放，生活垃圾可与当地环卫部门协议，由环卫部门送入环卫系统处理；建筑垃圾需按照城建部门规定处置，防止污染环境。</w:t>
            </w:r>
          </w:p>
        </w:tc>
      </w:tr>
      <w:tr w14:paraId="6E45D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40" w:hRule="atLeast"/>
        </w:trPr>
        <w:tc>
          <w:tcPr>
            <w:tcW w:w="9081" w:type="dxa"/>
            <w:tcBorders>
              <w:bottom w:val="single" w:color="auto" w:sz="4" w:space="0"/>
            </w:tcBorders>
          </w:tcPr>
          <w:p w14:paraId="76DD4D6E">
            <w:pPr>
              <w:pStyle w:val="3"/>
            </w:pPr>
            <w:r>
              <w:rPr>
                <w:spacing w:val="-1"/>
              </w:rPr>
              <w:t>运</w:t>
            </w:r>
            <w:r>
              <w:t>行阶段对环境的影响</w:t>
            </w:r>
          </w:p>
          <w:p w14:paraId="22F06F8C">
            <w:pPr>
              <w:pStyle w:val="2"/>
              <w:ind w:firstLine="480"/>
            </w:pPr>
            <w:r>
              <w:rPr>
                <w:rFonts w:hint="eastAsia"/>
              </w:rPr>
              <w:t>根据工程分析可知，本项目运行后主要的环境影响是 X 射线实时成像检测装置工作时产生的X 射线对周围环境的辐射影响。本报告对本项目的辐射环境影响采取理论计算的方法来进行分析与评价。</w:t>
            </w:r>
          </w:p>
          <w:p w14:paraId="7CF407A0">
            <w:pPr>
              <w:pStyle w:val="4"/>
            </w:pPr>
            <w:r>
              <w:t>辐射环境影响分析</w:t>
            </w:r>
          </w:p>
          <w:p w14:paraId="7215D62B">
            <w:pPr>
              <w:pStyle w:val="2"/>
              <w:ind w:firstLine="470"/>
              <w:rPr>
                <w:spacing w:val="-5"/>
              </w:rPr>
            </w:pPr>
            <w:r>
              <w:rPr>
                <w:rFonts w:hint="eastAsia"/>
                <w:spacing w:val="-5"/>
              </w:rPr>
              <w:t>本项目 X 射线实时成像检测装置的型号为XYD-320型，最大管电压为320kV，最大管电流为5.6mA，主射线固定于曝光室中央垂直朝顶部照射。本次评价选取 X 射线实时成像装置满功率运行时的工况进行预测。本次评价拟将装置顶部屏蔽体按照有用线束照射进行预测计算；将四周屏蔽体、西侧铅门、通风口、电缆口等均按照非有用线束照射进行预测计算。</w:t>
            </w:r>
          </w:p>
          <w:p w14:paraId="79D52E81">
            <w:pPr>
              <w:pStyle w:val="2"/>
              <w:ind w:firstLine="470"/>
              <w:rPr>
                <w:spacing w:val="-5"/>
              </w:rPr>
            </w:pPr>
            <w:r>
              <w:rPr>
                <w:rFonts w:hint="eastAsia"/>
                <w:spacing w:val="-5"/>
              </w:rPr>
              <w:t>本项目X射线管的出束角为</w:t>
            </w:r>
            <w:bookmarkStart w:id="14" w:name="OLE_LINK4"/>
            <w:r>
              <w:rPr>
                <w:rFonts w:hint="eastAsia"/>
                <w:spacing w:val="-5"/>
              </w:rPr>
              <w:t>40</w:t>
            </w:r>
            <w:r>
              <w:rPr>
                <w:rFonts w:cs="Times New Roman"/>
                <w:spacing w:val="-5"/>
              </w:rPr>
              <w:t>°</w:t>
            </w:r>
            <w:bookmarkEnd w:id="14"/>
            <w:r>
              <w:rPr>
                <w:rFonts w:cs="Times New Roman"/>
                <w:spacing w:val="-5"/>
              </w:rPr>
              <w:t>×</w:t>
            </w:r>
            <w:r>
              <w:rPr>
                <w:rFonts w:hint="eastAsia"/>
                <w:spacing w:val="-5"/>
              </w:rPr>
              <w:t>30</w:t>
            </w:r>
            <w:r>
              <w:rPr>
                <w:rFonts w:cs="Times New Roman"/>
                <w:spacing w:val="-5"/>
              </w:rPr>
              <w:t>°</w:t>
            </w:r>
            <w:r>
              <w:rPr>
                <w:rFonts w:hint="eastAsia" w:cs="Times New Roman"/>
                <w:spacing w:val="-5"/>
              </w:rPr>
              <w:t>，X 射线管固定于曝光室中央垂直朝顶部照射，不可偏转且无法移动。X 射线管出束口距曝光室东侧、西侧、南侧、北侧、顶部、底部屏蔽体距离分别为20.5m、24m、1.9m、2m、4m、1.9m。计算示意图见下图。</w:t>
            </w:r>
          </w:p>
          <w:p w14:paraId="0AD09C7B">
            <w:pPr>
              <w:pStyle w:val="23"/>
            </w:pPr>
            <w:r>
              <w:rPr>
                <w:snapToGrid/>
              </w:rPr>
              <w:drawing>
                <wp:inline distT="0" distB="0" distL="0" distR="0">
                  <wp:extent cx="5760720" cy="3554730"/>
                  <wp:effectExtent l="0" t="0" r="0" b="7620"/>
                  <wp:docPr id="17971847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184723" name="图片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3554730"/>
                          </a:xfrm>
                          <a:prstGeom prst="rect">
                            <a:avLst/>
                          </a:prstGeom>
                        </pic:spPr>
                      </pic:pic>
                    </a:graphicData>
                  </a:graphic>
                </wp:inline>
              </w:drawing>
            </w:r>
          </w:p>
          <w:p w14:paraId="7B284474">
            <w:pPr>
              <w:pStyle w:val="21"/>
            </w:pPr>
            <w:r>
              <w:rPr>
                <w:rFonts w:hint="eastAsia"/>
              </w:rPr>
              <w:t>图11-1 本项目 X 射线实时成像检测装置计算示意图</w:t>
            </w:r>
          </w:p>
          <w:p w14:paraId="0D53C39A">
            <w:pPr>
              <w:pStyle w:val="21"/>
            </w:pPr>
            <w:r>
              <w:rPr>
                <w:rFonts w:hint="eastAsia"/>
              </w:rPr>
              <w:t>表11-1 辐射源到关注点距离及需要防护的射线类型</w:t>
            </w:r>
          </w:p>
          <w:tbl>
            <w:tblPr>
              <w:tblStyle w:val="13"/>
              <w:tblW w:w="9071" w:type="dxa"/>
              <w:tblInd w:w="5"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3478"/>
              <w:gridCol w:w="2745"/>
              <w:gridCol w:w="2848"/>
            </w:tblGrid>
            <w:tr w14:paraId="7125C72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78" w:type="dxa"/>
                  <w:tcBorders>
                    <w:right w:val="single" w:color="auto" w:sz="4" w:space="0"/>
                    <w:tl2br w:val="nil"/>
                    <w:tr2bl w:val="nil"/>
                  </w:tcBorders>
                  <w:vAlign w:val="center"/>
                </w:tcPr>
                <w:p w14:paraId="6183A59D">
                  <w:pPr>
                    <w:pStyle w:val="24"/>
                    <w:widowControl w:val="0"/>
                  </w:pPr>
                  <w:r>
                    <w:rPr>
                      <w:rFonts w:hint="eastAsia"/>
                    </w:rPr>
                    <w:t>关注点</w:t>
                  </w:r>
                </w:p>
              </w:tc>
              <w:tc>
                <w:tcPr>
                  <w:tcW w:w="2745" w:type="dxa"/>
                  <w:tcBorders>
                    <w:left w:val="single" w:color="auto" w:sz="4" w:space="0"/>
                    <w:right w:val="single" w:color="auto" w:sz="4" w:space="0"/>
                  </w:tcBorders>
                  <w:vAlign w:val="center"/>
                </w:tcPr>
                <w:p w14:paraId="12755A7E">
                  <w:pPr>
                    <w:pStyle w:val="24"/>
                    <w:widowControl w:val="0"/>
                  </w:pPr>
                  <w:r>
                    <w:rPr>
                      <w:rFonts w:hint="eastAsia"/>
                    </w:rPr>
                    <w:t>辐射源至关注点距离（m）</w:t>
                  </w:r>
                </w:p>
              </w:tc>
              <w:tc>
                <w:tcPr>
                  <w:tcW w:w="2848" w:type="dxa"/>
                  <w:tcBorders>
                    <w:left w:val="single" w:color="auto" w:sz="4" w:space="0"/>
                    <w:tl2br w:val="nil"/>
                    <w:tr2bl w:val="nil"/>
                  </w:tcBorders>
                  <w:vAlign w:val="center"/>
                </w:tcPr>
                <w:p w14:paraId="3B1D612D">
                  <w:pPr>
                    <w:pStyle w:val="24"/>
                    <w:widowControl w:val="0"/>
                  </w:pPr>
                  <w:r>
                    <w:rPr>
                      <w:rFonts w:hint="eastAsia"/>
                    </w:rPr>
                    <w:t>射线类型</w:t>
                  </w:r>
                </w:p>
              </w:tc>
            </w:tr>
            <w:tr w14:paraId="0DC6C2C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78" w:type="dxa"/>
                  <w:tcBorders>
                    <w:right w:val="single" w:color="auto" w:sz="4" w:space="0"/>
                    <w:tl2br w:val="nil"/>
                    <w:tr2bl w:val="nil"/>
                  </w:tcBorders>
                  <w:vAlign w:val="center"/>
                </w:tcPr>
                <w:p w14:paraId="5156DC4B">
                  <w:pPr>
                    <w:pStyle w:val="24"/>
                    <w:widowControl w:val="0"/>
                  </w:pPr>
                  <w:r>
                    <w:rPr>
                      <w:rFonts w:hint="eastAsia"/>
                    </w:rPr>
                    <w:t>①东侧屏蔽体外30cm处</w:t>
                  </w:r>
                </w:p>
              </w:tc>
              <w:tc>
                <w:tcPr>
                  <w:tcW w:w="2745" w:type="dxa"/>
                  <w:tcBorders>
                    <w:left w:val="single" w:color="auto" w:sz="4" w:space="0"/>
                    <w:right w:val="single" w:color="auto" w:sz="4" w:space="0"/>
                  </w:tcBorders>
                  <w:vAlign w:val="center"/>
                </w:tcPr>
                <w:p w14:paraId="0C4E0616">
                  <w:pPr>
                    <w:pStyle w:val="24"/>
                    <w:widowControl w:val="0"/>
                  </w:pPr>
                  <w:r>
                    <w:rPr>
                      <w:rFonts w:hint="eastAsia"/>
                    </w:rPr>
                    <w:t>21.38</w:t>
                  </w:r>
                </w:p>
              </w:tc>
              <w:tc>
                <w:tcPr>
                  <w:tcW w:w="2848" w:type="dxa"/>
                  <w:tcBorders>
                    <w:left w:val="single" w:color="auto" w:sz="4" w:space="0"/>
                    <w:tl2br w:val="nil"/>
                    <w:tr2bl w:val="nil"/>
                  </w:tcBorders>
                  <w:vAlign w:val="center"/>
                </w:tcPr>
                <w:p w14:paraId="284C2F7E">
                  <w:pPr>
                    <w:pStyle w:val="24"/>
                    <w:widowControl w:val="0"/>
                  </w:pPr>
                  <w:r>
                    <w:rPr>
                      <w:rFonts w:hint="eastAsia"/>
                    </w:rPr>
                    <w:t>泄漏辐射、散射辐射</w:t>
                  </w:r>
                </w:p>
              </w:tc>
            </w:tr>
            <w:tr w14:paraId="1F9F3B9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78" w:type="dxa"/>
                  <w:tcBorders>
                    <w:right w:val="single" w:color="auto" w:sz="4" w:space="0"/>
                    <w:tl2br w:val="nil"/>
                    <w:tr2bl w:val="nil"/>
                  </w:tcBorders>
                  <w:vAlign w:val="center"/>
                </w:tcPr>
                <w:p w14:paraId="1D2B0325">
                  <w:pPr>
                    <w:pStyle w:val="24"/>
                    <w:widowControl w:val="0"/>
                  </w:pPr>
                  <w:r>
                    <w:rPr>
                      <w:rFonts w:hint="eastAsia"/>
                    </w:rPr>
                    <w:t>②南侧屏蔽体外30cm处</w:t>
                  </w:r>
                </w:p>
              </w:tc>
              <w:tc>
                <w:tcPr>
                  <w:tcW w:w="2745" w:type="dxa"/>
                  <w:tcBorders>
                    <w:left w:val="single" w:color="auto" w:sz="4" w:space="0"/>
                    <w:right w:val="single" w:color="auto" w:sz="4" w:space="0"/>
                  </w:tcBorders>
                  <w:vAlign w:val="center"/>
                </w:tcPr>
                <w:p w14:paraId="1624546C">
                  <w:pPr>
                    <w:pStyle w:val="24"/>
                    <w:widowControl w:val="0"/>
                  </w:pPr>
                  <w:r>
                    <w:rPr>
                      <w:rFonts w:hint="eastAsia"/>
                    </w:rPr>
                    <w:t>2.78</w:t>
                  </w:r>
                </w:p>
              </w:tc>
              <w:tc>
                <w:tcPr>
                  <w:tcW w:w="2848" w:type="dxa"/>
                  <w:tcBorders>
                    <w:left w:val="single" w:color="auto" w:sz="4" w:space="0"/>
                    <w:tl2br w:val="nil"/>
                    <w:tr2bl w:val="nil"/>
                  </w:tcBorders>
                  <w:vAlign w:val="center"/>
                </w:tcPr>
                <w:p w14:paraId="0AC76CA2">
                  <w:pPr>
                    <w:pStyle w:val="24"/>
                    <w:widowControl w:val="0"/>
                  </w:pPr>
                  <w:r>
                    <w:rPr>
                      <w:rFonts w:hint="eastAsia"/>
                    </w:rPr>
                    <w:t>泄漏辐射、散射辐射</w:t>
                  </w:r>
                </w:p>
              </w:tc>
            </w:tr>
            <w:tr w14:paraId="24A6591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78" w:type="dxa"/>
                  <w:tcBorders>
                    <w:right w:val="single" w:color="auto" w:sz="4" w:space="0"/>
                    <w:tl2br w:val="nil"/>
                    <w:tr2bl w:val="nil"/>
                  </w:tcBorders>
                  <w:vAlign w:val="center"/>
                </w:tcPr>
                <w:p w14:paraId="3ABD3D23">
                  <w:pPr>
                    <w:pStyle w:val="24"/>
                    <w:widowControl w:val="0"/>
                  </w:pPr>
                  <w:r>
                    <w:rPr>
                      <w:rFonts w:hint="eastAsia"/>
                    </w:rPr>
                    <w:t>③西侧屏蔽体外30cm处</w:t>
                  </w:r>
                </w:p>
              </w:tc>
              <w:tc>
                <w:tcPr>
                  <w:tcW w:w="2745" w:type="dxa"/>
                  <w:tcBorders>
                    <w:left w:val="single" w:color="auto" w:sz="4" w:space="0"/>
                    <w:right w:val="single" w:color="auto" w:sz="4" w:space="0"/>
                  </w:tcBorders>
                  <w:vAlign w:val="center"/>
                </w:tcPr>
                <w:p w14:paraId="08DF2D2D">
                  <w:pPr>
                    <w:pStyle w:val="24"/>
                    <w:widowControl w:val="0"/>
                  </w:pPr>
                  <w:r>
                    <w:rPr>
                      <w:rFonts w:hint="eastAsia"/>
                    </w:rPr>
                    <w:t>24.88</w:t>
                  </w:r>
                </w:p>
              </w:tc>
              <w:tc>
                <w:tcPr>
                  <w:tcW w:w="2848" w:type="dxa"/>
                  <w:tcBorders>
                    <w:left w:val="single" w:color="auto" w:sz="4" w:space="0"/>
                    <w:tl2br w:val="nil"/>
                    <w:tr2bl w:val="nil"/>
                  </w:tcBorders>
                  <w:vAlign w:val="center"/>
                </w:tcPr>
                <w:p w14:paraId="74D4D96E">
                  <w:pPr>
                    <w:pStyle w:val="24"/>
                    <w:widowControl w:val="0"/>
                  </w:pPr>
                  <w:bookmarkStart w:id="15" w:name="OLE_LINK10"/>
                  <w:r>
                    <w:rPr>
                      <w:rFonts w:hint="eastAsia"/>
                    </w:rPr>
                    <w:t>泄漏辐射、散射辐射</w:t>
                  </w:r>
                  <w:bookmarkEnd w:id="15"/>
                </w:p>
              </w:tc>
            </w:tr>
            <w:tr w14:paraId="62E9F56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78" w:type="dxa"/>
                  <w:tcBorders>
                    <w:right w:val="single" w:color="auto" w:sz="4" w:space="0"/>
                    <w:tl2br w:val="nil"/>
                    <w:tr2bl w:val="nil"/>
                  </w:tcBorders>
                  <w:vAlign w:val="center"/>
                </w:tcPr>
                <w:p w14:paraId="1CB53C4C">
                  <w:pPr>
                    <w:pStyle w:val="24"/>
                    <w:widowControl w:val="0"/>
                  </w:pPr>
                  <w:r>
                    <w:rPr>
                      <w:rFonts w:hint="eastAsia"/>
                    </w:rPr>
                    <w:t>④北侧屏蔽体外30cm处</w:t>
                  </w:r>
                </w:p>
              </w:tc>
              <w:tc>
                <w:tcPr>
                  <w:tcW w:w="2745" w:type="dxa"/>
                  <w:tcBorders>
                    <w:left w:val="single" w:color="auto" w:sz="4" w:space="0"/>
                    <w:right w:val="single" w:color="auto" w:sz="4" w:space="0"/>
                  </w:tcBorders>
                  <w:vAlign w:val="center"/>
                </w:tcPr>
                <w:p w14:paraId="6FD70121">
                  <w:pPr>
                    <w:pStyle w:val="24"/>
                    <w:widowControl w:val="0"/>
                  </w:pPr>
                  <w:r>
                    <w:rPr>
                      <w:rFonts w:hint="eastAsia"/>
                    </w:rPr>
                    <w:t>2.88</w:t>
                  </w:r>
                </w:p>
              </w:tc>
              <w:tc>
                <w:tcPr>
                  <w:tcW w:w="2848" w:type="dxa"/>
                  <w:tcBorders>
                    <w:left w:val="single" w:color="auto" w:sz="4" w:space="0"/>
                    <w:tl2br w:val="nil"/>
                    <w:tr2bl w:val="nil"/>
                  </w:tcBorders>
                  <w:vAlign w:val="center"/>
                </w:tcPr>
                <w:p w14:paraId="265340CE">
                  <w:pPr>
                    <w:pStyle w:val="24"/>
                    <w:widowControl w:val="0"/>
                  </w:pPr>
                  <w:r>
                    <w:rPr>
                      <w:rFonts w:hint="eastAsia"/>
                    </w:rPr>
                    <w:t>泄漏辐射、散射辐射</w:t>
                  </w:r>
                </w:p>
              </w:tc>
            </w:tr>
            <w:tr w14:paraId="04E0EAB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78" w:type="dxa"/>
                  <w:tcBorders>
                    <w:right w:val="single" w:color="auto" w:sz="4" w:space="0"/>
                    <w:tl2br w:val="nil"/>
                    <w:tr2bl w:val="nil"/>
                  </w:tcBorders>
                  <w:vAlign w:val="center"/>
                </w:tcPr>
                <w:p w14:paraId="44775C36">
                  <w:pPr>
                    <w:pStyle w:val="24"/>
                    <w:widowControl w:val="0"/>
                  </w:pPr>
                  <w:r>
                    <w:rPr>
                      <w:rFonts w:hint="eastAsia"/>
                    </w:rPr>
                    <w:t>⑤顶部屏蔽体外30cm处</w:t>
                  </w:r>
                </w:p>
              </w:tc>
              <w:tc>
                <w:tcPr>
                  <w:tcW w:w="2745" w:type="dxa"/>
                  <w:tcBorders>
                    <w:left w:val="single" w:color="auto" w:sz="4" w:space="0"/>
                    <w:right w:val="single" w:color="auto" w:sz="4" w:space="0"/>
                  </w:tcBorders>
                  <w:vAlign w:val="center"/>
                </w:tcPr>
                <w:p w14:paraId="32195285">
                  <w:pPr>
                    <w:pStyle w:val="24"/>
                    <w:widowControl w:val="0"/>
                  </w:pPr>
                  <w:r>
                    <w:rPr>
                      <w:rFonts w:hint="eastAsia"/>
                    </w:rPr>
                    <w:t>4.88</w:t>
                  </w:r>
                </w:p>
              </w:tc>
              <w:tc>
                <w:tcPr>
                  <w:tcW w:w="2848" w:type="dxa"/>
                  <w:tcBorders>
                    <w:left w:val="single" w:color="auto" w:sz="4" w:space="0"/>
                    <w:tl2br w:val="nil"/>
                    <w:tr2bl w:val="nil"/>
                  </w:tcBorders>
                  <w:vAlign w:val="center"/>
                </w:tcPr>
                <w:p w14:paraId="107F7610">
                  <w:pPr>
                    <w:pStyle w:val="24"/>
                    <w:widowControl w:val="0"/>
                  </w:pPr>
                  <w:r>
                    <w:rPr>
                      <w:rFonts w:hint="eastAsia"/>
                    </w:rPr>
                    <w:t>有用线束</w:t>
                  </w:r>
                </w:p>
              </w:tc>
            </w:tr>
            <w:tr w14:paraId="442FA21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78" w:type="dxa"/>
                  <w:tcBorders>
                    <w:right w:val="single" w:color="auto" w:sz="4" w:space="0"/>
                    <w:tl2br w:val="nil"/>
                    <w:tr2bl w:val="nil"/>
                  </w:tcBorders>
                  <w:vAlign w:val="center"/>
                </w:tcPr>
                <w:p w14:paraId="4398B948">
                  <w:pPr>
                    <w:pStyle w:val="24"/>
                    <w:widowControl w:val="0"/>
                  </w:pPr>
                  <w:r>
                    <w:rPr>
                      <w:rFonts w:hint="eastAsia"/>
                    </w:rPr>
                    <w:t>⑥西侧维修门外3</w:t>
                  </w:r>
                  <w:r>
                    <w:t>0cm</w:t>
                  </w:r>
                  <w:r>
                    <w:rPr>
                      <w:rFonts w:hint="eastAsia"/>
                    </w:rPr>
                    <w:t>处</w:t>
                  </w:r>
                </w:p>
              </w:tc>
              <w:tc>
                <w:tcPr>
                  <w:tcW w:w="2745" w:type="dxa"/>
                  <w:tcBorders>
                    <w:left w:val="single" w:color="auto" w:sz="4" w:space="0"/>
                    <w:right w:val="single" w:color="auto" w:sz="4" w:space="0"/>
                  </w:tcBorders>
                  <w:vAlign w:val="center"/>
                </w:tcPr>
                <w:p w14:paraId="5508DA58">
                  <w:pPr>
                    <w:pStyle w:val="24"/>
                    <w:widowControl w:val="0"/>
                  </w:pPr>
                  <w:r>
                    <w:rPr>
                      <w:rFonts w:hint="eastAsia"/>
                    </w:rPr>
                    <w:t>24.307</w:t>
                  </w:r>
                </w:p>
              </w:tc>
              <w:tc>
                <w:tcPr>
                  <w:tcW w:w="2848" w:type="dxa"/>
                  <w:tcBorders>
                    <w:left w:val="single" w:color="auto" w:sz="4" w:space="0"/>
                    <w:tl2br w:val="nil"/>
                    <w:tr2bl w:val="nil"/>
                  </w:tcBorders>
                  <w:vAlign w:val="center"/>
                </w:tcPr>
                <w:p w14:paraId="4FAD3DFB">
                  <w:pPr>
                    <w:pStyle w:val="24"/>
                    <w:widowControl w:val="0"/>
                  </w:pPr>
                  <w:r>
                    <w:rPr>
                      <w:rFonts w:hint="eastAsia"/>
                    </w:rPr>
                    <w:t>泄漏辐射、散射辐射</w:t>
                  </w:r>
                </w:p>
              </w:tc>
            </w:tr>
            <w:tr w14:paraId="4C27DC6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78" w:type="dxa"/>
                  <w:tcBorders>
                    <w:right w:val="single" w:color="auto" w:sz="4" w:space="0"/>
                    <w:tl2br w:val="nil"/>
                    <w:tr2bl w:val="nil"/>
                  </w:tcBorders>
                  <w:vAlign w:val="center"/>
                </w:tcPr>
                <w:p w14:paraId="51486A7B">
                  <w:pPr>
                    <w:pStyle w:val="24"/>
                    <w:widowControl w:val="0"/>
                  </w:pPr>
                  <w:r>
                    <w:rPr>
                      <w:rFonts w:hint="eastAsia"/>
                    </w:rPr>
                    <w:t>⑦东侧进出料门外30cm处</w:t>
                  </w:r>
                </w:p>
              </w:tc>
              <w:tc>
                <w:tcPr>
                  <w:tcW w:w="2745" w:type="dxa"/>
                  <w:tcBorders>
                    <w:left w:val="single" w:color="auto" w:sz="4" w:space="0"/>
                    <w:right w:val="single" w:color="auto" w:sz="4" w:space="0"/>
                  </w:tcBorders>
                  <w:vAlign w:val="center"/>
                </w:tcPr>
                <w:p w14:paraId="6229BF5B">
                  <w:pPr>
                    <w:pStyle w:val="24"/>
                    <w:widowControl w:val="0"/>
                  </w:pPr>
                  <w:r>
                    <w:rPr>
                      <w:rFonts w:hint="eastAsia"/>
                    </w:rPr>
                    <w:t>20.807</w:t>
                  </w:r>
                </w:p>
              </w:tc>
              <w:tc>
                <w:tcPr>
                  <w:tcW w:w="2848" w:type="dxa"/>
                  <w:tcBorders>
                    <w:left w:val="single" w:color="auto" w:sz="4" w:space="0"/>
                    <w:tl2br w:val="nil"/>
                    <w:tr2bl w:val="nil"/>
                  </w:tcBorders>
                  <w:vAlign w:val="center"/>
                </w:tcPr>
                <w:p w14:paraId="769EFB9E">
                  <w:pPr>
                    <w:pStyle w:val="24"/>
                    <w:widowControl w:val="0"/>
                  </w:pPr>
                  <w:r>
                    <w:rPr>
                      <w:rFonts w:hint="eastAsia"/>
                    </w:rPr>
                    <w:t>泄漏辐射、散射辐射</w:t>
                  </w:r>
                </w:p>
              </w:tc>
            </w:tr>
          </w:tbl>
          <w:p w14:paraId="726B543A">
            <w:pPr>
              <w:pStyle w:val="6"/>
              <w:jc w:val="both"/>
            </w:pPr>
            <w:r>
              <w:rPr>
                <w:rFonts w:hint="eastAsia"/>
              </w:rPr>
              <w:t>注：辐射源至东侧关注点距离=出束口到东侧屏蔽体距离20.5</w:t>
            </w:r>
            <w:r>
              <w:t>m+</w:t>
            </w:r>
            <w:r>
              <w:rPr>
                <w:rFonts w:hint="eastAsia"/>
              </w:rPr>
              <w:t>东侧屏蔽体厚度0.58</w:t>
            </w:r>
            <w:r>
              <w:t>m+</w:t>
            </w:r>
            <w:r>
              <w:rPr>
                <w:rFonts w:hint="eastAsia"/>
              </w:rPr>
              <w:t>参考点0</w:t>
            </w:r>
            <w:r>
              <w:t>.3m=</w:t>
            </w:r>
            <w:r>
              <w:rPr>
                <w:rFonts w:hint="eastAsia"/>
              </w:rPr>
              <w:t>21.38</w:t>
            </w:r>
            <w:r>
              <w:t>m</w:t>
            </w:r>
          </w:p>
          <w:p w14:paraId="1A8B3487">
            <w:pPr>
              <w:pStyle w:val="6"/>
              <w:jc w:val="both"/>
            </w:pPr>
            <w:r>
              <w:rPr>
                <w:rFonts w:hint="eastAsia"/>
              </w:rPr>
              <w:t>辐射源至南侧关注点距离</w:t>
            </w:r>
            <w:r>
              <w:t>=</w:t>
            </w:r>
            <w:r>
              <w:rPr>
                <w:rFonts w:hint="eastAsia"/>
              </w:rPr>
              <w:t>出束口到南侧屏蔽体距离1.9</w:t>
            </w:r>
            <w:r>
              <w:t>m+</w:t>
            </w:r>
            <w:r>
              <w:rPr>
                <w:rFonts w:hint="eastAsia"/>
              </w:rPr>
              <w:t>南侧屏蔽体厚度0</w:t>
            </w:r>
            <w:r>
              <w:t>.</w:t>
            </w:r>
            <w:r>
              <w:rPr>
                <w:rFonts w:hint="eastAsia"/>
              </w:rPr>
              <w:t>58</w:t>
            </w:r>
            <w:r>
              <w:t>m+</w:t>
            </w:r>
            <w:r>
              <w:rPr>
                <w:rFonts w:hint="eastAsia"/>
              </w:rPr>
              <w:t>参考点</w:t>
            </w:r>
            <w:r>
              <w:t>0.3m=</w:t>
            </w:r>
            <w:r>
              <w:rPr>
                <w:rFonts w:hint="eastAsia"/>
              </w:rPr>
              <w:t>2.78</w:t>
            </w:r>
            <w:r>
              <w:t>m</w:t>
            </w:r>
          </w:p>
          <w:p w14:paraId="696AD178">
            <w:pPr>
              <w:pStyle w:val="6"/>
              <w:jc w:val="both"/>
            </w:pPr>
            <w:r>
              <w:rPr>
                <w:rFonts w:hint="eastAsia"/>
              </w:rPr>
              <w:t>辐射源至西侧关注点距离</w:t>
            </w:r>
            <w:r>
              <w:t>=</w:t>
            </w:r>
            <w:r>
              <w:rPr>
                <w:rFonts w:hint="eastAsia"/>
              </w:rPr>
              <w:t>出束口到西侧屏蔽体距离24</w:t>
            </w:r>
            <w:r>
              <w:t>m+</w:t>
            </w:r>
            <w:r>
              <w:rPr>
                <w:rFonts w:hint="eastAsia"/>
              </w:rPr>
              <w:t>西侧屏蔽体厚度0</w:t>
            </w:r>
            <w:r>
              <w:t>.</w:t>
            </w:r>
            <w:r>
              <w:rPr>
                <w:rFonts w:hint="eastAsia"/>
              </w:rPr>
              <w:t>58</w:t>
            </w:r>
            <w:r>
              <w:t>m+</w:t>
            </w:r>
            <w:r>
              <w:rPr>
                <w:rFonts w:hint="eastAsia"/>
              </w:rPr>
              <w:t>参考点</w:t>
            </w:r>
            <w:r>
              <w:t>0.3m=2</w:t>
            </w:r>
            <w:r>
              <w:rPr>
                <w:rFonts w:hint="eastAsia"/>
              </w:rPr>
              <w:t>4.88</w:t>
            </w:r>
            <w:r>
              <w:t>m</w:t>
            </w:r>
          </w:p>
          <w:p w14:paraId="41F2CBCD">
            <w:pPr>
              <w:pStyle w:val="6"/>
              <w:jc w:val="both"/>
            </w:pPr>
            <w:r>
              <w:rPr>
                <w:rFonts w:hint="eastAsia"/>
              </w:rPr>
              <w:t>辐射源至北侧关注点距离</w:t>
            </w:r>
            <w:r>
              <w:t>=</w:t>
            </w:r>
            <w:r>
              <w:rPr>
                <w:rFonts w:hint="eastAsia"/>
              </w:rPr>
              <w:t>出束口到北侧屏蔽体距离2</w:t>
            </w:r>
            <w:r>
              <w:t>m+</w:t>
            </w:r>
            <w:r>
              <w:rPr>
                <w:rFonts w:hint="eastAsia"/>
              </w:rPr>
              <w:t>北侧屏蔽体厚度0</w:t>
            </w:r>
            <w:r>
              <w:t>.</w:t>
            </w:r>
            <w:r>
              <w:rPr>
                <w:rFonts w:hint="eastAsia"/>
              </w:rPr>
              <w:t>58</w:t>
            </w:r>
            <w:r>
              <w:t>m+</w:t>
            </w:r>
            <w:r>
              <w:rPr>
                <w:rFonts w:hint="eastAsia"/>
              </w:rPr>
              <w:t>参考点</w:t>
            </w:r>
            <w:r>
              <w:t>0.3m=2.</w:t>
            </w:r>
            <w:r>
              <w:rPr>
                <w:rFonts w:hint="eastAsia"/>
              </w:rPr>
              <w:t>88</w:t>
            </w:r>
            <w:r>
              <w:t>m</w:t>
            </w:r>
          </w:p>
          <w:p w14:paraId="1A813DD5">
            <w:pPr>
              <w:pStyle w:val="6"/>
              <w:jc w:val="both"/>
            </w:pPr>
            <w:r>
              <w:rPr>
                <w:rFonts w:hint="eastAsia"/>
              </w:rPr>
              <w:t>辐射源至顶部关注点距离</w:t>
            </w:r>
            <w:r>
              <w:t>=</w:t>
            </w:r>
            <w:r>
              <w:rPr>
                <w:rFonts w:hint="eastAsia"/>
              </w:rPr>
              <w:t>出束口到顶部屏蔽体距离4</w:t>
            </w:r>
            <w:r>
              <w:t>m+</w:t>
            </w:r>
            <w:r>
              <w:rPr>
                <w:rFonts w:hint="eastAsia"/>
              </w:rPr>
              <w:t>顶部屏蔽体厚度0</w:t>
            </w:r>
            <w:r>
              <w:t>.</w:t>
            </w:r>
            <w:r>
              <w:rPr>
                <w:rFonts w:hint="eastAsia"/>
              </w:rPr>
              <w:t>58</w:t>
            </w:r>
            <w:r>
              <w:t>m+</w:t>
            </w:r>
            <w:r>
              <w:rPr>
                <w:rFonts w:hint="eastAsia"/>
              </w:rPr>
              <w:t>参考点</w:t>
            </w:r>
            <w:r>
              <w:t>0.3m=</w:t>
            </w:r>
            <w:r>
              <w:rPr>
                <w:rFonts w:hint="eastAsia"/>
              </w:rPr>
              <w:t>4.88</w:t>
            </w:r>
            <w:r>
              <w:t>m</w:t>
            </w:r>
          </w:p>
          <w:p w14:paraId="54304D89">
            <w:pPr>
              <w:pStyle w:val="6"/>
              <w:jc w:val="both"/>
            </w:pPr>
            <w:r>
              <w:rPr>
                <w:rFonts w:hint="eastAsia"/>
              </w:rPr>
              <w:t>辐射源至西侧维修门关注点距离</w:t>
            </w:r>
            <w:r>
              <w:t>=</w:t>
            </w:r>
            <w:r>
              <w:rPr>
                <w:rFonts w:hint="eastAsia"/>
              </w:rPr>
              <w:t>出束口到西侧维修门距离24</w:t>
            </w:r>
            <w:r>
              <w:t>m+</w:t>
            </w:r>
            <w:r>
              <w:rPr>
                <w:rFonts w:hint="eastAsia"/>
              </w:rPr>
              <w:t>西侧维修门厚度0</w:t>
            </w:r>
            <w:r>
              <w:t>.0</w:t>
            </w:r>
            <w:r>
              <w:rPr>
                <w:rFonts w:hint="eastAsia"/>
              </w:rPr>
              <w:t>07</w:t>
            </w:r>
            <w:r>
              <w:t>m+</w:t>
            </w:r>
            <w:r>
              <w:rPr>
                <w:rFonts w:hint="eastAsia"/>
              </w:rPr>
              <w:t>参考点</w:t>
            </w:r>
            <w:r>
              <w:t>0.3m=</w:t>
            </w:r>
            <w:r>
              <w:rPr>
                <w:rFonts w:hint="eastAsia"/>
              </w:rPr>
              <w:t>24.307</w:t>
            </w:r>
            <w:r>
              <w:t>m</w:t>
            </w:r>
          </w:p>
          <w:p w14:paraId="6B2DDD5B">
            <w:pPr>
              <w:pStyle w:val="6"/>
              <w:jc w:val="both"/>
            </w:pPr>
            <w:r>
              <w:rPr>
                <w:rFonts w:hint="eastAsia"/>
              </w:rPr>
              <w:t>辐射源至东侧进出料门关注点距离</w:t>
            </w:r>
            <w:r>
              <w:t>=</w:t>
            </w:r>
            <w:r>
              <w:rPr>
                <w:rFonts w:hint="eastAsia"/>
              </w:rPr>
              <w:t>出束口到东侧进出料门距离20.5</w:t>
            </w:r>
            <w:r>
              <w:t>m+</w:t>
            </w:r>
            <w:r>
              <w:rPr>
                <w:rFonts w:hint="eastAsia"/>
              </w:rPr>
              <w:t>东侧进出料门厚度0</w:t>
            </w:r>
            <w:r>
              <w:t>.0</w:t>
            </w:r>
            <w:r>
              <w:rPr>
                <w:rFonts w:hint="eastAsia"/>
              </w:rPr>
              <w:t>07</w:t>
            </w:r>
            <w:r>
              <w:t>m+</w:t>
            </w:r>
            <w:r>
              <w:rPr>
                <w:rFonts w:hint="eastAsia"/>
              </w:rPr>
              <w:t>参考点</w:t>
            </w:r>
            <w:r>
              <w:t>0.3m=</w:t>
            </w:r>
            <w:r>
              <w:rPr>
                <w:rFonts w:hint="eastAsia"/>
              </w:rPr>
              <w:t>20.807</w:t>
            </w:r>
            <w:r>
              <w:t>m</w:t>
            </w:r>
          </w:p>
          <w:p w14:paraId="5991E91D">
            <w:pPr>
              <w:pStyle w:val="2"/>
              <w:ind w:firstLine="480"/>
              <w:rPr>
                <w:spacing w:val="-4"/>
              </w:rPr>
            </w:pPr>
            <w:r>
              <w:rPr>
                <w:rFonts w:hint="eastAsia"/>
              </w:rPr>
              <w:t>经计算，X 射线实时成像检测装置垂直向上照射时，4</w:t>
            </w:r>
            <w:r>
              <w:t>×</w:t>
            </w:r>
            <w:r>
              <w:rPr>
                <w:rFonts w:hint="eastAsia"/>
              </w:rPr>
              <w:t>tan20°</w:t>
            </w:r>
            <w:r>
              <w:t>≈</w:t>
            </w:r>
            <w:r>
              <w:rPr>
                <w:rFonts w:hint="eastAsia"/>
              </w:rPr>
              <w:t xml:space="preserve"> 1.456，该距离均小于设备距</w:t>
            </w:r>
            <w:r>
              <w:rPr>
                <w:rFonts w:hint="eastAsia" w:cs="Times New Roman"/>
                <w:spacing w:val="-5"/>
              </w:rPr>
              <w:t>东侧、西侧、南侧、北侧屏蔽体的距离</w:t>
            </w:r>
            <w:r>
              <w:rPr>
                <w:rFonts w:hint="eastAsia"/>
              </w:rPr>
              <w:t>，因此 X 射线设备向上照射时有用线束不会照射</w:t>
            </w:r>
            <w:r>
              <w:rPr>
                <w:rFonts w:hint="eastAsia" w:cs="Times New Roman"/>
                <w:spacing w:val="-5"/>
              </w:rPr>
              <w:t>东侧、西侧、南侧、北侧屏蔽体</w:t>
            </w:r>
            <w:r>
              <w:rPr>
                <w:rFonts w:hint="eastAsia"/>
              </w:rPr>
              <w:t>。</w:t>
            </w:r>
            <w:r>
              <w:t xml:space="preserve">本项目预测计算模式采用《工业 </w:t>
            </w:r>
            <w:r>
              <w:rPr>
                <w:spacing w:val="-6"/>
              </w:rPr>
              <w:t>X</w:t>
            </w:r>
            <w:r>
              <w:t xml:space="preserve"> </w:t>
            </w:r>
            <w:r>
              <w:rPr>
                <w:spacing w:val="-14"/>
              </w:rPr>
              <w:t>射线探伤室</w:t>
            </w:r>
            <w:r>
              <w:t>辐</w:t>
            </w:r>
            <w:r>
              <w:rPr>
                <w:spacing w:val="-7"/>
              </w:rPr>
              <w:t>射屏蔽规范》 (GBZ/T 250-2014) 中的计算公式</w:t>
            </w:r>
            <w:r>
              <w:rPr>
                <w:rFonts w:hint="eastAsia"/>
                <w:spacing w:val="-4"/>
              </w:rPr>
              <w:t>。</w:t>
            </w:r>
          </w:p>
          <w:p w14:paraId="52EABCD0">
            <w:pPr>
              <w:pStyle w:val="3"/>
            </w:pPr>
            <w:r>
              <w:rPr>
                <w:rFonts w:hint="eastAsia"/>
              </w:rPr>
              <w:t>1 理论预测公式</w:t>
            </w:r>
          </w:p>
          <w:p w14:paraId="0E9F71FA">
            <w:pPr>
              <w:pStyle w:val="4"/>
            </w:pPr>
            <w:r>
              <w:rPr>
                <w:rFonts w:hint="eastAsia"/>
              </w:rPr>
              <w:t>1.1 有用射束方向屏蔽效果预测</w:t>
            </w:r>
          </w:p>
          <w:p w14:paraId="705259F6">
            <w:pPr>
              <w:pStyle w:val="2"/>
              <w:ind w:firstLine="480"/>
            </w:pPr>
            <w:r>
              <w:t>曝光室预测计算模式采用《工业X射线探伤室辐射屏蔽规范》(GBZ/T</w:t>
            </w:r>
            <w:r>
              <w:rPr>
                <w:rFonts w:hint="eastAsia"/>
              </w:rPr>
              <w:t xml:space="preserve"> </w:t>
            </w:r>
            <w:r>
              <w:t>250-2014)中有用线束屏蔽估算的计算公式：</w:t>
            </w:r>
          </w:p>
          <w:p w14:paraId="2B3A1436">
            <w:pPr>
              <w:pStyle w:val="2"/>
              <w:ind w:firstLine="480"/>
              <w:rPr>
                <w:iCs/>
              </w:rPr>
            </w:pPr>
            <m:oMathPara>
              <m:oMath>
                <m:acc>
                  <m:accPr>
                    <m:chr m:val="̇"/>
                    <m:ctrlPr>
                      <w:rPr>
                        <w:rFonts w:ascii="Cambria Math" w:hAnsi="Cambria Math"/>
                      </w:rPr>
                    </m:ctrlPr>
                  </m:accPr>
                  <m:e>
                    <m:r>
                      <m:rPr>
                        <m:sty m:val="p"/>
                      </m:rPr>
                      <w:rPr>
                        <w:rFonts w:ascii="Cambria Math" w:hAnsi="Cambria Math"/>
                      </w:rPr>
                      <m:t>H</m:t>
                    </m:r>
                    <m:ctrlPr>
                      <w:rPr>
                        <w:rFonts w:ascii="Cambria Math" w:hAnsi="Cambria Math"/>
                      </w:rPr>
                    </m:ctrlPr>
                  </m:e>
                </m:acc>
                <m:r>
                  <m:rPr>
                    <m:sty m:val="p"/>
                  </m:rPr>
                  <w:rPr>
                    <w:rFonts w:ascii="Cambria Math" w:hAnsi="Cambria Math"/>
                  </w:rPr>
                  <m:t>=</m:t>
                </m:r>
                <m:f>
                  <m:fPr>
                    <m:ctrlPr>
                      <w:rPr>
                        <w:rFonts w:ascii="Cambria Math" w:hAnsi="Cambria Math"/>
                        <w:iCs/>
                      </w:rPr>
                    </m:ctrlPr>
                  </m:fPr>
                  <m:num>
                    <m:r>
                      <m:rPr>
                        <m:sty m:val="p"/>
                      </m:rPr>
                      <w:rPr>
                        <w:rFonts w:ascii="Cambria Math" w:hAnsi="Cambria Math"/>
                      </w:rPr>
                      <m:t>I</m:t>
                    </m:r>
                    <m:r>
                      <m:rPr>
                        <m:sty m:val="p"/>
                      </m:rPr>
                      <w:rPr>
                        <w:rFonts w:hint="eastAsia" w:ascii="Cambria Math" w:hAnsi="Cambria Math"/>
                      </w:rPr>
                      <m:t>·</m:t>
                    </m:r>
                    <m:sSub>
                      <m:sSubPr>
                        <m:ctrlPr>
                          <w:rPr>
                            <w:rFonts w:ascii="Cambria Math" w:hAnsi="Cambria Math"/>
                            <w:iCs/>
                          </w:rPr>
                        </m:ctrlPr>
                      </m:sSubPr>
                      <m:e>
                        <m:r>
                          <m:rPr>
                            <m:sty m:val="p"/>
                          </m:rPr>
                          <w:rPr>
                            <w:rFonts w:ascii="Cambria Math" w:hAnsi="Cambria Math"/>
                          </w:rPr>
                          <m:t>H</m:t>
                        </m:r>
                        <m:ctrlPr>
                          <w:rPr>
                            <w:rFonts w:ascii="Cambria Math" w:hAnsi="Cambria Math"/>
                            <w:iCs/>
                          </w:rPr>
                        </m:ctrlPr>
                      </m:e>
                      <m:sub>
                        <m:r>
                          <m:rPr>
                            <m:sty m:val="p"/>
                          </m:rPr>
                          <w:rPr>
                            <w:rFonts w:ascii="Cambria Math" w:hAnsi="Cambria Math"/>
                          </w:rPr>
                          <m:t>0</m:t>
                        </m:r>
                        <m:ctrlPr>
                          <w:rPr>
                            <w:rFonts w:ascii="Cambria Math" w:hAnsi="Cambria Math"/>
                            <w:iCs/>
                          </w:rPr>
                        </m:ctrlPr>
                      </m:sub>
                    </m:sSub>
                    <m:r>
                      <m:rPr>
                        <m:sty m:val="p"/>
                      </m:rPr>
                      <w:rPr>
                        <w:rFonts w:hint="eastAsia" w:ascii="Cambria Math" w:hAnsi="Cambria Math"/>
                      </w:rPr>
                      <m:t>·</m:t>
                    </m:r>
                    <m:r>
                      <m:rPr>
                        <m:sty m:val="p"/>
                      </m:rPr>
                      <w:rPr>
                        <w:rFonts w:ascii="Cambria Math" w:hAnsi="Cambria Math"/>
                      </w:rPr>
                      <m:t>B</m:t>
                    </m:r>
                    <m:ctrlPr>
                      <w:rPr>
                        <w:rFonts w:ascii="Cambria Math" w:hAnsi="Cambria Math"/>
                        <w:iCs/>
                      </w:rPr>
                    </m:ctrlPr>
                  </m:num>
                  <m:den>
                    <m:sSup>
                      <m:sSupPr>
                        <m:ctrlPr>
                          <w:rPr>
                            <w:rFonts w:ascii="Cambria Math" w:hAnsi="Cambria Math"/>
                            <w:iCs/>
                          </w:rPr>
                        </m:ctrlPr>
                      </m:sSupPr>
                      <m:e>
                        <m:r>
                          <m:rPr>
                            <m:sty m:val="p"/>
                          </m:rPr>
                          <w:rPr>
                            <w:rFonts w:ascii="Cambria Math" w:hAnsi="Cambria Math"/>
                          </w:rPr>
                          <m:t>R</m:t>
                        </m:r>
                        <m:ctrlPr>
                          <w:rPr>
                            <w:rFonts w:ascii="Cambria Math" w:hAnsi="Cambria Math"/>
                            <w:iCs/>
                          </w:rPr>
                        </m:ctrlPr>
                      </m:e>
                      <m:sup>
                        <m:r>
                          <m:rPr>
                            <m:sty m:val="p"/>
                          </m:rPr>
                          <w:rPr>
                            <w:rFonts w:ascii="Cambria Math" w:hAnsi="Cambria Math"/>
                          </w:rPr>
                          <m:t>2</m:t>
                        </m:r>
                        <m:ctrlPr>
                          <w:rPr>
                            <w:rFonts w:ascii="Cambria Math" w:hAnsi="Cambria Math"/>
                            <w:iCs/>
                          </w:rPr>
                        </m:ctrlPr>
                      </m:sup>
                    </m:sSup>
                    <m:ctrlPr>
                      <w:rPr>
                        <w:rFonts w:ascii="Cambria Math" w:hAnsi="Cambria Math"/>
                        <w:iCs/>
                      </w:rPr>
                    </m:ctrlPr>
                  </m:den>
                </m:f>
                <m:r>
                  <m:rPr>
                    <m:sty m:val="b"/>
                  </m:rPr>
                  <w:rPr>
                    <w:rFonts w:ascii="Cambria Math" w:hAnsi="Cambria Math"/>
                  </w:rPr>
                  <m:t xml:space="preserve">  ⋯⋯⋯⋯⋯⋯⋯</m:t>
                </m:r>
                <m:r>
                  <m:rPr>
                    <m:sty m:val="p"/>
                  </m:rPr>
                  <w:rPr>
                    <w:rFonts w:hint="eastAsia" w:ascii="Cambria Math" w:hAnsi="Cambria Math"/>
                  </w:rPr>
                  <m:t>（</m:t>
                </m:r>
                <m:r>
                  <m:rPr>
                    <m:sty m:val="p"/>
                  </m:rPr>
                  <w:rPr>
                    <w:rFonts w:ascii="Cambria Math" w:hAnsi="Cambria Math"/>
                  </w:rPr>
                  <m:t>11−1</m:t>
                </m:r>
                <m:r>
                  <m:rPr>
                    <m:sty m:val="p"/>
                  </m:rPr>
                  <w:rPr>
                    <w:rFonts w:hint="eastAsia" w:ascii="Cambria Math" w:hAnsi="Cambria Math"/>
                  </w:rPr>
                  <m:t>）</m:t>
                </m:r>
              </m:oMath>
            </m:oMathPara>
          </w:p>
          <w:p w14:paraId="477F41F9">
            <w:pPr>
              <w:pStyle w:val="2"/>
              <w:ind w:firstLine="480"/>
            </w:pPr>
            <w:r>
              <w:rPr>
                <w:rFonts w:hint="eastAsia"/>
              </w:rPr>
              <w:t>式中：</w:t>
            </w:r>
            <w:r>
              <w:t>Ḣ</w:t>
            </w:r>
            <w:r>
              <w:rPr>
                <w:rFonts w:hint="eastAsia"/>
              </w:rPr>
              <w:t>：关注点处剂量率，</w:t>
            </w:r>
            <w:r>
              <w:t>μSv/h</w:t>
            </w:r>
            <w:r>
              <w:rPr>
                <w:rFonts w:hint="eastAsia"/>
              </w:rPr>
              <w:t>；</w:t>
            </w:r>
          </w:p>
          <w:p w14:paraId="04B671CD">
            <w:pPr>
              <w:pStyle w:val="2"/>
              <w:ind w:firstLine="480"/>
            </w:pPr>
            <w:r>
              <w:rPr>
                <w:rFonts w:hint="eastAsia"/>
              </w:rPr>
              <w:t>I：X 射线实时成像检测装置在最高管电压下的常用最大管电流，mA；</w:t>
            </w:r>
          </w:p>
          <w:p w14:paraId="449EF17A">
            <w:pPr>
              <w:pStyle w:val="2"/>
              <w:ind w:firstLine="480"/>
            </w:pPr>
            <w:r>
              <w:rPr>
                <w:rFonts w:hint="eastAsia"/>
              </w:rPr>
              <w:t>H</w:t>
            </w:r>
            <w:r>
              <w:rPr>
                <w:rFonts w:hint="eastAsia"/>
                <w:vertAlign w:val="subscript"/>
              </w:rPr>
              <w:t>0</w:t>
            </w:r>
            <w:r>
              <w:rPr>
                <w:rFonts w:hint="eastAsia"/>
              </w:rPr>
              <w:t>：</w:t>
            </w:r>
            <w:bookmarkStart w:id="16" w:name="OLE_LINK14"/>
            <w:r>
              <w:t>距辐射源点(靶点) 1m 处输出量， μSv·m</w:t>
            </w:r>
            <w:r>
              <w:rPr>
                <w:vertAlign w:val="superscript"/>
              </w:rPr>
              <w:t>2</w:t>
            </w:r>
            <w:r>
              <w:t>/(mA·h)，参考《工业 X 射线探伤室辐射屏蔽规范》（GBZ/T 250-2014）表B.1，保守以300kV及400kV下 X 射线管输出量20.9mGy·m</w:t>
            </w:r>
            <w:r>
              <w:rPr>
                <w:vertAlign w:val="superscript"/>
              </w:rPr>
              <w:t>2</w:t>
            </w:r>
            <w:r>
              <w:t>/(mA·min) 及23.5mGy·m</w:t>
            </w:r>
            <w:r>
              <w:rPr>
                <w:vertAlign w:val="superscript"/>
              </w:rPr>
              <w:t>2</w:t>
            </w:r>
            <w:r>
              <w:t>/(mA·min)进行插值计算得到，320kV的 X 射线管1m处的输出量为21.4 mGy·m</w:t>
            </w:r>
            <w:r>
              <w:rPr>
                <w:vertAlign w:val="superscript"/>
              </w:rPr>
              <w:t>2</w:t>
            </w:r>
            <w:r>
              <w:t>/(mA·min)。</w:t>
            </w:r>
            <w:bookmarkEnd w:id="16"/>
          </w:p>
          <w:p w14:paraId="1E3491E7">
            <w:pPr>
              <w:pStyle w:val="2"/>
              <w:ind w:firstLine="480"/>
            </w:pPr>
            <w:r>
              <w:rPr>
                <w:rFonts w:hint="eastAsia"/>
              </w:rPr>
              <w:t>R：</w:t>
            </w:r>
            <w:r>
              <w:t>辐射源点(靶点)至关注点的距离，m；</w:t>
            </w:r>
          </w:p>
          <w:p w14:paraId="246C1366">
            <w:pPr>
              <w:pStyle w:val="2"/>
              <w:ind w:firstLine="480"/>
            </w:pPr>
            <w:r>
              <w:t>B ：屏蔽透射因子，取值参考《工业 X 射线探伤室辐射屏蔽规范》  (GBZ/T 250-2014)中的表 B.2，采用内插法得出TVL值，再按公式(</w:t>
            </w:r>
            <w:r>
              <w:rPr>
                <w:rFonts w:hint="eastAsia"/>
              </w:rPr>
              <w:t>11-</w:t>
            </w:r>
            <w:r>
              <w:t>2)计算得，X射线束在混凝土中的什值层厚度为100mm，在铅中的什值层厚度为</w:t>
            </w:r>
            <w:r>
              <w:rPr>
                <w:rFonts w:hint="eastAsia"/>
              </w:rPr>
              <w:t>6.2</w:t>
            </w:r>
            <w:r>
              <w:t>mm；</w:t>
            </w:r>
          </w:p>
          <w:p w14:paraId="6130F80F">
            <w:pPr>
              <w:pStyle w:val="23"/>
              <w:rPr>
                <w:b w:val="0"/>
                <w:bCs w:val="0"/>
              </w:rPr>
            </w:pPr>
            <m:oMath>
              <m:r>
                <m:rPr>
                  <m:sty m:val="b"/>
                </m:rPr>
                <w:rPr>
                  <w:rFonts w:ascii="Cambria Math" w:hAnsi="Cambria Math"/>
                </w:rPr>
                <m:t>B=</m:t>
              </m:r>
              <m:sSup>
                <m:sSupPr>
                  <m:ctrlPr>
                    <w:rPr>
                      <w:rFonts w:ascii="Cambria Math" w:hAnsi="Cambria Math" w:cs="Arial"/>
                      <w:b w:val="0"/>
                      <w:bCs w:val="0"/>
                    </w:rPr>
                  </m:ctrlPr>
                </m:sSupPr>
                <m:e>
                  <m:r>
                    <m:rPr>
                      <m:sty m:val="b"/>
                    </m:rPr>
                    <w:rPr>
                      <w:rFonts w:ascii="Cambria Math" w:hAnsi="Cambria Math"/>
                    </w:rPr>
                    <m:t>10</m:t>
                  </m:r>
                  <m:ctrlPr>
                    <w:rPr>
                      <w:rFonts w:ascii="Cambria Math" w:hAnsi="Cambria Math" w:cs="Arial"/>
                      <w:b w:val="0"/>
                      <w:bCs w:val="0"/>
                    </w:rPr>
                  </m:ctrlPr>
                </m:e>
                <m:sup>
                  <m:r>
                    <m:rPr>
                      <m:sty m:val="b"/>
                    </m:rPr>
                    <w:rPr>
                      <w:rFonts w:ascii="Cambria Math" w:hAnsi="Cambria Math"/>
                    </w:rPr>
                    <m:t>−X/TVL</m:t>
                  </m:r>
                  <m:ctrlPr>
                    <w:rPr>
                      <w:rFonts w:ascii="Cambria Math" w:hAnsi="Cambria Math" w:cs="Arial"/>
                      <w:b w:val="0"/>
                      <w:bCs w:val="0"/>
                    </w:rPr>
                  </m:ctrlPr>
                </m:sup>
              </m:sSup>
              <m:r>
                <m:rPr>
                  <m:sty m:val="b"/>
                </m:rPr>
                <w:rPr>
                  <w:rFonts w:ascii="Cambria Math" w:hAnsi="Cambria Math"/>
                </w:rPr>
                <m:t>⋯⋯⋯⋯⋯⋯⋯（11−2）</m:t>
              </m:r>
            </m:oMath>
            <w:r>
              <w:rPr>
                <w:rFonts w:hint="eastAsia"/>
                <w:b w:val="0"/>
                <w:bCs w:val="0"/>
              </w:rPr>
              <w:t xml:space="preserve">  </w:t>
            </w:r>
          </w:p>
          <w:p w14:paraId="40272298">
            <w:pPr>
              <w:pStyle w:val="2"/>
              <w:ind w:firstLine="480"/>
            </w:pPr>
            <w:r>
              <w:rPr>
                <w:rFonts w:hint="eastAsia"/>
              </w:rPr>
              <w:t>式中：X：屏蔽物质厚度，与TVL取相同的单位；</w:t>
            </w:r>
          </w:p>
          <w:p w14:paraId="388B0482">
            <w:pPr>
              <w:pStyle w:val="2"/>
              <w:ind w:firstLine="480"/>
            </w:pPr>
            <w:r>
              <w:rPr>
                <w:rFonts w:hint="eastAsia"/>
              </w:rPr>
              <w:t>TVL：屏蔽材料的什值层厚度。</w:t>
            </w:r>
          </w:p>
          <w:p w14:paraId="145B199E">
            <w:pPr>
              <w:pStyle w:val="4"/>
            </w:pPr>
            <w:r>
              <w:rPr>
                <w:rFonts w:eastAsia="Times New Roman" w:cs="Times New Roman"/>
                <w:spacing w:val="-1"/>
              </w:rPr>
              <w:t>1.</w:t>
            </w:r>
            <w:r>
              <w:rPr>
                <w:rFonts w:hint="eastAsia" w:cs="Times New Roman" w:eastAsiaTheme="minorEastAsia"/>
                <w:spacing w:val="-1"/>
              </w:rPr>
              <w:t>2</w:t>
            </w:r>
            <w:r>
              <w:rPr>
                <w:rFonts w:eastAsia="Times New Roman" w:cs="Times New Roman"/>
                <w:spacing w:val="-1"/>
              </w:rPr>
              <w:t xml:space="preserve"> </w:t>
            </w:r>
            <w:r>
              <w:t>非有用线束屏蔽效果预测</w:t>
            </w:r>
          </w:p>
          <w:p w14:paraId="41C6425E">
            <w:pPr>
              <w:pStyle w:val="2"/>
              <w:ind w:firstLine="480"/>
            </w:pPr>
            <w:r>
              <w:t>非有用线束方向预测计算模式采用《工业 X 射线探伤室辐射屏蔽规范》(GBZ/T</w:t>
            </w:r>
            <w:r>
              <w:rPr>
                <w:rFonts w:hint="eastAsia"/>
              </w:rPr>
              <w:t xml:space="preserve"> </w:t>
            </w:r>
            <w:r>
              <w:t>250-2014) 中非有用线束屏蔽估算的计算公式：</w:t>
            </w:r>
          </w:p>
          <w:p w14:paraId="6DECDA53">
            <w:pPr>
              <w:pStyle w:val="2"/>
              <w:ind w:firstLine="498"/>
              <w:rPr>
                <w:rFonts w:eastAsia="Times New Roman" w:cs="Times New Roman"/>
              </w:rPr>
            </w:pPr>
            <w:r>
              <w:rPr>
                <w:rFonts w:ascii="Cambria Math" w:hAnsi="Cambria Math" w:cs="Cambria Math"/>
                <w:spacing w:val="9"/>
              </w:rPr>
              <w:t>①</w:t>
            </w:r>
            <w:r>
              <w:t xml:space="preserve"> 泄漏辐射</w:t>
            </w:r>
          </w:p>
          <w:p w14:paraId="32809B9D">
            <w:pPr>
              <w:pStyle w:val="23"/>
              <w:rPr>
                <w:b w:val="0"/>
                <w:bCs w:val="0"/>
                <w:iCs/>
              </w:rPr>
            </w:pPr>
            <m:oMathPara>
              <m:oMath>
                <m:acc>
                  <m:accPr>
                    <m:chr m:val="̇"/>
                    <m:ctrlPr>
                      <w:rPr>
                        <w:rFonts w:ascii="Cambria Math" w:hAnsi="Cambria Math"/>
                        <w:b w:val="0"/>
                        <w:bCs w:val="0"/>
                      </w:rPr>
                    </m:ctrlPr>
                  </m:accPr>
                  <m:e>
                    <m:r>
                      <m:rPr>
                        <m:sty m:val="b"/>
                      </m:rPr>
                      <w:rPr>
                        <w:rFonts w:ascii="Cambria Math" w:hAnsi="Cambria Math"/>
                      </w:rPr>
                      <m:t>H</m:t>
                    </m:r>
                    <m:ctrlPr>
                      <w:rPr>
                        <w:rFonts w:ascii="Cambria Math" w:hAnsi="Cambria Math"/>
                        <w:b w:val="0"/>
                        <w:bCs w:val="0"/>
                      </w:rPr>
                    </m:ctrlPr>
                  </m:e>
                </m:acc>
                <m:r>
                  <m:rPr>
                    <m:sty m:val="b"/>
                  </m:rPr>
                  <w:rPr>
                    <w:rFonts w:ascii="Cambria Math" w:hAnsi="Cambria Math"/>
                  </w:rPr>
                  <m:t>=</m:t>
                </m:r>
                <m:f>
                  <m:fPr>
                    <m:ctrlPr>
                      <w:rPr>
                        <w:rFonts w:ascii="Cambria Math" w:hAnsi="Cambria Math"/>
                        <w:b w:val="0"/>
                        <w:bCs w:val="0"/>
                      </w:rPr>
                    </m:ctrlPr>
                  </m:fPr>
                  <m:num>
                    <m:sSub>
                      <m:sSubPr>
                        <m:ctrlPr>
                          <w:rPr>
                            <w:rFonts w:ascii="Cambria Math" w:hAnsi="Cambria Math"/>
                            <w:b w:val="0"/>
                            <w:bCs w:val="0"/>
                            <w:iCs/>
                          </w:rPr>
                        </m:ctrlPr>
                      </m:sSubPr>
                      <m:e>
                        <m:acc>
                          <m:accPr>
                            <m:chr m:val="̇"/>
                            <m:ctrlPr>
                              <w:rPr>
                                <w:rFonts w:ascii="Cambria Math" w:hAnsi="Cambria Math"/>
                                <w:b w:val="0"/>
                                <w:bCs w:val="0"/>
                                <w:iCs/>
                              </w:rPr>
                            </m:ctrlPr>
                          </m:accPr>
                          <m:e>
                            <m:r>
                              <m:rPr>
                                <m:sty m:val="b"/>
                              </m:rPr>
                              <w:rPr>
                                <w:rFonts w:ascii="Cambria Math" w:hAnsi="Cambria Math"/>
                              </w:rPr>
                              <m:t>H</m:t>
                            </m:r>
                            <m:ctrlPr>
                              <w:rPr>
                                <w:rFonts w:ascii="Cambria Math" w:hAnsi="Cambria Math"/>
                                <w:b w:val="0"/>
                                <w:bCs w:val="0"/>
                                <w:iCs/>
                              </w:rPr>
                            </m:ctrlPr>
                          </m:e>
                        </m:acc>
                        <m:ctrlPr>
                          <w:rPr>
                            <w:rFonts w:ascii="Cambria Math" w:hAnsi="Cambria Math"/>
                            <w:b w:val="0"/>
                            <w:bCs w:val="0"/>
                            <w:iCs/>
                          </w:rPr>
                        </m:ctrlPr>
                      </m:e>
                      <m:sub>
                        <m:r>
                          <m:rPr>
                            <m:sty m:val="b"/>
                          </m:rPr>
                          <w:rPr>
                            <w:rFonts w:ascii="Cambria Math" w:hAnsi="Cambria Math"/>
                          </w:rPr>
                          <m:t>L</m:t>
                        </m:r>
                        <m:ctrlPr>
                          <w:rPr>
                            <w:rFonts w:ascii="Cambria Math" w:hAnsi="Cambria Math"/>
                            <w:b w:val="0"/>
                            <w:bCs w:val="0"/>
                            <w:iCs/>
                          </w:rPr>
                        </m:ctrlPr>
                      </m:sub>
                    </m:sSub>
                    <m:r>
                      <m:rPr>
                        <m:sty m:val="b"/>
                      </m:rPr>
                      <w:rPr>
                        <w:rFonts w:ascii="Cambria Math" w:hAnsi="Cambria Math"/>
                      </w:rPr>
                      <m:t>∙B</m:t>
                    </m:r>
                    <m:ctrlPr>
                      <w:rPr>
                        <w:rFonts w:ascii="Cambria Math" w:hAnsi="Cambria Math"/>
                        <w:b w:val="0"/>
                        <w:bCs w:val="0"/>
                      </w:rPr>
                    </m:ctrlPr>
                  </m:num>
                  <m:den>
                    <m:sSup>
                      <m:sSupPr>
                        <m:ctrlPr>
                          <w:rPr>
                            <w:rFonts w:ascii="Cambria Math" w:hAnsi="Cambria Math"/>
                            <w:b w:val="0"/>
                            <w:bCs w:val="0"/>
                          </w:rPr>
                        </m:ctrlPr>
                      </m:sSupPr>
                      <m:e>
                        <m:r>
                          <m:rPr>
                            <m:sty m:val="b"/>
                          </m:rPr>
                          <w:rPr>
                            <w:rFonts w:ascii="Cambria Math" w:hAnsi="Cambria Math"/>
                          </w:rPr>
                          <m:t>R</m:t>
                        </m:r>
                        <m:ctrlPr>
                          <w:rPr>
                            <w:rFonts w:ascii="Cambria Math" w:hAnsi="Cambria Math"/>
                            <w:b w:val="0"/>
                            <w:bCs w:val="0"/>
                          </w:rPr>
                        </m:ctrlPr>
                      </m:e>
                      <m:sup>
                        <m:r>
                          <m:rPr>
                            <m:sty m:val="b"/>
                          </m:rPr>
                          <w:rPr>
                            <w:rFonts w:ascii="Cambria Math" w:hAnsi="Cambria Math"/>
                          </w:rPr>
                          <m:t>2</m:t>
                        </m:r>
                        <m:ctrlPr>
                          <w:rPr>
                            <w:rFonts w:ascii="Cambria Math" w:hAnsi="Cambria Math"/>
                            <w:b w:val="0"/>
                            <w:bCs w:val="0"/>
                          </w:rPr>
                        </m:ctrlPr>
                      </m:sup>
                    </m:sSup>
                    <m:ctrlPr>
                      <w:rPr>
                        <w:rFonts w:ascii="Cambria Math" w:hAnsi="Cambria Math"/>
                        <w:b w:val="0"/>
                        <w:bCs w:val="0"/>
                      </w:rPr>
                    </m:ctrlPr>
                  </m:den>
                </m:f>
                <m:r>
                  <m:rPr>
                    <m:sty m:val="b"/>
                  </m:rPr>
                  <w:rPr>
                    <w:rFonts w:ascii="Cambria Math" w:hAnsi="Cambria Math"/>
                  </w:rPr>
                  <m:t xml:space="preserve">   ⋯⋯⋯⋯⋯⋯⋯</m:t>
                </m:r>
                <w:bookmarkStart w:id="17" w:name="OLE_LINK5"/>
                <m:r>
                  <m:rPr>
                    <m:sty m:val="p"/>
                  </m:rPr>
                  <w:rPr>
                    <w:rFonts w:ascii="Cambria Math" w:hAnsi="Cambria Math"/>
                  </w:rPr>
                  <m:t>（11−3）</m:t>
                </m:r>
              </m:oMath>
            </m:oMathPara>
            <w:bookmarkEnd w:id="17"/>
          </w:p>
          <w:p w14:paraId="0ADE9A73">
            <w:pPr>
              <w:pStyle w:val="2"/>
              <w:ind w:firstLine="480"/>
            </w:pPr>
            <w:r>
              <w:t>式中： Ḣ：关注点处剂量率， μSv/h；</w:t>
            </w:r>
          </w:p>
          <w:p w14:paraId="18D7DB09">
            <w:pPr>
              <w:pStyle w:val="2"/>
              <w:ind w:firstLine="480"/>
            </w:pPr>
            <w:r>
              <w:t>Ḣ</w:t>
            </w:r>
            <w:r>
              <w:rPr>
                <w:vertAlign w:val="subscript"/>
              </w:rPr>
              <w:t>L</w:t>
            </w:r>
            <w:r>
              <w:t xml:space="preserve"> ：距靶点 1m 处 X 射线管组装体的泄漏辐射剂量率，μSv/h ，取值参考《工业 X 射线探伤室辐射屏蔽规范》(GBZ/T 250-2014)中的表 1； </w:t>
            </w:r>
          </w:p>
          <w:p w14:paraId="2BFAB705">
            <w:pPr>
              <w:pStyle w:val="2"/>
              <w:ind w:firstLine="480"/>
            </w:pPr>
            <w:r>
              <w:t>R ：辐射源点(靶点)至关注点的距离，m；</w:t>
            </w:r>
          </w:p>
          <w:p w14:paraId="4C4C10FC">
            <w:pPr>
              <w:pStyle w:val="2"/>
              <w:ind w:firstLine="480"/>
            </w:pPr>
            <w:r>
              <w:t>B ：屏蔽透射因子，取值参考《工业 X 射线探伤室辐射屏蔽规范》  (GBZ/T 250-2014)中的表 B.2，采用内插法得出TVL值，再按公式(</w:t>
            </w:r>
            <w:r>
              <w:rPr>
                <w:rFonts w:hint="eastAsia"/>
              </w:rPr>
              <w:t>11-</w:t>
            </w:r>
            <w:r>
              <w:t>2)计算得，X</w:t>
            </w:r>
            <w:r>
              <w:rPr>
                <w:rFonts w:hint="eastAsia"/>
              </w:rPr>
              <w:t xml:space="preserve"> </w:t>
            </w:r>
            <w:r>
              <w:t>射线束在混凝土中的什值层厚度为100mm，在铅中的什值层厚度为</w:t>
            </w:r>
            <w:r>
              <w:rPr>
                <w:rFonts w:hint="eastAsia"/>
              </w:rPr>
              <w:t>6.2</w:t>
            </w:r>
            <w:r>
              <w:t>mm；</w:t>
            </w:r>
          </w:p>
          <w:p w14:paraId="1D34690B">
            <w:pPr>
              <w:pStyle w:val="2"/>
              <w:ind w:firstLine="496"/>
            </w:pPr>
            <w:r>
              <w:rPr>
                <w:rFonts w:ascii="Cambria Math" w:hAnsi="Cambria Math" w:cs="Cambria Math"/>
                <w:spacing w:val="8"/>
              </w:rPr>
              <w:t>②</w:t>
            </w:r>
            <w:r>
              <w:t xml:space="preserve"> 散射辐射</w:t>
            </w:r>
          </w:p>
          <w:p w14:paraId="7EAE8822">
            <w:pPr>
              <w:pStyle w:val="23"/>
              <w:rPr>
                <w:rFonts w:hint="eastAsia" w:ascii="宋体" w:hAnsi="宋体" w:cs="宋体"/>
                <w:b w:val="0"/>
                <w:bCs w:val="0"/>
              </w:rPr>
            </w:pPr>
            <m:oMathPara>
              <m:oMath>
                <m:acc>
                  <m:accPr>
                    <m:chr m:val="̇"/>
                    <m:ctrlPr>
                      <w:rPr>
                        <w:rFonts w:ascii="Cambria Math" w:hAnsi="Cambria Math"/>
                        <w:b w:val="0"/>
                        <w:bCs w:val="0"/>
                        <w:iCs/>
                      </w:rPr>
                    </m:ctrlPr>
                  </m:accPr>
                  <m:e>
                    <m:r>
                      <m:rPr>
                        <m:sty m:val="b"/>
                      </m:rPr>
                      <w:rPr>
                        <w:rFonts w:ascii="Cambria Math" w:hAnsi="Cambria Math"/>
                      </w:rPr>
                      <m:t>H</m:t>
                    </m:r>
                    <m:ctrlPr>
                      <w:rPr>
                        <w:rFonts w:ascii="Cambria Math" w:hAnsi="Cambria Math"/>
                        <w:b w:val="0"/>
                        <w:bCs w:val="0"/>
                        <w:iCs/>
                      </w:rPr>
                    </m:ctrlPr>
                  </m:e>
                </m:acc>
                <m:r>
                  <m:rPr>
                    <m:sty m:val="b"/>
                  </m:rPr>
                  <w:rPr>
                    <w:rFonts w:ascii="Cambria Math" w:hAnsi="Cambria Math"/>
                  </w:rPr>
                  <m:t>=</m:t>
                </m:r>
                <m:f>
                  <m:fPr>
                    <m:ctrlPr>
                      <w:rPr>
                        <w:rFonts w:ascii="Cambria Math" w:hAnsi="Cambria Math"/>
                        <w:b w:val="0"/>
                        <w:bCs w:val="0"/>
                      </w:rPr>
                    </m:ctrlPr>
                  </m:fPr>
                  <m:num>
                    <m:r>
                      <m:rPr>
                        <m:sty m:val="b"/>
                      </m:rPr>
                      <w:rPr>
                        <w:rFonts w:ascii="Cambria Math" w:hAnsi="Cambria Math"/>
                      </w:rPr>
                      <m:t>I∙</m:t>
                    </m:r>
                    <m:sSub>
                      <m:sSubPr>
                        <m:ctrlPr>
                          <w:rPr>
                            <w:rFonts w:ascii="Cambria Math" w:hAnsi="Cambria Math"/>
                            <w:b w:val="0"/>
                            <w:bCs w:val="0"/>
                          </w:rPr>
                        </m:ctrlPr>
                      </m:sSubPr>
                      <m:e>
                        <m:r>
                          <m:rPr>
                            <m:sty m:val="b"/>
                          </m:rPr>
                          <w:rPr>
                            <w:rFonts w:ascii="Cambria Math" w:hAnsi="Cambria Math"/>
                          </w:rPr>
                          <m:t>H</m:t>
                        </m:r>
                        <m:ctrlPr>
                          <w:rPr>
                            <w:rFonts w:ascii="Cambria Math" w:hAnsi="Cambria Math"/>
                            <w:b w:val="0"/>
                            <w:bCs w:val="0"/>
                          </w:rPr>
                        </m:ctrlPr>
                      </m:e>
                      <m:sub>
                        <m:r>
                          <m:rPr>
                            <m:sty m:val="b"/>
                          </m:rPr>
                          <w:rPr>
                            <w:rFonts w:ascii="Cambria Math" w:hAnsi="Cambria Math"/>
                          </w:rPr>
                          <m:t>0</m:t>
                        </m:r>
                        <m:ctrlPr>
                          <w:rPr>
                            <w:rFonts w:ascii="Cambria Math" w:hAnsi="Cambria Math"/>
                            <w:b w:val="0"/>
                            <w:bCs w:val="0"/>
                          </w:rPr>
                        </m:ctrlPr>
                      </m:sub>
                    </m:sSub>
                    <m:r>
                      <m:rPr>
                        <m:sty m:val="b"/>
                      </m:rPr>
                      <w:rPr>
                        <w:rFonts w:ascii="Cambria Math" w:hAnsi="Cambria Math"/>
                      </w:rPr>
                      <m:t>∙B</m:t>
                    </m:r>
                    <m:ctrlPr>
                      <w:rPr>
                        <w:rFonts w:ascii="Cambria Math" w:hAnsi="Cambria Math"/>
                        <w:b w:val="0"/>
                        <w:bCs w:val="0"/>
                      </w:rPr>
                    </m:ctrlPr>
                  </m:num>
                  <m:den>
                    <m:sSubSup>
                      <m:sSubSupPr>
                        <m:ctrlPr>
                          <w:rPr>
                            <w:rFonts w:ascii="Cambria Math" w:hAnsi="Cambria Math"/>
                            <w:b w:val="0"/>
                            <w:bCs w:val="0"/>
                          </w:rPr>
                        </m:ctrlPr>
                      </m:sSubSupPr>
                      <m:e>
                        <m:r>
                          <m:rPr>
                            <m:sty m:val="b"/>
                          </m:rPr>
                          <w:rPr>
                            <w:rFonts w:ascii="Cambria Math" w:hAnsi="Cambria Math"/>
                          </w:rPr>
                          <m:t>R</m:t>
                        </m:r>
                        <m:ctrlPr>
                          <w:rPr>
                            <w:rFonts w:ascii="Cambria Math" w:hAnsi="Cambria Math"/>
                            <w:b w:val="0"/>
                            <w:bCs w:val="0"/>
                          </w:rPr>
                        </m:ctrlPr>
                      </m:e>
                      <m:sub>
                        <m:r>
                          <m:rPr>
                            <m:sty m:val="b"/>
                          </m:rPr>
                          <w:rPr>
                            <w:rFonts w:ascii="Cambria Math" w:hAnsi="Cambria Math"/>
                          </w:rPr>
                          <m:t>S</m:t>
                        </m:r>
                        <m:ctrlPr>
                          <w:rPr>
                            <w:rFonts w:ascii="Cambria Math" w:hAnsi="Cambria Math"/>
                            <w:b w:val="0"/>
                            <w:bCs w:val="0"/>
                          </w:rPr>
                        </m:ctrlPr>
                      </m:sub>
                      <m:sup>
                        <m:r>
                          <m:rPr>
                            <m:sty m:val="b"/>
                          </m:rPr>
                          <w:rPr>
                            <w:rFonts w:ascii="Cambria Math" w:hAnsi="Cambria Math"/>
                          </w:rPr>
                          <m:t>2</m:t>
                        </m:r>
                        <m:ctrlPr>
                          <w:rPr>
                            <w:rFonts w:ascii="Cambria Math" w:hAnsi="Cambria Math"/>
                            <w:b w:val="0"/>
                            <w:bCs w:val="0"/>
                          </w:rPr>
                        </m:ctrlPr>
                      </m:sup>
                    </m:sSubSup>
                    <m:ctrlPr>
                      <w:rPr>
                        <w:rFonts w:ascii="Cambria Math" w:hAnsi="Cambria Math"/>
                        <w:b w:val="0"/>
                        <w:bCs w:val="0"/>
                      </w:rPr>
                    </m:ctrlPr>
                  </m:den>
                </m:f>
                <m:r>
                  <m:rPr>
                    <m:sty m:val="b"/>
                  </m:rPr>
                  <w:rPr>
                    <w:rFonts w:ascii="Cambria Math" w:hAnsi="Cambria Math"/>
                  </w:rPr>
                  <m:t>∙</m:t>
                </m:r>
                <m:f>
                  <m:fPr>
                    <m:ctrlPr>
                      <w:rPr>
                        <w:rFonts w:ascii="Cambria Math" w:hAnsi="Cambria Math"/>
                        <w:b w:val="0"/>
                        <w:bCs w:val="0"/>
                      </w:rPr>
                    </m:ctrlPr>
                  </m:fPr>
                  <m:num>
                    <m:r>
                      <m:rPr>
                        <m:sty m:val="b"/>
                      </m:rPr>
                      <w:rPr>
                        <w:rFonts w:ascii="Cambria Math" w:hAnsi="Cambria Math"/>
                      </w:rPr>
                      <m:t>F∙a</m:t>
                    </m:r>
                    <m:ctrlPr>
                      <w:rPr>
                        <w:rFonts w:ascii="Cambria Math" w:hAnsi="Cambria Math"/>
                        <w:b w:val="0"/>
                        <w:bCs w:val="0"/>
                      </w:rPr>
                    </m:ctrlPr>
                  </m:num>
                  <m:den>
                    <m:sSubSup>
                      <m:sSubSupPr>
                        <m:ctrlPr>
                          <w:rPr>
                            <w:rFonts w:ascii="Cambria Math" w:hAnsi="Cambria Math"/>
                            <w:b w:val="0"/>
                            <w:bCs w:val="0"/>
                          </w:rPr>
                        </m:ctrlPr>
                      </m:sSubSupPr>
                      <m:e>
                        <m:r>
                          <m:rPr>
                            <m:sty m:val="b"/>
                          </m:rPr>
                          <w:rPr>
                            <w:rFonts w:ascii="Cambria Math" w:hAnsi="Cambria Math"/>
                          </w:rPr>
                          <m:t>R</m:t>
                        </m:r>
                        <m:ctrlPr>
                          <w:rPr>
                            <w:rFonts w:ascii="Cambria Math" w:hAnsi="Cambria Math"/>
                            <w:b w:val="0"/>
                            <w:bCs w:val="0"/>
                          </w:rPr>
                        </m:ctrlPr>
                      </m:e>
                      <m:sub>
                        <m:r>
                          <m:rPr>
                            <m:sty m:val="b"/>
                          </m:rPr>
                          <w:rPr>
                            <w:rFonts w:ascii="Cambria Math" w:hAnsi="Cambria Math"/>
                          </w:rPr>
                          <m:t>0</m:t>
                        </m:r>
                        <m:ctrlPr>
                          <w:rPr>
                            <w:rFonts w:ascii="Cambria Math" w:hAnsi="Cambria Math"/>
                            <w:b w:val="0"/>
                            <w:bCs w:val="0"/>
                          </w:rPr>
                        </m:ctrlPr>
                      </m:sub>
                      <m:sup>
                        <m:r>
                          <m:rPr>
                            <m:sty m:val="b"/>
                          </m:rPr>
                          <w:rPr>
                            <w:rFonts w:ascii="Cambria Math" w:hAnsi="Cambria Math"/>
                          </w:rPr>
                          <m:t>2</m:t>
                        </m:r>
                        <m:ctrlPr>
                          <w:rPr>
                            <w:rFonts w:ascii="Cambria Math" w:hAnsi="Cambria Math"/>
                            <w:b w:val="0"/>
                            <w:bCs w:val="0"/>
                          </w:rPr>
                        </m:ctrlPr>
                      </m:sup>
                    </m:sSubSup>
                    <m:ctrlPr>
                      <w:rPr>
                        <w:rFonts w:ascii="Cambria Math" w:hAnsi="Cambria Math"/>
                        <w:b w:val="0"/>
                        <w:bCs w:val="0"/>
                      </w:rPr>
                    </m:ctrlPr>
                  </m:den>
                </m:f>
                <m:r>
                  <m:rPr>
                    <m:sty m:val="b"/>
                  </m:rPr>
                  <w:rPr>
                    <w:rFonts w:ascii="Cambria Math" w:hAnsi="Cambria Math"/>
                  </w:rPr>
                  <m:t xml:space="preserve">    </m:t>
                </m:r>
                <m:r>
                  <m:rPr>
                    <m:sty m:val="b"/>
                  </m:rPr>
                  <w:rPr>
                    <w:rFonts w:ascii="Cambria Math" w:hAnsi="Cambria Math" w:cs="宋体"/>
                  </w:rPr>
                  <m:t xml:space="preserve"> ⋯⋯⋯⋯⋯</m:t>
                </m:r>
                <m:r>
                  <m:rPr>
                    <m:sty m:val="b"/>
                  </m:rPr>
                  <w:rPr>
                    <w:rFonts w:hint="eastAsia" w:ascii="Cambria Math" w:hAnsi="Cambria Math" w:cs="宋体"/>
                  </w:rPr>
                  <m:t>（</m:t>
                </m:r>
                <m:r>
                  <m:rPr>
                    <m:sty m:val="b"/>
                  </m:rPr>
                  <w:rPr>
                    <w:rFonts w:ascii="Cambria Math" w:hAnsi="Cambria Math" w:cs="宋体"/>
                  </w:rPr>
                  <m:t>11−4</m:t>
                </m:r>
                <m:r>
                  <m:rPr>
                    <m:sty m:val="b"/>
                  </m:rPr>
                  <w:rPr>
                    <w:rFonts w:hint="eastAsia" w:ascii="Cambria Math" w:hAnsi="Cambria Math" w:cs="宋体"/>
                  </w:rPr>
                  <m:t>）</m:t>
                </m:r>
              </m:oMath>
            </m:oMathPara>
          </w:p>
          <w:p w14:paraId="08A988F3">
            <w:pPr>
              <w:pStyle w:val="2"/>
              <w:ind w:firstLine="480"/>
            </w:pPr>
            <w:r>
              <w:t>式中： Ḣ：关注点处剂量率， μSv/h；</w:t>
            </w:r>
          </w:p>
          <w:p w14:paraId="6AF78AD9">
            <w:pPr>
              <w:pStyle w:val="2"/>
              <w:ind w:firstLine="480"/>
            </w:pPr>
            <w:r>
              <w:t>I ：X  射线装置在最高管电压下的常用最大管电流，mA；</w:t>
            </w:r>
          </w:p>
          <w:p w14:paraId="359685FE">
            <w:pPr>
              <w:pStyle w:val="2"/>
              <w:ind w:firstLine="480"/>
            </w:pPr>
            <w:r>
              <w:t>H</w:t>
            </w:r>
            <w:r>
              <w:rPr>
                <w:vertAlign w:val="subscript"/>
              </w:rPr>
              <w:t>0</w:t>
            </w:r>
            <w:r>
              <w:t xml:space="preserve">  ：距辐射源点(靶点) 1m 处输出量， μSv·m</w:t>
            </w:r>
            <w:r>
              <w:rPr>
                <w:vertAlign w:val="superscript"/>
              </w:rPr>
              <w:t>2</w:t>
            </w:r>
            <w:r>
              <w:t>/(mA·h)，参考《工业 X 射线探伤室辐射屏蔽规范》（GBZ/T 250-2014）表B.1，保守以300kV及400kV下 X 射线管输出量20.9mGy·m</w:t>
            </w:r>
            <w:r>
              <w:rPr>
                <w:vertAlign w:val="superscript"/>
              </w:rPr>
              <w:t>2</w:t>
            </w:r>
            <w:r>
              <w:t>/(mA·min) 及23.5mGy·m</w:t>
            </w:r>
            <w:r>
              <w:rPr>
                <w:vertAlign w:val="superscript"/>
              </w:rPr>
              <w:t>2</w:t>
            </w:r>
            <w:r>
              <w:t>/(mA·min)进行插值计算得到，320kV的 X 射线管1m处的输出量为21.4 mGy·m</w:t>
            </w:r>
            <w:r>
              <w:rPr>
                <w:vertAlign w:val="superscript"/>
              </w:rPr>
              <w:t>2</w:t>
            </w:r>
            <w:r>
              <w:t>/(mA·min)</w:t>
            </w:r>
            <w:r>
              <w:rPr>
                <w:rFonts w:hint="eastAsia"/>
              </w:rPr>
              <w:t>；</w:t>
            </w:r>
          </w:p>
          <w:p w14:paraId="6A9F2F1F">
            <w:pPr>
              <w:pStyle w:val="2"/>
              <w:ind w:firstLine="480"/>
            </w:pPr>
            <w:r>
              <w:t>B ：屏蔽透射因子， 按《工业 X  射线探室辐射屏蔽规范》(GBZ/T 250-2014) 中表 2 确定 90°散射辐射的射线能量， 按公式(11-2) 计算得出；</w:t>
            </w:r>
          </w:p>
          <w:p w14:paraId="77DFADE5">
            <w:pPr>
              <w:pStyle w:val="2"/>
              <w:ind w:firstLine="480"/>
            </w:pPr>
            <w:r>
              <w:t>F ：R</w:t>
            </w:r>
            <w:r>
              <w:rPr>
                <w:vertAlign w:val="subscript"/>
              </w:rPr>
              <w:t>0</w:t>
            </w:r>
            <w:r>
              <w:t xml:space="preserve"> 处的辐射野面积，m</w:t>
            </w:r>
            <w:r>
              <w:rPr>
                <w:vertAlign w:val="superscript"/>
              </w:rPr>
              <w:t>2</w:t>
            </w:r>
            <w:r>
              <w:t>；</w:t>
            </w:r>
          </w:p>
          <w:p w14:paraId="5B1F3123">
            <w:pPr>
              <w:pStyle w:val="2"/>
              <w:ind w:firstLine="480"/>
            </w:pPr>
            <w:bookmarkStart w:id="18" w:name="OLE_LINK6"/>
            <w:r>
              <w:t>α</w:t>
            </w:r>
            <w:bookmarkEnd w:id="18"/>
            <w:r>
              <w:t xml:space="preserve"> ：散射因子，入射辐射被单位面积(1m</w:t>
            </w:r>
            <w:r>
              <w:rPr>
                <w:vertAlign w:val="superscript"/>
              </w:rPr>
              <w:t xml:space="preserve">2 </w:t>
            </w:r>
            <w:r>
              <w:t>) 散射体散射到距其 1m 处的散射辐射剂量率与该面积上的入射辐射剂量率的比。与散射物质有关，在未获得相应物质的α值时，可以用水的α值保守估计，取值参考《工业 X 射线探室辐射屏蔽规范》(GBZ/T 250-2014) 中的附录 B 表 B.3；</w:t>
            </w:r>
          </w:p>
          <w:p w14:paraId="56ACEACC">
            <w:pPr>
              <w:pStyle w:val="2"/>
              <w:ind w:firstLine="480"/>
            </w:pPr>
            <w:r>
              <w:t>Rs  ：散射体至关注点的距离，m；</w:t>
            </w:r>
          </w:p>
          <w:p w14:paraId="42B88135">
            <w:pPr>
              <w:pStyle w:val="2"/>
              <w:ind w:firstLine="480"/>
            </w:pPr>
            <w:r>
              <w:t>R</w:t>
            </w:r>
            <w:r>
              <w:rPr>
                <w:vertAlign w:val="subscript"/>
              </w:rPr>
              <w:t>0</w:t>
            </w:r>
            <w:r>
              <w:t xml:space="preserve">  ：辐射源点(靶点)至被照射工件的距离，m。</w:t>
            </w:r>
          </w:p>
          <w:p w14:paraId="3B4193B7">
            <w:pPr>
              <w:pStyle w:val="4"/>
            </w:pPr>
            <w:r>
              <w:rPr>
                <w:rFonts w:eastAsia="Times New Roman" w:cs="Times New Roman"/>
                <w:spacing w:val="-4"/>
              </w:rPr>
              <w:t>1</w:t>
            </w:r>
            <w:r>
              <w:rPr>
                <w:rFonts w:eastAsia="Times New Roman" w:cs="Times New Roman"/>
              </w:rPr>
              <w:t>.</w:t>
            </w:r>
            <w:r>
              <w:rPr>
                <w:rFonts w:hint="eastAsia" w:cs="Times New Roman" w:eastAsiaTheme="minorEastAsia"/>
              </w:rPr>
              <w:t>2</w:t>
            </w:r>
            <w:r>
              <w:rPr>
                <w:rFonts w:eastAsia="Times New Roman" w:cs="Times New Roman"/>
              </w:rPr>
              <w:t xml:space="preserve">  </w:t>
            </w:r>
            <w:r>
              <w:rPr>
                <w:rFonts w:hint="eastAsia"/>
              </w:rPr>
              <w:t>辐射工作人员和公众剂量</w:t>
            </w:r>
            <w:r>
              <w:t>估算</w:t>
            </w:r>
            <w:r>
              <w:rPr>
                <w:rFonts w:hint="eastAsia"/>
              </w:rPr>
              <w:t>及评价</w:t>
            </w:r>
          </w:p>
          <w:p w14:paraId="5DCC9591">
            <w:pPr>
              <w:pStyle w:val="23"/>
              <w:rPr>
                <w:rFonts w:hint="eastAsia" w:ascii="宋体" w:hAnsi="宋体" w:cs="宋体"/>
                <w:b w:val="0"/>
                <w:bCs w:val="0"/>
                <w:iCs/>
              </w:rPr>
            </w:pPr>
            <m:oMathPara>
              <m:oMath>
                <m:sSub>
                  <m:sSubPr>
                    <m:ctrlPr>
                      <w:rPr>
                        <w:rFonts w:ascii="Cambria Math" w:hAnsi="Cambria Math"/>
                        <w:b w:val="0"/>
                        <w:bCs w:val="0"/>
                        <w:iCs/>
                      </w:rPr>
                    </m:ctrlPr>
                  </m:sSubPr>
                  <m:e>
                    <m:r>
                      <m:rPr>
                        <m:sty m:val="b"/>
                      </m:rPr>
                      <w:rPr>
                        <w:rFonts w:ascii="Cambria Math" w:hAnsi="Cambria Math"/>
                      </w:rPr>
                      <m:t>H</m:t>
                    </m:r>
                    <m:ctrlPr>
                      <w:rPr>
                        <w:rFonts w:ascii="Cambria Math" w:hAnsi="Cambria Math"/>
                        <w:b w:val="0"/>
                        <w:bCs w:val="0"/>
                        <w:iCs/>
                      </w:rPr>
                    </m:ctrlPr>
                  </m:e>
                  <m:sub>
                    <m:r>
                      <m:rPr>
                        <m:sty m:val="b"/>
                      </m:rPr>
                      <w:rPr>
                        <w:rFonts w:ascii="Cambria Math" w:hAnsi="Cambria Math"/>
                      </w:rPr>
                      <m:t>c</m:t>
                    </m:r>
                    <m:ctrlPr>
                      <w:rPr>
                        <w:rFonts w:ascii="Cambria Math" w:hAnsi="Cambria Math"/>
                        <w:b w:val="0"/>
                        <w:bCs w:val="0"/>
                        <w:iCs/>
                      </w:rPr>
                    </m:ctrlPr>
                  </m:sub>
                </m:sSub>
                <m:r>
                  <m:rPr>
                    <m:sty m:val="b"/>
                  </m:rPr>
                  <w:rPr>
                    <w:rFonts w:ascii="Cambria Math" w:hAnsi="Cambria Math"/>
                  </w:rPr>
                  <m:t>=</m:t>
                </m:r>
                <m:sSub>
                  <m:sSubPr>
                    <m:ctrlPr>
                      <w:rPr>
                        <w:rFonts w:ascii="Cambria Math" w:hAnsi="Cambria Math"/>
                        <w:b w:val="0"/>
                        <w:bCs w:val="0"/>
                        <w:iCs/>
                      </w:rPr>
                    </m:ctrlPr>
                  </m:sSubPr>
                  <m:e>
                    <m:r>
                      <m:rPr>
                        <m:sty m:val="b"/>
                      </m:rPr>
                      <w:rPr>
                        <w:rFonts w:ascii="Cambria Math" w:hAnsi="Cambria Math"/>
                      </w:rPr>
                      <m:t>H</m:t>
                    </m:r>
                    <m:ctrlPr>
                      <w:rPr>
                        <w:rFonts w:ascii="Cambria Math" w:hAnsi="Cambria Math"/>
                        <w:b w:val="0"/>
                        <w:bCs w:val="0"/>
                        <w:iCs/>
                      </w:rPr>
                    </m:ctrlPr>
                  </m:e>
                  <m:sub>
                    <m:r>
                      <m:rPr>
                        <m:sty m:val="b"/>
                      </m:rPr>
                      <w:rPr>
                        <w:rFonts w:ascii="Cambria Math" w:hAnsi="Cambria Math"/>
                      </w:rPr>
                      <m:t>c,d</m:t>
                    </m:r>
                    <m:ctrlPr>
                      <w:rPr>
                        <w:rFonts w:ascii="Cambria Math" w:hAnsi="Cambria Math"/>
                        <w:b w:val="0"/>
                        <w:bCs w:val="0"/>
                        <w:iCs/>
                      </w:rPr>
                    </m:ctrlPr>
                  </m:sub>
                </m:sSub>
                <m:r>
                  <m:rPr>
                    <m:sty m:val="b"/>
                  </m:rPr>
                  <w:rPr>
                    <w:rFonts w:ascii="Cambria Math" w:hAnsi="Cambria Math"/>
                  </w:rPr>
                  <m:t>∙t∙U∙T     ⋯⋯⋯⋯⋯</m:t>
                </m:r>
                <m:r>
                  <m:rPr>
                    <m:sty m:val="b"/>
                  </m:rPr>
                  <w:rPr>
                    <w:rFonts w:hint="eastAsia" w:ascii="Cambria Math" w:hAnsi="Cambria Math" w:cs="宋体"/>
                  </w:rPr>
                  <m:t>（</m:t>
                </m:r>
                <m:r>
                  <m:rPr>
                    <m:sty m:val="b"/>
                  </m:rPr>
                  <w:rPr>
                    <w:rFonts w:ascii="Cambria Math" w:hAnsi="Cambria Math" w:cs="宋体"/>
                  </w:rPr>
                  <m:t>11−5</m:t>
                </m:r>
                <m:r>
                  <m:rPr>
                    <m:sty m:val="b"/>
                  </m:rPr>
                  <w:rPr>
                    <w:rFonts w:hint="eastAsia" w:ascii="Cambria Math" w:hAnsi="Cambria Math" w:cs="宋体"/>
                  </w:rPr>
                  <m:t>）</m:t>
                </m:r>
              </m:oMath>
            </m:oMathPara>
          </w:p>
          <w:p w14:paraId="0C92BD76">
            <w:pPr>
              <w:pStyle w:val="2"/>
              <w:ind w:firstLine="480"/>
            </w:pPr>
            <w:r>
              <w:t>式中：Hc  ：周剂量（μSv/周）/年剂量（μSv/年）；</w:t>
            </w:r>
          </w:p>
          <w:p w14:paraId="747B0CEA">
            <w:pPr>
              <w:pStyle w:val="2"/>
              <w:ind w:firstLine="480"/>
            </w:pPr>
            <w:r>
              <w:t xml:space="preserve">Ḣc,d </w:t>
            </w:r>
            <w:r>
              <w:rPr>
                <w:rFonts w:hint="eastAsia"/>
              </w:rPr>
              <w:t>：</w:t>
            </w:r>
            <w:r>
              <w:t>参考点处剂量率，μSv/h；</w:t>
            </w:r>
          </w:p>
          <w:p w14:paraId="2FAB5DED">
            <w:pPr>
              <w:pStyle w:val="2"/>
              <w:ind w:firstLine="480"/>
            </w:pPr>
            <w:r>
              <w:t>t ：X 射线装置照射时间，h/a；</w:t>
            </w:r>
          </w:p>
          <w:p w14:paraId="5C3F1CBF">
            <w:pPr>
              <w:pStyle w:val="2"/>
              <w:ind w:firstLine="480"/>
            </w:pPr>
            <w:r>
              <w:t>U ：X射线装置向关注点方向照射的使用因子；</w:t>
            </w:r>
          </w:p>
          <w:p w14:paraId="41D39D49">
            <w:pPr>
              <w:pStyle w:val="2"/>
              <w:ind w:firstLine="480"/>
            </w:pPr>
            <w:r>
              <w:t>T ：人员在相应关注点驻留的居留因子。</w:t>
            </w:r>
          </w:p>
        </w:tc>
      </w:tr>
      <w:tr w14:paraId="09FAD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34" w:hRule="atLeast"/>
        </w:trPr>
        <w:tc>
          <w:tcPr>
            <w:tcW w:w="9076" w:type="dxa"/>
            <w:tcBorders>
              <w:top w:val="single" w:color="auto" w:sz="4" w:space="0"/>
            </w:tcBorders>
          </w:tcPr>
          <w:p w14:paraId="0E8BB8CA">
            <w:pPr>
              <w:pStyle w:val="3"/>
            </w:pPr>
            <w:r>
              <w:rPr>
                <w:rFonts w:eastAsia="Times New Roman" w:cs="Times New Roman"/>
                <w:spacing w:val="-1"/>
              </w:rPr>
              <w:t>2</w:t>
            </w:r>
            <w:r>
              <w:rPr>
                <w:rFonts w:hint="eastAsia" w:cs="Times New Roman"/>
                <w:spacing w:val="-1"/>
              </w:rPr>
              <w:t xml:space="preserve">  </w:t>
            </w:r>
            <w:r>
              <w:t>屏蔽计算结果</w:t>
            </w:r>
          </w:p>
          <w:p w14:paraId="213CD369">
            <w:pPr>
              <w:pStyle w:val="4"/>
            </w:pPr>
            <w:r>
              <w:t>2.1  理论计算</w:t>
            </w:r>
          </w:p>
          <w:p w14:paraId="1A4505E5">
            <w:pPr>
              <w:pStyle w:val="21"/>
              <w:rPr>
                <w:sz w:val="18"/>
              </w:rPr>
            </w:pPr>
            <w:r>
              <w:rPr>
                <w:spacing w:val="-2"/>
              </w:rPr>
              <w:t xml:space="preserve">表 </w:t>
            </w:r>
            <w:r>
              <w:rPr>
                <w:rFonts w:eastAsia="Times New Roman"/>
                <w:spacing w:val="-2"/>
              </w:rPr>
              <w:t>11-</w:t>
            </w:r>
            <w:r>
              <w:rPr>
                <w:rFonts w:hint="eastAsia"/>
                <w:spacing w:val="-2"/>
              </w:rPr>
              <w:t>2</w:t>
            </w:r>
            <w:r>
              <w:rPr>
                <w:rFonts w:eastAsia="Times New Roman"/>
                <w:spacing w:val="-2"/>
              </w:rPr>
              <w:t xml:space="preserve">  </w:t>
            </w:r>
            <w:r>
              <w:rPr>
                <w:rFonts w:eastAsia="Times New Roman"/>
              </w:rPr>
              <w:t xml:space="preserve">  </w:t>
            </w:r>
            <w:r>
              <w:rPr>
                <w:rFonts w:hint="eastAsia" w:ascii="宋体" w:hAnsi="宋体" w:cs="宋体"/>
              </w:rPr>
              <w:t>曝光室</w:t>
            </w:r>
            <w:r>
              <w:t>有用线束方向屏蔽墙屏蔽效果预测表</w:t>
            </w:r>
          </w:p>
          <w:tbl>
            <w:tblPr>
              <w:tblStyle w:val="15"/>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09"/>
              <w:gridCol w:w="1412"/>
              <w:gridCol w:w="806"/>
              <w:gridCol w:w="1364"/>
              <w:gridCol w:w="914"/>
              <w:gridCol w:w="898"/>
              <w:gridCol w:w="561"/>
              <w:gridCol w:w="769"/>
              <w:gridCol w:w="904"/>
              <w:gridCol w:w="735"/>
            </w:tblGrid>
            <w:tr w14:paraId="786D1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391" w:type="pct"/>
                  <w:tcBorders>
                    <w:left w:val="nil"/>
                  </w:tcBorders>
                  <w:vAlign w:val="center"/>
                </w:tcPr>
                <w:p w14:paraId="64FFD6CA">
                  <w:pPr>
                    <w:pStyle w:val="24"/>
                    <w:rPr>
                      <w:rFonts w:eastAsiaTheme="minorEastAsia"/>
                    </w:rPr>
                  </w:pPr>
                  <w:r>
                    <w:t>关注点</w:t>
                  </w:r>
                </w:p>
              </w:tc>
              <w:tc>
                <w:tcPr>
                  <w:tcW w:w="778" w:type="pct"/>
                  <w:vAlign w:val="center"/>
                </w:tcPr>
                <w:p w14:paraId="45DFF0DA">
                  <w:pPr>
                    <w:pStyle w:val="24"/>
                  </w:pPr>
                  <w:r>
                    <w:t>设计厚度</w:t>
                  </w:r>
                  <w:r>
                    <w:rPr>
                      <w:rFonts w:hint="eastAsia"/>
                      <w:vertAlign w:val="superscript"/>
                    </w:rPr>
                    <w:t>③</w:t>
                  </w:r>
                </w:p>
              </w:tc>
              <w:tc>
                <w:tcPr>
                  <w:tcW w:w="444" w:type="pct"/>
                  <w:vAlign w:val="center"/>
                </w:tcPr>
                <w:p w14:paraId="3B27C37F">
                  <w:pPr>
                    <w:pStyle w:val="24"/>
                  </w:pPr>
                  <w:r>
                    <w:t>I</w:t>
                  </w:r>
                </w:p>
                <w:p w14:paraId="7F83B2FA">
                  <w:pPr>
                    <w:pStyle w:val="24"/>
                  </w:pPr>
                  <w:r>
                    <w:t>(mA)</w:t>
                  </w:r>
                </w:p>
              </w:tc>
              <w:tc>
                <w:tcPr>
                  <w:tcW w:w="752" w:type="pct"/>
                  <w:vAlign w:val="center"/>
                </w:tcPr>
                <w:p w14:paraId="7A762AD6">
                  <w:pPr>
                    <w:pStyle w:val="24"/>
                  </w:pPr>
                  <w:r>
                    <w:t>H</w:t>
                  </w:r>
                  <w:r>
                    <w:rPr>
                      <w:vertAlign w:val="subscript"/>
                    </w:rPr>
                    <w:t>0</w:t>
                  </w:r>
                  <w:r>
                    <w:rPr>
                      <w:rFonts w:hint="eastAsia" w:ascii="宋体" w:hAnsi="宋体" w:cs="宋体"/>
                      <w:vertAlign w:val="superscript"/>
                    </w:rPr>
                    <w:t>①</w:t>
                  </w:r>
                  <w:r>
                    <w:rPr>
                      <w:vertAlign w:val="superscript"/>
                    </w:rPr>
                    <w:t xml:space="preserve"> </w:t>
                  </w:r>
                  <w:r>
                    <w:t xml:space="preserve">        μSv·m</w:t>
                  </w:r>
                  <w:r>
                    <w:rPr>
                      <w:vertAlign w:val="superscript"/>
                    </w:rPr>
                    <w:t>2</w:t>
                  </w:r>
                  <w:r>
                    <w:t>/(mA·h)</w:t>
                  </w:r>
                </w:p>
              </w:tc>
              <w:tc>
                <w:tcPr>
                  <w:tcW w:w="504" w:type="pct"/>
                  <w:vAlign w:val="center"/>
                </w:tcPr>
                <w:p w14:paraId="22564410">
                  <w:pPr>
                    <w:pStyle w:val="24"/>
                  </w:pPr>
                  <w:r>
                    <w:t>B</w:t>
                  </w:r>
                </w:p>
              </w:tc>
              <w:tc>
                <w:tcPr>
                  <w:tcW w:w="495" w:type="pct"/>
                  <w:vAlign w:val="center"/>
                </w:tcPr>
                <w:p w14:paraId="627DD813">
                  <w:pPr>
                    <w:pStyle w:val="24"/>
                  </w:pPr>
                  <w:r>
                    <w:rPr>
                      <w:rFonts w:hint="eastAsia"/>
                    </w:rPr>
                    <w:t>T</w:t>
                  </w:r>
                  <w:r>
                    <w:t>VL</w:t>
                  </w:r>
                </w:p>
                <w:p w14:paraId="10D74EEF">
                  <w:pPr>
                    <w:pStyle w:val="24"/>
                  </w:pPr>
                  <w:r>
                    <w:rPr>
                      <w:rFonts w:hint="eastAsia"/>
                    </w:rPr>
                    <w:t>（m</w:t>
                  </w:r>
                  <w:r>
                    <w:t>m</w:t>
                  </w:r>
                  <w:r>
                    <w:rPr>
                      <w:rFonts w:hint="eastAsia"/>
                    </w:rPr>
                    <w:t>）</w:t>
                  </w:r>
                </w:p>
              </w:tc>
              <w:tc>
                <w:tcPr>
                  <w:tcW w:w="309" w:type="pct"/>
                  <w:vAlign w:val="center"/>
                </w:tcPr>
                <w:p w14:paraId="2EFBEE3B">
                  <w:pPr>
                    <w:pStyle w:val="24"/>
                  </w:pPr>
                  <w:r>
                    <w:t>R</w:t>
                  </w:r>
                  <w:r>
                    <w:rPr>
                      <w:rFonts w:hint="eastAsia" w:ascii="宋体" w:hAnsi="宋体" w:cs="宋体"/>
                      <w:vertAlign w:val="superscript"/>
                    </w:rPr>
                    <w:t>②</w:t>
                  </w:r>
                  <w:r>
                    <w:t xml:space="preserve">   (m)</w:t>
                  </w:r>
                </w:p>
              </w:tc>
              <w:tc>
                <w:tcPr>
                  <w:tcW w:w="424" w:type="pct"/>
                  <w:vAlign w:val="center"/>
                </w:tcPr>
                <w:p w14:paraId="11EF2B3F">
                  <w:pPr>
                    <w:pStyle w:val="24"/>
                  </w:pPr>
                  <w:r>
                    <w:t>Ḣ</w:t>
                  </w:r>
                </w:p>
                <w:p w14:paraId="1F5AD340">
                  <w:pPr>
                    <w:pStyle w:val="24"/>
                  </w:pPr>
                  <w:r>
                    <w:t>(μSv/h)</w:t>
                  </w:r>
                </w:p>
              </w:tc>
              <w:tc>
                <w:tcPr>
                  <w:tcW w:w="498" w:type="pct"/>
                  <w:vAlign w:val="center"/>
                </w:tcPr>
                <w:p w14:paraId="7A66FD09">
                  <w:pPr>
                    <w:pStyle w:val="24"/>
                  </w:pPr>
                  <w:r>
                    <w:t>剂量率参 考控制水 平(μSv/h)</w:t>
                  </w:r>
                </w:p>
              </w:tc>
              <w:tc>
                <w:tcPr>
                  <w:tcW w:w="405" w:type="pct"/>
                  <w:tcBorders>
                    <w:right w:val="nil"/>
                  </w:tcBorders>
                  <w:vAlign w:val="center"/>
                </w:tcPr>
                <w:p w14:paraId="5C064AB6">
                  <w:pPr>
                    <w:pStyle w:val="24"/>
                  </w:pPr>
                  <w:r>
                    <w:t>评价</w:t>
                  </w:r>
                </w:p>
              </w:tc>
            </w:tr>
            <w:tr w14:paraId="159DA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391" w:type="pct"/>
                  <w:tcBorders>
                    <w:left w:val="nil"/>
                  </w:tcBorders>
                  <w:vAlign w:val="center"/>
                </w:tcPr>
                <w:p w14:paraId="0D5D72BA">
                  <w:pPr>
                    <w:pStyle w:val="24"/>
                  </w:pPr>
                  <w:r>
                    <w:rPr>
                      <w:rFonts w:hint="eastAsia"/>
                    </w:rPr>
                    <w:t>顶部</w:t>
                  </w:r>
                  <w:r>
                    <w:t>屏蔽体</w:t>
                  </w:r>
                </w:p>
              </w:tc>
              <w:tc>
                <w:tcPr>
                  <w:tcW w:w="778" w:type="pct"/>
                  <w:vAlign w:val="center"/>
                </w:tcPr>
                <w:p w14:paraId="5506F028">
                  <w:pPr>
                    <w:pStyle w:val="24"/>
                  </w:pPr>
                  <w:r>
                    <w:t>500mm混凝土+80mmBaSO</w:t>
                  </w:r>
                  <w:r>
                    <w:rPr>
                      <w:vertAlign w:val="subscript"/>
                    </w:rPr>
                    <w:t>4</w:t>
                  </w:r>
                </w:p>
              </w:tc>
              <w:tc>
                <w:tcPr>
                  <w:tcW w:w="444" w:type="pct"/>
                  <w:vAlign w:val="center"/>
                </w:tcPr>
                <w:p w14:paraId="06381D47">
                  <w:pPr>
                    <w:pStyle w:val="24"/>
                  </w:pPr>
                  <w:r>
                    <w:rPr>
                      <w:rFonts w:hint="eastAsia"/>
                    </w:rPr>
                    <w:t>5.6</w:t>
                  </w:r>
                </w:p>
              </w:tc>
              <w:tc>
                <w:tcPr>
                  <w:tcW w:w="752" w:type="pct"/>
                  <w:vAlign w:val="center"/>
                </w:tcPr>
                <w:p w14:paraId="31C7F21A">
                  <w:pPr>
                    <w:pStyle w:val="24"/>
                  </w:pPr>
                  <w:r>
                    <w:rPr>
                      <w:rFonts w:hint="eastAsia"/>
                    </w:rPr>
                    <w:t>1.28</w:t>
                  </w:r>
                  <w:r>
                    <w:t>×10</w:t>
                  </w:r>
                  <w:r>
                    <w:rPr>
                      <w:rFonts w:hint="eastAsia"/>
                      <w:vertAlign w:val="superscript"/>
                    </w:rPr>
                    <w:t>6</w:t>
                  </w:r>
                </w:p>
              </w:tc>
              <w:tc>
                <w:tcPr>
                  <w:tcW w:w="504" w:type="pct"/>
                  <w:vAlign w:val="center"/>
                </w:tcPr>
                <w:p w14:paraId="5E9FA9F5">
                  <w:pPr>
                    <w:pStyle w:val="24"/>
                  </w:pPr>
                  <w:r>
                    <w:rPr>
                      <w:rFonts w:hint="eastAsia"/>
                    </w:rPr>
                    <w:t>6.31</w:t>
                  </w:r>
                  <w:r>
                    <w:t>×10</w:t>
                  </w:r>
                  <w:r>
                    <w:rPr>
                      <w:vertAlign w:val="superscript"/>
                    </w:rPr>
                    <w:t>-</w:t>
                  </w:r>
                  <w:r>
                    <w:rPr>
                      <w:rFonts w:hint="eastAsia"/>
                      <w:vertAlign w:val="superscript"/>
                    </w:rPr>
                    <w:t>7</w:t>
                  </w:r>
                </w:p>
              </w:tc>
              <w:tc>
                <w:tcPr>
                  <w:tcW w:w="495" w:type="pct"/>
                  <w:vAlign w:val="center"/>
                </w:tcPr>
                <w:p w14:paraId="2E480607">
                  <w:pPr>
                    <w:pStyle w:val="24"/>
                  </w:pPr>
                  <w:r>
                    <w:rPr>
                      <w:rFonts w:hint="eastAsia"/>
                    </w:rPr>
                    <w:t>1</w:t>
                  </w:r>
                  <w:r>
                    <w:t>00</w:t>
                  </w:r>
                </w:p>
              </w:tc>
              <w:tc>
                <w:tcPr>
                  <w:tcW w:w="309" w:type="pct"/>
                  <w:vAlign w:val="center"/>
                </w:tcPr>
                <w:p w14:paraId="1C1C1535">
                  <w:pPr>
                    <w:pStyle w:val="24"/>
                  </w:pPr>
                  <w:r>
                    <w:rPr>
                      <w:rFonts w:hint="eastAsia"/>
                    </w:rPr>
                    <w:t>4.88</w:t>
                  </w:r>
                </w:p>
              </w:tc>
              <w:tc>
                <w:tcPr>
                  <w:tcW w:w="424" w:type="pct"/>
                  <w:vAlign w:val="center"/>
                </w:tcPr>
                <w:p w14:paraId="7C6663D9">
                  <w:pPr>
                    <w:pStyle w:val="24"/>
                  </w:pPr>
                  <w:r>
                    <w:rPr>
                      <w:rFonts w:hint="eastAsia"/>
                    </w:rPr>
                    <w:t>0.19</w:t>
                  </w:r>
                </w:p>
              </w:tc>
              <w:tc>
                <w:tcPr>
                  <w:tcW w:w="498" w:type="pct"/>
                  <w:vAlign w:val="center"/>
                </w:tcPr>
                <w:p w14:paraId="7F11749D">
                  <w:pPr>
                    <w:pStyle w:val="24"/>
                  </w:pPr>
                  <w:r>
                    <w:rPr>
                      <w:rFonts w:hint="eastAsia"/>
                    </w:rPr>
                    <w:t>100</w:t>
                  </w:r>
                </w:p>
              </w:tc>
              <w:tc>
                <w:tcPr>
                  <w:tcW w:w="405" w:type="pct"/>
                  <w:tcBorders>
                    <w:right w:val="nil"/>
                  </w:tcBorders>
                  <w:vAlign w:val="center"/>
                </w:tcPr>
                <w:p w14:paraId="5BB3A3BE">
                  <w:pPr>
                    <w:pStyle w:val="24"/>
                  </w:pPr>
                  <w:r>
                    <w:t>满足</w:t>
                  </w:r>
                </w:p>
              </w:tc>
            </w:tr>
          </w:tbl>
          <w:p w14:paraId="2F8160F1">
            <w:pPr>
              <w:pStyle w:val="6"/>
              <w:jc w:val="both"/>
            </w:pPr>
            <w:r>
              <w:t xml:space="preserve">注 </w:t>
            </w:r>
            <w:r>
              <w:rPr>
                <w:rFonts w:hint="eastAsia"/>
              </w:rPr>
              <w:t>：</w:t>
            </w:r>
            <w:r>
              <w:rPr>
                <w:rFonts w:hint="eastAsia" w:ascii="宋体" w:hAnsi="宋体" w:eastAsia="宋体" w:cs="宋体"/>
              </w:rPr>
              <w:t>①</w:t>
            </w:r>
            <w:r>
              <w:t>H</w:t>
            </w:r>
            <w:r>
              <w:rPr>
                <w:vertAlign w:val="subscript"/>
              </w:rPr>
              <w:t>0</w:t>
            </w:r>
            <w:r>
              <w:t xml:space="preserve"> ：</w:t>
            </w:r>
            <w:r>
              <w:rPr>
                <w:rFonts w:hint="eastAsia"/>
              </w:rPr>
              <w:t>取值由上文21.4m</w:t>
            </w:r>
            <w:r>
              <w:t>Gy·m</w:t>
            </w:r>
            <w:r>
              <w:rPr>
                <w:vertAlign w:val="superscript"/>
              </w:rPr>
              <w:t>2</w:t>
            </w:r>
            <w:r>
              <w:t>/(mA·min)</w:t>
            </w:r>
            <w:r>
              <w:rPr>
                <w:rFonts w:hint="eastAsia"/>
              </w:rPr>
              <w:t>单位换算得到</w:t>
            </w:r>
            <w:r>
              <w:t>；</w:t>
            </w:r>
          </w:p>
          <w:p w14:paraId="5B568B92">
            <w:pPr>
              <w:pStyle w:val="6"/>
              <w:jc w:val="both"/>
            </w:pPr>
            <w:r>
              <w:rPr>
                <w:rFonts w:hint="eastAsia" w:ascii="宋体" w:hAnsi="宋体" w:eastAsia="宋体" w:cs="宋体"/>
              </w:rPr>
              <w:t>②</w:t>
            </w:r>
            <w:r>
              <w:rPr>
                <w:rFonts w:hint="eastAsia"/>
              </w:rPr>
              <w:t>辐射源到顶部关注点距离依据表1</w:t>
            </w:r>
            <w:r>
              <w:t>1-1</w:t>
            </w:r>
            <w:r>
              <w:rPr>
                <w:rFonts w:hint="eastAsia"/>
              </w:rPr>
              <w:t>；</w:t>
            </w:r>
          </w:p>
          <w:p w14:paraId="0EDF8D36">
            <w:pPr>
              <w:pStyle w:val="6"/>
              <w:jc w:val="both"/>
            </w:pPr>
            <w:bookmarkStart w:id="19" w:name="OLE_LINK23"/>
            <w:r>
              <w:rPr>
                <w:rFonts w:hint="eastAsia"/>
              </w:rPr>
              <w:t>③本项目硫酸钡涂料密度为3.5g/cm</w:t>
            </w:r>
            <w:r>
              <w:rPr>
                <w:rFonts w:hint="eastAsia"/>
                <w:vertAlign w:val="superscript"/>
              </w:rPr>
              <w:t>3</w:t>
            </w:r>
            <w:r>
              <w:rPr>
                <w:rFonts w:hint="eastAsia"/>
              </w:rPr>
              <w:t>，根据屏蔽材料密度进行换算，80mm硫酸钡涂料约为120mm混凝土，因此顶部屏蔽体厚度可等效为620mm混凝土。</w:t>
            </w:r>
          </w:p>
          <w:bookmarkEnd w:id="19"/>
          <w:p w14:paraId="22355168">
            <w:pPr>
              <w:pStyle w:val="21"/>
            </w:pPr>
            <w:r>
              <w:t>表 11-</w:t>
            </w:r>
            <w:r>
              <w:rPr>
                <w:rFonts w:hint="eastAsia"/>
              </w:rPr>
              <w:t>3</w:t>
            </w:r>
            <w:r>
              <w:t xml:space="preserve">  </w:t>
            </w:r>
            <w:r>
              <w:rPr>
                <w:rFonts w:hint="eastAsia"/>
              </w:rPr>
              <w:t>曝光室</w:t>
            </w:r>
            <w:r>
              <w:t>非有用线束方向屏蔽墙屏蔽效果预测表</w:t>
            </w:r>
          </w:p>
          <w:tbl>
            <w:tblPr>
              <w:tblStyle w:val="13"/>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1838"/>
              <w:gridCol w:w="979"/>
              <w:gridCol w:w="1525"/>
              <w:gridCol w:w="1394"/>
              <w:gridCol w:w="1071"/>
              <w:gridCol w:w="733"/>
              <w:gridCol w:w="844"/>
            </w:tblGrid>
            <w:tr w14:paraId="26854D1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gridSpan w:val="2"/>
                  <w:vAlign w:val="center"/>
                </w:tcPr>
                <w:p w14:paraId="7280D5CD">
                  <w:pPr>
                    <w:pStyle w:val="24"/>
                    <w:widowControl w:val="0"/>
                    <w:rPr>
                      <w:sz w:val="18"/>
                      <w:szCs w:val="18"/>
                    </w:rPr>
                  </w:pPr>
                  <w:r>
                    <w:rPr>
                      <w:rFonts w:hint="eastAsia"/>
                      <w:sz w:val="18"/>
                      <w:szCs w:val="18"/>
                    </w:rPr>
                    <w:t>关注点</w:t>
                  </w:r>
                </w:p>
              </w:tc>
              <w:tc>
                <w:tcPr>
                  <w:tcW w:w="0" w:type="auto"/>
                  <w:vAlign w:val="center"/>
                </w:tcPr>
                <w:p w14:paraId="5396FD34">
                  <w:pPr>
                    <w:pStyle w:val="24"/>
                    <w:widowControl w:val="0"/>
                    <w:rPr>
                      <w:sz w:val="18"/>
                      <w:szCs w:val="18"/>
                    </w:rPr>
                  </w:pPr>
                  <w:r>
                    <w:rPr>
                      <w:rFonts w:hint="eastAsia"/>
                      <w:sz w:val="18"/>
                      <w:szCs w:val="18"/>
                    </w:rPr>
                    <w:t>东侧屏蔽体</w:t>
                  </w:r>
                </w:p>
              </w:tc>
              <w:tc>
                <w:tcPr>
                  <w:tcW w:w="0" w:type="auto"/>
                  <w:vAlign w:val="center"/>
                </w:tcPr>
                <w:p w14:paraId="627C84BD">
                  <w:pPr>
                    <w:pStyle w:val="24"/>
                    <w:widowControl w:val="0"/>
                    <w:rPr>
                      <w:sz w:val="18"/>
                      <w:szCs w:val="18"/>
                    </w:rPr>
                  </w:pPr>
                  <w:r>
                    <w:rPr>
                      <w:rFonts w:hint="eastAsia"/>
                      <w:sz w:val="18"/>
                      <w:szCs w:val="18"/>
                    </w:rPr>
                    <w:t>南侧屏蔽体/通风口防护罩</w:t>
                  </w:r>
                </w:p>
              </w:tc>
              <w:tc>
                <w:tcPr>
                  <w:tcW w:w="1395" w:type="dxa"/>
                  <w:vAlign w:val="center"/>
                </w:tcPr>
                <w:p w14:paraId="5E782B27">
                  <w:pPr>
                    <w:pStyle w:val="24"/>
                    <w:widowControl w:val="0"/>
                    <w:rPr>
                      <w:sz w:val="18"/>
                      <w:szCs w:val="18"/>
                    </w:rPr>
                  </w:pPr>
                  <w:r>
                    <w:rPr>
                      <w:rFonts w:hint="eastAsia"/>
                      <w:sz w:val="18"/>
                      <w:szCs w:val="18"/>
                    </w:rPr>
                    <w:t>西侧屏蔽体/电缆口防护罩</w:t>
                  </w:r>
                </w:p>
              </w:tc>
              <w:tc>
                <w:tcPr>
                  <w:tcW w:w="1071" w:type="dxa"/>
                  <w:vAlign w:val="center"/>
                </w:tcPr>
                <w:p w14:paraId="5DFD201F">
                  <w:pPr>
                    <w:pStyle w:val="24"/>
                    <w:widowControl w:val="0"/>
                    <w:rPr>
                      <w:sz w:val="18"/>
                      <w:szCs w:val="18"/>
                    </w:rPr>
                  </w:pPr>
                  <w:r>
                    <w:rPr>
                      <w:rFonts w:hint="eastAsia"/>
                      <w:sz w:val="18"/>
                      <w:szCs w:val="18"/>
                    </w:rPr>
                    <w:t>北侧屏蔽体</w:t>
                  </w:r>
                </w:p>
              </w:tc>
              <w:tc>
                <w:tcPr>
                  <w:tcW w:w="0" w:type="auto"/>
                  <w:vAlign w:val="center"/>
                </w:tcPr>
                <w:p w14:paraId="52C640D1">
                  <w:pPr>
                    <w:pStyle w:val="24"/>
                    <w:widowControl w:val="0"/>
                    <w:rPr>
                      <w:sz w:val="18"/>
                      <w:szCs w:val="18"/>
                    </w:rPr>
                  </w:pPr>
                  <w:r>
                    <w:rPr>
                      <w:rFonts w:hint="eastAsia"/>
                      <w:sz w:val="18"/>
                      <w:szCs w:val="18"/>
                    </w:rPr>
                    <w:t>维修门</w:t>
                  </w:r>
                </w:p>
              </w:tc>
              <w:tc>
                <w:tcPr>
                  <w:tcW w:w="0" w:type="auto"/>
                  <w:vAlign w:val="center"/>
                </w:tcPr>
                <w:p w14:paraId="1AB17FEC">
                  <w:pPr>
                    <w:pStyle w:val="24"/>
                    <w:widowControl w:val="0"/>
                    <w:rPr>
                      <w:sz w:val="18"/>
                      <w:szCs w:val="18"/>
                    </w:rPr>
                  </w:pPr>
                  <w:r>
                    <w:rPr>
                      <w:rFonts w:hint="eastAsia"/>
                      <w:sz w:val="18"/>
                      <w:szCs w:val="18"/>
                    </w:rPr>
                    <w:t>进/出料门</w:t>
                  </w:r>
                </w:p>
              </w:tc>
            </w:tr>
            <w:tr w14:paraId="2597AC2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gridSpan w:val="2"/>
                  <w:vAlign w:val="center"/>
                </w:tcPr>
                <w:p w14:paraId="62EB225A">
                  <w:pPr>
                    <w:pStyle w:val="24"/>
                    <w:widowControl w:val="0"/>
                    <w:rPr>
                      <w:sz w:val="18"/>
                      <w:szCs w:val="18"/>
                    </w:rPr>
                  </w:pPr>
                  <w:r>
                    <w:rPr>
                      <w:rFonts w:hint="eastAsia"/>
                      <w:sz w:val="18"/>
                      <w:szCs w:val="18"/>
                    </w:rPr>
                    <w:t>防护材料设计厚度③</w:t>
                  </w:r>
                </w:p>
              </w:tc>
              <w:tc>
                <w:tcPr>
                  <w:tcW w:w="4971" w:type="dxa"/>
                  <w:gridSpan w:val="4"/>
                  <w:vAlign w:val="center"/>
                </w:tcPr>
                <w:p w14:paraId="756CF74A">
                  <w:pPr>
                    <w:pStyle w:val="24"/>
                    <w:widowControl w:val="0"/>
                    <w:rPr>
                      <w:sz w:val="18"/>
                      <w:szCs w:val="18"/>
                    </w:rPr>
                  </w:pPr>
                  <w:r>
                    <w:rPr>
                      <w:sz w:val="18"/>
                      <w:szCs w:val="18"/>
                    </w:rPr>
                    <w:t>480mm</w:t>
                  </w:r>
                  <w:r>
                    <w:rPr>
                      <w:rFonts w:hint="eastAsia"/>
                      <w:sz w:val="18"/>
                      <w:szCs w:val="18"/>
                    </w:rPr>
                    <w:t>砖混结构</w:t>
                  </w:r>
                  <w:r>
                    <w:rPr>
                      <w:sz w:val="18"/>
                      <w:szCs w:val="18"/>
                    </w:rPr>
                    <w:t>+100mmBaSO</w:t>
                  </w:r>
                  <w:r>
                    <w:rPr>
                      <w:sz w:val="18"/>
                      <w:szCs w:val="18"/>
                      <w:vertAlign w:val="subscript"/>
                    </w:rPr>
                    <w:t>4</w:t>
                  </w:r>
                </w:p>
              </w:tc>
              <w:tc>
                <w:tcPr>
                  <w:tcW w:w="0" w:type="auto"/>
                  <w:gridSpan w:val="2"/>
                  <w:vAlign w:val="center"/>
                </w:tcPr>
                <w:p w14:paraId="703B14BE">
                  <w:pPr>
                    <w:pStyle w:val="24"/>
                    <w:widowControl w:val="0"/>
                    <w:rPr>
                      <w:sz w:val="18"/>
                      <w:szCs w:val="18"/>
                    </w:rPr>
                  </w:pPr>
                  <w:r>
                    <w:rPr>
                      <w:rFonts w:hint="eastAsia" w:eastAsiaTheme="minorEastAsia"/>
                      <w:sz w:val="18"/>
                      <w:szCs w:val="18"/>
                    </w:rPr>
                    <w:t>7mmPb</w:t>
                  </w:r>
                </w:p>
              </w:tc>
            </w:tr>
            <w:tr w14:paraId="0842702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restart"/>
                  <w:vAlign w:val="center"/>
                </w:tcPr>
                <w:p w14:paraId="46B3C94E">
                  <w:pPr>
                    <w:pStyle w:val="24"/>
                    <w:widowControl w:val="0"/>
                    <w:rPr>
                      <w:sz w:val="18"/>
                      <w:szCs w:val="18"/>
                    </w:rPr>
                  </w:pPr>
                  <w:r>
                    <w:rPr>
                      <w:rFonts w:hint="eastAsia"/>
                      <w:sz w:val="18"/>
                      <w:szCs w:val="18"/>
                    </w:rPr>
                    <w:t>泄漏辐射</w:t>
                  </w:r>
                </w:p>
              </w:tc>
              <w:tc>
                <w:tcPr>
                  <w:tcW w:w="0" w:type="auto"/>
                  <w:tcBorders>
                    <w:tl2br w:val="nil"/>
                    <w:tr2bl w:val="nil"/>
                  </w:tcBorders>
                  <w:vAlign w:val="center"/>
                </w:tcPr>
                <w:p w14:paraId="7A3E8236">
                  <w:pPr>
                    <w:pStyle w:val="24"/>
                    <w:widowControl w:val="0"/>
                    <w:rPr>
                      <w:rFonts w:eastAsia="Times New Roman"/>
                      <w:sz w:val="18"/>
                      <w:szCs w:val="18"/>
                    </w:rPr>
                  </w:pPr>
                  <w:r>
                    <w:rPr>
                      <w:rFonts w:hint="eastAsia"/>
                      <w:sz w:val="18"/>
                      <w:szCs w:val="18"/>
                    </w:rPr>
                    <w:t>T</w:t>
                  </w:r>
                  <w:r>
                    <w:rPr>
                      <w:sz w:val="18"/>
                      <w:szCs w:val="18"/>
                    </w:rPr>
                    <w:t>VL（mm）</w:t>
                  </w:r>
                </w:p>
              </w:tc>
              <w:tc>
                <w:tcPr>
                  <w:tcW w:w="0" w:type="auto"/>
                  <w:tcBorders>
                    <w:tl2br w:val="nil"/>
                    <w:tr2bl w:val="nil"/>
                  </w:tcBorders>
                  <w:vAlign w:val="center"/>
                </w:tcPr>
                <w:p w14:paraId="4B163964">
                  <w:pPr>
                    <w:pStyle w:val="24"/>
                    <w:widowControl w:val="0"/>
                    <w:rPr>
                      <w:rFonts w:eastAsia="Times New Roman"/>
                      <w:spacing w:val="-2"/>
                      <w:sz w:val="18"/>
                      <w:szCs w:val="18"/>
                    </w:rPr>
                  </w:pPr>
                  <w:r>
                    <w:rPr>
                      <w:rFonts w:hint="eastAsia" w:eastAsiaTheme="minorEastAsia"/>
                      <w:spacing w:val="-2"/>
                      <w:sz w:val="18"/>
                      <w:szCs w:val="18"/>
                    </w:rPr>
                    <w:t>6.2</w:t>
                  </w:r>
                </w:p>
              </w:tc>
              <w:tc>
                <w:tcPr>
                  <w:tcW w:w="0" w:type="auto"/>
                  <w:tcBorders>
                    <w:tl2br w:val="nil"/>
                    <w:tr2bl w:val="nil"/>
                  </w:tcBorders>
                  <w:vAlign w:val="center"/>
                </w:tcPr>
                <w:p w14:paraId="2EA4A133">
                  <w:pPr>
                    <w:pStyle w:val="24"/>
                    <w:widowControl w:val="0"/>
                    <w:rPr>
                      <w:rFonts w:eastAsia="Times New Roman"/>
                      <w:spacing w:val="-2"/>
                      <w:sz w:val="18"/>
                      <w:szCs w:val="18"/>
                    </w:rPr>
                  </w:pPr>
                  <w:r>
                    <w:rPr>
                      <w:rFonts w:hint="eastAsia"/>
                      <w:spacing w:val="-2"/>
                      <w:sz w:val="18"/>
                      <w:szCs w:val="18"/>
                    </w:rPr>
                    <w:t>6.2</w:t>
                  </w:r>
                </w:p>
              </w:tc>
              <w:tc>
                <w:tcPr>
                  <w:tcW w:w="1395" w:type="dxa"/>
                  <w:tcBorders>
                    <w:tl2br w:val="nil"/>
                    <w:tr2bl w:val="nil"/>
                  </w:tcBorders>
                  <w:vAlign w:val="center"/>
                </w:tcPr>
                <w:p w14:paraId="424F1157">
                  <w:pPr>
                    <w:pStyle w:val="24"/>
                    <w:widowControl w:val="0"/>
                    <w:rPr>
                      <w:sz w:val="18"/>
                      <w:szCs w:val="18"/>
                    </w:rPr>
                  </w:pPr>
                  <w:r>
                    <w:rPr>
                      <w:rFonts w:hint="eastAsia" w:eastAsiaTheme="minorEastAsia"/>
                      <w:spacing w:val="-2"/>
                      <w:sz w:val="18"/>
                      <w:szCs w:val="18"/>
                    </w:rPr>
                    <w:t>6.2</w:t>
                  </w:r>
                </w:p>
              </w:tc>
              <w:tc>
                <w:tcPr>
                  <w:tcW w:w="1071" w:type="dxa"/>
                  <w:tcBorders>
                    <w:tl2br w:val="nil"/>
                    <w:tr2bl w:val="nil"/>
                  </w:tcBorders>
                  <w:vAlign w:val="center"/>
                </w:tcPr>
                <w:p w14:paraId="7CC8DC45">
                  <w:pPr>
                    <w:pStyle w:val="24"/>
                    <w:widowControl w:val="0"/>
                    <w:rPr>
                      <w:rFonts w:eastAsia="Times New Roman"/>
                      <w:spacing w:val="-2"/>
                      <w:sz w:val="18"/>
                      <w:szCs w:val="18"/>
                    </w:rPr>
                  </w:pPr>
                  <w:r>
                    <w:rPr>
                      <w:rFonts w:hint="eastAsia"/>
                      <w:spacing w:val="-2"/>
                      <w:sz w:val="18"/>
                      <w:szCs w:val="18"/>
                    </w:rPr>
                    <w:t>6.2</w:t>
                  </w:r>
                </w:p>
              </w:tc>
              <w:tc>
                <w:tcPr>
                  <w:tcW w:w="0" w:type="auto"/>
                  <w:tcBorders>
                    <w:tl2br w:val="nil"/>
                    <w:tr2bl w:val="nil"/>
                  </w:tcBorders>
                  <w:vAlign w:val="center"/>
                </w:tcPr>
                <w:p w14:paraId="40B72C7E">
                  <w:pPr>
                    <w:pStyle w:val="24"/>
                    <w:widowControl w:val="0"/>
                    <w:rPr>
                      <w:rFonts w:eastAsiaTheme="minorEastAsia"/>
                      <w:spacing w:val="-2"/>
                      <w:sz w:val="18"/>
                      <w:szCs w:val="18"/>
                    </w:rPr>
                  </w:pPr>
                  <w:r>
                    <w:rPr>
                      <w:rFonts w:hint="eastAsia" w:eastAsiaTheme="minorEastAsia"/>
                      <w:spacing w:val="-2"/>
                      <w:sz w:val="18"/>
                      <w:szCs w:val="18"/>
                    </w:rPr>
                    <w:t>6.2</w:t>
                  </w:r>
                </w:p>
              </w:tc>
              <w:tc>
                <w:tcPr>
                  <w:tcW w:w="0" w:type="auto"/>
                  <w:tcBorders>
                    <w:tl2br w:val="nil"/>
                    <w:tr2bl w:val="nil"/>
                  </w:tcBorders>
                  <w:vAlign w:val="center"/>
                </w:tcPr>
                <w:p w14:paraId="4E32A721">
                  <w:pPr>
                    <w:pStyle w:val="24"/>
                    <w:widowControl w:val="0"/>
                    <w:rPr>
                      <w:spacing w:val="-2"/>
                      <w:sz w:val="18"/>
                      <w:szCs w:val="18"/>
                    </w:rPr>
                  </w:pPr>
                  <w:r>
                    <w:rPr>
                      <w:rFonts w:hint="eastAsia"/>
                      <w:spacing w:val="-2"/>
                      <w:sz w:val="18"/>
                      <w:szCs w:val="18"/>
                    </w:rPr>
                    <w:t>6.2</w:t>
                  </w:r>
                </w:p>
              </w:tc>
            </w:tr>
            <w:tr w14:paraId="25C8E5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77D5A032">
                  <w:pPr>
                    <w:pStyle w:val="24"/>
                    <w:widowControl w:val="0"/>
                    <w:rPr>
                      <w:sz w:val="18"/>
                      <w:szCs w:val="18"/>
                    </w:rPr>
                  </w:pPr>
                </w:p>
              </w:tc>
              <w:tc>
                <w:tcPr>
                  <w:tcW w:w="0" w:type="auto"/>
                  <w:tcBorders>
                    <w:tl2br w:val="nil"/>
                    <w:tr2bl w:val="nil"/>
                  </w:tcBorders>
                  <w:vAlign w:val="center"/>
                </w:tcPr>
                <w:p w14:paraId="596F8D0F">
                  <w:pPr>
                    <w:pStyle w:val="24"/>
                    <w:widowControl w:val="0"/>
                    <w:rPr>
                      <w:sz w:val="18"/>
                      <w:szCs w:val="18"/>
                    </w:rPr>
                  </w:pPr>
                  <w:r>
                    <w:rPr>
                      <w:rFonts w:eastAsia="Times New Roman"/>
                      <w:sz w:val="18"/>
                      <w:szCs w:val="18"/>
                    </w:rPr>
                    <w:t>B</w:t>
                  </w:r>
                </w:p>
              </w:tc>
              <w:tc>
                <w:tcPr>
                  <w:tcW w:w="0" w:type="auto"/>
                  <w:tcBorders>
                    <w:tl2br w:val="nil"/>
                    <w:tr2bl w:val="nil"/>
                  </w:tcBorders>
                  <w:vAlign w:val="center"/>
                </w:tcPr>
                <w:p w14:paraId="27834BB2">
                  <w:pPr>
                    <w:pStyle w:val="24"/>
                    <w:widowControl w:val="0"/>
                    <w:rPr>
                      <w:sz w:val="18"/>
                      <w:szCs w:val="18"/>
                    </w:rPr>
                  </w:pPr>
                  <w:r>
                    <w:rPr>
                      <w:rFonts w:hint="eastAsia" w:eastAsiaTheme="minorEastAsia"/>
                      <w:sz w:val="18"/>
                      <w:szCs w:val="18"/>
                    </w:rPr>
                    <w:t>5.95</w:t>
                  </w:r>
                  <w:r>
                    <w:rPr>
                      <w:rFonts w:eastAsia="Times New Roman"/>
                      <w:sz w:val="18"/>
                      <w:szCs w:val="18"/>
                    </w:rPr>
                    <w:t>×</w:t>
                  </w:r>
                  <w:r>
                    <w:rPr>
                      <w:rFonts w:hint="eastAsia" w:eastAsiaTheme="minorEastAsia"/>
                      <w:sz w:val="18"/>
                      <w:szCs w:val="18"/>
                    </w:rPr>
                    <w:t>10</w:t>
                  </w:r>
                  <w:r>
                    <w:rPr>
                      <w:rFonts w:hint="eastAsia" w:eastAsiaTheme="minorEastAsia"/>
                      <w:sz w:val="18"/>
                      <w:szCs w:val="18"/>
                      <w:vertAlign w:val="superscript"/>
                    </w:rPr>
                    <w:t>-4</w:t>
                  </w:r>
                </w:p>
              </w:tc>
              <w:tc>
                <w:tcPr>
                  <w:tcW w:w="0" w:type="auto"/>
                  <w:tcBorders>
                    <w:tl2br w:val="nil"/>
                    <w:tr2bl w:val="nil"/>
                  </w:tcBorders>
                  <w:vAlign w:val="center"/>
                </w:tcPr>
                <w:p w14:paraId="72FBBDEF">
                  <w:pPr>
                    <w:pStyle w:val="24"/>
                    <w:widowControl w:val="0"/>
                    <w:rPr>
                      <w:sz w:val="18"/>
                      <w:szCs w:val="18"/>
                    </w:rPr>
                  </w:pPr>
                  <w:r>
                    <w:rPr>
                      <w:rFonts w:hint="eastAsia" w:eastAsiaTheme="minorEastAsia"/>
                      <w:sz w:val="18"/>
                      <w:szCs w:val="18"/>
                    </w:rPr>
                    <w:t>5.95</w:t>
                  </w:r>
                  <w:r>
                    <w:rPr>
                      <w:rFonts w:eastAsia="Times New Roman"/>
                      <w:sz w:val="18"/>
                      <w:szCs w:val="18"/>
                    </w:rPr>
                    <w:t>×</w:t>
                  </w:r>
                  <w:r>
                    <w:rPr>
                      <w:rFonts w:hint="eastAsia" w:eastAsiaTheme="minorEastAsia"/>
                      <w:sz w:val="18"/>
                      <w:szCs w:val="18"/>
                    </w:rPr>
                    <w:t>10</w:t>
                  </w:r>
                  <w:r>
                    <w:rPr>
                      <w:rFonts w:hint="eastAsia" w:eastAsiaTheme="minorEastAsia"/>
                      <w:sz w:val="18"/>
                      <w:szCs w:val="18"/>
                      <w:vertAlign w:val="superscript"/>
                    </w:rPr>
                    <w:t>-4</w:t>
                  </w:r>
                </w:p>
              </w:tc>
              <w:tc>
                <w:tcPr>
                  <w:tcW w:w="1395" w:type="dxa"/>
                  <w:tcBorders>
                    <w:tl2br w:val="nil"/>
                    <w:tr2bl w:val="nil"/>
                  </w:tcBorders>
                  <w:vAlign w:val="center"/>
                </w:tcPr>
                <w:p w14:paraId="6A68709E">
                  <w:pPr>
                    <w:pStyle w:val="24"/>
                    <w:widowControl w:val="0"/>
                    <w:rPr>
                      <w:rFonts w:eastAsiaTheme="minorEastAsia"/>
                      <w:spacing w:val="-2"/>
                      <w:sz w:val="18"/>
                      <w:szCs w:val="18"/>
                    </w:rPr>
                  </w:pPr>
                  <w:r>
                    <w:rPr>
                      <w:rFonts w:hint="eastAsia" w:eastAsiaTheme="minorEastAsia"/>
                      <w:sz w:val="18"/>
                      <w:szCs w:val="18"/>
                    </w:rPr>
                    <w:t>5.95</w:t>
                  </w:r>
                  <w:r>
                    <w:rPr>
                      <w:rFonts w:eastAsia="Times New Roman"/>
                      <w:sz w:val="18"/>
                      <w:szCs w:val="18"/>
                    </w:rPr>
                    <w:t>×</w:t>
                  </w:r>
                  <w:r>
                    <w:rPr>
                      <w:rFonts w:hint="eastAsia" w:eastAsiaTheme="minorEastAsia"/>
                      <w:sz w:val="18"/>
                      <w:szCs w:val="18"/>
                    </w:rPr>
                    <w:t>10</w:t>
                  </w:r>
                  <w:r>
                    <w:rPr>
                      <w:rFonts w:hint="eastAsia" w:eastAsiaTheme="minorEastAsia"/>
                      <w:sz w:val="18"/>
                      <w:szCs w:val="18"/>
                      <w:vertAlign w:val="superscript"/>
                    </w:rPr>
                    <w:t>-4</w:t>
                  </w:r>
                </w:p>
              </w:tc>
              <w:tc>
                <w:tcPr>
                  <w:tcW w:w="1071" w:type="dxa"/>
                  <w:tcBorders>
                    <w:tl2br w:val="nil"/>
                    <w:tr2bl w:val="nil"/>
                  </w:tcBorders>
                  <w:vAlign w:val="center"/>
                </w:tcPr>
                <w:p w14:paraId="3EB26499">
                  <w:pPr>
                    <w:pStyle w:val="24"/>
                    <w:widowControl w:val="0"/>
                    <w:rPr>
                      <w:sz w:val="18"/>
                      <w:szCs w:val="18"/>
                    </w:rPr>
                  </w:pPr>
                  <w:r>
                    <w:rPr>
                      <w:rFonts w:hint="eastAsia" w:eastAsiaTheme="minorEastAsia"/>
                      <w:sz w:val="18"/>
                      <w:szCs w:val="18"/>
                    </w:rPr>
                    <w:t>5.95</w:t>
                  </w:r>
                  <w:r>
                    <w:rPr>
                      <w:rFonts w:eastAsia="Times New Roman"/>
                      <w:sz w:val="18"/>
                      <w:szCs w:val="18"/>
                    </w:rPr>
                    <w:t>×</w:t>
                  </w:r>
                  <w:r>
                    <w:rPr>
                      <w:rFonts w:hint="eastAsia" w:eastAsiaTheme="minorEastAsia"/>
                      <w:sz w:val="18"/>
                      <w:szCs w:val="18"/>
                    </w:rPr>
                    <w:t>10</w:t>
                  </w:r>
                  <w:r>
                    <w:rPr>
                      <w:rFonts w:hint="eastAsia" w:eastAsiaTheme="minorEastAsia"/>
                      <w:sz w:val="18"/>
                      <w:szCs w:val="18"/>
                      <w:vertAlign w:val="superscript"/>
                    </w:rPr>
                    <w:t>-4</w:t>
                  </w:r>
                </w:p>
              </w:tc>
              <w:tc>
                <w:tcPr>
                  <w:tcW w:w="0" w:type="auto"/>
                  <w:tcBorders>
                    <w:tl2br w:val="nil"/>
                    <w:tr2bl w:val="nil"/>
                  </w:tcBorders>
                  <w:vAlign w:val="center"/>
                </w:tcPr>
                <w:p w14:paraId="5CCA1547">
                  <w:pPr>
                    <w:pStyle w:val="24"/>
                    <w:widowControl w:val="0"/>
                    <w:rPr>
                      <w:sz w:val="18"/>
                      <w:szCs w:val="18"/>
                    </w:rPr>
                  </w:pPr>
                  <w:r>
                    <w:rPr>
                      <w:rFonts w:hint="eastAsia"/>
                      <w:sz w:val="18"/>
                      <w:szCs w:val="18"/>
                    </w:rPr>
                    <w:t>0.074</w:t>
                  </w:r>
                </w:p>
              </w:tc>
              <w:tc>
                <w:tcPr>
                  <w:tcW w:w="0" w:type="auto"/>
                  <w:vAlign w:val="center"/>
                </w:tcPr>
                <w:p w14:paraId="4F9F1A83">
                  <w:pPr>
                    <w:pStyle w:val="24"/>
                    <w:widowControl w:val="0"/>
                    <w:rPr>
                      <w:sz w:val="18"/>
                      <w:szCs w:val="18"/>
                    </w:rPr>
                  </w:pPr>
                  <w:r>
                    <w:rPr>
                      <w:rFonts w:hint="eastAsia"/>
                      <w:sz w:val="18"/>
                      <w:szCs w:val="18"/>
                    </w:rPr>
                    <w:t>0.074</w:t>
                  </w:r>
                </w:p>
              </w:tc>
            </w:tr>
            <w:tr w14:paraId="212281F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271E7416">
                  <w:pPr>
                    <w:pStyle w:val="24"/>
                    <w:widowControl w:val="0"/>
                    <w:rPr>
                      <w:sz w:val="18"/>
                      <w:szCs w:val="18"/>
                    </w:rPr>
                  </w:pPr>
                </w:p>
              </w:tc>
              <w:tc>
                <w:tcPr>
                  <w:tcW w:w="0" w:type="auto"/>
                  <w:tcBorders>
                    <w:tl2br w:val="nil"/>
                    <w:tr2bl w:val="nil"/>
                  </w:tcBorders>
                  <w:vAlign w:val="center"/>
                </w:tcPr>
                <w:p w14:paraId="0F4139AA">
                  <w:pPr>
                    <w:pStyle w:val="24"/>
                    <w:widowControl w:val="0"/>
                    <w:rPr>
                      <w:sz w:val="18"/>
                      <w:szCs w:val="18"/>
                    </w:rPr>
                  </w:pPr>
                  <w:r>
                    <w:rPr>
                      <w:rFonts w:hint="eastAsia" w:eastAsiaTheme="minorEastAsia"/>
                      <w:spacing w:val="-1"/>
                      <w:sz w:val="18"/>
                      <w:szCs w:val="18"/>
                    </w:rPr>
                    <w:t>H</w:t>
                  </w:r>
                  <w:r>
                    <w:rPr>
                      <w:rFonts w:hint="eastAsia" w:eastAsiaTheme="minorEastAsia"/>
                      <w:spacing w:val="-1"/>
                      <w:sz w:val="18"/>
                      <w:szCs w:val="18"/>
                      <w:vertAlign w:val="subscript"/>
                    </w:rPr>
                    <w:t>L</w:t>
                  </w:r>
                  <w:r>
                    <w:rPr>
                      <w:rFonts w:hint="eastAsia" w:eastAsiaTheme="minorEastAsia"/>
                      <w:spacing w:val="-1"/>
                      <w:sz w:val="18"/>
                      <w:szCs w:val="18"/>
                    </w:rPr>
                    <w:t xml:space="preserve"> </w:t>
                  </w:r>
                  <w:r>
                    <w:rPr>
                      <w:rFonts w:eastAsia="Times New Roman"/>
                      <w:spacing w:val="-1"/>
                      <w:sz w:val="18"/>
                      <w:szCs w:val="18"/>
                    </w:rPr>
                    <w:t>(μSv /</w:t>
                  </w:r>
                  <w:r>
                    <w:rPr>
                      <w:rFonts w:eastAsia="Times New Roman"/>
                      <w:sz w:val="18"/>
                      <w:szCs w:val="18"/>
                    </w:rPr>
                    <w:t>h</w:t>
                  </w:r>
                  <w:r>
                    <w:rPr>
                      <w:rFonts w:eastAsia="Times New Roman"/>
                      <w:spacing w:val="-1"/>
                      <w:sz w:val="18"/>
                      <w:szCs w:val="18"/>
                    </w:rPr>
                    <w:t>)</w:t>
                  </w:r>
                </w:p>
              </w:tc>
              <w:tc>
                <w:tcPr>
                  <w:tcW w:w="0" w:type="auto"/>
                  <w:tcBorders>
                    <w:tl2br w:val="nil"/>
                    <w:tr2bl w:val="nil"/>
                  </w:tcBorders>
                  <w:vAlign w:val="center"/>
                </w:tcPr>
                <w:p w14:paraId="544DE920">
                  <w:pPr>
                    <w:pStyle w:val="24"/>
                    <w:widowControl w:val="0"/>
                    <w:rPr>
                      <w:rFonts w:eastAsiaTheme="minorEastAsia"/>
                      <w:sz w:val="18"/>
                      <w:szCs w:val="18"/>
                    </w:rPr>
                  </w:pPr>
                  <w:bookmarkStart w:id="20" w:name="OLE_LINK11"/>
                  <w:r>
                    <w:rPr>
                      <w:rFonts w:hint="eastAsia"/>
                      <w:sz w:val="18"/>
                      <w:szCs w:val="18"/>
                    </w:rPr>
                    <w:t>5</w:t>
                  </w:r>
                  <w:r>
                    <w:rPr>
                      <w:rFonts w:eastAsia="Times New Roman"/>
                      <w:sz w:val="18"/>
                      <w:szCs w:val="18"/>
                    </w:rPr>
                    <w:t>×10</w:t>
                  </w:r>
                  <w:r>
                    <w:rPr>
                      <w:rFonts w:hint="eastAsia" w:eastAsiaTheme="minorEastAsia"/>
                      <w:sz w:val="18"/>
                      <w:szCs w:val="18"/>
                      <w:vertAlign w:val="superscript"/>
                    </w:rPr>
                    <w:t>3</w:t>
                  </w:r>
                  <w:bookmarkEnd w:id="20"/>
                </w:p>
              </w:tc>
              <w:tc>
                <w:tcPr>
                  <w:tcW w:w="0" w:type="auto"/>
                  <w:tcBorders>
                    <w:tl2br w:val="nil"/>
                    <w:tr2bl w:val="nil"/>
                  </w:tcBorders>
                  <w:vAlign w:val="center"/>
                </w:tcPr>
                <w:p w14:paraId="4BF55D92">
                  <w:pPr>
                    <w:pStyle w:val="24"/>
                    <w:widowControl w:val="0"/>
                    <w:rPr>
                      <w:sz w:val="18"/>
                      <w:szCs w:val="18"/>
                    </w:rPr>
                  </w:pPr>
                  <w:r>
                    <w:rPr>
                      <w:rFonts w:hint="eastAsia"/>
                      <w:sz w:val="18"/>
                      <w:szCs w:val="18"/>
                    </w:rPr>
                    <w:t>5</w:t>
                  </w:r>
                  <w:r>
                    <w:rPr>
                      <w:rFonts w:eastAsia="Times New Roman"/>
                      <w:sz w:val="18"/>
                      <w:szCs w:val="18"/>
                    </w:rPr>
                    <w:t>×10</w:t>
                  </w:r>
                  <w:r>
                    <w:rPr>
                      <w:rFonts w:hint="eastAsia" w:eastAsiaTheme="minorEastAsia"/>
                      <w:sz w:val="18"/>
                      <w:szCs w:val="18"/>
                      <w:vertAlign w:val="superscript"/>
                    </w:rPr>
                    <w:t>3</w:t>
                  </w:r>
                </w:p>
              </w:tc>
              <w:tc>
                <w:tcPr>
                  <w:tcW w:w="1395" w:type="dxa"/>
                  <w:tcBorders>
                    <w:tl2br w:val="nil"/>
                    <w:tr2bl w:val="nil"/>
                  </w:tcBorders>
                  <w:vAlign w:val="center"/>
                </w:tcPr>
                <w:p w14:paraId="1DA147F8">
                  <w:pPr>
                    <w:pStyle w:val="24"/>
                    <w:widowControl w:val="0"/>
                    <w:rPr>
                      <w:sz w:val="18"/>
                      <w:szCs w:val="18"/>
                    </w:rPr>
                  </w:pPr>
                  <w:r>
                    <w:rPr>
                      <w:rFonts w:hint="eastAsia"/>
                      <w:sz w:val="18"/>
                      <w:szCs w:val="18"/>
                    </w:rPr>
                    <w:t>5</w:t>
                  </w:r>
                  <w:r>
                    <w:rPr>
                      <w:rFonts w:eastAsia="Times New Roman"/>
                      <w:sz w:val="18"/>
                      <w:szCs w:val="18"/>
                    </w:rPr>
                    <w:t>×10</w:t>
                  </w:r>
                  <w:r>
                    <w:rPr>
                      <w:rFonts w:hint="eastAsia" w:eastAsiaTheme="minorEastAsia"/>
                      <w:sz w:val="18"/>
                      <w:szCs w:val="18"/>
                      <w:vertAlign w:val="superscript"/>
                    </w:rPr>
                    <w:t>3</w:t>
                  </w:r>
                </w:p>
              </w:tc>
              <w:tc>
                <w:tcPr>
                  <w:tcW w:w="1071" w:type="dxa"/>
                  <w:tcBorders>
                    <w:tl2br w:val="nil"/>
                    <w:tr2bl w:val="nil"/>
                  </w:tcBorders>
                  <w:vAlign w:val="center"/>
                </w:tcPr>
                <w:p w14:paraId="1F1387ED">
                  <w:pPr>
                    <w:pStyle w:val="24"/>
                    <w:widowControl w:val="0"/>
                    <w:rPr>
                      <w:sz w:val="18"/>
                      <w:szCs w:val="18"/>
                    </w:rPr>
                  </w:pPr>
                  <w:r>
                    <w:rPr>
                      <w:rFonts w:hint="eastAsia"/>
                      <w:sz w:val="18"/>
                      <w:szCs w:val="18"/>
                    </w:rPr>
                    <w:t>5</w:t>
                  </w:r>
                  <w:r>
                    <w:rPr>
                      <w:rFonts w:eastAsia="Times New Roman"/>
                      <w:sz w:val="18"/>
                      <w:szCs w:val="18"/>
                    </w:rPr>
                    <w:t>×10</w:t>
                  </w:r>
                  <w:r>
                    <w:rPr>
                      <w:rFonts w:hint="eastAsia" w:eastAsiaTheme="minorEastAsia"/>
                      <w:sz w:val="18"/>
                      <w:szCs w:val="18"/>
                      <w:vertAlign w:val="superscript"/>
                    </w:rPr>
                    <w:t>3</w:t>
                  </w:r>
                </w:p>
              </w:tc>
              <w:tc>
                <w:tcPr>
                  <w:tcW w:w="0" w:type="auto"/>
                  <w:tcBorders>
                    <w:tl2br w:val="nil"/>
                    <w:tr2bl w:val="nil"/>
                  </w:tcBorders>
                  <w:vAlign w:val="center"/>
                </w:tcPr>
                <w:p w14:paraId="4B52596D">
                  <w:pPr>
                    <w:pStyle w:val="24"/>
                    <w:widowControl w:val="0"/>
                    <w:rPr>
                      <w:sz w:val="18"/>
                      <w:szCs w:val="18"/>
                    </w:rPr>
                  </w:pPr>
                  <w:r>
                    <w:rPr>
                      <w:rFonts w:hint="eastAsia"/>
                      <w:sz w:val="18"/>
                      <w:szCs w:val="18"/>
                    </w:rPr>
                    <w:t>5</w:t>
                  </w:r>
                  <w:r>
                    <w:rPr>
                      <w:rFonts w:eastAsia="Times New Roman"/>
                      <w:sz w:val="18"/>
                      <w:szCs w:val="18"/>
                    </w:rPr>
                    <w:t>×10</w:t>
                  </w:r>
                  <w:r>
                    <w:rPr>
                      <w:rFonts w:hint="eastAsia" w:eastAsiaTheme="minorEastAsia"/>
                      <w:sz w:val="18"/>
                      <w:szCs w:val="18"/>
                      <w:vertAlign w:val="superscript"/>
                    </w:rPr>
                    <w:t>3</w:t>
                  </w:r>
                </w:p>
              </w:tc>
              <w:tc>
                <w:tcPr>
                  <w:tcW w:w="0" w:type="auto"/>
                  <w:tcBorders>
                    <w:tl2br w:val="nil"/>
                    <w:tr2bl w:val="nil"/>
                  </w:tcBorders>
                  <w:vAlign w:val="center"/>
                </w:tcPr>
                <w:p w14:paraId="313D8BA2">
                  <w:pPr>
                    <w:pStyle w:val="24"/>
                    <w:widowControl w:val="0"/>
                    <w:rPr>
                      <w:sz w:val="18"/>
                      <w:szCs w:val="18"/>
                    </w:rPr>
                  </w:pPr>
                  <w:r>
                    <w:rPr>
                      <w:rFonts w:hint="eastAsia"/>
                      <w:sz w:val="18"/>
                      <w:szCs w:val="18"/>
                    </w:rPr>
                    <w:t>5</w:t>
                  </w:r>
                  <w:r>
                    <w:rPr>
                      <w:rFonts w:eastAsia="Times New Roman"/>
                      <w:sz w:val="18"/>
                      <w:szCs w:val="18"/>
                    </w:rPr>
                    <w:t>×10</w:t>
                  </w:r>
                  <w:r>
                    <w:rPr>
                      <w:rFonts w:hint="eastAsia" w:eastAsiaTheme="minorEastAsia"/>
                      <w:sz w:val="18"/>
                      <w:szCs w:val="18"/>
                      <w:vertAlign w:val="superscript"/>
                    </w:rPr>
                    <w:t>3</w:t>
                  </w:r>
                </w:p>
              </w:tc>
            </w:tr>
            <w:tr w14:paraId="1FA31C0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43DFEE51">
                  <w:pPr>
                    <w:pStyle w:val="24"/>
                    <w:widowControl w:val="0"/>
                    <w:rPr>
                      <w:sz w:val="18"/>
                      <w:szCs w:val="18"/>
                    </w:rPr>
                  </w:pPr>
                  <w:bookmarkStart w:id="21" w:name="_Hlk230361193"/>
                </w:p>
              </w:tc>
              <w:tc>
                <w:tcPr>
                  <w:tcW w:w="0" w:type="auto"/>
                  <w:tcBorders>
                    <w:tl2br w:val="nil"/>
                    <w:tr2bl w:val="nil"/>
                  </w:tcBorders>
                  <w:vAlign w:val="center"/>
                </w:tcPr>
                <w:p w14:paraId="00C66542">
                  <w:pPr>
                    <w:pStyle w:val="24"/>
                    <w:widowControl w:val="0"/>
                    <w:rPr>
                      <w:sz w:val="18"/>
                      <w:szCs w:val="18"/>
                    </w:rPr>
                  </w:pPr>
                  <w:r>
                    <w:rPr>
                      <w:rFonts w:eastAsia="Times New Roman"/>
                      <w:sz w:val="18"/>
                      <w:szCs w:val="18"/>
                    </w:rPr>
                    <w:t>R</w:t>
                  </w:r>
                  <w:r>
                    <w:rPr>
                      <w:rFonts w:hint="eastAsia" w:cs="Cambria Math" w:asciiTheme="minorEastAsia" w:hAnsiTheme="minorEastAsia" w:eastAsiaTheme="minorEastAsia"/>
                      <w:sz w:val="18"/>
                      <w:szCs w:val="18"/>
                    </w:rPr>
                    <w:t>②</w:t>
                  </w:r>
                  <w:r>
                    <w:rPr>
                      <w:rFonts w:ascii="宋体" w:hAnsi="宋体" w:cs="宋体"/>
                      <w:spacing w:val="-1"/>
                      <w:position w:val="10"/>
                      <w:sz w:val="18"/>
                      <w:szCs w:val="18"/>
                    </w:rPr>
                    <w:t xml:space="preserve"> </w:t>
                  </w:r>
                  <w:r>
                    <w:rPr>
                      <w:rFonts w:ascii="宋体" w:hAnsi="宋体" w:cs="宋体"/>
                      <w:spacing w:val="-1"/>
                      <w:sz w:val="18"/>
                      <w:szCs w:val="18"/>
                    </w:rPr>
                    <w:t>(</w:t>
                  </w:r>
                  <w:r>
                    <w:rPr>
                      <w:rFonts w:eastAsia="Times New Roman"/>
                      <w:sz w:val="18"/>
                      <w:szCs w:val="18"/>
                    </w:rPr>
                    <w:t>m</w:t>
                  </w:r>
                  <w:r>
                    <w:rPr>
                      <w:rFonts w:ascii="宋体" w:hAnsi="宋体" w:cs="宋体"/>
                      <w:spacing w:val="-1"/>
                      <w:sz w:val="18"/>
                      <w:szCs w:val="18"/>
                    </w:rPr>
                    <w:t>)</w:t>
                  </w:r>
                </w:p>
              </w:tc>
              <w:tc>
                <w:tcPr>
                  <w:tcW w:w="0" w:type="auto"/>
                  <w:vAlign w:val="center"/>
                </w:tcPr>
                <w:p w14:paraId="5627418F">
                  <w:pPr>
                    <w:pStyle w:val="24"/>
                    <w:widowControl w:val="0"/>
                    <w:rPr>
                      <w:sz w:val="18"/>
                      <w:szCs w:val="18"/>
                    </w:rPr>
                  </w:pPr>
                  <w:r>
                    <w:rPr>
                      <w:rFonts w:hint="eastAsia"/>
                      <w:sz w:val="18"/>
                      <w:szCs w:val="18"/>
                    </w:rPr>
                    <w:t>21.38</w:t>
                  </w:r>
                </w:p>
              </w:tc>
              <w:tc>
                <w:tcPr>
                  <w:tcW w:w="0" w:type="auto"/>
                  <w:vAlign w:val="center"/>
                </w:tcPr>
                <w:p w14:paraId="3B0AE7B6">
                  <w:pPr>
                    <w:pStyle w:val="24"/>
                    <w:widowControl w:val="0"/>
                    <w:rPr>
                      <w:sz w:val="18"/>
                      <w:szCs w:val="18"/>
                    </w:rPr>
                  </w:pPr>
                  <w:r>
                    <w:rPr>
                      <w:rFonts w:hint="eastAsia"/>
                      <w:sz w:val="18"/>
                      <w:szCs w:val="18"/>
                    </w:rPr>
                    <w:t>2.78</w:t>
                  </w:r>
                </w:p>
              </w:tc>
              <w:tc>
                <w:tcPr>
                  <w:tcW w:w="1395" w:type="dxa"/>
                  <w:vAlign w:val="center"/>
                </w:tcPr>
                <w:p w14:paraId="3158F7DE">
                  <w:pPr>
                    <w:pStyle w:val="24"/>
                    <w:widowControl w:val="0"/>
                    <w:rPr>
                      <w:sz w:val="18"/>
                      <w:szCs w:val="18"/>
                    </w:rPr>
                  </w:pPr>
                  <w:r>
                    <w:rPr>
                      <w:rFonts w:hint="eastAsia"/>
                      <w:sz w:val="18"/>
                      <w:szCs w:val="18"/>
                    </w:rPr>
                    <w:t>24.88</w:t>
                  </w:r>
                </w:p>
              </w:tc>
              <w:tc>
                <w:tcPr>
                  <w:tcW w:w="1071" w:type="dxa"/>
                  <w:vAlign w:val="center"/>
                </w:tcPr>
                <w:p w14:paraId="2C68117A">
                  <w:pPr>
                    <w:pStyle w:val="24"/>
                    <w:widowControl w:val="0"/>
                    <w:rPr>
                      <w:sz w:val="18"/>
                      <w:szCs w:val="18"/>
                    </w:rPr>
                  </w:pPr>
                  <w:r>
                    <w:rPr>
                      <w:rFonts w:hint="eastAsia"/>
                      <w:sz w:val="18"/>
                      <w:szCs w:val="18"/>
                    </w:rPr>
                    <w:t>2.88</w:t>
                  </w:r>
                </w:p>
              </w:tc>
              <w:tc>
                <w:tcPr>
                  <w:tcW w:w="0" w:type="auto"/>
                  <w:vAlign w:val="center"/>
                </w:tcPr>
                <w:p w14:paraId="2F733F6D">
                  <w:pPr>
                    <w:pStyle w:val="24"/>
                    <w:widowControl w:val="0"/>
                    <w:rPr>
                      <w:sz w:val="18"/>
                      <w:szCs w:val="18"/>
                    </w:rPr>
                  </w:pPr>
                  <w:r>
                    <w:rPr>
                      <w:rFonts w:hint="eastAsia"/>
                      <w:sz w:val="18"/>
                      <w:szCs w:val="18"/>
                    </w:rPr>
                    <w:t>24.307</w:t>
                  </w:r>
                </w:p>
              </w:tc>
              <w:tc>
                <w:tcPr>
                  <w:tcW w:w="0" w:type="auto"/>
                  <w:vAlign w:val="center"/>
                </w:tcPr>
                <w:p w14:paraId="735504B9">
                  <w:pPr>
                    <w:pStyle w:val="24"/>
                    <w:widowControl w:val="0"/>
                    <w:rPr>
                      <w:sz w:val="18"/>
                      <w:szCs w:val="18"/>
                    </w:rPr>
                  </w:pPr>
                  <w:r>
                    <w:rPr>
                      <w:rFonts w:hint="eastAsia"/>
                      <w:sz w:val="18"/>
                      <w:szCs w:val="18"/>
                    </w:rPr>
                    <w:t>20.807</w:t>
                  </w:r>
                </w:p>
              </w:tc>
            </w:tr>
            <w:bookmarkEnd w:id="21"/>
            <w:tr w14:paraId="5CBD443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4F7704E5">
                  <w:pPr>
                    <w:pStyle w:val="24"/>
                    <w:widowControl w:val="0"/>
                    <w:rPr>
                      <w:sz w:val="18"/>
                      <w:szCs w:val="18"/>
                    </w:rPr>
                  </w:pPr>
                </w:p>
              </w:tc>
              <w:tc>
                <w:tcPr>
                  <w:tcW w:w="0" w:type="auto"/>
                  <w:tcBorders>
                    <w:tl2br w:val="nil"/>
                    <w:tr2bl w:val="nil"/>
                  </w:tcBorders>
                  <w:vAlign w:val="center"/>
                </w:tcPr>
                <w:p w14:paraId="3A7FE180">
                  <w:pPr>
                    <w:widowControl w:val="0"/>
                    <w:spacing w:line="333" w:lineRule="exact"/>
                    <w:jc w:val="center"/>
                    <w:rPr>
                      <w:sz w:val="18"/>
                      <w:szCs w:val="18"/>
                    </w:rPr>
                  </w:pPr>
                  <w:r>
                    <w:rPr>
                      <w:rFonts w:hint="eastAsia" w:eastAsiaTheme="minorEastAsia"/>
                      <w:spacing w:val="-1"/>
                      <w:sz w:val="18"/>
                      <w:szCs w:val="18"/>
                    </w:rPr>
                    <w:t xml:space="preserve">H </w:t>
                  </w:r>
                  <w:r>
                    <w:rPr>
                      <w:rFonts w:eastAsia="Times New Roman"/>
                      <w:spacing w:val="-1"/>
                      <w:sz w:val="18"/>
                      <w:szCs w:val="18"/>
                    </w:rPr>
                    <w:t>(μSv /</w:t>
                  </w:r>
                  <w:r>
                    <w:rPr>
                      <w:rFonts w:eastAsia="Times New Roman"/>
                      <w:sz w:val="18"/>
                      <w:szCs w:val="18"/>
                    </w:rPr>
                    <w:t>h</w:t>
                  </w:r>
                  <w:r>
                    <w:rPr>
                      <w:rFonts w:eastAsia="Times New Roman"/>
                      <w:spacing w:val="-1"/>
                      <w:sz w:val="18"/>
                      <w:szCs w:val="18"/>
                    </w:rPr>
                    <w:t>)</w:t>
                  </w:r>
                </w:p>
              </w:tc>
              <w:tc>
                <w:tcPr>
                  <w:tcW w:w="0" w:type="auto"/>
                  <w:vAlign w:val="center"/>
                </w:tcPr>
                <w:p w14:paraId="56FAC304">
                  <w:pPr>
                    <w:pStyle w:val="24"/>
                    <w:widowControl w:val="0"/>
                    <w:rPr>
                      <w:sz w:val="18"/>
                      <w:szCs w:val="18"/>
                    </w:rPr>
                  </w:pPr>
                  <w:r>
                    <w:rPr>
                      <w:rFonts w:hint="eastAsia" w:eastAsiaTheme="minorEastAsia"/>
                      <w:sz w:val="18"/>
                      <w:szCs w:val="18"/>
                    </w:rPr>
                    <w:t>6.5</w:t>
                  </w:r>
                  <w:r>
                    <w:rPr>
                      <w:rFonts w:eastAsia="Times New Roman"/>
                      <w:sz w:val="18"/>
                      <w:szCs w:val="18"/>
                    </w:rPr>
                    <w:t>×</w:t>
                  </w:r>
                  <w:r>
                    <w:rPr>
                      <w:rFonts w:hint="eastAsia" w:eastAsiaTheme="minorEastAsia"/>
                      <w:sz w:val="18"/>
                      <w:szCs w:val="18"/>
                    </w:rPr>
                    <w:t>10</w:t>
                  </w:r>
                  <w:r>
                    <w:rPr>
                      <w:rFonts w:hint="eastAsia" w:eastAsiaTheme="minorEastAsia"/>
                      <w:sz w:val="18"/>
                      <w:szCs w:val="18"/>
                      <w:vertAlign w:val="superscript"/>
                    </w:rPr>
                    <w:t>-3</w:t>
                  </w:r>
                </w:p>
              </w:tc>
              <w:tc>
                <w:tcPr>
                  <w:tcW w:w="0" w:type="auto"/>
                  <w:vAlign w:val="center"/>
                </w:tcPr>
                <w:p w14:paraId="6D185049">
                  <w:pPr>
                    <w:pStyle w:val="24"/>
                    <w:widowControl w:val="0"/>
                    <w:rPr>
                      <w:rFonts w:eastAsiaTheme="minorEastAsia"/>
                      <w:sz w:val="18"/>
                      <w:szCs w:val="18"/>
                    </w:rPr>
                  </w:pPr>
                  <w:r>
                    <w:rPr>
                      <w:rFonts w:hint="eastAsia" w:eastAsiaTheme="minorEastAsia"/>
                      <w:sz w:val="18"/>
                      <w:szCs w:val="18"/>
                    </w:rPr>
                    <w:t>0.38</w:t>
                  </w:r>
                </w:p>
              </w:tc>
              <w:tc>
                <w:tcPr>
                  <w:tcW w:w="1395" w:type="dxa"/>
                  <w:vAlign w:val="center"/>
                </w:tcPr>
                <w:p w14:paraId="07617AEB">
                  <w:pPr>
                    <w:pStyle w:val="24"/>
                    <w:widowControl w:val="0"/>
                    <w:rPr>
                      <w:sz w:val="18"/>
                      <w:szCs w:val="18"/>
                    </w:rPr>
                  </w:pPr>
                  <w:r>
                    <w:rPr>
                      <w:rFonts w:hint="eastAsia" w:eastAsiaTheme="minorEastAsia"/>
                      <w:sz w:val="18"/>
                      <w:szCs w:val="18"/>
                    </w:rPr>
                    <w:t>4.8</w:t>
                  </w:r>
                  <w:r>
                    <w:rPr>
                      <w:rFonts w:eastAsia="Times New Roman"/>
                      <w:sz w:val="18"/>
                      <w:szCs w:val="18"/>
                    </w:rPr>
                    <w:t>×</w:t>
                  </w:r>
                  <w:r>
                    <w:rPr>
                      <w:rFonts w:hint="eastAsia" w:eastAsiaTheme="minorEastAsia"/>
                      <w:sz w:val="18"/>
                      <w:szCs w:val="18"/>
                    </w:rPr>
                    <w:t>10</w:t>
                  </w:r>
                  <w:r>
                    <w:rPr>
                      <w:rFonts w:hint="eastAsia" w:eastAsiaTheme="minorEastAsia"/>
                      <w:sz w:val="18"/>
                      <w:szCs w:val="18"/>
                      <w:vertAlign w:val="superscript"/>
                    </w:rPr>
                    <w:t>-3</w:t>
                  </w:r>
                </w:p>
              </w:tc>
              <w:tc>
                <w:tcPr>
                  <w:tcW w:w="1071" w:type="dxa"/>
                  <w:vAlign w:val="center"/>
                </w:tcPr>
                <w:p w14:paraId="58CCE692">
                  <w:pPr>
                    <w:pStyle w:val="24"/>
                    <w:widowControl w:val="0"/>
                    <w:rPr>
                      <w:rFonts w:eastAsiaTheme="minorEastAsia"/>
                      <w:sz w:val="18"/>
                      <w:szCs w:val="18"/>
                    </w:rPr>
                  </w:pPr>
                  <w:r>
                    <w:rPr>
                      <w:rFonts w:hint="eastAsia" w:eastAsiaTheme="minorEastAsia"/>
                      <w:sz w:val="18"/>
                      <w:szCs w:val="18"/>
                    </w:rPr>
                    <w:t>0.36</w:t>
                  </w:r>
                </w:p>
              </w:tc>
              <w:tc>
                <w:tcPr>
                  <w:tcW w:w="0" w:type="auto"/>
                  <w:vAlign w:val="center"/>
                </w:tcPr>
                <w:p w14:paraId="47B6582A">
                  <w:pPr>
                    <w:pStyle w:val="24"/>
                    <w:widowControl w:val="0"/>
                    <w:rPr>
                      <w:rFonts w:eastAsiaTheme="minorEastAsia"/>
                      <w:sz w:val="18"/>
                      <w:szCs w:val="18"/>
                    </w:rPr>
                  </w:pPr>
                  <w:r>
                    <w:rPr>
                      <w:rFonts w:hint="eastAsia" w:eastAsiaTheme="minorEastAsia"/>
                      <w:sz w:val="18"/>
                      <w:szCs w:val="18"/>
                    </w:rPr>
                    <w:t>0.63</w:t>
                  </w:r>
                </w:p>
              </w:tc>
              <w:tc>
                <w:tcPr>
                  <w:tcW w:w="0" w:type="auto"/>
                  <w:vAlign w:val="center"/>
                </w:tcPr>
                <w:p w14:paraId="39611707">
                  <w:pPr>
                    <w:pStyle w:val="24"/>
                    <w:widowControl w:val="0"/>
                    <w:rPr>
                      <w:rFonts w:eastAsiaTheme="minorEastAsia"/>
                      <w:sz w:val="18"/>
                      <w:szCs w:val="18"/>
                    </w:rPr>
                  </w:pPr>
                  <w:r>
                    <w:rPr>
                      <w:rFonts w:hint="eastAsia" w:eastAsiaTheme="minorEastAsia"/>
                      <w:sz w:val="18"/>
                      <w:szCs w:val="18"/>
                    </w:rPr>
                    <w:t>0.86</w:t>
                  </w:r>
                </w:p>
              </w:tc>
            </w:tr>
            <w:tr w14:paraId="054515E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restart"/>
                  <w:vAlign w:val="center"/>
                </w:tcPr>
                <w:p w14:paraId="63EF595B">
                  <w:pPr>
                    <w:pStyle w:val="24"/>
                    <w:widowControl w:val="0"/>
                    <w:rPr>
                      <w:sz w:val="18"/>
                      <w:szCs w:val="18"/>
                    </w:rPr>
                  </w:pPr>
                  <w:r>
                    <w:rPr>
                      <w:rFonts w:hint="eastAsia"/>
                      <w:sz w:val="18"/>
                      <w:szCs w:val="18"/>
                    </w:rPr>
                    <w:t>散射辐射</w:t>
                  </w:r>
                </w:p>
              </w:tc>
              <w:tc>
                <w:tcPr>
                  <w:tcW w:w="0" w:type="auto"/>
                  <w:tcBorders>
                    <w:tl2br w:val="nil"/>
                    <w:tr2bl w:val="nil"/>
                  </w:tcBorders>
                  <w:vAlign w:val="center"/>
                </w:tcPr>
                <w:p w14:paraId="7043F4A9">
                  <w:pPr>
                    <w:pStyle w:val="24"/>
                    <w:widowControl w:val="0"/>
                    <w:rPr>
                      <w:sz w:val="18"/>
                      <w:szCs w:val="18"/>
                    </w:rPr>
                  </w:pPr>
                  <w:r>
                    <w:rPr>
                      <w:spacing w:val="-1"/>
                      <w:sz w:val="18"/>
                      <w:szCs w:val="18"/>
                    </w:rPr>
                    <w:t>散射后能</w:t>
                  </w:r>
                  <w:r>
                    <w:rPr>
                      <w:sz w:val="18"/>
                      <w:szCs w:val="18"/>
                    </w:rPr>
                    <w:t>量对</w:t>
                  </w:r>
                  <w:r>
                    <w:rPr>
                      <w:rFonts w:hint="eastAsia"/>
                      <w:sz w:val="18"/>
                      <w:szCs w:val="18"/>
                    </w:rPr>
                    <w:t>应</w:t>
                  </w:r>
                  <w:r>
                    <w:rPr>
                      <w:spacing w:val="-13"/>
                      <w:sz w:val="18"/>
                      <w:szCs w:val="18"/>
                    </w:rPr>
                    <w:t>的</w:t>
                  </w:r>
                  <w:r>
                    <w:rPr>
                      <w:spacing w:val="-11"/>
                      <w:sz w:val="18"/>
                      <w:szCs w:val="18"/>
                    </w:rPr>
                    <w:t xml:space="preserve"> kV 值</w:t>
                  </w:r>
                </w:p>
              </w:tc>
              <w:tc>
                <w:tcPr>
                  <w:tcW w:w="0" w:type="auto"/>
                  <w:gridSpan w:val="6"/>
                  <w:vAlign w:val="center"/>
                </w:tcPr>
                <w:p w14:paraId="7A0DFA37">
                  <w:pPr>
                    <w:pStyle w:val="24"/>
                    <w:widowControl w:val="0"/>
                    <w:rPr>
                      <w:sz w:val="18"/>
                      <w:szCs w:val="18"/>
                    </w:rPr>
                  </w:pPr>
                  <w:r>
                    <w:rPr>
                      <w:rFonts w:hint="eastAsia"/>
                      <w:sz w:val="18"/>
                      <w:szCs w:val="18"/>
                    </w:rPr>
                    <w:t>2</w:t>
                  </w:r>
                  <w:r>
                    <w:rPr>
                      <w:sz w:val="18"/>
                      <w:szCs w:val="18"/>
                    </w:rPr>
                    <w:t>50</w:t>
                  </w:r>
                </w:p>
              </w:tc>
            </w:tr>
            <w:tr w14:paraId="5C1C7F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466522FE">
                  <w:pPr>
                    <w:pStyle w:val="24"/>
                    <w:widowControl w:val="0"/>
                    <w:rPr>
                      <w:sz w:val="18"/>
                      <w:szCs w:val="18"/>
                    </w:rPr>
                  </w:pPr>
                </w:p>
              </w:tc>
              <w:tc>
                <w:tcPr>
                  <w:tcW w:w="0" w:type="auto"/>
                  <w:tcBorders>
                    <w:tl2br w:val="nil"/>
                    <w:tr2bl w:val="nil"/>
                  </w:tcBorders>
                  <w:vAlign w:val="center"/>
                </w:tcPr>
                <w:p w14:paraId="30FC4457">
                  <w:pPr>
                    <w:pStyle w:val="24"/>
                    <w:widowControl w:val="0"/>
                    <w:rPr>
                      <w:sz w:val="18"/>
                      <w:szCs w:val="18"/>
                    </w:rPr>
                  </w:pPr>
                  <w:r>
                    <w:rPr>
                      <w:sz w:val="18"/>
                      <w:szCs w:val="18"/>
                    </w:rPr>
                    <w:t>TVL</w:t>
                  </w:r>
                  <w:r>
                    <w:rPr>
                      <w:rFonts w:hint="eastAsia"/>
                      <w:sz w:val="18"/>
                      <w:szCs w:val="18"/>
                    </w:rPr>
                    <w:t>（</w:t>
                  </w:r>
                  <w:r>
                    <w:rPr>
                      <w:sz w:val="18"/>
                      <w:szCs w:val="18"/>
                    </w:rPr>
                    <w:t>mm</w:t>
                  </w:r>
                  <w:r>
                    <w:rPr>
                      <w:rFonts w:hint="eastAsia"/>
                      <w:sz w:val="18"/>
                      <w:szCs w:val="18"/>
                    </w:rPr>
                    <w:t>）</w:t>
                  </w:r>
                </w:p>
              </w:tc>
              <w:tc>
                <w:tcPr>
                  <w:tcW w:w="0" w:type="auto"/>
                  <w:tcBorders>
                    <w:tl2br w:val="nil"/>
                    <w:tr2bl w:val="nil"/>
                  </w:tcBorders>
                  <w:vAlign w:val="center"/>
                </w:tcPr>
                <w:p w14:paraId="58D67DD1">
                  <w:pPr>
                    <w:pStyle w:val="24"/>
                    <w:widowControl w:val="0"/>
                    <w:rPr>
                      <w:sz w:val="18"/>
                      <w:szCs w:val="18"/>
                    </w:rPr>
                  </w:pPr>
                  <w:r>
                    <w:rPr>
                      <w:rFonts w:hint="eastAsia"/>
                      <w:sz w:val="18"/>
                      <w:szCs w:val="18"/>
                    </w:rPr>
                    <w:t>2.9</w:t>
                  </w:r>
                </w:p>
              </w:tc>
              <w:tc>
                <w:tcPr>
                  <w:tcW w:w="0" w:type="auto"/>
                  <w:tcBorders>
                    <w:tl2br w:val="nil"/>
                    <w:tr2bl w:val="nil"/>
                  </w:tcBorders>
                  <w:vAlign w:val="center"/>
                </w:tcPr>
                <w:p w14:paraId="37A5AE51">
                  <w:pPr>
                    <w:pStyle w:val="24"/>
                    <w:widowControl w:val="0"/>
                    <w:rPr>
                      <w:sz w:val="18"/>
                      <w:szCs w:val="18"/>
                    </w:rPr>
                  </w:pPr>
                  <w:r>
                    <w:rPr>
                      <w:rFonts w:hint="eastAsia"/>
                      <w:sz w:val="18"/>
                      <w:szCs w:val="18"/>
                    </w:rPr>
                    <w:t>2</w:t>
                  </w:r>
                  <w:r>
                    <w:rPr>
                      <w:sz w:val="18"/>
                      <w:szCs w:val="18"/>
                    </w:rPr>
                    <w:t>.9</w:t>
                  </w:r>
                </w:p>
              </w:tc>
              <w:tc>
                <w:tcPr>
                  <w:tcW w:w="1395" w:type="dxa"/>
                  <w:tcBorders>
                    <w:tl2br w:val="nil"/>
                    <w:tr2bl w:val="nil"/>
                  </w:tcBorders>
                  <w:vAlign w:val="center"/>
                </w:tcPr>
                <w:p w14:paraId="7C15EBB0">
                  <w:pPr>
                    <w:pStyle w:val="24"/>
                    <w:widowControl w:val="0"/>
                    <w:rPr>
                      <w:sz w:val="18"/>
                      <w:szCs w:val="18"/>
                    </w:rPr>
                  </w:pPr>
                  <w:r>
                    <w:rPr>
                      <w:rFonts w:hint="eastAsia"/>
                      <w:sz w:val="18"/>
                      <w:szCs w:val="18"/>
                    </w:rPr>
                    <w:t>2.9</w:t>
                  </w:r>
                </w:p>
              </w:tc>
              <w:tc>
                <w:tcPr>
                  <w:tcW w:w="1071" w:type="dxa"/>
                  <w:tcBorders>
                    <w:tl2br w:val="nil"/>
                    <w:tr2bl w:val="nil"/>
                  </w:tcBorders>
                  <w:vAlign w:val="center"/>
                </w:tcPr>
                <w:p w14:paraId="6A1D28C6">
                  <w:pPr>
                    <w:pStyle w:val="24"/>
                    <w:widowControl w:val="0"/>
                    <w:rPr>
                      <w:sz w:val="18"/>
                      <w:szCs w:val="18"/>
                    </w:rPr>
                  </w:pPr>
                  <w:r>
                    <w:rPr>
                      <w:rFonts w:hint="eastAsia"/>
                      <w:sz w:val="18"/>
                      <w:szCs w:val="18"/>
                    </w:rPr>
                    <w:t>2</w:t>
                  </w:r>
                  <w:r>
                    <w:rPr>
                      <w:sz w:val="18"/>
                      <w:szCs w:val="18"/>
                    </w:rPr>
                    <w:t>.9</w:t>
                  </w:r>
                </w:p>
              </w:tc>
              <w:tc>
                <w:tcPr>
                  <w:tcW w:w="0" w:type="auto"/>
                  <w:tcBorders>
                    <w:tl2br w:val="nil"/>
                    <w:tr2bl w:val="nil"/>
                  </w:tcBorders>
                  <w:vAlign w:val="center"/>
                </w:tcPr>
                <w:p w14:paraId="7BB21B7A">
                  <w:pPr>
                    <w:pStyle w:val="24"/>
                    <w:widowControl w:val="0"/>
                    <w:rPr>
                      <w:sz w:val="18"/>
                      <w:szCs w:val="18"/>
                    </w:rPr>
                  </w:pPr>
                  <w:r>
                    <w:rPr>
                      <w:rFonts w:hint="eastAsia"/>
                      <w:sz w:val="18"/>
                      <w:szCs w:val="18"/>
                    </w:rPr>
                    <w:t>2.9</w:t>
                  </w:r>
                </w:p>
              </w:tc>
              <w:tc>
                <w:tcPr>
                  <w:tcW w:w="0" w:type="auto"/>
                  <w:tcBorders>
                    <w:tl2br w:val="nil"/>
                    <w:tr2bl w:val="nil"/>
                  </w:tcBorders>
                  <w:vAlign w:val="center"/>
                </w:tcPr>
                <w:p w14:paraId="7AD51891">
                  <w:pPr>
                    <w:pStyle w:val="24"/>
                    <w:widowControl w:val="0"/>
                    <w:rPr>
                      <w:sz w:val="18"/>
                      <w:szCs w:val="18"/>
                    </w:rPr>
                  </w:pPr>
                  <w:r>
                    <w:rPr>
                      <w:rFonts w:hint="eastAsia"/>
                      <w:sz w:val="18"/>
                      <w:szCs w:val="18"/>
                    </w:rPr>
                    <w:t>2</w:t>
                  </w:r>
                  <w:r>
                    <w:rPr>
                      <w:sz w:val="18"/>
                      <w:szCs w:val="18"/>
                    </w:rPr>
                    <w:t>.9</w:t>
                  </w:r>
                </w:p>
              </w:tc>
            </w:tr>
            <w:tr w14:paraId="0B76F9D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4C589D80">
                  <w:pPr>
                    <w:pStyle w:val="24"/>
                    <w:widowControl w:val="0"/>
                    <w:rPr>
                      <w:sz w:val="18"/>
                      <w:szCs w:val="18"/>
                    </w:rPr>
                  </w:pPr>
                </w:p>
              </w:tc>
              <w:tc>
                <w:tcPr>
                  <w:tcW w:w="0" w:type="auto"/>
                  <w:tcBorders>
                    <w:tl2br w:val="nil"/>
                    <w:tr2bl w:val="nil"/>
                  </w:tcBorders>
                  <w:vAlign w:val="center"/>
                </w:tcPr>
                <w:p w14:paraId="7E9F0DD0">
                  <w:pPr>
                    <w:pStyle w:val="24"/>
                    <w:widowControl w:val="0"/>
                    <w:rPr>
                      <w:sz w:val="18"/>
                      <w:szCs w:val="18"/>
                    </w:rPr>
                  </w:pPr>
                  <w:r>
                    <w:rPr>
                      <w:rFonts w:hint="eastAsia"/>
                      <w:sz w:val="18"/>
                      <w:szCs w:val="18"/>
                    </w:rPr>
                    <w:t>B</w:t>
                  </w:r>
                </w:p>
              </w:tc>
              <w:tc>
                <w:tcPr>
                  <w:tcW w:w="0" w:type="auto"/>
                  <w:tcBorders>
                    <w:tl2br w:val="nil"/>
                    <w:tr2bl w:val="nil"/>
                  </w:tcBorders>
                  <w:vAlign w:val="center"/>
                </w:tcPr>
                <w:p w14:paraId="36E1EE5B">
                  <w:pPr>
                    <w:pStyle w:val="24"/>
                    <w:widowControl w:val="0"/>
                    <w:rPr>
                      <w:sz w:val="18"/>
                      <w:szCs w:val="18"/>
                    </w:rPr>
                  </w:pPr>
                  <w:r>
                    <w:rPr>
                      <w:rFonts w:hint="eastAsia" w:eastAsiaTheme="minorEastAsia"/>
                      <w:sz w:val="18"/>
                      <w:szCs w:val="18"/>
                    </w:rPr>
                    <w:t>1.27</w:t>
                  </w:r>
                  <w:r>
                    <w:rPr>
                      <w:rFonts w:eastAsia="Times New Roman"/>
                      <w:sz w:val="18"/>
                      <w:szCs w:val="18"/>
                    </w:rPr>
                    <w:t>×</w:t>
                  </w:r>
                  <w:r>
                    <w:rPr>
                      <w:rFonts w:hint="eastAsia" w:eastAsiaTheme="minorEastAsia"/>
                      <w:sz w:val="18"/>
                      <w:szCs w:val="18"/>
                    </w:rPr>
                    <w:t>10</w:t>
                  </w:r>
                  <w:r>
                    <w:rPr>
                      <w:rFonts w:hint="eastAsia" w:eastAsiaTheme="minorEastAsia"/>
                      <w:sz w:val="18"/>
                      <w:szCs w:val="18"/>
                      <w:vertAlign w:val="superscript"/>
                    </w:rPr>
                    <w:t>-7</w:t>
                  </w:r>
                </w:p>
              </w:tc>
              <w:tc>
                <w:tcPr>
                  <w:tcW w:w="0" w:type="auto"/>
                  <w:tcBorders>
                    <w:tl2br w:val="nil"/>
                    <w:tr2bl w:val="nil"/>
                  </w:tcBorders>
                  <w:vAlign w:val="center"/>
                </w:tcPr>
                <w:p w14:paraId="1481F466">
                  <w:pPr>
                    <w:pStyle w:val="24"/>
                    <w:widowControl w:val="0"/>
                    <w:rPr>
                      <w:rFonts w:eastAsiaTheme="minorEastAsia"/>
                      <w:sz w:val="18"/>
                      <w:szCs w:val="18"/>
                    </w:rPr>
                  </w:pPr>
                  <w:r>
                    <w:rPr>
                      <w:rFonts w:hint="eastAsia" w:eastAsiaTheme="minorEastAsia"/>
                      <w:sz w:val="18"/>
                      <w:szCs w:val="18"/>
                    </w:rPr>
                    <w:t>1.27</w:t>
                  </w:r>
                  <w:r>
                    <w:rPr>
                      <w:rFonts w:eastAsia="Times New Roman"/>
                      <w:sz w:val="18"/>
                      <w:szCs w:val="18"/>
                    </w:rPr>
                    <w:t>×</w:t>
                  </w:r>
                  <w:r>
                    <w:rPr>
                      <w:rFonts w:hint="eastAsia" w:eastAsiaTheme="minorEastAsia"/>
                      <w:sz w:val="18"/>
                      <w:szCs w:val="18"/>
                    </w:rPr>
                    <w:t>10</w:t>
                  </w:r>
                  <w:r>
                    <w:rPr>
                      <w:rFonts w:hint="eastAsia" w:eastAsiaTheme="minorEastAsia"/>
                      <w:sz w:val="18"/>
                      <w:szCs w:val="18"/>
                      <w:vertAlign w:val="superscript"/>
                    </w:rPr>
                    <w:t>-7</w:t>
                  </w:r>
                </w:p>
              </w:tc>
              <w:tc>
                <w:tcPr>
                  <w:tcW w:w="1395" w:type="dxa"/>
                  <w:tcBorders>
                    <w:tl2br w:val="nil"/>
                    <w:tr2bl w:val="nil"/>
                  </w:tcBorders>
                  <w:vAlign w:val="center"/>
                </w:tcPr>
                <w:p w14:paraId="403AE680">
                  <w:pPr>
                    <w:pStyle w:val="24"/>
                    <w:widowControl w:val="0"/>
                    <w:rPr>
                      <w:sz w:val="18"/>
                      <w:szCs w:val="18"/>
                    </w:rPr>
                  </w:pPr>
                  <w:r>
                    <w:rPr>
                      <w:rFonts w:hint="eastAsia" w:eastAsiaTheme="minorEastAsia"/>
                      <w:sz w:val="18"/>
                      <w:szCs w:val="18"/>
                    </w:rPr>
                    <w:t>1.27</w:t>
                  </w:r>
                  <w:r>
                    <w:rPr>
                      <w:rFonts w:eastAsia="Times New Roman"/>
                      <w:sz w:val="18"/>
                      <w:szCs w:val="18"/>
                    </w:rPr>
                    <w:t>×</w:t>
                  </w:r>
                  <w:r>
                    <w:rPr>
                      <w:rFonts w:hint="eastAsia" w:eastAsiaTheme="minorEastAsia"/>
                      <w:sz w:val="18"/>
                      <w:szCs w:val="18"/>
                    </w:rPr>
                    <w:t>10</w:t>
                  </w:r>
                  <w:r>
                    <w:rPr>
                      <w:rFonts w:hint="eastAsia" w:eastAsiaTheme="minorEastAsia"/>
                      <w:sz w:val="18"/>
                      <w:szCs w:val="18"/>
                      <w:vertAlign w:val="superscript"/>
                    </w:rPr>
                    <w:t>-7</w:t>
                  </w:r>
                </w:p>
              </w:tc>
              <w:tc>
                <w:tcPr>
                  <w:tcW w:w="1071" w:type="dxa"/>
                  <w:tcBorders>
                    <w:tl2br w:val="nil"/>
                    <w:tr2bl w:val="nil"/>
                  </w:tcBorders>
                  <w:vAlign w:val="center"/>
                </w:tcPr>
                <w:p w14:paraId="5889B0A4">
                  <w:pPr>
                    <w:pStyle w:val="24"/>
                    <w:widowControl w:val="0"/>
                    <w:rPr>
                      <w:rFonts w:eastAsiaTheme="minorEastAsia"/>
                      <w:sz w:val="18"/>
                      <w:szCs w:val="18"/>
                    </w:rPr>
                  </w:pPr>
                  <w:r>
                    <w:rPr>
                      <w:rFonts w:hint="eastAsia" w:eastAsiaTheme="minorEastAsia"/>
                      <w:sz w:val="18"/>
                      <w:szCs w:val="18"/>
                    </w:rPr>
                    <w:t>1.27</w:t>
                  </w:r>
                  <w:r>
                    <w:rPr>
                      <w:rFonts w:eastAsia="Times New Roman"/>
                      <w:sz w:val="18"/>
                      <w:szCs w:val="18"/>
                    </w:rPr>
                    <w:t>×</w:t>
                  </w:r>
                  <w:r>
                    <w:rPr>
                      <w:rFonts w:hint="eastAsia" w:eastAsiaTheme="minorEastAsia"/>
                      <w:sz w:val="18"/>
                      <w:szCs w:val="18"/>
                    </w:rPr>
                    <w:t>10</w:t>
                  </w:r>
                  <w:r>
                    <w:rPr>
                      <w:rFonts w:hint="eastAsia" w:eastAsiaTheme="minorEastAsia"/>
                      <w:sz w:val="18"/>
                      <w:szCs w:val="18"/>
                      <w:vertAlign w:val="superscript"/>
                    </w:rPr>
                    <w:t>-7</w:t>
                  </w:r>
                </w:p>
              </w:tc>
              <w:tc>
                <w:tcPr>
                  <w:tcW w:w="0" w:type="auto"/>
                  <w:tcBorders>
                    <w:tl2br w:val="nil"/>
                    <w:tr2bl w:val="nil"/>
                  </w:tcBorders>
                  <w:vAlign w:val="center"/>
                </w:tcPr>
                <w:p w14:paraId="354A5746">
                  <w:pPr>
                    <w:pStyle w:val="24"/>
                    <w:widowControl w:val="0"/>
                    <w:rPr>
                      <w:rFonts w:eastAsiaTheme="minorEastAsia"/>
                      <w:sz w:val="18"/>
                      <w:szCs w:val="18"/>
                    </w:rPr>
                  </w:pPr>
                  <w:r>
                    <w:rPr>
                      <w:rFonts w:hint="eastAsia" w:eastAsiaTheme="minorEastAsia"/>
                      <w:sz w:val="18"/>
                      <w:szCs w:val="18"/>
                    </w:rPr>
                    <w:t>0.0039</w:t>
                  </w:r>
                </w:p>
              </w:tc>
              <w:tc>
                <w:tcPr>
                  <w:tcW w:w="0" w:type="auto"/>
                  <w:tcBorders>
                    <w:tl2br w:val="nil"/>
                    <w:tr2bl w:val="nil"/>
                  </w:tcBorders>
                  <w:vAlign w:val="center"/>
                </w:tcPr>
                <w:p w14:paraId="0002EE27">
                  <w:pPr>
                    <w:pStyle w:val="24"/>
                    <w:widowControl w:val="0"/>
                    <w:rPr>
                      <w:sz w:val="18"/>
                      <w:szCs w:val="18"/>
                    </w:rPr>
                  </w:pPr>
                  <w:r>
                    <w:rPr>
                      <w:rFonts w:hint="eastAsia"/>
                      <w:sz w:val="18"/>
                      <w:szCs w:val="18"/>
                    </w:rPr>
                    <w:t>0.0039</w:t>
                  </w:r>
                </w:p>
              </w:tc>
            </w:tr>
            <w:tr w14:paraId="5816394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6E5BF610">
                  <w:pPr>
                    <w:pStyle w:val="24"/>
                    <w:widowControl w:val="0"/>
                    <w:rPr>
                      <w:sz w:val="18"/>
                      <w:szCs w:val="18"/>
                    </w:rPr>
                  </w:pPr>
                </w:p>
              </w:tc>
              <w:tc>
                <w:tcPr>
                  <w:tcW w:w="0" w:type="auto"/>
                  <w:tcBorders>
                    <w:tl2br w:val="nil"/>
                    <w:tr2bl w:val="nil"/>
                  </w:tcBorders>
                  <w:vAlign w:val="center"/>
                </w:tcPr>
                <w:p w14:paraId="58FBB1A1">
                  <w:pPr>
                    <w:pStyle w:val="24"/>
                    <w:widowControl w:val="0"/>
                    <w:rPr>
                      <w:sz w:val="18"/>
                      <w:szCs w:val="18"/>
                    </w:rPr>
                  </w:pPr>
                  <w:r>
                    <w:rPr>
                      <w:rFonts w:hint="eastAsia"/>
                      <w:sz w:val="18"/>
                      <w:szCs w:val="18"/>
                    </w:rPr>
                    <w:t>I（mA）</w:t>
                  </w:r>
                </w:p>
              </w:tc>
              <w:tc>
                <w:tcPr>
                  <w:tcW w:w="0" w:type="auto"/>
                  <w:tcBorders>
                    <w:tl2br w:val="nil"/>
                    <w:tr2bl w:val="nil"/>
                  </w:tcBorders>
                  <w:vAlign w:val="center"/>
                </w:tcPr>
                <w:p w14:paraId="4ADA4AEC">
                  <w:pPr>
                    <w:pStyle w:val="24"/>
                    <w:widowControl w:val="0"/>
                    <w:rPr>
                      <w:sz w:val="18"/>
                      <w:szCs w:val="18"/>
                    </w:rPr>
                  </w:pPr>
                  <w:r>
                    <w:rPr>
                      <w:rFonts w:hint="eastAsia"/>
                      <w:sz w:val="18"/>
                      <w:szCs w:val="18"/>
                    </w:rPr>
                    <w:t>5.6</w:t>
                  </w:r>
                </w:p>
              </w:tc>
              <w:tc>
                <w:tcPr>
                  <w:tcW w:w="0" w:type="auto"/>
                  <w:tcBorders>
                    <w:tl2br w:val="nil"/>
                    <w:tr2bl w:val="nil"/>
                  </w:tcBorders>
                  <w:vAlign w:val="center"/>
                </w:tcPr>
                <w:p w14:paraId="33792CFB">
                  <w:pPr>
                    <w:pStyle w:val="24"/>
                    <w:widowControl w:val="0"/>
                    <w:rPr>
                      <w:sz w:val="18"/>
                      <w:szCs w:val="18"/>
                    </w:rPr>
                  </w:pPr>
                  <w:r>
                    <w:rPr>
                      <w:rFonts w:hint="eastAsia"/>
                      <w:sz w:val="18"/>
                      <w:szCs w:val="18"/>
                    </w:rPr>
                    <w:t>5.6</w:t>
                  </w:r>
                </w:p>
              </w:tc>
              <w:tc>
                <w:tcPr>
                  <w:tcW w:w="1395" w:type="dxa"/>
                  <w:tcBorders>
                    <w:tl2br w:val="nil"/>
                    <w:tr2bl w:val="nil"/>
                  </w:tcBorders>
                  <w:vAlign w:val="center"/>
                </w:tcPr>
                <w:p w14:paraId="393EAD32">
                  <w:pPr>
                    <w:pStyle w:val="24"/>
                    <w:widowControl w:val="0"/>
                    <w:rPr>
                      <w:sz w:val="18"/>
                      <w:szCs w:val="18"/>
                    </w:rPr>
                  </w:pPr>
                  <w:r>
                    <w:rPr>
                      <w:rFonts w:hint="eastAsia"/>
                      <w:sz w:val="18"/>
                      <w:szCs w:val="18"/>
                    </w:rPr>
                    <w:t>5.6</w:t>
                  </w:r>
                </w:p>
              </w:tc>
              <w:tc>
                <w:tcPr>
                  <w:tcW w:w="1071" w:type="dxa"/>
                  <w:tcBorders>
                    <w:tl2br w:val="nil"/>
                    <w:tr2bl w:val="nil"/>
                  </w:tcBorders>
                  <w:vAlign w:val="center"/>
                </w:tcPr>
                <w:p w14:paraId="4ABF6C94">
                  <w:pPr>
                    <w:pStyle w:val="24"/>
                    <w:widowControl w:val="0"/>
                    <w:rPr>
                      <w:sz w:val="18"/>
                      <w:szCs w:val="18"/>
                    </w:rPr>
                  </w:pPr>
                  <w:r>
                    <w:rPr>
                      <w:rFonts w:hint="eastAsia"/>
                      <w:sz w:val="18"/>
                      <w:szCs w:val="18"/>
                    </w:rPr>
                    <w:t>5.6</w:t>
                  </w:r>
                </w:p>
              </w:tc>
              <w:tc>
                <w:tcPr>
                  <w:tcW w:w="0" w:type="auto"/>
                  <w:tcBorders>
                    <w:tl2br w:val="nil"/>
                    <w:tr2bl w:val="nil"/>
                  </w:tcBorders>
                  <w:vAlign w:val="center"/>
                </w:tcPr>
                <w:p w14:paraId="2CB549FA">
                  <w:pPr>
                    <w:pStyle w:val="24"/>
                    <w:widowControl w:val="0"/>
                    <w:rPr>
                      <w:sz w:val="18"/>
                      <w:szCs w:val="18"/>
                    </w:rPr>
                  </w:pPr>
                  <w:r>
                    <w:rPr>
                      <w:rFonts w:hint="eastAsia"/>
                      <w:sz w:val="18"/>
                      <w:szCs w:val="18"/>
                    </w:rPr>
                    <w:t>5.6</w:t>
                  </w:r>
                </w:p>
              </w:tc>
              <w:tc>
                <w:tcPr>
                  <w:tcW w:w="0" w:type="auto"/>
                  <w:tcBorders>
                    <w:tl2br w:val="nil"/>
                    <w:tr2bl w:val="nil"/>
                  </w:tcBorders>
                  <w:vAlign w:val="center"/>
                </w:tcPr>
                <w:p w14:paraId="41E3B7FD">
                  <w:pPr>
                    <w:pStyle w:val="24"/>
                    <w:widowControl w:val="0"/>
                    <w:rPr>
                      <w:sz w:val="18"/>
                      <w:szCs w:val="18"/>
                    </w:rPr>
                  </w:pPr>
                  <w:r>
                    <w:rPr>
                      <w:rFonts w:hint="eastAsia"/>
                      <w:sz w:val="18"/>
                      <w:szCs w:val="18"/>
                    </w:rPr>
                    <w:t>5.6</w:t>
                  </w:r>
                </w:p>
              </w:tc>
            </w:tr>
            <w:tr w14:paraId="51DF5F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67A046DC">
                  <w:pPr>
                    <w:pStyle w:val="24"/>
                    <w:widowControl w:val="0"/>
                    <w:rPr>
                      <w:sz w:val="18"/>
                      <w:szCs w:val="18"/>
                    </w:rPr>
                  </w:pPr>
                </w:p>
              </w:tc>
              <w:tc>
                <w:tcPr>
                  <w:tcW w:w="0" w:type="auto"/>
                  <w:tcBorders>
                    <w:tl2br w:val="nil"/>
                    <w:tr2bl w:val="nil"/>
                  </w:tcBorders>
                  <w:vAlign w:val="center"/>
                </w:tcPr>
                <w:p w14:paraId="0ACB5F9C">
                  <w:pPr>
                    <w:widowControl/>
                    <w:jc w:val="center"/>
                    <w:rPr>
                      <w:rFonts w:hint="eastAsia" w:ascii="宋体" w:hAnsi="宋体" w:eastAsia="宋体" w:cs="宋体"/>
                      <w:spacing w:val="9"/>
                      <w:position w:val="10"/>
                      <w:sz w:val="18"/>
                      <w:szCs w:val="18"/>
                    </w:rPr>
                  </w:pPr>
                  <w:r>
                    <w:rPr>
                      <w:rFonts w:ascii="Times New Roman" w:hAnsi="Times New Roman" w:eastAsia="Times New Roman" w:cs="Times New Roman"/>
                      <w:position w:val="1"/>
                      <w:sz w:val="18"/>
                      <w:szCs w:val="18"/>
                    </w:rPr>
                    <w:t>H</w:t>
                  </w:r>
                  <w:r>
                    <w:rPr>
                      <w:rFonts w:ascii="Times New Roman" w:hAnsi="Times New Roman" w:eastAsia="Times New Roman" w:cs="Times New Roman"/>
                      <w:spacing w:val="9"/>
                      <w:position w:val="-5"/>
                      <w:sz w:val="18"/>
                      <w:szCs w:val="18"/>
                      <w:vertAlign w:val="subscript"/>
                    </w:rPr>
                    <w:t>0</w:t>
                  </w:r>
                  <w:r>
                    <w:rPr>
                      <w:rFonts w:hint="eastAsia" w:cs="Cambria Math" w:asciiTheme="minorEastAsia" w:hAnsiTheme="minorEastAsia" w:eastAsiaTheme="minorEastAsia"/>
                      <w:spacing w:val="9"/>
                      <w:position w:val="-5"/>
                      <w:sz w:val="18"/>
                      <w:szCs w:val="18"/>
                    </w:rPr>
                    <w:t xml:space="preserve">① </w:t>
                  </w:r>
                  <w:r>
                    <w:rPr>
                      <w:rFonts w:ascii="Times New Roman" w:hAnsi="Times New Roman" w:eastAsia="Times New Roman" w:cs="Times New Roman"/>
                      <w:spacing w:val="9"/>
                      <w:sz w:val="18"/>
                      <w:szCs w:val="18"/>
                    </w:rPr>
                    <w:t>(μ</w:t>
                  </w:r>
                  <w:r>
                    <w:rPr>
                      <w:rFonts w:ascii="Times New Roman" w:hAnsi="Times New Roman" w:eastAsia="Times New Roman" w:cs="Times New Roman"/>
                      <w:sz w:val="18"/>
                      <w:szCs w:val="18"/>
                    </w:rPr>
                    <w:t>Sv</w:t>
                  </w:r>
                  <w:r>
                    <w:rPr>
                      <w:rFonts w:ascii="Times New Roman" w:hAnsi="Times New Roman" w:eastAsia="Times New Roman" w:cs="Times New Roman"/>
                      <w:spacing w:val="9"/>
                      <w:sz w:val="18"/>
                      <w:szCs w:val="18"/>
                    </w:rPr>
                    <w:t>·</w:t>
                  </w:r>
                  <w:r>
                    <w:rPr>
                      <w:rFonts w:ascii="Times New Roman" w:hAnsi="Times New Roman" w:eastAsia="Times New Roman" w:cs="Times New Roman"/>
                      <w:sz w:val="18"/>
                      <w:szCs w:val="18"/>
                    </w:rPr>
                    <w:t>m</w:t>
                  </w:r>
                  <w:r>
                    <w:rPr>
                      <w:rFonts w:ascii="Times New Roman" w:hAnsi="Times New Roman" w:eastAsia="Times New Roman" w:cs="Times New Roman"/>
                      <w:spacing w:val="9"/>
                      <w:position w:val="6"/>
                      <w:sz w:val="18"/>
                      <w:szCs w:val="18"/>
                      <w:vertAlign w:val="superscript"/>
                    </w:rPr>
                    <w:t>2</w:t>
                  </w:r>
                  <w:r>
                    <w:rPr>
                      <w:rFonts w:ascii="Times New Roman" w:hAnsi="Times New Roman" w:eastAsia="Times New Roman" w:cs="Times New Roman"/>
                      <w:spacing w:val="8"/>
                      <w:sz w:val="18"/>
                      <w:szCs w:val="18"/>
                    </w:rPr>
                    <w:t>/</w:t>
                  </w:r>
                  <w:r>
                    <w:rPr>
                      <w:rFonts w:ascii="Times New Roman" w:hAnsi="Times New Roman" w:eastAsia="Times New Roman" w:cs="Times New Roman"/>
                      <w:spacing w:val="-11"/>
                      <w:sz w:val="18"/>
                      <w:szCs w:val="18"/>
                    </w:rPr>
                    <w:t>(</w:t>
                  </w:r>
                  <w:r>
                    <w:rPr>
                      <w:rFonts w:ascii="Times New Roman" w:hAnsi="Times New Roman" w:eastAsia="Times New Roman" w:cs="Times New Roman"/>
                      <w:spacing w:val="-7"/>
                      <w:sz w:val="18"/>
                      <w:szCs w:val="18"/>
                    </w:rPr>
                    <w:t>mA·h))</w:t>
                  </w:r>
                </w:p>
              </w:tc>
              <w:tc>
                <w:tcPr>
                  <w:tcW w:w="0" w:type="auto"/>
                  <w:gridSpan w:val="6"/>
                  <w:vAlign w:val="center"/>
                </w:tcPr>
                <w:p w14:paraId="371F968D">
                  <w:pPr>
                    <w:pStyle w:val="24"/>
                    <w:widowControl w:val="0"/>
                    <w:rPr>
                      <w:sz w:val="18"/>
                      <w:szCs w:val="18"/>
                    </w:rPr>
                  </w:pPr>
                  <w:r>
                    <w:rPr>
                      <w:rFonts w:hint="eastAsia"/>
                      <w:sz w:val="18"/>
                      <w:szCs w:val="18"/>
                    </w:rPr>
                    <w:t>1.28</w:t>
                  </w:r>
                  <w:r>
                    <w:rPr>
                      <w:sz w:val="18"/>
                      <w:szCs w:val="18"/>
                    </w:rPr>
                    <w:t>×10</w:t>
                  </w:r>
                  <w:r>
                    <w:rPr>
                      <w:rFonts w:hint="eastAsia"/>
                      <w:sz w:val="18"/>
                      <w:szCs w:val="18"/>
                      <w:vertAlign w:val="superscript"/>
                    </w:rPr>
                    <w:t>6</w:t>
                  </w:r>
                </w:p>
              </w:tc>
            </w:tr>
            <w:tr w14:paraId="308775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015FF897">
                  <w:pPr>
                    <w:pStyle w:val="24"/>
                    <w:widowControl w:val="0"/>
                    <w:rPr>
                      <w:sz w:val="18"/>
                      <w:szCs w:val="18"/>
                    </w:rPr>
                  </w:pPr>
                </w:p>
              </w:tc>
              <w:tc>
                <w:tcPr>
                  <w:tcW w:w="0" w:type="auto"/>
                  <w:tcBorders>
                    <w:tl2br w:val="nil"/>
                    <w:tr2bl w:val="nil"/>
                  </w:tcBorders>
                  <w:vAlign w:val="center"/>
                </w:tcPr>
                <w:p w14:paraId="59D05DB8">
                  <w:pPr>
                    <w:pStyle w:val="24"/>
                    <w:widowControl w:val="0"/>
                    <w:rPr>
                      <w:sz w:val="18"/>
                      <w:szCs w:val="18"/>
                    </w:rPr>
                  </w:pPr>
                  <w:r>
                    <w:rPr>
                      <w:rFonts w:hint="eastAsia"/>
                      <w:sz w:val="18"/>
                      <w:szCs w:val="18"/>
                    </w:rPr>
                    <w:t>F（m</w:t>
                  </w:r>
                  <w:r>
                    <w:rPr>
                      <w:rFonts w:hint="eastAsia"/>
                      <w:sz w:val="18"/>
                      <w:szCs w:val="18"/>
                      <w:vertAlign w:val="superscript"/>
                    </w:rPr>
                    <w:t>2</w:t>
                  </w:r>
                  <w:r>
                    <w:rPr>
                      <w:rFonts w:hint="eastAsia"/>
                      <w:sz w:val="18"/>
                      <w:szCs w:val="18"/>
                    </w:rPr>
                    <w:t>）</w:t>
                  </w:r>
                </w:p>
              </w:tc>
              <w:tc>
                <w:tcPr>
                  <w:tcW w:w="0" w:type="auto"/>
                  <w:gridSpan w:val="6"/>
                  <w:vMerge w:val="restart"/>
                  <w:vAlign w:val="center"/>
                </w:tcPr>
                <w:p w14:paraId="29A843C6">
                  <w:pPr>
                    <w:widowControl/>
                    <w:jc w:val="center"/>
                    <w:rPr>
                      <w:sz w:val="18"/>
                      <w:szCs w:val="18"/>
                    </w:rPr>
                  </w:pPr>
                  <m:oMath>
                    <m:f>
                      <m:fPr>
                        <m:ctrlPr>
                          <w:rPr>
                            <w:rFonts w:ascii="Cambria Math" w:hAnsi="Cambria Math"/>
                            <w:sz w:val="18"/>
                            <w:szCs w:val="18"/>
                          </w:rPr>
                        </m:ctrlPr>
                      </m:fPr>
                      <m:num>
                        <m:r>
                          <m:rPr>
                            <m:sty m:val="p"/>
                          </m:rPr>
                          <w:rPr>
                            <w:rFonts w:ascii="Cambria Math" w:hAnsi="Cambria Math"/>
                            <w:sz w:val="18"/>
                            <w:szCs w:val="18"/>
                          </w:rPr>
                          <m:t>F</m:t>
                        </m:r>
                        <m:r>
                          <m:rPr>
                            <m:sty m:val="p"/>
                          </m:rPr>
                          <w:rPr>
                            <w:rFonts w:hint="eastAsia" w:ascii="Cambria Math" w:hAnsi="Cambria Math"/>
                            <w:sz w:val="18"/>
                            <w:szCs w:val="18"/>
                          </w:rPr>
                          <m:t>·</m:t>
                        </m:r>
                        <m:r>
                          <m:rPr>
                            <m:sty m:val="p"/>
                          </m:rPr>
                          <w:rPr>
                            <w:rFonts w:ascii="Cambria Math" w:hAnsi="Cambria Math"/>
                            <w:sz w:val="18"/>
                            <w:szCs w:val="18"/>
                          </w:rPr>
                          <m:t>α</m:t>
                        </m:r>
                        <m:ctrlPr>
                          <w:rPr>
                            <w:rFonts w:ascii="Cambria Math" w:hAnsi="Cambria Math"/>
                            <w:sz w:val="18"/>
                            <w:szCs w:val="18"/>
                          </w:rPr>
                        </m:ctrlPr>
                      </m:num>
                      <m:den>
                        <m:sSubSup>
                          <m:sSubSupPr>
                            <m:ctrlPr>
                              <w:rPr>
                                <w:rFonts w:hint="eastAsia" w:ascii="Cambria Math" w:hAnsi="Cambria Math"/>
                                <w:sz w:val="18"/>
                                <w:szCs w:val="18"/>
                              </w:rPr>
                            </m:ctrlPr>
                          </m:sSubSupPr>
                          <m:e>
                            <m:r>
                              <m:rPr>
                                <m:sty m:val="p"/>
                              </m:rPr>
                              <w:rPr>
                                <w:rFonts w:ascii="Cambria Math" w:hAnsi="Cambria Math"/>
                                <w:sz w:val="18"/>
                                <w:szCs w:val="18"/>
                              </w:rPr>
                              <m:t>R</m:t>
                            </m:r>
                            <m:ctrlPr>
                              <w:rPr>
                                <w:rFonts w:hint="eastAsia" w:ascii="Cambria Math" w:hAnsi="Cambria Math"/>
                                <w:sz w:val="18"/>
                                <w:szCs w:val="18"/>
                              </w:rPr>
                            </m:ctrlPr>
                          </m:e>
                          <m:sub>
                            <m:r>
                              <m:rPr>
                                <m:sty m:val="p"/>
                              </m:rPr>
                              <w:rPr>
                                <w:rFonts w:ascii="Cambria Math" w:hAnsi="Cambria Math"/>
                                <w:sz w:val="18"/>
                                <w:szCs w:val="18"/>
                              </w:rPr>
                              <m:t>0</m:t>
                            </m:r>
                            <m:ctrlPr>
                              <w:rPr>
                                <w:rFonts w:hint="eastAsia" w:ascii="Cambria Math" w:hAnsi="Cambria Math"/>
                                <w:sz w:val="18"/>
                                <w:szCs w:val="18"/>
                              </w:rPr>
                            </m:ctrlPr>
                          </m:sub>
                          <m:sup>
                            <m:r>
                              <m:rPr>
                                <m:sty m:val="p"/>
                              </m:rPr>
                              <w:rPr>
                                <w:rFonts w:ascii="Cambria Math" w:hAnsi="Cambria Math"/>
                                <w:sz w:val="18"/>
                                <w:szCs w:val="18"/>
                              </w:rPr>
                              <m:t>2</m:t>
                            </m:r>
                            <m:ctrlPr>
                              <w:rPr>
                                <w:rFonts w:hint="eastAsia" w:ascii="Cambria Math" w:hAnsi="Cambria Math"/>
                                <w:sz w:val="18"/>
                                <w:szCs w:val="18"/>
                              </w:rPr>
                            </m:ctrlPr>
                          </m:sup>
                        </m:sSubSup>
                        <m:ctrlPr>
                          <w:rPr>
                            <w:rFonts w:ascii="Cambria Math" w:hAnsi="Cambria Math"/>
                            <w:sz w:val="18"/>
                            <w:szCs w:val="18"/>
                          </w:rPr>
                        </m:ctrlPr>
                      </m:den>
                    </m:f>
                  </m:oMath>
                  <w:r>
                    <w:rPr>
                      <w:rFonts w:hint="eastAsia"/>
                      <w:sz w:val="18"/>
                      <w:szCs w:val="18"/>
                    </w:rPr>
                    <w:t>取</w:t>
                  </w:r>
                  <m:oMath>
                    <m:f>
                      <m:fPr>
                        <m:ctrlPr>
                          <w:rPr>
                            <w:rFonts w:ascii="Cambria Math" w:hAnsi="Cambria Math"/>
                            <w:sz w:val="18"/>
                            <w:szCs w:val="18"/>
                          </w:rPr>
                        </m:ctrlPr>
                      </m:fPr>
                      <m:num>
                        <m:r>
                          <m:rPr>
                            <m:sty m:val="p"/>
                          </m:rPr>
                          <w:rPr>
                            <w:rFonts w:ascii="Cambria Math" w:hAnsi="Cambria Math"/>
                            <w:sz w:val="18"/>
                            <w:szCs w:val="18"/>
                          </w:rPr>
                          <m:t>1</m:t>
                        </m:r>
                        <m:ctrlPr>
                          <w:rPr>
                            <w:rFonts w:ascii="Cambria Math" w:hAnsi="Cambria Math"/>
                            <w:sz w:val="18"/>
                            <w:szCs w:val="18"/>
                          </w:rPr>
                        </m:ctrlPr>
                      </m:num>
                      <m:den>
                        <m:r>
                          <m:rPr>
                            <m:sty m:val="p"/>
                          </m:rPr>
                          <w:rPr>
                            <w:rFonts w:ascii="Cambria Math" w:hAnsi="Cambria Math"/>
                            <w:sz w:val="18"/>
                            <w:szCs w:val="18"/>
                          </w:rPr>
                          <m:t>50</m:t>
                        </m:r>
                        <m:ctrlPr>
                          <w:rPr>
                            <w:rFonts w:ascii="Cambria Math" w:hAnsi="Cambria Math"/>
                            <w:sz w:val="18"/>
                            <w:szCs w:val="18"/>
                          </w:rPr>
                        </m:ctrlPr>
                      </m:den>
                    </m:f>
                  </m:oMath>
                </w:p>
                <w:p w14:paraId="373CBF66">
                  <w:pPr>
                    <w:pStyle w:val="24"/>
                    <w:widowControl w:val="0"/>
                    <w:rPr>
                      <w:sz w:val="18"/>
                      <w:szCs w:val="18"/>
                    </w:rPr>
                  </w:pPr>
                  <w:r>
                    <w:rPr>
                      <w:rFonts w:ascii="宋体" w:hAnsi="宋体" w:cs="宋体"/>
                      <w:spacing w:val="4"/>
                      <w:sz w:val="18"/>
                      <w:szCs w:val="18"/>
                    </w:rPr>
                    <w:t xml:space="preserve">(数据取至《工业 </w:t>
                  </w:r>
                  <w:r>
                    <w:rPr>
                      <w:rFonts w:eastAsia="Times New Roman"/>
                      <w:sz w:val="18"/>
                      <w:szCs w:val="18"/>
                    </w:rPr>
                    <w:t>X</w:t>
                  </w:r>
                  <w:r>
                    <w:rPr>
                      <w:rFonts w:eastAsia="Times New Roman"/>
                      <w:spacing w:val="4"/>
                      <w:sz w:val="18"/>
                      <w:szCs w:val="18"/>
                    </w:rPr>
                    <w:t xml:space="preserve"> </w:t>
                  </w:r>
                  <w:r>
                    <w:rPr>
                      <w:rFonts w:ascii="宋体" w:hAnsi="宋体" w:cs="宋体"/>
                      <w:spacing w:val="4"/>
                      <w:sz w:val="18"/>
                      <w:szCs w:val="18"/>
                    </w:rPr>
                    <w:t>射线探伤室辐射屏蔽规范》(</w:t>
                  </w:r>
                  <w:r>
                    <w:rPr>
                      <w:rFonts w:eastAsia="Times New Roman"/>
                      <w:sz w:val="18"/>
                      <w:szCs w:val="18"/>
                    </w:rPr>
                    <w:t>GBZ</w:t>
                  </w:r>
                  <w:r>
                    <w:rPr>
                      <w:rFonts w:eastAsia="Times New Roman"/>
                      <w:spacing w:val="4"/>
                      <w:sz w:val="18"/>
                      <w:szCs w:val="18"/>
                    </w:rPr>
                    <w:t>/</w:t>
                  </w:r>
                  <w:r>
                    <w:rPr>
                      <w:rFonts w:eastAsia="Times New Roman"/>
                      <w:sz w:val="18"/>
                      <w:szCs w:val="18"/>
                    </w:rPr>
                    <w:t>T</w:t>
                  </w:r>
                  <w:r>
                    <w:rPr>
                      <w:rFonts w:eastAsia="Times New Roman"/>
                      <w:spacing w:val="4"/>
                      <w:sz w:val="18"/>
                      <w:szCs w:val="18"/>
                    </w:rPr>
                    <w:t xml:space="preserve"> 250-201</w:t>
                  </w:r>
                  <w:r>
                    <w:rPr>
                      <w:rFonts w:eastAsia="Times New Roman"/>
                      <w:spacing w:val="1"/>
                      <w:sz w:val="18"/>
                      <w:szCs w:val="18"/>
                    </w:rPr>
                    <w:t>4</w:t>
                  </w:r>
                  <w:r>
                    <w:rPr>
                      <w:rFonts w:ascii="宋体" w:hAnsi="宋体" w:cs="宋体"/>
                      <w:sz w:val="18"/>
                      <w:szCs w:val="18"/>
                    </w:rPr>
                    <w:t xml:space="preserve">) </w:t>
                  </w:r>
                  <w:r>
                    <w:rPr>
                      <w:rFonts w:eastAsia="Times New Roman"/>
                      <w:sz w:val="18"/>
                      <w:szCs w:val="18"/>
                    </w:rPr>
                    <w:t>B</w:t>
                  </w:r>
                  <w:r>
                    <w:rPr>
                      <w:rFonts w:eastAsia="Times New Roman"/>
                      <w:spacing w:val="-1"/>
                      <w:sz w:val="18"/>
                      <w:szCs w:val="18"/>
                    </w:rPr>
                    <w:t>.</w:t>
                  </w:r>
                  <w:r>
                    <w:rPr>
                      <w:rFonts w:eastAsia="Times New Roman"/>
                      <w:sz w:val="18"/>
                      <w:szCs w:val="18"/>
                    </w:rPr>
                    <w:t>4.2</w:t>
                  </w:r>
                  <w:r>
                    <w:rPr>
                      <w:rFonts w:ascii="宋体" w:hAnsi="宋体" w:cs="宋体"/>
                      <w:sz w:val="18"/>
                      <w:szCs w:val="18"/>
                    </w:rPr>
                    <w:t>)</w:t>
                  </w:r>
                </w:p>
              </w:tc>
            </w:tr>
            <w:tr w14:paraId="6924900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57C42F69">
                  <w:pPr>
                    <w:pStyle w:val="24"/>
                    <w:widowControl w:val="0"/>
                    <w:rPr>
                      <w:sz w:val="18"/>
                      <w:szCs w:val="18"/>
                    </w:rPr>
                  </w:pPr>
                </w:p>
              </w:tc>
              <w:tc>
                <w:tcPr>
                  <w:tcW w:w="0" w:type="auto"/>
                  <w:tcBorders>
                    <w:tl2br w:val="nil"/>
                    <w:tr2bl w:val="nil"/>
                  </w:tcBorders>
                  <w:vAlign w:val="center"/>
                </w:tcPr>
                <w:p w14:paraId="1C5BA3F7">
                  <w:pPr>
                    <w:pStyle w:val="24"/>
                    <w:widowControl w:val="0"/>
                    <w:rPr>
                      <w:sz w:val="18"/>
                      <w:szCs w:val="18"/>
                    </w:rPr>
                  </w:pPr>
                  <w:r>
                    <w:rPr>
                      <w:sz w:val="18"/>
                      <w:szCs w:val="18"/>
                    </w:rPr>
                    <w:t>α</w:t>
                  </w:r>
                </w:p>
              </w:tc>
              <w:tc>
                <w:tcPr>
                  <w:tcW w:w="0" w:type="auto"/>
                  <w:gridSpan w:val="6"/>
                  <w:vMerge w:val="continue"/>
                  <w:vAlign w:val="center"/>
                </w:tcPr>
                <w:p w14:paraId="02AE05E3">
                  <w:pPr>
                    <w:pStyle w:val="24"/>
                    <w:widowControl w:val="0"/>
                    <w:rPr>
                      <w:sz w:val="18"/>
                      <w:szCs w:val="18"/>
                    </w:rPr>
                  </w:pPr>
                </w:p>
              </w:tc>
            </w:tr>
            <w:tr w14:paraId="0D01FAF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3AB76AF1">
                  <w:pPr>
                    <w:pStyle w:val="24"/>
                    <w:widowControl w:val="0"/>
                    <w:rPr>
                      <w:sz w:val="18"/>
                      <w:szCs w:val="18"/>
                    </w:rPr>
                  </w:pPr>
                </w:p>
              </w:tc>
              <w:tc>
                <w:tcPr>
                  <w:tcW w:w="0" w:type="auto"/>
                  <w:tcBorders>
                    <w:tl2br w:val="nil"/>
                    <w:tr2bl w:val="nil"/>
                  </w:tcBorders>
                  <w:vAlign w:val="center"/>
                </w:tcPr>
                <w:p w14:paraId="298E61B7">
                  <w:pPr>
                    <w:pStyle w:val="24"/>
                    <w:widowControl w:val="0"/>
                    <w:rPr>
                      <w:sz w:val="18"/>
                      <w:szCs w:val="18"/>
                    </w:rPr>
                  </w:pPr>
                  <w:r>
                    <w:rPr>
                      <w:rFonts w:eastAsia="Times New Roman"/>
                      <w:spacing w:val="-4"/>
                      <w:position w:val="2"/>
                      <w:sz w:val="18"/>
                      <w:szCs w:val="18"/>
                    </w:rPr>
                    <w:t>R</w:t>
                  </w:r>
                  <w:r>
                    <w:rPr>
                      <w:rFonts w:eastAsia="Times New Roman"/>
                      <w:spacing w:val="-6"/>
                      <w:position w:val="-4"/>
                      <w:sz w:val="18"/>
                      <w:szCs w:val="18"/>
                      <w:vertAlign w:val="subscript"/>
                    </w:rPr>
                    <w:t>0</w:t>
                  </w:r>
                  <w:r>
                    <w:rPr>
                      <w:rFonts w:eastAsia="Times New Roman"/>
                      <w:spacing w:val="-4"/>
                      <w:position w:val="-4"/>
                      <w:sz w:val="18"/>
                      <w:szCs w:val="18"/>
                    </w:rPr>
                    <w:t xml:space="preserve"> </w:t>
                  </w:r>
                  <w:r>
                    <w:rPr>
                      <w:rFonts w:ascii="宋体" w:hAnsi="宋体" w:cs="宋体"/>
                      <w:spacing w:val="-4"/>
                      <w:sz w:val="18"/>
                      <w:szCs w:val="18"/>
                    </w:rPr>
                    <w:t>(</w:t>
                  </w:r>
                  <w:r>
                    <w:rPr>
                      <w:rFonts w:eastAsia="Times New Roman"/>
                      <w:spacing w:val="-4"/>
                      <w:sz w:val="18"/>
                      <w:szCs w:val="18"/>
                    </w:rPr>
                    <w:t>m</w:t>
                  </w:r>
                  <w:r>
                    <w:rPr>
                      <w:rFonts w:ascii="宋体" w:hAnsi="宋体" w:cs="宋体"/>
                      <w:spacing w:val="-4"/>
                      <w:sz w:val="18"/>
                      <w:szCs w:val="18"/>
                    </w:rPr>
                    <w:t>)</w:t>
                  </w:r>
                </w:p>
              </w:tc>
              <w:tc>
                <w:tcPr>
                  <w:tcW w:w="0" w:type="auto"/>
                  <w:gridSpan w:val="6"/>
                  <w:vMerge w:val="continue"/>
                  <w:vAlign w:val="center"/>
                </w:tcPr>
                <w:p w14:paraId="56476BDE">
                  <w:pPr>
                    <w:pStyle w:val="24"/>
                    <w:widowControl w:val="0"/>
                    <w:rPr>
                      <w:sz w:val="18"/>
                      <w:szCs w:val="18"/>
                    </w:rPr>
                  </w:pPr>
                </w:p>
              </w:tc>
            </w:tr>
            <w:tr w14:paraId="61D921D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2004BA7B">
                  <w:pPr>
                    <w:pStyle w:val="24"/>
                    <w:widowControl w:val="0"/>
                    <w:rPr>
                      <w:sz w:val="18"/>
                      <w:szCs w:val="18"/>
                    </w:rPr>
                  </w:pPr>
                </w:p>
              </w:tc>
              <w:tc>
                <w:tcPr>
                  <w:tcW w:w="0" w:type="auto"/>
                  <w:tcBorders>
                    <w:tl2br w:val="nil"/>
                    <w:tr2bl w:val="nil"/>
                  </w:tcBorders>
                  <w:vAlign w:val="center"/>
                </w:tcPr>
                <w:p w14:paraId="7072CCBC">
                  <w:pPr>
                    <w:pStyle w:val="24"/>
                    <w:widowControl w:val="0"/>
                    <w:rPr>
                      <w:sz w:val="18"/>
                      <w:szCs w:val="18"/>
                    </w:rPr>
                  </w:pPr>
                  <w:r>
                    <w:rPr>
                      <w:rFonts w:eastAsia="Times New Roman"/>
                      <w:spacing w:val="-3"/>
                      <w:position w:val="2"/>
                      <w:sz w:val="18"/>
                      <w:szCs w:val="18"/>
                    </w:rPr>
                    <w:t>R</w:t>
                  </w:r>
                  <w:r>
                    <w:rPr>
                      <w:rFonts w:eastAsia="Times New Roman"/>
                      <w:spacing w:val="-3"/>
                      <w:position w:val="-5"/>
                      <w:sz w:val="18"/>
                      <w:szCs w:val="18"/>
                    </w:rPr>
                    <w:t>s</w:t>
                  </w:r>
                  <w:r>
                    <w:rPr>
                      <w:rFonts w:eastAsia="Times New Roman"/>
                      <w:spacing w:val="-6"/>
                      <w:position w:val="-5"/>
                      <w:sz w:val="18"/>
                      <w:szCs w:val="18"/>
                    </w:rPr>
                    <w:t xml:space="preserve"> </w:t>
                  </w:r>
                  <w:r>
                    <w:rPr>
                      <w:rFonts w:hint="eastAsia" w:cs="Cambria Math" w:asciiTheme="minorEastAsia" w:hAnsiTheme="minorEastAsia" w:eastAsiaTheme="minorEastAsia"/>
                      <w:spacing w:val="-6"/>
                      <w:position w:val="-5"/>
                      <w:sz w:val="18"/>
                      <w:szCs w:val="18"/>
                    </w:rPr>
                    <w:t>②</w:t>
                  </w:r>
                  <w:r>
                    <w:rPr>
                      <w:rFonts w:ascii="宋体" w:hAnsi="宋体" w:cs="宋体"/>
                      <w:spacing w:val="-3"/>
                      <w:sz w:val="18"/>
                      <w:szCs w:val="18"/>
                    </w:rPr>
                    <w:t>(</w:t>
                  </w:r>
                  <w:r>
                    <w:rPr>
                      <w:rFonts w:eastAsia="Times New Roman"/>
                      <w:spacing w:val="-3"/>
                      <w:sz w:val="18"/>
                      <w:szCs w:val="18"/>
                    </w:rPr>
                    <w:t>m</w:t>
                  </w:r>
                  <w:r>
                    <w:rPr>
                      <w:rFonts w:ascii="宋体" w:hAnsi="宋体" w:cs="宋体"/>
                      <w:spacing w:val="-3"/>
                      <w:sz w:val="18"/>
                      <w:szCs w:val="18"/>
                    </w:rPr>
                    <w:t>)</w:t>
                  </w:r>
                </w:p>
              </w:tc>
              <w:tc>
                <w:tcPr>
                  <w:tcW w:w="0" w:type="auto"/>
                  <w:vAlign w:val="center"/>
                </w:tcPr>
                <w:p w14:paraId="7F253025">
                  <w:pPr>
                    <w:pStyle w:val="24"/>
                    <w:widowControl w:val="0"/>
                    <w:rPr>
                      <w:sz w:val="18"/>
                      <w:szCs w:val="18"/>
                    </w:rPr>
                  </w:pPr>
                  <w:r>
                    <w:rPr>
                      <w:rFonts w:hint="eastAsia"/>
                      <w:sz w:val="18"/>
                      <w:szCs w:val="18"/>
                    </w:rPr>
                    <w:t>21.38</w:t>
                  </w:r>
                </w:p>
              </w:tc>
              <w:tc>
                <w:tcPr>
                  <w:tcW w:w="0" w:type="auto"/>
                  <w:vAlign w:val="center"/>
                </w:tcPr>
                <w:p w14:paraId="50B4F25A">
                  <w:pPr>
                    <w:pStyle w:val="24"/>
                    <w:widowControl w:val="0"/>
                    <w:rPr>
                      <w:sz w:val="18"/>
                      <w:szCs w:val="18"/>
                    </w:rPr>
                  </w:pPr>
                  <w:r>
                    <w:rPr>
                      <w:rFonts w:hint="eastAsia"/>
                      <w:sz w:val="18"/>
                      <w:szCs w:val="18"/>
                    </w:rPr>
                    <w:t>2.78</w:t>
                  </w:r>
                </w:p>
              </w:tc>
              <w:tc>
                <w:tcPr>
                  <w:tcW w:w="1395" w:type="dxa"/>
                  <w:vAlign w:val="center"/>
                </w:tcPr>
                <w:p w14:paraId="7E3BA8F5">
                  <w:pPr>
                    <w:pStyle w:val="24"/>
                    <w:widowControl w:val="0"/>
                    <w:rPr>
                      <w:sz w:val="18"/>
                      <w:szCs w:val="18"/>
                    </w:rPr>
                  </w:pPr>
                  <w:r>
                    <w:rPr>
                      <w:rFonts w:hint="eastAsia"/>
                      <w:sz w:val="18"/>
                      <w:szCs w:val="18"/>
                    </w:rPr>
                    <w:t>24.88</w:t>
                  </w:r>
                </w:p>
              </w:tc>
              <w:tc>
                <w:tcPr>
                  <w:tcW w:w="1071" w:type="dxa"/>
                  <w:vAlign w:val="center"/>
                </w:tcPr>
                <w:p w14:paraId="48C24AB9">
                  <w:pPr>
                    <w:pStyle w:val="24"/>
                    <w:widowControl w:val="0"/>
                    <w:rPr>
                      <w:sz w:val="18"/>
                      <w:szCs w:val="18"/>
                    </w:rPr>
                  </w:pPr>
                  <w:r>
                    <w:rPr>
                      <w:rFonts w:hint="eastAsia"/>
                      <w:sz w:val="18"/>
                      <w:szCs w:val="18"/>
                    </w:rPr>
                    <w:t>2.88</w:t>
                  </w:r>
                </w:p>
              </w:tc>
              <w:tc>
                <w:tcPr>
                  <w:tcW w:w="0" w:type="auto"/>
                  <w:vAlign w:val="center"/>
                </w:tcPr>
                <w:p w14:paraId="60B987DA">
                  <w:pPr>
                    <w:pStyle w:val="24"/>
                    <w:widowControl w:val="0"/>
                    <w:rPr>
                      <w:sz w:val="18"/>
                      <w:szCs w:val="18"/>
                    </w:rPr>
                  </w:pPr>
                  <w:r>
                    <w:rPr>
                      <w:rFonts w:hint="eastAsia"/>
                      <w:sz w:val="18"/>
                      <w:szCs w:val="18"/>
                    </w:rPr>
                    <w:t>24.307</w:t>
                  </w:r>
                </w:p>
              </w:tc>
              <w:tc>
                <w:tcPr>
                  <w:tcW w:w="0" w:type="auto"/>
                  <w:vAlign w:val="center"/>
                </w:tcPr>
                <w:p w14:paraId="489D9E92">
                  <w:pPr>
                    <w:pStyle w:val="24"/>
                    <w:widowControl w:val="0"/>
                    <w:rPr>
                      <w:sz w:val="18"/>
                      <w:szCs w:val="18"/>
                    </w:rPr>
                  </w:pPr>
                  <w:r>
                    <w:rPr>
                      <w:rFonts w:hint="eastAsia"/>
                      <w:sz w:val="18"/>
                      <w:szCs w:val="18"/>
                    </w:rPr>
                    <w:t>20.807</w:t>
                  </w:r>
                </w:p>
              </w:tc>
            </w:tr>
            <w:tr w14:paraId="26A39F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61F487BA">
                  <w:pPr>
                    <w:pStyle w:val="24"/>
                    <w:widowControl w:val="0"/>
                    <w:rPr>
                      <w:sz w:val="18"/>
                      <w:szCs w:val="18"/>
                    </w:rPr>
                  </w:pPr>
                </w:p>
              </w:tc>
              <w:tc>
                <w:tcPr>
                  <w:tcW w:w="0" w:type="auto"/>
                  <w:tcBorders>
                    <w:tl2br w:val="nil"/>
                    <w:tr2bl w:val="nil"/>
                  </w:tcBorders>
                  <w:vAlign w:val="center"/>
                </w:tcPr>
                <w:p w14:paraId="316DBAA2">
                  <w:pPr>
                    <w:widowControl/>
                    <w:jc w:val="center"/>
                    <w:rPr>
                      <w:sz w:val="18"/>
                      <w:szCs w:val="18"/>
                    </w:rPr>
                  </w:pPr>
                  <w:r>
                    <w:rPr>
                      <w:rFonts w:hint="eastAsia" w:eastAsiaTheme="minorEastAsia"/>
                      <w:spacing w:val="-1"/>
                      <w:sz w:val="18"/>
                      <w:szCs w:val="18"/>
                    </w:rPr>
                    <w:t xml:space="preserve">H </w:t>
                  </w:r>
                  <w:r>
                    <w:rPr>
                      <w:rFonts w:eastAsia="Times New Roman"/>
                      <w:spacing w:val="-1"/>
                      <w:sz w:val="18"/>
                      <w:szCs w:val="18"/>
                    </w:rPr>
                    <w:t>(μSv /</w:t>
                  </w:r>
                  <w:r>
                    <w:rPr>
                      <w:rFonts w:eastAsia="Times New Roman"/>
                      <w:sz w:val="18"/>
                      <w:szCs w:val="18"/>
                    </w:rPr>
                    <w:t>h</w:t>
                  </w:r>
                  <w:r>
                    <w:rPr>
                      <w:rFonts w:eastAsia="Times New Roman"/>
                      <w:spacing w:val="-1"/>
                      <w:sz w:val="18"/>
                      <w:szCs w:val="18"/>
                    </w:rPr>
                    <w:t>)</w:t>
                  </w:r>
                </w:p>
              </w:tc>
              <w:tc>
                <w:tcPr>
                  <w:tcW w:w="0" w:type="auto"/>
                  <w:vAlign w:val="center"/>
                </w:tcPr>
                <w:p w14:paraId="599D9D43">
                  <w:pPr>
                    <w:pStyle w:val="24"/>
                    <w:widowControl w:val="0"/>
                    <w:rPr>
                      <w:sz w:val="18"/>
                      <w:szCs w:val="18"/>
                    </w:rPr>
                  </w:pPr>
                  <w:r>
                    <w:rPr>
                      <w:rFonts w:hint="eastAsia" w:eastAsiaTheme="minorEastAsia"/>
                      <w:sz w:val="18"/>
                      <w:szCs w:val="18"/>
                    </w:rPr>
                    <w:t>4.8</w:t>
                  </w:r>
                  <w:r>
                    <w:rPr>
                      <w:rFonts w:eastAsia="Times New Roman"/>
                      <w:sz w:val="18"/>
                      <w:szCs w:val="18"/>
                    </w:rPr>
                    <w:t>×</w:t>
                  </w:r>
                  <w:r>
                    <w:rPr>
                      <w:rFonts w:hint="eastAsia" w:eastAsiaTheme="minorEastAsia"/>
                      <w:sz w:val="18"/>
                      <w:szCs w:val="18"/>
                    </w:rPr>
                    <w:t>10</w:t>
                  </w:r>
                  <w:r>
                    <w:rPr>
                      <w:rFonts w:hint="eastAsia" w:eastAsiaTheme="minorEastAsia"/>
                      <w:sz w:val="18"/>
                      <w:szCs w:val="18"/>
                      <w:vertAlign w:val="superscript"/>
                    </w:rPr>
                    <w:t>-5</w:t>
                  </w:r>
                </w:p>
              </w:tc>
              <w:tc>
                <w:tcPr>
                  <w:tcW w:w="0" w:type="auto"/>
                  <w:vAlign w:val="center"/>
                </w:tcPr>
                <w:p w14:paraId="0EA6E6F7">
                  <w:pPr>
                    <w:pStyle w:val="24"/>
                    <w:widowControl w:val="0"/>
                    <w:rPr>
                      <w:sz w:val="18"/>
                      <w:szCs w:val="18"/>
                    </w:rPr>
                  </w:pPr>
                  <w:r>
                    <w:rPr>
                      <w:rFonts w:hint="eastAsia" w:eastAsiaTheme="minorEastAsia"/>
                      <w:sz w:val="18"/>
                      <w:szCs w:val="18"/>
                    </w:rPr>
                    <w:t>2.8</w:t>
                  </w:r>
                  <w:r>
                    <w:rPr>
                      <w:rFonts w:eastAsia="Times New Roman"/>
                      <w:sz w:val="18"/>
                      <w:szCs w:val="18"/>
                    </w:rPr>
                    <w:t>×</w:t>
                  </w:r>
                  <w:r>
                    <w:rPr>
                      <w:rFonts w:hint="eastAsia" w:eastAsiaTheme="minorEastAsia"/>
                      <w:sz w:val="18"/>
                      <w:szCs w:val="18"/>
                    </w:rPr>
                    <w:t>10</w:t>
                  </w:r>
                  <w:r>
                    <w:rPr>
                      <w:rFonts w:hint="eastAsia" w:eastAsiaTheme="minorEastAsia"/>
                      <w:sz w:val="18"/>
                      <w:szCs w:val="18"/>
                      <w:vertAlign w:val="superscript"/>
                    </w:rPr>
                    <w:t>-3</w:t>
                  </w:r>
                </w:p>
              </w:tc>
              <w:tc>
                <w:tcPr>
                  <w:tcW w:w="1395" w:type="dxa"/>
                  <w:vAlign w:val="center"/>
                </w:tcPr>
                <w:p w14:paraId="5AA3833A">
                  <w:pPr>
                    <w:pStyle w:val="24"/>
                    <w:widowControl w:val="0"/>
                    <w:rPr>
                      <w:sz w:val="18"/>
                      <w:szCs w:val="18"/>
                    </w:rPr>
                  </w:pPr>
                  <w:r>
                    <w:rPr>
                      <w:rFonts w:hint="eastAsia" w:eastAsiaTheme="minorEastAsia"/>
                      <w:sz w:val="18"/>
                      <w:szCs w:val="18"/>
                    </w:rPr>
                    <w:t>3.5</w:t>
                  </w:r>
                  <w:r>
                    <w:rPr>
                      <w:rFonts w:eastAsia="Times New Roman"/>
                      <w:sz w:val="18"/>
                      <w:szCs w:val="18"/>
                    </w:rPr>
                    <w:t>×</w:t>
                  </w:r>
                  <w:r>
                    <w:rPr>
                      <w:rFonts w:hint="eastAsia" w:eastAsiaTheme="minorEastAsia"/>
                      <w:sz w:val="18"/>
                      <w:szCs w:val="18"/>
                    </w:rPr>
                    <w:t>10</w:t>
                  </w:r>
                  <w:r>
                    <w:rPr>
                      <w:rFonts w:hint="eastAsia" w:eastAsiaTheme="minorEastAsia"/>
                      <w:sz w:val="18"/>
                      <w:szCs w:val="18"/>
                      <w:vertAlign w:val="superscript"/>
                    </w:rPr>
                    <w:t>-5</w:t>
                  </w:r>
                </w:p>
              </w:tc>
              <w:tc>
                <w:tcPr>
                  <w:tcW w:w="1071" w:type="dxa"/>
                  <w:vAlign w:val="center"/>
                </w:tcPr>
                <w:p w14:paraId="33F73A1E">
                  <w:pPr>
                    <w:pStyle w:val="24"/>
                    <w:widowControl w:val="0"/>
                    <w:rPr>
                      <w:sz w:val="18"/>
                      <w:szCs w:val="18"/>
                    </w:rPr>
                  </w:pPr>
                  <w:r>
                    <w:rPr>
                      <w:rFonts w:hint="eastAsia" w:eastAsiaTheme="minorEastAsia"/>
                      <w:sz w:val="18"/>
                      <w:szCs w:val="18"/>
                    </w:rPr>
                    <w:t>2.6</w:t>
                  </w:r>
                  <w:r>
                    <w:rPr>
                      <w:rFonts w:eastAsia="Times New Roman"/>
                      <w:sz w:val="18"/>
                      <w:szCs w:val="18"/>
                    </w:rPr>
                    <w:t>×</w:t>
                  </w:r>
                  <w:r>
                    <w:rPr>
                      <w:rFonts w:hint="eastAsia" w:eastAsiaTheme="minorEastAsia"/>
                      <w:sz w:val="18"/>
                      <w:szCs w:val="18"/>
                    </w:rPr>
                    <w:t>10</w:t>
                  </w:r>
                  <w:r>
                    <w:rPr>
                      <w:rFonts w:hint="eastAsia" w:eastAsiaTheme="minorEastAsia"/>
                      <w:sz w:val="18"/>
                      <w:szCs w:val="18"/>
                      <w:vertAlign w:val="superscript"/>
                    </w:rPr>
                    <w:t>-3</w:t>
                  </w:r>
                </w:p>
              </w:tc>
              <w:tc>
                <w:tcPr>
                  <w:tcW w:w="0" w:type="auto"/>
                  <w:vAlign w:val="center"/>
                </w:tcPr>
                <w:p w14:paraId="2E7D6711">
                  <w:pPr>
                    <w:pStyle w:val="24"/>
                    <w:widowControl w:val="0"/>
                    <w:rPr>
                      <w:rFonts w:eastAsiaTheme="minorEastAsia"/>
                      <w:sz w:val="18"/>
                      <w:szCs w:val="18"/>
                    </w:rPr>
                  </w:pPr>
                  <w:r>
                    <w:rPr>
                      <w:rFonts w:hint="eastAsia" w:eastAsiaTheme="minorEastAsia"/>
                      <w:sz w:val="18"/>
                      <w:szCs w:val="18"/>
                    </w:rPr>
                    <w:t>1.13</w:t>
                  </w:r>
                </w:p>
              </w:tc>
              <w:tc>
                <w:tcPr>
                  <w:tcW w:w="0" w:type="auto"/>
                  <w:vAlign w:val="center"/>
                </w:tcPr>
                <w:p w14:paraId="1BE7CCAC">
                  <w:pPr>
                    <w:pStyle w:val="24"/>
                    <w:widowControl w:val="0"/>
                    <w:rPr>
                      <w:rFonts w:eastAsiaTheme="minorEastAsia"/>
                      <w:sz w:val="18"/>
                      <w:szCs w:val="18"/>
                    </w:rPr>
                  </w:pPr>
                  <w:r>
                    <w:rPr>
                      <w:rFonts w:hint="eastAsia" w:eastAsiaTheme="minorEastAsia"/>
                      <w:sz w:val="18"/>
                      <w:szCs w:val="18"/>
                    </w:rPr>
                    <w:t>1.54</w:t>
                  </w:r>
                </w:p>
              </w:tc>
            </w:tr>
            <w:tr w14:paraId="41CA366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gridSpan w:val="2"/>
                  <w:tcBorders>
                    <w:tl2br w:val="nil"/>
                    <w:tr2bl w:val="nil"/>
                  </w:tcBorders>
                  <w:vAlign w:val="center"/>
                </w:tcPr>
                <w:p w14:paraId="6E2F9F5A">
                  <w:pPr>
                    <w:pStyle w:val="24"/>
                    <w:widowControl w:val="0"/>
                    <w:rPr>
                      <w:sz w:val="18"/>
                      <w:szCs w:val="18"/>
                    </w:rPr>
                  </w:pPr>
                  <w:r>
                    <w:rPr>
                      <w:rFonts w:ascii="宋体" w:hAnsi="宋体" w:cs="宋体"/>
                      <w:spacing w:val="-1"/>
                      <w:sz w:val="18"/>
                      <w:szCs w:val="18"/>
                    </w:rPr>
                    <w:t>泄漏辐射和散射辐</w:t>
                  </w:r>
                  <w:r>
                    <w:rPr>
                      <w:rFonts w:ascii="宋体" w:hAnsi="宋体" w:cs="宋体"/>
                      <w:sz w:val="18"/>
                      <w:szCs w:val="18"/>
                    </w:rPr>
                    <w:t>射</w:t>
                  </w:r>
                  <w:r>
                    <w:rPr>
                      <w:rFonts w:ascii="宋体" w:hAnsi="宋体" w:cs="宋体"/>
                      <w:spacing w:val="-2"/>
                      <w:sz w:val="18"/>
                      <w:szCs w:val="18"/>
                    </w:rPr>
                    <w:t>的复合作用</w:t>
                  </w:r>
                  <w:r>
                    <w:rPr>
                      <w:rFonts w:eastAsia="Times New Roman"/>
                      <w:spacing w:val="-2"/>
                      <w:sz w:val="18"/>
                      <w:szCs w:val="18"/>
                    </w:rPr>
                    <w:t>(μSv/</w:t>
                  </w:r>
                  <w:r>
                    <w:rPr>
                      <w:rFonts w:eastAsia="Times New Roman"/>
                      <w:spacing w:val="-1"/>
                      <w:sz w:val="18"/>
                      <w:szCs w:val="18"/>
                    </w:rPr>
                    <w:t>h</w:t>
                  </w:r>
                  <w:r>
                    <w:rPr>
                      <w:rFonts w:eastAsia="Times New Roman"/>
                      <w:spacing w:val="-2"/>
                      <w:sz w:val="18"/>
                      <w:szCs w:val="18"/>
                    </w:rPr>
                    <w:t>)</w:t>
                  </w:r>
                </w:p>
              </w:tc>
              <w:tc>
                <w:tcPr>
                  <w:tcW w:w="0" w:type="auto"/>
                  <w:vAlign w:val="center"/>
                </w:tcPr>
                <w:p w14:paraId="340144EB">
                  <w:pPr>
                    <w:pStyle w:val="24"/>
                    <w:widowControl w:val="0"/>
                    <w:rPr>
                      <w:b/>
                      <w:bCs w:val="0"/>
                      <w:sz w:val="18"/>
                      <w:szCs w:val="18"/>
                    </w:rPr>
                  </w:pPr>
                  <w:r>
                    <w:rPr>
                      <w:rFonts w:hint="eastAsia" w:eastAsiaTheme="minorEastAsia"/>
                      <w:b/>
                      <w:bCs w:val="0"/>
                      <w:sz w:val="18"/>
                      <w:szCs w:val="18"/>
                    </w:rPr>
                    <w:t>6.6</w:t>
                  </w:r>
                  <w:r>
                    <w:rPr>
                      <w:rFonts w:eastAsia="Times New Roman"/>
                      <w:b/>
                      <w:bCs w:val="0"/>
                      <w:sz w:val="18"/>
                      <w:szCs w:val="18"/>
                    </w:rPr>
                    <w:t>×</w:t>
                  </w:r>
                  <w:r>
                    <w:rPr>
                      <w:rFonts w:hint="eastAsia" w:eastAsiaTheme="minorEastAsia"/>
                      <w:b/>
                      <w:bCs w:val="0"/>
                      <w:sz w:val="18"/>
                      <w:szCs w:val="18"/>
                    </w:rPr>
                    <w:t>10</w:t>
                  </w:r>
                  <w:r>
                    <w:rPr>
                      <w:rFonts w:hint="eastAsia" w:eastAsiaTheme="minorEastAsia"/>
                      <w:b/>
                      <w:bCs w:val="0"/>
                      <w:sz w:val="18"/>
                      <w:szCs w:val="18"/>
                      <w:vertAlign w:val="superscript"/>
                    </w:rPr>
                    <w:t>-3</w:t>
                  </w:r>
                </w:p>
              </w:tc>
              <w:tc>
                <w:tcPr>
                  <w:tcW w:w="0" w:type="auto"/>
                  <w:vAlign w:val="center"/>
                </w:tcPr>
                <w:p w14:paraId="2FBDC3B6">
                  <w:pPr>
                    <w:pStyle w:val="24"/>
                    <w:widowControl w:val="0"/>
                    <w:rPr>
                      <w:rFonts w:eastAsiaTheme="minorEastAsia"/>
                      <w:b/>
                      <w:bCs w:val="0"/>
                      <w:sz w:val="18"/>
                      <w:szCs w:val="18"/>
                    </w:rPr>
                  </w:pPr>
                  <w:r>
                    <w:rPr>
                      <w:rFonts w:hint="eastAsia" w:eastAsiaTheme="minorEastAsia"/>
                      <w:b/>
                      <w:bCs w:val="0"/>
                      <w:sz w:val="18"/>
                      <w:szCs w:val="18"/>
                    </w:rPr>
                    <w:t>0.39</w:t>
                  </w:r>
                </w:p>
              </w:tc>
              <w:tc>
                <w:tcPr>
                  <w:tcW w:w="1395" w:type="dxa"/>
                  <w:vAlign w:val="center"/>
                </w:tcPr>
                <w:p w14:paraId="4629FBB3">
                  <w:pPr>
                    <w:pStyle w:val="24"/>
                    <w:widowControl w:val="0"/>
                    <w:rPr>
                      <w:b/>
                      <w:bCs w:val="0"/>
                      <w:sz w:val="18"/>
                      <w:szCs w:val="18"/>
                    </w:rPr>
                  </w:pPr>
                  <w:r>
                    <w:rPr>
                      <w:rFonts w:hint="eastAsia" w:eastAsiaTheme="minorEastAsia"/>
                      <w:b/>
                      <w:bCs w:val="0"/>
                      <w:sz w:val="18"/>
                      <w:szCs w:val="18"/>
                    </w:rPr>
                    <w:t>4.8</w:t>
                  </w:r>
                  <w:r>
                    <w:rPr>
                      <w:rFonts w:eastAsia="Times New Roman"/>
                      <w:b/>
                      <w:bCs w:val="0"/>
                      <w:sz w:val="18"/>
                      <w:szCs w:val="18"/>
                    </w:rPr>
                    <w:t>×</w:t>
                  </w:r>
                  <w:r>
                    <w:rPr>
                      <w:rFonts w:hint="eastAsia" w:eastAsiaTheme="minorEastAsia"/>
                      <w:b/>
                      <w:bCs w:val="0"/>
                      <w:sz w:val="18"/>
                      <w:szCs w:val="18"/>
                    </w:rPr>
                    <w:t>10</w:t>
                  </w:r>
                  <w:r>
                    <w:rPr>
                      <w:rFonts w:hint="eastAsia" w:eastAsiaTheme="minorEastAsia"/>
                      <w:b/>
                      <w:bCs w:val="0"/>
                      <w:sz w:val="18"/>
                      <w:szCs w:val="18"/>
                      <w:vertAlign w:val="superscript"/>
                    </w:rPr>
                    <w:t>-3</w:t>
                  </w:r>
                </w:p>
              </w:tc>
              <w:tc>
                <w:tcPr>
                  <w:tcW w:w="1071" w:type="dxa"/>
                  <w:vAlign w:val="center"/>
                </w:tcPr>
                <w:p w14:paraId="1E09FCE1">
                  <w:pPr>
                    <w:pStyle w:val="24"/>
                    <w:widowControl w:val="0"/>
                    <w:rPr>
                      <w:rFonts w:eastAsiaTheme="minorEastAsia"/>
                      <w:b/>
                      <w:bCs w:val="0"/>
                      <w:sz w:val="18"/>
                      <w:szCs w:val="18"/>
                    </w:rPr>
                  </w:pPr>
                  <w:r>
                    <w:rPr>
                      <w:rFonts w:hint="eastAsia" w:eastAsiaTheme="minorEastAsia"/>
                      <w:b/>
                      <w:bCs w:val="0"/>
                      <w:sz w:val="18"/>
                      <w:szCs w:val="18"/>
                    </w:rPr>
                    <w:t>0.36</w:t>
                  </w:r>
                </w:p>
              </w:tc>
              <w:tc>
                <w:tcPr>
                  <w:tcW w:w="0" w:type="auto"/>
                  <w:vAlign w:val="center"/>
                </w:tcPr>
                <w:p w14:paraId="0036FC77">
                  <w:pPr>
                    <w:pStyle w:val="24"/>
                    <w:widowControl w:val="0"/>
                    <w:rPr>
                      <w:b/>
                      <w:bCs w:val="0"/>
                      <w:sz w:val="18"/>
                      <w:szCs w:val="18"/>
                    </w:rPr>
                  </w:pPr>
                  <w:r>
                    <w:rPr>
                      <w:rFonts w:hint="eastAsia"/>
                      <w:b/>
                      <w:bCs w:val="0"/>
                      <w:sz w:val="18"/>
                      <w:szCs w:val="18"/>
                    </w:rPr>
                    <w:t>1.75</w:t>
                  </w:r>
                </w:p>
              </w:tc>
              <w:tc>
                <w:tcPr>
                  <w:tcW w:w="0" w:type="auto"/>
                  <w:vAlign w:val="center"/>
                </w:tcPr>
                <w:p w14:paraId="58800199">
                  <w:pPr>
                    <w:pStyle w:val="24"/>
                    <w:widowControl w:val="0"/>
                    <w:rPr>
                      <w:rFonts w:eastAsiaTheme="minorEastAsia"/>
                      <w:b/>
                      <w:bCs w:val="0"/>
                      <w:sz w:val="18"/>
                      <w:szCs w:val="18"/>
                    </w:rPr>
                  </w:pPr>
                  <w:r>
                    <w:rPr>
                      <w:rFonts w:hint="eastAsia" w:eastAsiaTheme="minorEastAsia"/>
                      <w:b/>
                      <w:bCs w:val="0"/>
                      <w:sz w:val="18"/>
                      <w:szCs w:val="18"/>
                    </w:rPr>
                    <w:t>2.39</w:t>
                  </w:r>
                </w:p>
              </w:tc>
            </w:tr>
            <w:tr w14:paraId="3F4B23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gridSpan w:val="2"/>
                  <w:tcBorders>
                    <w:tl2br w:val="nil"/>
                    <w:tr2bl w:val="nil"/>
                  </w:tcBorders>
                  <w:vAlign w:val="center"/>
                </w:tcPr>
                <w:p w14:paraId="05960442">
                  <w:pPr>
                    <w:pStyle w:val="24"/>
                    <w:widowControl w:val="0"/>
                    <w:rPr>
                      <w:sz w:val="18"/>
                      <w:szCs w:val="18"/>
                    </w:rPr>
                  </w:pPr>
                  <w:r>
                    <w:rPr>
                      <w:rFonts w:ascii="宋体" w:hAnsi="宋体" w:cs="宋体"/>
                      <w:spacing w:val="-1"/>
                      <w:sz w:val="18"/>
                      <w:szCs w:val="18"/>
                    </w:rPr>
                    <w:t>剂量率参考控</w:t>
                  </w:r>
                  <w:r>
                    <w:rPr>
                      <w:rFonts w:ascii="宋体" w:hAnsi="宋体" w:cs="宋体"/>
                      <w:sz w:val="18"/>
                      <w:szCs w:val="18"/>
                    </w:rPr>
                    <w:t>制水平</w:t>
                  </w:r>
                  <w:r>
                    <w:rPr>
                      <w:rFonts w:eastAsia="Times New Roman"/>
                      <w:spacing w:val="-2"/>
                      <w:sz w:val="18"/>
                      <w:szCs w:val="18"/>
                    </w:rPr>
                    <w:t>(</w:t>
                  </w:r>
                  <w:r>
                    <w:rPr>
                      <w:rFonts w:eastAsia="Times New Roman"/>
                      <w:spacing w:val="-1"/>
                      <w:sz w:val="18"/>
                      <w:szCs w:val="18"/>
                    </w:rPr>
                    <w:t>μSv/h)</w:t>
                  </w:r>
                </w:p>
              </w:tc>
              <w:tc>
                <w:tcPr>
                  <w:tcW w:w="0" w:type="auto"/>
                  <w:tcBorders>
                    <w:tl2br w:val="nil"/>
                    <w:tr2bl w:val="nil"/>
                  </w:tcBorders>
                  <w:vAlign w:val="center"/>
                </w:tcPr>
                <w:p w14:paraId="672E0E99">
                  <w:pPr>
                    <w:pStyle w:val="24"/>
                    <w:widowControl w:val="0"/>
                    <w:rPr>
                      <w:sz w:val="18"/>
                      <w:szCs w:val="18"/>
                    </w:rPr>
                  </w:pPr>
                  <w:r>
                    <w:rPr>
                      <w:rFonts w:eastAsia="Times New Roman"/>
                      <w:spacing w:val="-1"/>
                      <w:sz w:val="18"/>
                      <w:szCs w:val="18"/>
                    </w:rPr>
                    <w:t>2.</w:t>
                  </w:r>
                  <w:r>
                    <w:rPr>
                      <w:rFonts w:eastAsia="Times New Roman"/>
                      <w:sz w:val="18"/>
                      <w:szCs w:val="18"/>
                    </w:rPr>
                    <w:t>5</w:t>
                  </w:r>
                </w:p>
              </w:tc>
              <w:tc>
                <w:tcPr>
                  <w:tcW w:w="0" w:type="auto"/>
                  <w:tcBorders>
                    <w:tl2br w:val="nil"/>
                    <w:tr2bl w:val="nil"/>
                  </w:tcBorders>
                  <w:vAlign w:val="center"/>
                </w:tcPr>
                <w:p w14:paraId="6CF2ED61">
                  <w:pPr>
                    <w:pStyle w:val="24"/>
                    <w:widowControl w:val="0"/>
                    <w:rPr>
                      <w:sz w:val="18"/>
                      <w:szCs w:val="18"/>
                    </w:rPr>
                  </w:pPr>
                  <w:r>
                    <w:rPr>
                      <w:rFonts w:eastAsia="Times New Roman"/>
                      <w:spacing w:val="-1"/>
                      <w:sz w:val="18"/>
                      <w:szCs w:val="18"/>
                    </w:rPr>
                    <w:t>2.</w:t>
                  </w:r>
                  <w:r>
                    <w:rPr>
                      <w:rFonts w:eastAsia="Times New Roman"/>
                      <w:sz w:val="18"/>
                      <w:szCs w:val="18"/>
                    </w:rPr>
                    <w:t>5</w:t>
                  </w:r>
                </w:p>
              </w:tc>
              <w:tc>
                <w:tcPr>
                  <w:tcW w:w="1395" w:type="dxa"/>
                  <w:tcBorders>
                    <w:tl2br w:val="nil"/>
                    <w:tr2bl w:val="nil"/>
                  </w:tcBorders>
                  <w:vAlign w:val="center"/>
                </w:tcPr>
                <w:p w14:paraId="38A0AB96">
                  <w:pPr>
                    <w:pStyle w:val="24"/>
                    <w:widowControl w:val="0"/>
                    <w:rPr>
                      <w:rFonts w:eastAsiaTheme="minorEastAsia"/>
                      <w:spacing w:val="-1"/>
                      <w:sz w:val="18"/>
                      <w:szCs w:val="18"/>
                    </w:rPr>
                  </w:pPr>
                  <w:r>
                    <w:rPr>
                      <w:rFonts w:hint="eastAsia" w:eastAsiaTheme="minorEastAsia"/>
                      <w:spacing w:val="-1"/>
                      <w:sz w:val="18"/>
                      <w:szCs w:val="18"/>
                    </w:rPr>
                    <w:t>2.5</w:t>
                  </w:r>
                </w:p>
              </w:tc>
              <w:tc>
                <w:tcPr>
                  <w:tcW w:w="1071" w:type="dxa"/>
                  <w:tcBorders>
                    <w:tl2br w:val="nil"/>
                    <w:tr2bl w:val="nil"/>
                  </w:tcBorders>
                  <w:vAlign w:val="center"/>
                </w:tcPr>
                <w:p w14:paraId="3E898E5C">
                  <w:pPr>
                    <w:pStyle w:val="24"/>
                    <w:widowControl w:val="0"/>
                    <w:rPr>
                      <w:sz w:val="18"/>
                      <w:szCs w:val="18"/>
                    </w:rPr>
                  </w:pPr>
                  <w:r>
                    <w:rPr>
                      <w:rFonts w:eastAsia="Times New Roman"/>
                      <w:spacing w:val="-1"/>
                      <w:sz w:val="18"/>
                      <w:szCs w:val="18"/>
                    </w:rPr>
                    <w:t>2.</w:t>
                  </w:r>
                  <w:r>
                    <w:rPr>
                      <w:rFonts w:eastAsia="Times New Roman"/>
                      <w:sz w:val="18"/>
                      <w:szCs w:val="18"/>
                    </w:rPr>
                    <w:t>5</w:t>
                  </w:r>
                </w:p>
              </w:tc>
              <w:tc>
                <w:tcPr>
                  <w:tcW w:w="0" w:type="auto"/>
                  <w:tcBorders>
                    <w:tl2br w:val="nil"/>
                    <w:tr2bl w:val="nil"/>
                  </w:tcBorders>
                  <w:vAlign w:val="center"/>
                </w:tcPr>
                <w:p w14:paraId="3E273D75">
                  <w:pPr>
                    <w:pStyle w:val="24"/>
                    <w:widowControl w:val="0"/>
                    <w:rPr>
                      <w:sz w:val="18"/>
                      <w:szCs w:val="18"/>
                    </w:rPr>
                  </w:pPr>
                  <w:r>
                    <w:rPr>
                      <w:rFonts w:eastAsia="Times New Roman"/>
                      <w:spacing w:val="-1"/>
                      <w:sz w:val="18"/>
                      <w:szCs w:val="18"/>
                    </w:rPr>
                    <w:t>2.</w:t>
                  </w:r>
                  <w:r>
                    <w:rPr>
                      <w:rFonts w:eastAsia="Times New Roman"/>
                      <w:sz w:val="18"/>
                      <w:szCs w:val="18"/>
                    </w:rPr>
                    <w:t>5</w:t>
                  </w:r>
                </w:p>
              </w:tc>
              <w:tc>
                <w:tcPr>
                  <w:tcW w:w="0" w:type="auto"/>
                  <w:tcBorders>
                    <w:tl2br w:val="nil"/>
                    <w:tr2bl w:val="nil"/>
                  </w:tcBorders>
                  <w:vAlign w:val="center"/>
                </w:tcPr>
                <w:p w14:paraId="026D89C6">
                  <w:pPr>
                    <w:pStyle w:val="24"/>
                    <w:widowControl w:val="0"/>
                    <w:rPr>
                      <w:sz w:val="18"/>
                      <w:szCs w:val="18"/>
                    </w:rPr>
                  </w:pPr>
                  <w:r>
                    <w:rPr>
                      <w:rFonts w:eastAsia="Times New Roman"/>
                      <w:spacing w:val="-1"/>
                      <w:sz w:val="18"/>
                      <w:szCs w:val="18"/>
                    </w:rPr>
                    <w:t>2.</w:t>
                  </w:r>
                  <w:r>
                    <w:rPr>
                      <w:rFonts w:eastAsia="Times New Roman"/>
                      <w:sz w:val="18"/>
                      <w:szCs w:val="18"/>
                    </w:rPr>
                    <w:t>5</w:t>
                  </w:r>
                </w:p>
              </w:tc>
            </w:tr>
            <w:tr w14:paraId="4F1FE92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0" w:type="auto"/>
                  <w:gridSpan w:val="2"/>
                  <w:tcBorders>
                    <w:tl2br w:val="nil"/>
                    <w:tr2bl w:val="nil"/>
                  </w:tcBorders>
                  <w:vAlign w:val="center"/>
                </w:tcPr>
                <w:p w14:paraId="40983D44">
                  <w:pPr>
                    <w:pStyle w:val="24"/>
                    <w:widowControl w:val="0"/>
                    <w:rPr>
                      <w:sz w:val="18"/>
                      <w:szCs w:val="18"/>
                    </w:rPr>
                  </w:pPr>
                  <w:r>
                    <w:rPr>
                      <w:rFonts w:ascii="宋体" w:hAnsi="宋体" w:cs="宋体"/>
                      <w:spacing w:val="-2"/>
                      <w:sz w:val="18"/>
                      <w:szCs w:val="18"/>
                    </w:rPr>
                    <w:t>评</w:t>
                  </w:r>
                  <w:r>
                    <w:rPr>
                      <w:rFonts w:ascii="宋体" w:hAnsi="宋体" w:cs="宋体"/>
                      <w:spacing w:val="-1"/>
                      <w:sz w:val="18"/>
                      <w:szCs w:val="18"/>
                    </w:rPr>
                    <w:t>价</w:t>
                  </w:r>
                </w:p>
              </w:tc>
              <w:tc>
                <w:tcPr>
                  <w:tcW w:w="0" w:type="auto"/>
                  <w:tcBorders>
                    <w:tl2br w:val="nil"/>
                    <w:tr2bl w:val="nil"/>
                  </w:tcBorders>
                  <w:vAlign w:val="center"/>
                </w:tcPr>
                <w:p w14:paraId="2B733711">
                  <w:pPr>
                    <w:pStyle w:val="24"/>
                    <w:widowControl w:val="0"/>
                    <w:rPr>
                      <w:sz w:val="18"/>
                      <w:szCs w:val="18"/>
                    </w:rPr>
                  </w:pPr>
                  <w:r>
                    <w:rPr>
                      <w:rFonts w:ascii="宋体" w:hAnsi="宋体" w:cs="宋体"/>
                      <w:spacing w:val="-2"/>
                      <w:sz w:val="18"/>
                      <w:szCs w:val="18"/>
                    </w:rPr>
                    <w:t>满</w:t>
                  </w:r>
                  <w:r>
                    <w:rPr>
                      <w:rFonts w:ascii="宋体" w:hAnsi="宋体" w:cs="宋体"/>
                      <w:spacing w:val="-1"/>
                      <w:sz w:val="18"/>
                      <w:szCs w:val="18"/>
                    </w:rPr>
                    <w:t>足</w:t>
                  </w:r>
                </w:p>
              </w:tc>
              <w:tc>
                <w:tcPr>
                  <w:tcW w:w="0" w:type="auto"/>
                  <w:tcBorders>
                    <w:tl2br w:val="nil"/>
                    <w:tr2bl w:val="nil"/>
                  </w:tcBorders>
                  <w:vAlign w:val="center"/>
                </w:tcPr>
                <w:p w14:paraId="7E144716">
                  <w:pPr>
                    <w:pStyle w:val="24"/>
                    <w:widowControl w:val="0"/>
                    <w:rPr>
                      <w:sz w:val="18"/>
                      <w:szCs w:val="18"/>
                    </w:rPr>
                  </w:pPr>
                  <w:r>
                    <w:rPr>
                      <w:rFonts w:ascii="宋体" w:hAnsi="宋体" w:cs="宋体"/>
                      <w:spacing w:val="-2"/>
                      <w:sz w:val="18"/>
                      <w:szCs w:val="18"/>
                    </w:rPr>
                    <w:t>满</w:t>
                  </w:r>
                  <w:r>
                    <w:rPr>
                      <w:rFonts w:ascii="宋体" w:hAnsi="宋体" w:cs="宋体"/>
                      <w:spacing w:val="-1"/>
                      <w:sz w:val="18"/>
                      <w:szCs w:val="18"/>
                    </w:rPr>
                    <w:t>足</w:t>
                  </w:r>
                </w:p>
              </w:tc>
              <w:tc>
                <w:tcPr>
                  <w:tcW w:w="1395" w:type="dxa"/>
                  <w:tcBorders>
                    <w:tl2br w:val="nil"/>
                    <w:tr2bl w:val="nil"/>
                  </w:tcBorders>
                  <w:vAlign w:val="center"/>
                </w:tcPr>
                <w:p w14:paraId="5C904F49">
                  <w:pPr>
                    <w:pStyle w:val="24"/>
                    <w:widowControl w:val="0"/>
                    <w:rPr>
                      <w:rFonts w:hint="eastAsia" w:ascii="宋体" w:hAnsi="宋体" w:cs="宋体"/>
                      <w:spacing w:val="-2"/>
                      <w:sz w:val="18"/>
                      <w:szCs w:val="18"/>
                    </w:rPr>
                  </w:pPr>
                  <w:r>
                    <w:rPr>
                      <w:rFonts w:hint="eastAsia" w:ascii="宋体" w:hAnsi="宋体" w:cs="宋体"/>
                      <w:spacing w:val="-2"/>
                      <w:sz w:val="18"/>
                      <w:szCs w:val="18"/>
                    </w:rPr>
                    <w:t>满足</w:t>
                  </w:r>
                </w:p>
              </w:tc>
              <w:tc>
                <w:tcPr>
                  <w:tcW w:w="1071" w:type="dxa"/>
                  <w:tcBorders>
                    <w:tl2br w:val="nil"/>
                    <w:tr2bl w:val="nil"/>
                  </w:tcBorders>
                  <w:vAlign w:val="center"/>
                </w:tcPr>
                <w:p w14:paraId="6AF814DF">
                  <w:pPr>
                    <w:pStyle w:val="24"/>
                    <w:widowControl w:val="0"/>
                    <w:rPr>
                      <w:sz w:val="18"/>
                      <w:szCs w:val="18"/>
                    </w:rPr>
                  </w:pPr>
                  <w:r>
                    <w:rPr>
                      <w:rFonts w:ascii="宋体" w:hAnsi="宋体" w:cs="宋体"/>
                      <w:spacing w:val="-2"/>
                      <w:sz w:val="18"/>
                      <w:szCs w:val="18"/>
                    </w:rPr>
                    <w:t>满</w:t>
                  </w:r>
                  <w:r>
                    <w:rPr>
                      <w:rFonts w:ascii="宋体" w:hAnsi="宋体" w:cs="宋体"/>
                      <w:spacing w:val="-1"/>
                      <w:sz w:val="18"/>
                      <w:szCs w:val="18"/>
                    </w:rPr>
                    <w:t>足</w:t>
                  </w:r>
                </w:p>
              </w:tc>
              <w:tc>
                <w:tcPr>
                  <w:tcW w:w="0" w:type="auto"/>
                  <w:tcBorders>
                    <w:tl2br w:val="nil"/>
                    <w:tr2bl w:val="nil"/>
                  </w:tcBorders>
                  <w:vAlign w:val="center"/>
                </w:tcPr>
                <w:p w14:paraId="4A458ED8">
                  <w:pPr>
                    <w:pStyle w:val="24"/>
                    <w:widowControl w:val="0"/>
                    <w:rPr>
                      <w:sz w:val="18"/>
                      <w:szCs w:val="18"/>
                    </w:rPr>
                  </w:pPr>
                  <w:r>
                    <w:rPr>
                      <w:rFonts w:ascii="宋体" w:hAnsi="宋体" w:cs="宋体"/>
                      <w:spacing w:val="-2"/>
                      <w:sz w:val="18"/>
                      <w:szCs w:val="18"/>
                    </w:rPr>
                    <w:t>满</w:t>
                  </w:r>
                  <w:r>
                    <w:rPr>
                      <w:rFonts w:ascii="宋体" w:hAnsi="宋体" w:cs="宋体"/>
                      <w:spacing w:val="-1"/>
                      <w:sz w:val="18"/>
                      <w:szCs w:val="18"/>
                    </w:rPr>
                    <w:t>足</w:t>
                  </w:r>
                </w:p>
              </w:tc>
              <w:tc>
                <w:tcPr>
                  <w:tcW w:w="0" w:type="auto"/>
                  <w:tcBorders>
                    <w:tl2br w:val="nil"/>
                    <w:tr2bl w:val="nil"/>
                  </w:tcBorders>
                  <w:vAlign w:val="center"/>
                </w:tcPr>
                <w:p w14:paraId="6985DA98">
                  <w:pPr>
                    <w:pStyle w:val="24"/>
                    <w:widowControl w:val="0"/>
                    <w:rPr>
                      <w:sz w:val="18"/>
                      <w:szCs w:val="18"/>
                    </w:rPr>
                  </w:pPr>
                  <w:r>
                    <w:rPr>
                      <w:rFonts w:ascii="宋体" w:hAnsi="宋体" w:cs="宋体"/>
                      <w:spacing w:val="-2"/>
                      <w:sz w:val="18"/>
                      <w:szCs w:val="18"/>
                    </w:rPr>
                    <w:t>满</w:t>
                  </w:r>
                  <w:r>
                    <w:rPr>
                      <w:rFonts w:ascii="宋体" w:hAnsi="宋体" w:cs="宋体"/>
                      <w:spacing w:val="-1"/>
                      <w:sz w:val="18"/>
                      <w:szCs w:val="18"/>
                    </w:rPr>
                    <w:t>足</w:t>
                  </w:r>
                </w:p>
              </w:tc>
            </w:tr>
          </w:tbl>
          <w:p w14:paraId="1640B1F9">
            <w:pPr>
              <w:pStyle w:val="6"/>
            </w:pPr>
            <w:r>
              <w:t>注</w:t>
            </w:r>
            <w:r>
              <w:rPr>
                <w:rFonts w:hint="eastAsia"/>
              </w:rPr>
              <w:t>：</w:t>
            </w:r>
            <w:r>
              <w:t xml:space="preserve"> </w:t>
            </w:r>
            <w:r>
              <w:rPr>
                <w:rFonts w:hint="eastAsia" w:ascii="宋体" w:hAnsi="宋体" w:eastAsia="宋体" w:cs="宋体"/>
              </w:rPr>
              <w:t>①</w:t>
            </w:r>
            <w:r>
              <w:rPr>
                <w:rFonts w:eastAsia="Times New Roman" w:cs="Times New Roman"/>
                <w:spacing w:val="-4"/>
              </w:rPr>
              <w:t>H</w:t>
            </w:r>
            <w:r>
              <w:rPr>
                <w:rFonts w:eastAsia="Times New Roman" w:cs="Times New Roman"/>
                <w:sz w:val="12"/>
                <w:szCs w:val="12"/>
              </w:rPr>
              <w:t xml:space="preserve">0 </w:t>
            </w:r>
            <w:r>
              <w:t>：取值由上文</w:t>
            </w:r>
            <w:r>
              <w:rPr>
                <w:rFonts w:hint="eastAsia"/>
              </w:rPr>
              <w:t>21.4</w:t>
            </w:r>
            <w:r>
              <w:t>mGy·m</w:t>
            </w:r>
            <w:r>
              <w:rPr>
                <w:vertAlign w:val="superscript"/>
              </w:rPr>
              <w:t>2</w:t>
            </w:r>
            <w:r>
              <w:t>/(mA·min)单位换算得到；</w:t>
            </w:r>
          </w:p>
          <w:p w14:paraId="79A5EC8B">
            <w:pPr>
              <w:pStyle w:val="6"/>
              <w:rPr>
                <w:spacing w:val="-4"/>
              </w:rPr>
            </w:pPr>
            <w:r>
              <w:rPr>
                <w:rFonts w:hint="eastAsia" w:ascii="宋体" w:hAnsi="宋体" w:eastAsia="宋体" w:cs="宋体"/>
                <w:spacing w:val="-4"/>
              </w:rPr>
              <w:t>②</w:t>
            </w:r>
            <w:r>
              <w:rPr>
                <w:rFonts w:hint="eastAsia"/>
                <w:spacing w:val="-4"/>
              </w:rPr>
              <w:t>辐射源到东侧、南侧、西侧、北侧、维修门、进出料门关注点距离依据表1</w:t>
            </w:r>
            <w:r>
              <w:rPr>
                <w:spacing w:val="-4"/>
              </w:rPr>
              <w:t>1-1</w:t>
            </w:r>
            <w:r>
              <w:rPr>
                <w:rFonts w:hint="eastAsia"/>
                <w:spacing w:val="-4"/>
              </w:rPr>
              <w:t>。</w:t>
            </w:r>
          </w:p>
          <w:p w14:paraId="5BF19A28">
            <w:pPr>
              <w:pStyle w:val="6"/>
              <w:ind w:left="206" w:hanging="202" w:hangingChars="100"/>
              <w:rPr>
                <w:rFonts w:eastAsiaTheme="minorEastAsia"/>
              </w:rPr>
            </w:pPr>
            <w:r>
              <w:rPr>
                <w:rFonts w:cs="Cambria Math" w:asciiTheme="minorEastAsia" w:hAnsiTheme="minorEastAsia" w:eastAsiaTheme="minorEastAsia"/>
                <w:spacing w:val="-4"/>
              </w:rPr>
              <w:t>③</w:t>
            </w:r>
            <w:r>
              <w:rPr>
                <w:spacing w:val="-4"/>
              </w:rPr>
              <w:t>本项目硫酸钡涂料密度为3.5g/cm</w:t>
            </w:r>
            <w:r>
              <w:rPr>
                <w:spacing w:val="-4"/>
                <w:vertAlign w:val="superscript"/>
              </w:rPr>
              <w:t>3</w:t>
            </w:r>
            <w:r>
              <w:rPr>
                <w:spacing w:val="-4"/>
              </w:rPr>
              <w:t>，</w:t>
            </w:r>
            <w:r>
              <w:rPr>
                <w:rFonts w:hint="eastAsia"/>
                <w:spacing w:val="-4"/>
              </w:rPr>
              <w:t>砖混结构密度为1.8</w:t>
            </w:r>
            <w:r>
              <w:rPr>
                <w:spacing w:val="-4"/>
              </w:rPr>
              <w:t>g/cm</w:t>
            </w:r>
            <w:r>
              <w:rPr>
                <w:spacing w:val="-4"/>
                <w:vertAlign w:val="superscript"/>
              </w:rPr>
              <w:t>3</w:t>
            </w:r>
            <w:r>
              <w:rPr>
                <w:rFonts w:hint="eastAsia"/>
                <w:spacing w:val="-4"/>
              </w:rPr>
              <w:t>，</w:t>
            </w:r>
            <w:r>
              <w:rPr>
                <w:spacing w:val="-4"/>
              </w:rPr>
              <w:t>根据</w:t>
            </w:r>
            <w:r>
              <w:rPr>
                <w:rFonts w:hint="eastAsia"/>
                <w:spacing w:val="-4"/>
              </w:rPr>
              <w:t>《无损检测仪器 1MV以下 X 射线设备的辐射防护规则 第3部分：450kV以下 X 射线设备辐射防护的计算公式和图表》（GB/Z 41476.3-2022）表4</w:t>
            </w:r>
            <w:r>
              <w:rPr>
                <w:spacing w:val="-4"/>
              </w:rPr>
              <w:t>，</w:t>
            </w:r>
            <w:r>
              <w:rPr>
                <w:rFonts w:hint="eastAsia"/>
                <w:spacing w:val="-4"/>
              </w:rPr>
              <w:t>本项目硫酸钡涂料保守以重混凝土考虑，300kV下88mm重混凝土对应铅厚度为6mm，115mm重混凝土对应铅厚度为8mm，内插法求得100mm重混凝土对应铅厚度约为6.9mm，同理可求得400kV下100mm重混凝土对应铅厚度约为7.6mm，内插法求得320kV下100mm重混凝土对应铅厚度约为7mm；根据表5，300kV下砖结构对应铅厚度为12.3mm，400kV下砖结构对应厚度为16.6mm，内插法求得320kV砖结构对应铅厚度约为13mm。因此10</w:t>
            </w:r>
            <w:r>
              <w:rPr>
                <w:spacing w:val="-4"/>
              </w:rPr>
              <w:t>0mm硫酸钡涂料约为</w:t>
            </w:r>
            <w:r>
              <w:rPr>
                <w:rFonts w:hint="eastAsia"/>
                <w:spacing w:val="-4"/>
              </w:rPr>
              <w:t>7</w:t>
            </w:r>
            <w:r>
              <w:rPr>
                <w:spacing w:val="-4"/>
              </w:rPr>
              <w:t>mm</w:t>
            </w:r>
            <w:r>
              <w:rPr>
                <w:rFonts w:hint="eastAsia"/>
                <w:spacing w:val="-4"/>
              </w:rPr>
              <w:t>铅，480mm砖混结构约为13mm铅，四周</w:t>
            </w:r>
            <w:r>
              <w:rPr>
                <w:spacing w:val="-4"/>
              </w:rPr>
              <w:t>屏蔽体</w:t>
            </w:r>
            <w:r>
              <w:rPr>
                <w:rFonts w:hint="eastAsia"/>
                <w:spacing w:val="-4"/>
              </w:rPr>
              <w:t>和通风口、电缆口防护罩</w:t>
            </w:r>
            <w:r>
              <w:rPr>
                <w:spacing w:val="-4"/>
              </w:rPr>
              <w:t>厚度可等效为</w:t>
            </w:r>
            <w:r>
              <w:rPr>
                <w:rFonts w:hint="eastAsia"/>
                <w:spacing w:val="-4"/>
              </w:rPr>
              <w:t>20</w:t>
            </w:r>
            <w:r>
              <w:rPr>
                <w:spacing w:val="-4"/>
              </w:rPr>
              <w:t>mm</w:t>
            </w:r>
            <w:r>
              <w:rPr>
                <w:rFonts w:hint="eastAsia"/>
                <w:spacing w:val="-4"/>
              </w:rPr>
              <w:t>铅</w:t>
            </w:r>
            <w:r>
              <w:rPr>
                <w:spacing w:val="-4"/>
              </w:rPr>
              <w:t>。</w:t>
            </w:r>
          </w:p>
          <w:p w14:paraId="20FC4BF6">
            <w:pPr>
              <w:pStyle w:val="2"/>
              <w:ind w:firstLine="452"/>
              <w:rPr>
                <w:rFonts w:eastAsiaTheme="minorEastAsia"/>
              </w:rPr>
            </w:pPr>
            <w:r>
              <w:rPr>
                <w:spacing w:val="-14"/>
              </w:rPr>
              <w:t>从</w:t>
            </w:r>
            <w:r>
              <w:rPr>
                <w:spacing w:val="-8"/>
              </w:rPr>
              <w:t>表</w:t>
            </w:r>
            <w:r>
              <w:rPr>
                <w:spacing w:val="-7"/>
              </w:rPr>
              <w:t xml:space="preserve"> 11- </w:t>
            </w:r>
            <w:r>
              <w:rPr>
                <w:rFonts w:hint="eastAsia"/>
                <w:spacing w:val="-7"/>
              </w:rPr>
              <w:t>2</w:t>
            </w:r>
            <w:r>
              <w:rPr>
                <w:spacing w:val="-7"/>
              </w:rPr>
              <w:t xml:space="preserve"> 与表 11-</w:t>
            </w:r>
            <w:r>
              <w:rPr>
                <w:rFonts w:hint="eastAsia"/>
                <w:spacing w:val="-7"/>
              </w:rPr>
              <w:t>3</w:t>
            </w:r>
            <w:r>
              <w:rPr>
                <w:spacing w:val="-7"/>
              </w:rPr>
              <w:t xml:space="preserve"> 中预测结果可知，当本项目</w:t>
            </w:r>
            <w:r>
              <w:rPr>
                <w:rFonts w:hint="eastAsia"/>
                <w:spacing w:val="-7"/>
              </w:rPr>
              <w:t xml:space="preserve"> </w:t>
            </w:r>
            <w:r>
              <w:rPr>
                <w:rFonts w:cs="Times New Roman"/>
                <w:spacing w:val="-2"/>
                <w:szCs w:val="24"/>
              </w:rPr>
              <w:t>X</w:t>
            </w:r>
            <w:r>
              <w:rPr>
                <w:rFonts w:ascii="宋体" w:hAnsi="宋体" w:cs="宋体"/>
                <w:spacing w:val="-2"/>
                <w:szCs w:val="24"/>
              </w:rPr>
              <w:t xml:space="preserve"> </w:t>
            </w:r>
            <w:r>
              <w:rPr>
                <w:rFonts w:hint="eastAsia" w:ascii="宋体" w:hAnsi="宋体" w:cs="宋体"/>
                <w:spacing w:val="-2"/>
                <w:szCs w:val="24"/>
              </w:rPr>
              <w:t>射线</w:t>
            </w:r>
            <w:r>
              <w:rPr>
                <w:rFonts w:hint="eastAsia"/>
                <w:spacing w:val="-7"/>
              </w:rPr>
              <w:t>设备</w:t>
            </w:r>
            <w:r>
              <w:rPr>
                <w:spacing w:val="-7"/>
              </w:rPr>
              <w:t>为</w:t>
            </w:r>
            <w:r>
              <w:rPr>
                <w:spacing w:val="-10"/>
              </w:rPr>
              <w:t>满功率运行</w:t>
            </w:r>
            <w:r>
              <w:rPr>
                <w:spacing w:val="-7"/>
              </w:rPr>
              <w:t>时</w:t>
            </w:r>
            <w:r>
              <w:rPr>
                <w:spacing w:val="-5"/>
              </w:rPr>
              <w:t>，</w:t>
            </w:r>
            <w:r>
              <w:rPr>
                <w:rFonts w:hint="eastAsia"/>
                <w:spacing w:val="-5"/>
              </w:rPr>
              <w:t>曝光室</w:t>
            </w:r>
            <w:r>
              <w:rPr>
                <w:spacing w:val="-5"/>
              </w:rPr>
              <w:t>四周屏蔽体、顶部</w:t>
            </w:r>
            <w:r>
              <w:rPr>
                <w:rFonts w:hint="eastAsia"/>
                <w:spacing w:val="-5"/>
              </w:rPr>
              <w:t>、维修门</w:t>
            </w:r>
            <w:r>
              <w:rPr>
                <w:spacing w:val="-5"/>
              </w:rPr>
              <w:t>及</w:t>
            </w:r>
            <w:r>
              <w:rPr>
                <w:rFonts w:hint="eastAsia"/>
                <w:spacing w:val="-5"/>
              </w:rPr>
              <w:t>进/出料</w:t>
            </w:r>
            <w:r>
              <w:rPr>
                <w:spacing w:val="-5"/>
              </w:rPr>
              <w:t>门外 30cm 处的最大辐射剂量</w:t>
            </w:r>
            <w:r>
              <w:rPr>
                <w:spacing w:val="-2"/>
              </w:rPr>
              <w:t xml:space="preserve">率约为 </w:t>
            </w:r>
            <w:r>
              <w:rPr>
                <w:rFonts w:hint="eastAsia"/>
                <w:spacing w:val="-2"/>
              </w:rPr>
              <w:t>2.39</w:t>
            </w:r>
            <w:r>
              <w:t>μSv/h，均能够满足《工业探伤放射防护</w:t>
            </w:r>
            <w:r>
              <w:rPr>
                <w:rFonts w:hint="eastAsia"/>
              </w:rPr>
              <w:t>标准</w:t>
            </w:r>
            <w:r>
              <w:t>》(GBZ 117-20</w:t>
            </w:r>
            <w:r>
              <w:rPr>
                <w:rFonts w:hint="eastAsia"/>
              </w:rPr>
              <w:t>22</w:t>
            </w:r>
            <w:r>
              <w:t>)及</w:t>
            </w:r>
            <w:r>
              <w:rPr>
                <w:spacing w:val="6"/>
              </w:rPr>
              <w:t>《工</w:t>
            </w:r>
            <w:r>
              <w:rPr>
                <w:spacing w:val="3"/>
              </w:rPr>
              <w:t xml:space="preserve">业 </w:t>
            </w:r>
            <w:r>
              <w:t>X</w:t>
            </w:r>
            <w:r>
              <w:rPr>
                <w:spacing w:val="3"/>
              </w:rPr>
              <w:t xml:space="preserve"> 射线探伤室辐射屏蔽规范》(</w:t>
            </w:r>
            <w:r>
              <w:t>GBZ</w:t>
            </w:r>
            <w:r>
              <w:rPr>
                <w:spacing w:val="3"/>
              </w:rPr>
              <w:t>/</w:t>
            </w:r>
            <w:r>
              <w:t>T</w:t>
            </w:r>
            <w:r>
              <w:rPr>
                <w:spacing w:val="3"/>
              </w:rPr>
              <w:t xml:space="preserve"> 250-2014)中“关注点最高周围剂量当</w:t>
            </w:r>
            <w:r>
              <w:rPr>
                <w:spacing w:val="-4"/>
              </w:rPr>
              <w:t>量率参考控制水平</w:t>
            </w:r>
            <w:r>
              <w:rPr>
                <w:spacing w:val="-3"/>
              </w:rPr>
              <w:t>不</w:t>
            </w:r>
            <w:r>
              <w:rPr>
                <w:spacing w:val="-2"/>
              </w:rPr>
              <w:t>大于 2.5μSv/h”的要求。</w:t>
            </w:r>
          </w:p>
        </w:tc>
      </w:tr>
      <w:tr w14:paraId="2B50818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c>
          <w:tcPr>
            <w:tcW w:w="9076" w:type="dxa"/>
            <w:tcBorders>
              <w:tl2br w:val="nil"/>
              <w:tr2bl w:val="nil"/>
            </w:tcBorders>
            <w:vAlign w:val="bottom"/>
          </w:tcPr>
          <w:p w14:paraId="054A4820">
            <w:pPr>
              <w:pStyle w:val="4"/>
            </w:pPr>
            <w:r>
              <w:t>2.2 天空反散射影响分析</w:t>
            </w:r>
          </w:p>
          <w:p w14:paraId="4338DE51">
            <w:pPr>
              <w:pStyle w:val="2"/>
              <w:ind w:firstLine="480"/>
            </w:pPr>
            <w:r>
              <w:rPr>
                <w:rFonts w:hint="eastAsia"/>
              </w:rPr>
              <w:t>本项目 X 射线实时成像检测装置在满功率运行时，由于曝光室顶部屏蔽体上方30cm处的最大辐射剂量率为0.19</w:t>
            </w:r>
            <w:r>
              <w:rPr>
                <w:rFonts w:cs="Times New Roman"/>
              </w:rPr>
              <w:t>μ</w:t>
            </w:r>
            <w:r>
              <w:rPr>
                <w:rFonts w:hint="eastAsia"/>
              </w:rPr>
              <w:t>Sv/h，穿透顶部屏蔽体后的 X 射线在经大气散射返回地面后的辐射剂量率将更低，因此 X 射线曝光室顶部天空反射能够满足“关注点最高周围剂量当量率参考控制水平不大于2.5</w:t>
            </w:r>
            <w:r>
              <w:rPr>
                <w:rFonts w:cs="Times New Roman"/>
              </w:rPr>
              <w:t>μ</w:t>
            </w:r>
            <w:r>
              <w:rPr>
                <w:rFonts w:hint="eastAsia"/>
              </w:rPr>
              <w:t>Sv/h”的要求。</w:t>
            </w:r>
          </w:p>
          <w:p w14:paraId="0DEC1D63">
            <w:pPr>
              <w:pStyle w:val="4"/>
            </w:pPr>
            <w:r>
              <w:rPr>
                <w:rFonts w:hint="eastAsia"/>
              </w:rPr>
              <w:t>2.3 通风管道、电缆管道、防护门缝隙处辐射防护评价</w:t>
            </w:r>
          </w:p>
          <w:p w14:paraId="6F17B583">
            <w:pPr>
              <w:pStyle w:val="2"/>
              <w:ind w:firstLine="480"/>
            </w:pPr>
            <w:r>
              <w:rPr>
                <w:rFonts w:hint="eastAsia"/>
              </w:rPr>
              <w:t>本项目 X 射线实时成像检测装置的通风口位于曝光室南侧墙体底部，电缆口位于曝光室西侧，通风口、电缆口外拟采用480mm砖混结构+</w:t>
            </w:r>
            <w:r>
              <w:t>100mmBaSO</w:t>
            </w:r>
            <w:r>
              <w:rPr>
                <w:vertAlign w:val="subscript"/>
              </w:rPr>
              <w:t>4</w:t>
            </w:r>
            <w:r>
              <w:rPr>
                <w:rFonts w:hint="eastAsia"/>
              </w:rPr>
              <w:t>防护罩进行防护；由表11-2及表11-3计算结果可知，本项目 X 射线实时成像检测装置在满功率工况下运行时，通风口外30cm处最大辐射剂量率为0.39</w:t>
            </w:r>
            <w:r>
              <w:rPr>
                <w:rFonts w:cs="Times New Roman"/>
              </w:rPr>
              <w:t>μ</w:t>
            </w:r>
            <w:r>
              <w:rPr>
                <w:rFonts w:hint="eastAsia"/>
              </w:rPr>
              <w:t>Sv/h，电缆口外30cm处最大辐射剂量率为4.8</w:t>
            </w:r>
            <w:r>
              <w:t>×10</w:t>
            </w:r>
            <w:r>
              <w:rPr>
                <w:vertAlign w:val="superscript"/>
              </w:rPr>
              <w:t>-</w:t>
            </w:r>
            <w:r>
              <w:rPr>
                <w:rFonts w:hint="eastAsia"/>
                <w:vertAlign w:val="superscript"/>
              </w:rPr>
              <w:t>3</w:t>
            </w:r>
            <w:r>
              <w:rPr>
                <w:rFonts w:cs="Times New Roman"/>
              </w:rPr>
              <w:t>μ</w:t>
            </w:r>
            <w:r>
              <w:rPr>
                <w:rFonts w:hint="eastAsia"/>
              </w:rPr>
              <w:t>Sv/h，均能满足要求。且根据《辐射防护导论》第189页“实例证明，如果一个能使辐射至少散射三次以上的迷道，是能保证迷道口工作人员的安全”。本项目 X 射线经过通风口、电缆口防护罩结构时至少会经过3次散射到达管道口处，可推断管道口处的辐射剂量率能够满足标准要求。通风口、电缆口散射示意图见下图。</w:t>
            </w:r>
          </w:p>
          <w:p w14:paraId="0F8C4124">
            <w:pPr>
              <w:pStyle w:val="2"/>
              <w:ind w:firstLine="480"/>
            </w:pPr>
            <w:r>
              <w:rPr>
                <w:rFonts w:hint="eastAsia"/>
              </w:rPr>
              <w:t>本项目 X 射线实时成像检测装置</w:t>
            </w:r>
            <w:r>
              <w:t>西侧维修门尺寸为1.2m宽×2.2m高，进出料门尺寸为1.8m宽×3.6m高，</w:t>
            </w:r>
            <w:bookmarkStart w:id="22" w:name="OLE_LINK15"/>
            <w:r>
              <w:rPr>
                <w:rFonts w:hint="eastAsia"/>
              </w:rPr>
              <w:t>维修门、进出料门</w:t>
            </w:r>
            <w:bookmarkEnd w:id="22"/>
            <w:r>
              <w:rPr>
                <w:rFonts w:hint="eastAsia"/>
              </w:rPr>
              <w:t>与曝光室屏蔽体缝隙均小于5mm，搭接长度不少于100mm，墙体搭接与门缝间隙不小于10倍，射线经过多次散射后才能出门缝隙，可推断维修门、进出料门缝隙处的辐射剂量率能够满足标准要求。</w:t>
            </w:r>
          </w:p>
          <w:p w14:paraId="252D1BD8">
            <w:pPr>
              <w:pStyle w:val="23"/>
            </w:pPr>
            <w:r>
              <w:rPr>
                <w:snapToGrid/>
              </w:rPr>
              <w:drawing>
                <wp:inline distT="0" distB="0" distL="0" distR="0">
                  <wp:extent cx="5676900" cy="3549015"/>
                  <wp:effectExtent l="0" t="0" r="0" b="0"/>
                  <wp:docPr id="4480671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067105" name="图片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77609" cy="3549757"/>
                          </a:xfrm>
                          <a:prstGeom prst="rect">
                            <a:avLst/>
                          </a:prstGeom>
                        </pic:spPr>
                      </pic:pic>
                    </a:graphicData>
                  </a:graphic>
                </wp:inline>
              </w:drawing>
            </w:r>
          </w:p>
          <w:p w14:paraId="5453BB97">
            <w:pPr>
              <w:pStyle w:val="21"/>
              <w:rPr>
                <w:rFonts w:hint="eastAsia" w:ascii="宋体" w:hAnsi="宋体" w:cs="宋体"/>
                <w:sz w:val="24"/>
                <w:szCs w:val="24"/>
              </w:rPr>
            </w:pPr>
            <w:r>
              <w:rPr>
                <w:rFonts w:hint="eastAsia"/>
              </w:rPr>
              <w:t>图11-2 通风口、线缆口散射示意图</w:t>
            </w:r>
          </w:p>
        </w:tc>
      </w:tr>
      <w:tr w14:paraId="7BB3C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9076" w:type="dxa"/>
            <w:vAlign w:val="bottom"/>
          </w:tcPr>
          <w:p w14:paraId="4A85BA36">
            <w:pPr>
              <w:pStyle w:val="3"/>
            </w:pPr>
            <w:r>
              <w:rPr>
                <w:rFonts w:hint="eastAsia" w:cs="Times New Roman"/>
              </w:rPr>
              <w:t>3</w:t>
            </w:r>
            <w:r>
              <w:rPr>
                <w:rFonts w:eastAsia="Times New Roman" w:cs="Times New Roman"/>
              </w:rPr>
              <w:t xml:space="preserve"> </w:t>
            </w:r>
            <w:r>
              <w:t xml:space="preserve"> 有效剂量估算</w:t>
            </w:r>
          </w:p>
          <w:p w14:paraId="308CA20E">
            <w:pPr>
              <w:pStyle w:val="2"/>
              <w:ind w:firstLine="480"/>
            </w:pPr>
            <w:r>
              <w:rPr>
                <w:rFonts w:hint="eastAsia"/>
              </w:rPr>
              <w:t>本项目辐射工作人员为射线装置操作人员，工作时位于 X 射线实时成像检测装置西侧操作室操作台处进行操作，公众主要为 X 射线实时成像检测装置周围50m范围内其他人员。将表11-2、表11-3估算结果代入公式（11-5），保守以 X 射线实时成像检测装置外30cm处最大辐射剂量率进行周有效剂量及年有效剂量估算，结果见表11-4、表11-5。</w:t>
            </w:r>
          </w:p>
          <w:p w14:paraId="73ACDE83">
            <w:pPr>
              <w:pStyle w:val="21"/>
            </w:pPr>
            <w:r>
              <w:rPr>
                <w:rFonts w:hint="eastAsia"/>
              </w:rPr>
              <w:t>表11-4 本项目 X 射线实时成像检测装置周围人员受照有效剂量结果评价</w:t>
            </w:r>
          </w:p>
          <w:tbl>
            <w:tblPr>
              <w:tblStyle w:val="13"/>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64"/>
              <w:gridCol w:w="735"/>
              <w:gridCol w:w="648"/>
              <w:gridCol w:w="1951"/>
              <w:gridCol w:w="1308"/>
              <w:gridCol w:w="1005"/>
              <w:gridCol w:w="1294"/>
              <w:gridCol w:w="1208"/>
              <w:gridCol w:w="464"/>
            </w:tblGrid>
            <w:tr w14:paraId="68F474B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41BF8A9">
                  <w:pPr>
                    <w:pStyle w:val="24"/>
                    <w:widowControl w:val="0"/>
                    <w:rPr>
                      <w:sz w:val="18"/>
                      <w:szCs w:val="18"/>
                    </w:rPr>
                  </w:pPr>
                  <w:r>
                    <w:rPr>
                      <w:rFonts w:hint="eastAsia"/>
                      <w:sz w:val="18"/>
                      <w:szCs w:val="18"/>
                    </w:rPr>
                    <w:t>序号</w:t>
                  </w:r>
                </w:p>
              </w:tc>
              <w:tc>
                <w:tcPr>
                  <w:tcW w:w="0" w:type="auto"/>
                  <w:vAlign w:val="center"/>
                </w:tcPr>
                <w:p w14:paraId="201F59D7">
                  <w:pPr>
                    <w:pStyle w:val="24"/>
                    <w:widowControl w:val="0"/>
                    <w:rPr>
                      <w:sz w:val="18"/>
                      <w:szCs w:val="18"/>
                    </w:rPr>
                  </w:pPr>
                  <w:r>
                    <w:rPr>
                      <w:rFonts w:hint="eastAsia"/>
                      <w:sz w:val="18"/>
                      <w:szCs w:val="18"/>
                    </w:rPr>
                    <w:t>关注点</w:t>
                  </w:r>
                </w:p>
              </w:tc>
              <w:tc>
                <w:tcPr>
                  <w:tcW w:w="0" w:type="auto"/>
                  <w:vAlign w:val="center"/>
                </w:tcPr>
                <w:p w14:paraId="6DC65CE7">
                  <w:pPr>
                    <w:pStyle w:val="24"/>
                    <w:widowControl w:val="0"/>
                    <w:rPr>
                      <w:sz w:val="18"/>
                      <w:szCs w:val="18"/>
                    </w:rPr>
                  </w:pPr>
                  <w:r>
                    <w:rPr>
                      <w:rFonts w:hint="eastAsia"/>
                      <w:sz w:val="18"/>
                      <w:szCs w:val="18"/>
                    </w:rPr>
                    <w:t>使用因子U</w:t>
                  </w:r>
                </w:p>
              </w:tc>
              <w:tc>
                <w:tcPr>
                  <w:tcW w:w="0" w:type="auto"/>
                  <w:vAlign w:val="center"/>
                </w:tcPr>
                <w:p w14:paraId="6DE6F4EA">
                  <w:pPr>
                    <w:pStyle w:val="24"/>
                    <w:widowControl w:val="0"/>
                    <w:rPr>
                      <w:sz w:val="18"/>
                      <w:szCs w:val="18"/>
                    </w:rPr>
                  </w:pPr>
                  <w:r>
                    <w:rPr>
                      <w:rFonts w:hint="eastAsia"/>
                      <w:sz w:val="18"/>
                      <w:szCs w:val="18"/>
                    </w:rPr>
                    <w:t>居留因子T</w:t>
                  </w:r>
                </w:p>
              </w:tc>
              <w:tc>
                <w:tcPr>
                  <w:tcW w:w="0" w:type="auto"/>
                  <w:vAlign w:val="center"/>
                </w:tcPr>
                <w:p w14:paraId="504E9D88">
                  <w:pPr>
                    <w:pStyle w:val="24"/>
                    <w:widowControl w:val="0"/>
                    <w:rPr>
                      <w:sz w:val="18"/>
                      <w:szCs w:val="18"/>
                    </w:rPr>
                  </w:pPr>
                  <w:r>
                    <w:rPr>
                      <w:rFonts w:hint="eastAsia"/>
                      <w:sz w:val="18"/>
                      <w:szCs w:val="18"/>
                    </w:rPr>
                    <w:t>剂量率值（</w:t>
                  </w:r>
                  <w:r>
                    <w:rPr>
                      <w:sz w:val="18"/>
                      <w:szCs w:val="18"/>
                    </w:rPr>
                    <w:t>μ</w:t>
                  </w:r>
                  <w:r>
                    <w:rPr>
                      <w:rFonts w:hint="eastAsia"/>
                      <w:sz w:val="18"/>
                      <w:szCs w:val="18"/>
                    </w:rPr>
                    <w:t>Sv/h）*</w:t>
                  </w:r>
                </w:p>
              </w:tc>
              <w:tc>
                <w:tcPr>
                  <w:tcW w:w="0" w:type="auto"/>
                  <w:vAlign w:val="center"/>
                </w:tcPr>
                <w:p w14:paraId="72FE533A">
                  <w:pPr>
                    <w:pStyle w:val="24"/>
                    <w:widowControl w:val="0"/>
                    <w:rPr>
                      <w:sz w:val="18"/>
                      <w:szCs w:val="18"/>
                    </w:rPr>
                  </w:pPr>
                  <w:r>
                    <w:rPr>
                      <w:rFonts w:hint="eastAsia"/>
                      <w:sz w:val="18"/>
                      <w:szCs w:val="18"/>
                    </w:rPr>
                    <w:t>周工作时间（h）</w:t>
                  </w:r>
                </w:p>
              </w:tc>
              <w:tc>
                <w:tcPr>
                  <w:tcW w:w="0" w:type="auto"/>
                  <w:vAlign w:val="center"/>
                </w:tcPr>
                <w:p w14:paraId="21CBDCB2">
                  <w:pPr>
                    <w:pStyle w:val="24"/>
                    <w:widowControl w:val="0"/>
                    <w:rPr>
                      <w:sz w:val="18"/>
                      <w:szCs w:val="18"/>
                    </w:rPr>
                  </w:pPr>
                  <w:r>
                    <w:rPr>
                      <w:rFonts w:hint="eastAsia"/>
                      <w:sz w:val="18"/>
                      <w:szCs w:val="18"/>
                    </w:rPr>
                    <w:t>周剂量估算值（</w:t>
                  </w:r>
                  <w:r>
                    <w:rPr>
                      <w:sz w:val="18"/>
                      <w:szCs w:val="18"/>
                    </w:rPr>
                    <w:t>μ</w:t>
                  </w:r>
                  <w:r>
                    <w:rPr>
                      <w:rFonts w:hint="eastAsia"/>
                      <w:sz w:val="18"/>
                      <w:szCs w:val="18"/>
                    </w:rPr>
                    <w:t>Sv/周）</w:t>
                  </w:r>
                </w:p>
              </w:tc>
              <w:tc>
                <w:tcPr>
                  <w:tcW w:w="0" w:type="auto"/>
                  <w:vAlign w:val="center"/>
                </w:tcPr>
                <w:p w14:paraId="24DE5FA0">
                  <w:pPr>
                    <w:pStyle w:val="24"/>
                    <w:widowControl w:val="0"/>
                    <w:rPr>
                      <w:sz w:val="18"/>
                      <w:szCs w:val="18"/>
                    </w:rPr>
                  </w:pPr>
                  <w:r>
                    <w:rPr>
                      <w:rFonts w:hint="eastAsia"/>
                      <w:sz w:val="18"/>
                      <w:szCs w:val="18"/>
                    </w:rPr>
                    <w:t>剂量约束值（</w:t>
                  </w:r>
                  <w:r>
                    <w:rPr>
                      <w:sz w:val="18"/>
                      <w:szCs w:val="18"/>
                    </w:rPr>
                    <w:t>μ</w:t>
                  </w:r>
                  <w:r>
                    <w:rPr>
                      <w:rFonts w:hint="eastAsia"/>
                      <w:sz w:val="18"/>
                      <w:szCs w:val="18"/>
                    </w:rPr>
                    <w:t>Sv/周）</w:t>
                  </w:r>
                </w:p>
              </w:tc>
              <w:tc>
                <w:tcPr>
                  <w:tcW w:w="0" w:type="auto"/>
                  <w:vAlign w:val="center"/>
                </w:tcPr>
                <w:p w14:paraId="02073121">
                  <w:pPr>
                    <w:pStyle w:val="24"/>
                    <w:widowControl w:val="0"/>
                    <w:rPr>
                      <w:sz w:val="18"/>
                      <w:szCs w:val="18"/>
                    </w:rPr>
                  </w:pPr>
                  <w:r>
                    <w:rPr>
                      <w:rFonts w:hint="eastAsia"/>
                      <w:sz w:val="18"/>
                      <w:szCs w:val="18"/>
                    </w:rPr>
                    <w:t>评价</w:t>
                  </w:r>
                </w:p>
              </w:tc>
            </w:tr>
            <w:tr w14:paraId="7D709F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52E4D07">
                  <w:pPr>
                    <w:pStyle w:val="24"/>
                    <w:widowControl w:val="0"/>
                    <w:rPr>
                      <w:sz w:val="18"/>
                      <w:szCs w:val="18"/>
                    </w:rPr>
                  </w:pPr>
                  <w:r>
                    <w:rPr>
                      <w:rFonts w:hint="eastAsia"/>
                      <w:sz w:val="18"/>
                      <w:szCs w:val="18"/>
                    </w:rPr>
                    <w:t>1</w:t>
                  </w:r>
                </w:p>
              </w:tc>
              <w:tc>
                <w:tcPr>
                  <w:tcW w:w="0" w:type="auto"/>
                  <w:vAlign w:val="center"/>
                </w:tcPr>
                <w:p w14:paraId="5C4DC707">
                  <w:pPr>
                    <w:pStyle w:val="24"/>
                    <w:widowControl w:val="0"/>
                    <w:rPr>
                      <w:sz w:val="18"/>
                      <w:szCs w:val="18"/>
                    </w:rPr>
                  </w:pPr>
                  <w:r>
                    <w:rPr>
                      <w:rFonts w:hint="eastAsia"/>
                      <w:sz w:val="18"/>
                      <w:szCs w:val="18"/>
                    </w:rPr>
                    <w:t>监测装置西侧</w:t>
                  </w:r>
                </w:p>
              </w:tc>
              <w:tc>
                <w:tcPr>
                  <w:tcW w:w="0" w:type="auto"/>
                  <w:vAlign w:val="center"/>
                </w:tcPr>
                <w:p w14:paraId="2ED94E4E">
                  <w:pPr>
                    <w:pStyle w:val="24"/>
                    <w:widowControl w:val="0"/>
                    <w:rPr>
                      <w:sz w:val="18"/>
                      <w:szCs w:val="18"/>
                    </w:rPr>
                  </w:pPr>
                  <w:r>
                    <w:rPr>
                      <w:rFonts w:hint="eastAsia"/>
                      <w:sz w:val="18"/>
                      <w:szCs w:val="18"/>
                    </w:rPr>
                    <w:t>1</w:t>
                  </w:r>
                </w:p>
              </w:tc>
              <w:tc>
                <w:tcPr>
                  <w:tcW w:w="0" w:type="auto"/>
                  <w:vAlign w:val="center"/>
                </w:tcPr>
                <w:p w14:paraId="619DDC5A">
                  <w:pPr>
                    <w:pStyle w:val="24"/>
                    <w:widowControl w:val="0"/>
                    <w:rPr>
                      <w:sz w:val="18"/>
                      <w:szCs w:val="18"/>
                    </w:rPr>
                  </w:pPr>
                  <w:r>
                    <w:rPr>
                      <w:rFonts w:hint="eastAsia"/>
                      <w:sz w:val="18"/>
                      <w:szCs w:val="18"/>
                    </w:rPr>
                    <w:t>1（操作室）</w:t>
                  </w:r>
                </w:p>
              </w:tc>
              <w:tc>
                <w:tcPr>
                  <w:tcW w:w="0" w:type="auto"/>
                  <w:vAlign w:val="center"/>
                </w:tcPr>
                <w:p w14:paraId="001B569F">
                  <w:pPr>
                    <w:pStyle w:val="24"/>
                    <w:widowControl w:val="0"/>
                    <w:rPr>
                      <w:sz w:val="18"/>
                      <w:szCs w:val="18"/>
                    </w:rPr>
                  </w:pPr>
                  <w:bookmarkStart w:id="23" w:name="OLE_LINK24"/>
                  <w:r>
                    <w:rPr>
                      <w:rFonts w:hint="eastAsia"/>
                      <w:sz w:val="18"/>
                      <w:szCs w:val="18"/>
                    </w:rPr>
                    <w:t>4.8</w:t>
                  </w:r>
                  <w:r>
                    <w:rPr>
                      <w:sz w:val="18"/>
                      <w:szCs w:val="18"/>
                    </w:rPr>
                    <w:t>×10</w:t>
                  </w:r>
                  <w:r>
                    <w:rPr>
                      <w:sz w:val="18"/>
                      <w:szCs w:val="18"/>
                      <w:vertAlign w:val="superscript"/>
                    </w:rPr>
                    <w:t>-</w:t>
                  </w:r>
                  <w:bookmarkEnd w:id="23"/>
                  <w:r>
                    <w:rPr>
                      <w:rFonts w:hint="eastAsia"/>
                      <w:sz w:val="18"/>
                      <w:szCs w:val="18"/>
                      <w:vertAlign w:val="superscript"/>
                    </w:rPr>
                    <w:t>3</w:t>
                  </w:r>
                </w:p>
              </w:tc>
              <w:tc>
                <w:tcPr>
                  <w:tcW w:w="0" w:type="auto"/>
                  <w:vAlign w:val="center"/>
                </w:tcPr>
                <w:p w14:paraId="33D6B0C8">
                  <w:pPr>
                    <w:pStyle w:val="24"/>
                    <w:widowControl w:val="0"/>
                    <w:rPr>
                      <w:sz w:val="18"/>
                      <w:szCs w:val="18"/>
                    </w:rPr>
                  </w:pPr>
                  <w:r>
                    <w:rPr>
                      <w:rFonts w:hint="eastAsia"/>
                      <w:sz w:val="18"/>
                      <w:szCs w:val="18"/>
                    </w:rPr>
                    <w:t>10</w:t>
                  </w:r>
                </w:p>
              </w:tc>
              <w:tc>
                <w:tcPr>
                  <w:tcW w:w="0" w:type="auto"/>
                  <w:vAlign w:val="center"/>
                </w:tcPr>
                <w:p w14:paraId="4E48CA24">
                  <w:pPr>
                    <w:pStyle w:val="24"/>
                    <w:widowControl w:val="0"/>
                    <w:rPr>
                      <w:sz w:val="18"/>
                      <w:szCs w:val="18"/>
                    </w:rPr>
                  </w:pPr>
                  <w:r>
                    <w:rPr>
                      <w:rFonts w:hint="eastAsia"/>
                      <w:sz w:val="18"/>
                      <w:szCs w:val="18"/>
                    </w:rPr>
                    <w:t>0.048</w:t>
                  </w:r>
                </w:p>
              </w:tc>
              <w:tc>
                <w:tcPr>
                  <w:tcW w:w="0" w:type="auto"/>
                  <w:vMerge w:val="restart"/>
                  <w:vAlign w:val="center"/>
                </w:tcPr>
                <w:p w14:paraId="597F9501">
                  <w:pPr>
                    <w:pStyle w:val="24"/>
                    <w:widowControl w:val="0"/>
                    <w:rPr>
                      <w:sz w:val="18"/>
                      <w:szCs w:val="18"/>
                    </w:rPr>
                  </w:pPr>
                  <w:r>
                    <w:rPr>
                      <w:rFonts w:hint="eastAsia"/>
                      <w:sz w:val="18"/>
                      <w:szCs w:val="18"/>
                    </w:rPr>
                    <w:t>100（职业人员）</w:t>
                  </w:r>
                </w:p>
              </w:tc>
              <w:tc>
                <w:tcPr>
                  <w:tcW w:w="0" w:type="auto"/>
                  <w:vAlign w:val="center"/>
                </w:tcPr>
                <w:p w14:paraId="0E841D9C">
                  <w:pPr>
                    <w:pStyle w:val="24"/>
                    <w:widowControl w:val="0"/>
                    <w:rPr>
                      <w:sz w:val="18"/>
                      <w:szCs w:val="18"/>
                    </w:rPr>
                  </w:pPr>
                  <w:r>
                    <w:rPr>
                      <w:rFonts w:hint="eastAsia"/>
                      <w:sz w:val="18"/>
                      <w:szCs w:val="18"/>
                    </w:rPr>
                    <w:t>满足</w:t>
                  </w:r>
                </w:p>
              </w:tc>
            </w:tr>
            <w:tr w14:paraId="10F9758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01B93B5">
                  <w:pPr>
                    <w:pStyle w:val="24"/>
                    <w:widowControl w:val="0"/>
                    <w:rPr>
                      <w:sz w:val="18"/>
                      <w:szCs w:val="18"/>
                    </w:rPr>
                  </w:pPr>
                  <w:r>
                    <w:rPr>
                      <w:rFonts w:hint="eastAsia"/>
                      <w:sz w:val="18"/>
                      <w:szCs w:val="18"/>
                    </w:rPr>
                    <w:t>2</w:t>
                  </w:r>
                </w:p>
              </w:tc>
              <w:tc>
                <w:tcPr>
                  <w:tcW w:w="0" w:type="auto"/>
                  <w:vAlign w:val="center"/>
                </w:tcPr>
                <w:p w14:paraId="6CFE8109">
                  <w:pPr>
                    <w:pStyle w:val="24"/>
                    <w:widowControl w:val="0"/>
                    <w:rPr>
                      <w:sz w:val="18"/>
                      <w:szCs w:val="18"/>
                    </w:rPr>
                  </w:pPr>
                  <w:r>
                    <w:rPr>
                      <w:rFonts w:hint="eastAsia"/>
                      <w:sz w:val="18"/>
                      <w:szCs w:val="18"/>
                    </w:rPr>
                    <w:t>维修门外</w:t>
                  </w:r>
                </w:p>
              </w:tc>
              <w:tc>
                <w:tcPr>
                  <w:tcW w:w="0" w:type="auto"/>
                  <w:vAlign w:val="center"/>
                </w:tcPr>
                <w:p w14:paraId="7AA920E4">
                  <w:pPr>
                    <w:pStyle w:val="24"/>
                    <w:widowControl w:val="0"/>
                    <w:rPr>
                      <w:sz w:val="18"/>
                      <w:szCs w:val="18"/>
                    </w:rPr>
                  </w:pPr>
                  <w:r>
                    <w:rPr>
                      <w:rFonts w:hint="eastAsia"/>
                      <w:sz w:val="18"/>
                      <w:szCs w:val="18"/>
                    </w:rPr>
                    <w:t>1</w:t>
                  </w:r>
                </w:p>
              </w:tc>
              <w:tc>
                <w:tcPr>
                  <w:tcW w:w="0" w:type="auto"/>
                  <w:vAlign w:val="center"/>
                </w:tcPr>
                <w:p w14:paraId="455FB6F3">
                  <w:pPr>
                    <w:pStyle w:val="24"/>
                    <w:widowControl w:val="0"/>
                    <w:rPr>
                      <w:sz w:val="18"/>
                      <w:szCs w:val="18"/>
                    </w:rPr>
                  </w:pPr>
                  <w:r>
                    <w:rPr>
                      <w:rFonts w:hint="eastAsia"/>
                      <w:sz w:val="18"/>
                      <w:szCs w:val="18"/>
                    </w:rPr>
                    <w:t>1（操作室）</w:t>
                  </w:r>
                </w:p>
              </w:tc>
              <w:tc>
                <w:tcPr>
                  <w:tcW w:w="0" w:type="auto"/>
                  <w:vAlign w:val="center"/>
                </w:tcPr>
                <w:p w14:paraId="03FA6651">
                  <w:pPr>
                    <w:pStyle w:val="24"/>
                    <w:widowControl w:val="0"/>
                    <w:rPr>
                      <w:sz w:val="18"/>
                      <w:szCs w:val="18"/>
                    </w:rPr>
                  </w:pPr>
                  <w:r>
                    <w:rPr>
                      <w:rFonts w:hint="eastAsia"/>
                      <w:sz w:val="18"/>
                      <w:szCs w:val="18"/>
                    </w:rPr>
                    <w:t>1.75</w:t>
                  </w:r>
                </w:p>
              </w:tc>
              <w:tc>
                <w:tcPr>
                  <w:tcW w:w="0" w:type="auto"/>
                  <w:vAlign w:val="center"/>
                </w:tcPr>
                <w:p w14:paraId="3833E354">
                  <w:pPr>
                    <w:pStyle w:val="24"/>
                    <w:widowControl w:val="0"/>
                    <w:rPr>
                      <w:sz w:val="18"/>
                      <w:szCs w:val="18"/>
                    </w:rPr>
                  </w:pPr>
                  <w:r>
                    <w:rPr>
                      <w:rFonts w:hint="eastAsia"/>
                      <w:sz w:val="18"/>
                      <w:szCs w:val="18"/>
                    </w:rPr>
                    <w:t>10</w:t>
                  </w:r>
                </w:p>
              </w:tc>
              <w:tc>
                <w:tcPr>
                  <w:tcW w:w="0" w:type="auto"/>
                  <w:vAlign w:val="center"/>
                </w:tcPr>
                <w:p w14:paraId="39A4E64E">
                  <w:pPr>
                    <w:pStyle w:val="24"/>
                    <w:widowControl w:val="0"/>
                    <w:rPr>
                      <w:sz w:val="18"/>
                      <w:szCs w:val="18"/>
                    </w:rPr>
                  </w:pPr>
                  <w:r>
                    <w:rPr>
                      <w:rFonts w:hint="eastAsia"/>
                      <w:sz w:val="18"/>
                      <w:szCs w:val="18"/>
                    </w:rPr>
                    <w:t>17.55</w:t>
                  </w:r>
                </w:p>
              </w:tc>
              <w:tc>
                <w:tcPr>
                  <w:tcW w:w="0" w:type="auto"/>
                  <w:vMerge w:val="continue"/>
                  <w:vAlign w:val="center"/>
                </w:tcPr>
                <w:p w14:paraId="0624218B">
                  <w:pPr>
                    <w:pStyle w:val="24"/>
                    <w:widowControl w:val="0"/>
                    <w:rPr>
                      <w:sz w:val="18"/>
                      <w:szCs w:val="18"/>
                    </w:rPr>
                  </w:pPr>
                </w:p>
              </w:tc>
              <w:tc>
                <w:tcPr>
                  <w:tcW w:w="0" w:type="auto"/>
                  <w:vAlign w:val="center"/>
                </w:tcPr>
                <w:p w14:paraId="332797DB">
                  <w:pPr>
                    <w:pStyle w:val="24"/>
                    <w:widowControl w:val="0"/>
                    <w:rPr>
                      <w:sz w:val="18"/>
                      <w:szCs w:val="18"/>
                    </w:rPr>
                  </w:pPr>
                  <w:r>
                    <w:rPr>
                      <w:rFonts w:hint="eastAsia"/>
                      <w:sz w:val="18"/>
                      <w:szCs w:val="18"/>
                    </w:rPr>
                    <w:t>满足</w:t>
                  </w:r>
                </w:p>
              </w:tc>
            </w:tr>
            <w:tr w14:paraId="2F3291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4AE27F3">
                  <w:pPr>
                    <w:pStyle w:val="24"/>
                    <w:widowControl w:val="0"/>
                    <w:rPr>
                      <w:sz w:val="18"/>
                      <w:szCs w:val="18"/>
                    </w:rPr>
                  </w:pPr>
                  <w:r>
                    <w:rPr>
                      <w:rFonts w:hint="eastAsia"/>
                      <w:sz w:val="18"/>
                      <w:szCs w:val="18"/>
                    </w:rPr>
                    <w:t>3</w:t>
                  </w:r>
                </w:p>
              </w:tc>
              <w:tc>
                <w:tcPr>
                  <w:tcW w:w="0" w:type="auto"/>
                  <w:vAlign w:val="center"/>
                </w:tcPr>
                <w:p w14:paraId="083F77F6">
                  <w:pPr>
                    <w:pStyle w:val="24"/>
                    <w:widowControl w:val="0"/>
                    <w:rPr>
                      <w:sz w:val="18"/>
                      <w:szCs w:val="18"/>
                    </w:rPr>
                  </w:pPr>
                  <w:r>
                    <w:rPr>
                      <w:rFonts w:hint="eastAsia"/>
                      <w:sz w:val="18"/>
                      <w:szCs w:val="18"/>
                    </w:rPr>
                    <w:t>监测装置东侧</w:t>
                  </w:r>
                </w:p>
              </w:tc>
              <w:tc>
                <w:tcPr>
                  <w:tcW w:w="0" w:type="auto"/>
                  <w:vAlign w:val="center"/>
                </w:tcPr>
                <w:p w14:paraId="05E9D450">
                  <w:pPr>
                    <w:pStyle w:val="24"/>
                    <w:widowControl w:val="0"/>
                    <w:rPr>
                      <w:sz w:val="18"/>
                      <w:szCs w:val="18"/>
                    </w:rPr>
                  </w:pPr>
                  <w:r>
                    <w:rPr>
                      <w:rFonts w:hint="eastAsia"/>
                      <w:sz w:val="18"/>
                      <w:szCs w:val="18"/>
                    </w:rPr>
                    <w:t>1</w:t>
                  </w:r>
                </w:p>
              </w:tc>
              <w:tc>
                <w:tcPr>
                  <w:tcW w:w="0" w:type="auto"/>
                  <w:vAlign w:val="center"/>
                </w:tcPr>
                <w:p w14:paraId="7682C086">
                  <w:pPr>
                    <w:pStyle w:val="24"/>
                    <w:widowControl w:val="0"/>
                    <w:rPr>
                      <w:sz w:val="18"/>
                      <w:szCs w:val="18"/>
                    </w:rPr>
                  </w:pPr>
                  <w:r>
                    <w:rPr>
                      <w:rFonts w:hint="eastAsia"/>
                      <w:sz w:val="18"/>
                      <w:szCs w:val="18"/>
                    </w:rPr>
                    <w:t>1/8（五金、原料仓库）</w:t>
                  </w:r>
                </w:p>
              </w:tc>
              <w:tc>
                <w:tcPr>
                  <w:tcW w:w="0" w:type="auto"/>
                  <w:vAlign w:val="center"/>
                </w:tcPr>
                <w:p w14:paraId="1120CF1E">
                  <w:pPr>
                    <w:pStyle w:val="24"/>
                    <w:widowControl w:val="0"/>
                    <w:rPr>
                      <w:sz w:val="18"/>
                      <w:szCs w:val="18"/>
                    </w:rPr>
                  </w:pPr>
                  <w:r>
                    <w:rPr>
                      <w:rFonts w:hint="eastAsia"/>
                      <w:sz w:val="18"/>
                      <w:szCs w:val="18"/>
                    </w:rPr>
                    <w:t>6.6</w:t>
                  </w:r>
                  <w:r>
                    <w:rPr>
                      <w:sz w:val="18"/>
                      <w:szCs w:val="18"/>
                    </w:rPr>
                    <w:t>×10</w:t>
                  </w:r>
                  <w:r>
                    <w:rPr>
                      <w:sz w:val="18"/>
                      <w:szCs w:val="18"/>
                      <w:vertAlign w:val="superscript"/>
                    </w:rPr>
                    <w:t>-</w:t>
                  </w:r>
                  <w:r>
                    <w:rPr>
                      <w:rFonts w:hint="eastAsia"/>
                      <w:sz w:val="18"/>
                      <w:szCs w:val="18"/>
                      <w:vertAlign w:val="superscript"/>
                    </w:rPr>
                    <w:t>3</w:t>
                  </w:r>
                </w:p>
              </w:tc>
              <w:tc>
                <w:tcPr>
                  <w:tcW w:w="0" w:type="auto"/>
                  <w:vAlign w:val="center"/>
                </w:tcPr>
                <w:p w14:paraId="32B65DE2">
                  <w:pPr>
                    <w:pStyle w:val="24"/>
                    <w:widowControl w:val="0"/>
                    <w:rPr>
                      <w:sz w:val="18"/>
                      <w:szCs w:val="18"/>
                    </w:rPr>
                  </w:pPr>
                  <w:r>
                    <w:rPr>
                      <w:rFonts w:hint="eastAsia"/>
                      <w:sz w:val="18"/>
                      <w:szCs w:val="18"/>
                    </w:rPr>
                    <w:t>10</w:t>
                  </w:r>
                </w:p>
              </w:tc>
              <w:tc>
                <w:tcPr>
                  <w:tcW w:w="0" w:type="auto"/>
                  <w:vAlign w:val="center"/>
                </w:tcPr>
                <w:p w14:paraId="193C727B">
                  <w:pPr>
                    <w:pStyle w:val="24"/>
                    <w:widowControl w:val="0"/>
                    <w:rPr>
                      <w:sz w:val="18"/>
                      <w:szCs w:val="18"/>
                    </w:rPr>
                  </w:pPr>
                  <w:r>
                    <w:rPr>
                      <w:rFonts w:hint="eastAsia"/>
                      <w:sz w:val="18"/>
                      <w:szCs w:val="18"/>
                    </w:rPr>
                    <w:t>8.2</w:t>
                  </w:r>
                  <w:r>
                    <w:rPr>
                      <w:sz w:val="18"/>
                      <w:szCs w:val="18"/>
                    </w:rPr>
                    <w:t>×10</w:t>
                  </w:r>
                  <w:r>
                    <w:rPr>
                      <w:sz w:val="18"/>
                      <w:szCs w:val="18"/>
                      <w:vertAlign w:val="superscript"/>
                    </w:rPr>
                    <w:t>-</w:t>
                  </w:r>
                  <w:r>
                    <w:rPr>
                      <w:rFonts w:hint="eastAsia"/>
                      <w:sz w:val="18"/>
                      <w:szCs w:val="18"/>
                      <w:vertAlign w:val="superscript"/>
                    </w:rPr>
                    <w:t>3</w:t>
                  </w:r>
                </w:p>
              </w:tc>
              <w:tc>
                <w:tcPr>
                  <w:tcW w:w="0" w:type="auto"/>
                  <w:vMerge w:val="restart"/>
                  <w:vAlign w:val="center"/>
                </w:tcPr>
                <w:p w14:paraId="3F00A82F">
                  <w:pPr>
                    <w:pStyle w:val="24"/>
                    <w:widowControl w:val="0"/>
                    <w:rPr>
                      <w:sz w:val="18"/>
                      <w:szCs w:val="18"/>
                    </w:rPr>
                  </w:pPr>
                  <w:r>
                    <w:rPr>
                      <w:rFonts w:hint="eastAsia"/>
                      <w:sz w:val="18"/>
                      <w:szCs w:val="18"/>
                    </w:rPr>
                    <w:t>5（公众）</w:t>
                  </w:r>
                </w:p>
              </w:tc>
              <w:tc>
                <w:tcPr>
                  <w:tcW w:w="0" w:type="auto"/>
                  <w:vAlign w:val="center"/>
                </w:tcPr>
                <w:p w14:paraId="1740E234">
                  <w:pPr>
                    <w:pStyle w:val="24"/>
                    <w:widowControl w:val="0"/>
                    <w:rPr>
                      <w:sz w:val="18"/>
                      <w:szCs w:val="18"/>
                    </w:rPr>
                  </w:pPr>
                  <w:r>
                    <w:rPr>
                      <w:rFonts w:hint="eastAsia"/>
                      <w:sz w:val="18"/>
                      <w:szCs w:val="18"/>
                    </w:rPr>
                    <w:t>满足</w:t>
                  </w:r>
                </w:p>
              </w:tc>
            </w:tr>
            <w:tr w14:paraId="38DFF3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1F82C3C">
                  <w:pPr>
                    <w:pStyle w:val="24"/>
                    <w:widowControl w:val="0"/>
                    <w:rPr>
                      <w:sz w:val="18"/>
                      <w:szCs w:val="18"/>
                    </w:rPr>
                  </w:pPr>
                  <w:r>
                    <w:rPr>
                      <w:rFonts w:hint="eastAsia"/>
                      <w:sz w:val="18"/>
                      <w:szCs w:val="18"/>
                    </w:rPr>
                    <w:t>4</w:t>
                  </w:r>
                </w:p>
              </w:tc>
              <w:tc>
                <w:tcPr>
                  <w:tcW w:w="0" w:type="auto"/>
                  <w:vAlign w:val="center"/>
                </w:tcPr>
                <w:p w14:paraId="68C5DF2C">
                  <w:pPr>
                    <w:pStyle w:val="24"/>
                    <w:widowControl w:val="0"/>
                    <w:rPr>
                      <w:sz w:val="18"/>
                      <w:szCs w:val="18"/>
                    </w:rPr>
                  </w:pPr>
                  <w:r>
                    <w:rPr>
                      <w:rFonts w:hint="eastAsia"/>
                      <w:sz w:val="18"/>
                      <w:szCs w:val="18"/>
                    </w:rPr>
                    <w:t>监测装置南侧</w:t>
                  </w:r>
                </w:p>
              </w:tc>
              <w:tc>
                <w:tcPr>
                  <w:tcW w:w="0" w:type="auto"/>
                  <w:vAlign w:val="center"/>
                </w:tcPr>
                <w:p w14:paraId="0A0F91F9">
                  <w:pPr>
                    <w:pStyle w:val="24"/>
                    <w:widowControl w:val="0"/>
                    <w:rPr>
                      <w:sz w:val="18"/>
                      <w:szCs w:val="18"/>
                    </w:rPr>
                  </w:pPr>
                  <w:r>
                    <w:rPr>
                      <w:rFonts w:hint="eastAsia"/>
                      <w:sz w:val="18"/>
                      <w:szCs w:val="18"/>
                    </w:rPr>
                    <w:t>1</w:t>
                  </w:r>
                </w:p>
              </w:tc>
              <w:tc>
                <w:tcPr>
                  <w:tcW w:w="0" w:type="auto"/>
                  <w:vAlign w:val="center"/>
                </w:tcPr>
                <w:p w14:paraId="125FC205">
                  <w:pPr>
                    <w:pStyle w:val="24"/>
                    <w:widowControl w:val="0"/>
                    <w:rPr>
                      <w:sz w:val="18"/>
                      <w:szCs w:val="18"/>
                    </w:rPr>
                  </w:pPr>
                  <w:r>
                    <w:rPr>
                      <w:rFonts w:hint="eastAsia"/>
                      <w:sz w:val="18"/>
                      <w:szCs w:val="18"/>
                    </w:rPr>
                    <w:t>1/2（</w:t>
                  </w:r>
                  <w:r>
                    <w:rPr>
                      <w:sz w:val="18"/>
                      <w:szCs w:val="18"/>
                    </w:rPr>
                    <w:t>江阴市远景能源有限公司</w:t>
                  </w:r>
                  <w:r>
                    <w:rPr>
                      <w:rFonts w:hint="eastAsia"/>
                      <w:sz w:val="18"/>
                      <w:szCs w:val="18"/>
                    </w:rPr>
                    <w:t>生产组装车间过道）</w:t>
                  </w:r>
                </w:p>
              </w:tc>
              <w:tc>
                <w:tcPr>
                  <w:tcW w:w="0" w:type="auto"/>
                  <w:vAlign w:val="center"/>
                </w:tcPr>
                <w:p w14:paraId="7EA2F502">
                  <w:pPr>
                    <w:pStyle w:val="24"/>
                    <w:widowControl w:val="0"/>
                    <w:rPr>
                      <w:sz w:val="18"/>
                      <w:szCs w:val="18"/>
                    </w:rPr>
                  </w:pPr>
                  <w:r>
                    <w:rPr>
                      <w:rFonts w:hint="eastAsia"/>
                      <w:sz w:val="18"/>
                      <w:szCs w:val="18"/>
                    </w:rPr>
                    <w:t>0.39</w:t>
                  </w:r>
                </w:p>
              </w:tc>
              <w:tc>
                <w:tcPr>
                  <w:tcW w:w="0" w:type="auto"/>
                  <w:vAlign w:val="center"/>
                </w:tcPr>
                <w:p w14:paraId="4C9E3A99">
                  <w:pPr>
                    <w:pStyle w:val="24"/>
                    <w:widowControl w:val="0"/>
                    <w:rPr>
                      <w:sz w:val="18"/>
                      <w:szCs w:val="18"/>
                    </w:rPr>
                  </w:pPr>
                  <w:r>
                    <w:rPr>
                      <w:rFonts w:hint="eastAsia"/>
                      <w:sz w:val="18"/>
                      <w:szCs w:val="18"/>
                    </w:rPr>
                    <w:t>10</w:t>
                  </w:r>
                </w:p>
              </w:tc>
              <w:tc>
                <w:tcPr>
                  <w:tcW w:w="0" w:type="auto"/>
                  <w:vAlign w:val="center"/>
                </w:tcPr>
                <w:p w14:paraId="6D3AD692">
                  <w:pPr>
                    <w:pStyle w:val="24"/>
                    <w:widowControl w:val="0"/>
                    <w:rPr>
                      <w:sz w:val="18"/>
                      <w:szCs w:val="18"/>
                    </w:rPr>
                  </w:pPr>
                  <w:r>
                    <w:rPr>
                      <w:rFonts w:hint="eastAsia"/>
                      <w:sz w:val="18"/>
                      <w:szCs w:val="18"/>
                    </w:rPr>
                    <w:t>1.94</w:t>
                  </w:r>
                </w:p>
              </w:tc>
              <w:tc>
                <w:tcPr>
                  <w:tcW w:w="0" w:type="auto"/>
                  <w:vMerge w:val="continue"/>
                  <w:vAlign w:val="center"/>
                </w:tcPr>
                <w:p w14:paraId="05469AD3">
                  <w:pPr>
                    <w:pStyle w:val="24"/>
                    <w:widowControl w:val="0"/>
                    <w:rPr>
                      <w:sz w:val="18"/>
                      <w:szCs w:val="18"/>
                    </w:rPr>
                  </w:pPr>
                </w:p>
              </w:tc>
              <w:tc>
                <w:tcPr>
                  <w:tcW w:w="0" w:type="auto"/>
                  <w:vAlign w:val="center"/>
                </w:tcPr>
                <w:p w14:paraId="00AE46D4">
                  <w:pPr>
                    <w:pStyle w:val="24"/>
                    <w:widowControl w:val="0"/>
                    <w:rPr>
                      <w:sz w:val="18"/>
                      <w:szCs w:val="18"/>
                    </w:rPr>
                  </w:pPr>
                  <w:r>
                    <w:rPr>
                      <w:rFonts w:hint="eastAsia"/>
                      <w:sz w:val="18"/>
                      <w:szCs w:val="18"/>
                    </w:rPr>
                    <w:t>满足</w:t>
                  </w:r>
                </w:p>
              </w:tc>
            </w:tr>
            <w:tr w14:paraId="60F9450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27A4BDA">
                  <w:pPr>
                    <w:pStyle w:val="24"/>
                    <w:widowControl w:val="0"/>
                    <w:rPr>
                      <w:sz w:val="18"/>
                      <w:szCs w:val="18"/>
                    </w:rPr>
                  </w:pPr>
                  <w:r>
                    <w:rPr>
                      <w:rFonts w:hint="eastAsia"/>
                      <w:sz w:val="18"/>
                      <w:szCs w:val="18"/>
                    </w:rPr>
                    <w:t>5</w:t>
                  </w:r>
                </w:p>
              </w:tc>
              <w:tc>
                <w:tcPr>
                  <w:tcW w:w="0" w:type="auto"/>
                  <w:vAlign w:val="center"/>
                </w:tcPr>
                <w:p w14:paraId="28BCAB03">
                  <w:pPr>
                    <w:pStyle w:val="24"/>
                    <w:widowControl w:val="0"/>
                    <w:rPr>
                      <w:sz w:val="18"/>
                      <w:szCs w:val="18"/>
                    </w:rPr>
                  </w:pPr>
                  <w:r>
                    <w:rPr>
                      <w:rFonts w:hint="eastAsia"/>
                      <w:sz w:val="18"/>
                      <w:szCs w:val="18"/>
                    </w:rPr>
                    <w:t>监测装置北侧</w:t>
                  </w:r>
                </w:p>
              </w:tc>
              <w:tc>
                <w:tcPr>
                  <w:tcW w:w="0" w:type="auto"/>
                  <w:vAlign w:val="center"/>
                </w:tcPr>
                <w:p w14:paraId="68F94A23">
                  <w:pPr>
                    <w:pStyle w:val="24"/>
                    <w:widowControl w:val="0"/>
                    <w:rPr>
                      <w:sz w:val="18"/>
                      <w:szCs w:val="18"/>
                    </w:rPr>
                  </w:pPr>
                  <w:r>
                    <w:rPr>
                      <w:rFonts w:hint="eastAsia"/>
                      <w:sz w:val="18"/>
                      <w:szCs w:val="18"/>
                    </w:rPr>
                    <w:t>1</w:t>
                  </w:r>
                </w:p>
              </w:tc>
              <w:tc>
                <w:tcPr>
                  <w:tcW w:w="0" w:type="auto"/>
                  <w:vAlign w:val="center"/>
                </w:tcPr>
                <w:p w14:paraId="3E9E0C76">
                  <w:pPr>
                    <w:pStyle w:val="24"/>
                    <w:widowControl w:val="0"/>
                    <w:rPr>
                      <w:sz w:val="18"/>
                      <w:szCs w:val="18"/>
                    </w:rPr>
                  </w:pPr>
                  <w:r>
                    <w:rPr>
                      <w:rFonts w:hint="eastAsia"/>
                      <w:sz w:val="18"/>
                      <w:szCs w:val="18"/>
                    </w:rPr>
                    <w:t>1/2（车间生产内过道）</w:t>
                  </w:r>
                </w:p>
              </w:tc>
              <w:tc>
                <w:tcPr>
                  <w:tcW w:w="0" w:type="auto"/>
                  <w:vAlign w:val="center"/>
                </w:tcPr>
                <w:p w14:paraId="5050EC59">
                  <w:pPr>
                    <w:pStyle w:val="24"/>
                    <w:widowControl w:val="0"/>
                    <w:rPr>
                      <w:sz w:val="18"/>
                      <w:szCs w:val="18"/>
                    </w:rPr>
                  </w:pPr>
                  <w:r>
                    <w:rPr>
                      <w:rFonts w:hint="eastAsia"/>
                      <w:sz w:val="18"/>
                      <w:szCs w:val="18"/>
                    </w:rPr>
                    <w:t>0.36</w:t>
                  </w:r>
                </w:p>
              </w:tc>
              <w:tc>
                <w:tcPr>
                  <w:tcW w:w="0" w:type="auto"/>
                  <w:vAlign w:val="center"/>
                </w:tcPr>
                <w:p w14:paraId="4B87F83C">
                  <w:pPr>
                    <w:pStyle w:val="24"/>
                    <w:widowControl w:val="0"/>
                    <w:rPr>
                      <w:sz w:val="18"/>
                      <w:szCs w:val="18"/>
                    </w:rPr>
                  </w:pPr>
                  <w:r>
                    <w:rPr>
                      <w:rFonts w:hint="eastAsia"/>
                      <w:sz w:val="18"/>
                      <w:szCs w:val="18"/>
                    </w:rPr>
                    <w:t>10</w:t>
                  </w:r>
                </w:p>
              </w:tc>
              <w:tc>
                <w:tcPr>
                  <w:tcW w:w="0" w:type="auto"/>
                  <w:vAlign w:val="center"/>
                </w:tcPr>
                <w:p w14:paraId="3A4AF0D6">
                  <w:pPr>
                    <w:pStyle w:val="24"/>
                    <w:widowControl w:val="0"/>
                    <w:rPr>
                      <w:sz w:val="18"/>
                      <w:szCs w:val="18"/>
                    </w:rPr>
                  </w:pPr>
                  <w:r>
                    <w:rPr>
                      <w:rFonts w:hint="eastAsia"/>
                      <w:sz w:val="18"/>
                      <w:szCs w:val="18"/>
                    </w:rPr>
                    <w:t>1.81</w:t>
                  </w:r>
                </w:p>
              </w:tc>
              <w:tc>
                <w:tcPr>
                  <w:tcW w:w="0" w:type="auto"/>
                  <w:vMerge w:val="continue"/>
                  <w:vAlign w:val="center"/>
                </w:tcPr>
                <w:p w14:paraId="68060FD1">
                  <w:pPr>
                    <w:pStyle w:val="24"/>
                    <w:widowControl w:val="0"/>
                    <w:rPr>
                      <w:sz w:val="18"/>
                      <w:szCs w:val="18"/>
                    </w:rPr>
                  </w:pPr>
                </w:p>
              </w:tc>
              <w:tc>
                <w:tcPr>
                  <w:tcW w:w="0" w:type="auto"/>
                  <w:vAlign w:val="center"/>
                </w:tcPr>
                <w:p w14:paraId="4B99A91B">
                  <w:pPr>
                    <w:pStyle w:val="24"/>
                    <w:widowControl w:val="0"/>
                    <w:rPr>
                      <w:sz w:val="18"/>
                      <w:szCs w:val="18"/>
                    </w:rPr>
                  </w:pPr>
                  <w:r>
                    <w:rPr>
                      <w:rFonts w:hint="eastAsia"/>
                      <w:sz w:val="18"/>
                      <w:szCs w:val="18"/>
                    </w:rPr>
                    <w:t>满足</w:t>
                  </w:r>
                </w:p>
              </w:tc>
            </w:tr>
            <w:tr w14:paraId="6D19135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45C0E0C">
                  <w:pPr>
                    <w:pStyle w:val="24"/>
                    <w:widowControl w:val="0"/>
                    <w:rPr>
                      <w:sz w:val="18"/>
                      <w:szCs w:val="18"/>
                    </w:rPr>
                  </w:pPr>
                  <w:r>
                    <w:rPr>
                      <w:rFonts w:hint="eastAsia"/>
                      <w:sz w:val="18"/>
                      <w:szCs w:val="18"/>
                    </w:rPr>
                    <w:t>6</w:t>
                  </w:r>
                </w:p>
              </w:tc>
              <w:tc>
                <w:tcPr>
                  <w:tcW w:w="0" w:type="auto"/>
                  <w:vAlign w:val="center"/>
                </w:tcPr>
                <w:p w14:paraId="2A939430">
                  <w:pPr>
                    <w:pStyle w:val="24"/>
                    <w:widowControl w:val="0"/>
                    <w:rPr>
                      <w:sz w:val="18"/>
                      <w:szCs w:val="18"/>
                    </w:rPr>
                  </w:pPr>
                  <w:r>
                    <w:rPr>
                      <w:rFonts w:hint="eastAsia"/>
                      <w:sz w:val="18"/>
                      <w:szCs w:val="18"/>
                    </w:rPr>
                    <w:t>进/出料门外</w:t>
                  </w:r>
                </w:p>
              </w:tc>
              <w:tc>
                <w:tcPr>
                  <w:tcW w:w="0" w:type="auto"/>
                  <w:vAlign w:val="center"/>
                </w:tcPr>
                <w:p w14:paraId="7AA8C742">
                  <w:pPr>
                    <w:pStyle w:val="24"/>
                    <w:widowControl w:val="0"/>
                    <w:rPr>
                      <w:sz w:val="18"/>
                      <w:szCs w:val="18"/>
                    </w:rPr>
                  </w:pPr>
                  <w:r>
                    <w:rPr>
                      <w:rFonts w:hint="eastAsia"/>
                      <w:sz w:val="18"/>
                      <w:szCs w:val="18"/>
                    </w:rPr>
                    <w:t>1</w:t>
                  </w:r>
                </w:p>
              </w:tc>
              <w:tc>
                <w:tcPr>
                  <w:tcW w:w="0" w:type="auto"/>
                  <w:vAlign w:val="center"/>
                </w:tcPr>
                <w:p w14:paraId="37F1164E">
                  <w:pPr>
                    <w:pStyle w:val="24"/>
                    <w:widowControl w:val="0"/>
                    <w:rPr>
                      <w:sz w:val="18"/>
                      <w:szCs w:val="18"/>
                    </w:rPr>
                  </w:pPr>
                  <w:r>
                    <w:rPr>
                      <w:rFonts w:hint="eastAsia"/>
                      <w:sz w:val="18"/>
                      <w:szCs w:val="18"/>
                    </w:rPr>
                    <w:t>1/16（进/出料滚道）</w:t>
                  </w:r>
                </w:p>
              </w:tc>
              <w:tc>
                <w:tcPr>
                  <w:tcW w:w="0" w:type="auto"/>
                  <w:vAlign w:val="center"/>
                </w:tcPr>
                <w:p w14:paraId="36F17465">
                  <w:pPr>
                    <w:pStyle w:val="24"/>
                    <w:widowControl w:val="0"/>
                    <w:rPr>
                      <w:sz w:val="18"/>
                      <w:szCs w:val="18"/>
                    </w:rPr>
                  </w:pPr>
                  <w:r>
                    <w:rPr>
                      <w:rFonts w:hint="eastAsia"/>
                      <w:sz w:val="18"/>
                      <w:szCs w:val="18"/>
                    </w:rPr>
                    <w:t>2.39</w:t>
                  </w:r>
                </w:p>
              </w:tc>
              <w:tc>
                <w:tcPr>
                  <w:tcW w:w="0" w:type="auto"/>
                  <w:vAlign w:val="center"/>
                </w:tcPr>
                <w:p w14:paraId="680B1A29">
                  <w:pPr>
                    <w:pStyle w:val="24"/>
                    <w:widowControl w:val="0"/>
                    <w:rPr>
                      <w:sz w:val="18"/>
                      <w:szCs w:val="18"/>
                    </w:rPr>
                  </w:pPr>
                  <w:r>
                    <w:rPr>
                      <w:rFonts w:hint="eastAsia"/>
                      <w:sz w:val="18"/>
                      <w:szCs w:val="18"/>
                    </w:rPr>
                    <w:t>10</w:t>
                  </w:r>
                </w:p>
              </w:tc>
              <w:tc>
                <w:tcPr>
                  <w:tcW w:w="0" w:type="auto"/>
                  <w:vAlign w:val="center"/>
                </w:tcPr>
                <w:p w14:paraId="0CF77E13">
                  <w:pPr>
                    <w:pStyle w:val="24"/>
                    <w:widowControl w:val="0"/>
                    <w:rPr>
                      <w:sz w:val="18"/>
                      <w:szCs w:val="18"/>
                    </w:rPr>
                  </w:pPr>
                  <w:r>
                    <w:rPr>
                      <w:rFonts w:hint="eastAsia"/>
                      <w:sz w:val="18"/>
                      <w:szCs w:val="18"/>
                    </w:rPr>
                    <w:t>1.50</w:t>
                  </w:r>
                </w:p>
              </w:tc>
              <w:tc>
                <w:tcPr>
                  <w:tcW w:w="0" w:type="auto"/>
                  <w:vMerge w:val="continue"/>
                  <w:vAlign w:val="center"/>
                </w:tcPr>
                <w:p w14:paraId="0DAC56F4">
                  <w:pPr>
                    <w:pStyle w:val="24"/>
                    <w:widowControl w:val="0"/>
                    <w:rPr>
                      <w:sz w:val="18"/>
                      <w:szCs w:val="18"/>
                    </w:rPr>
                  </w:pPr>
                </w:p>
              </w:tc>
              <w:tc>
                <w:tcPr>
                  <w:tcW w:w="0" w:type="auto"/>
                  <w:vAlign w:val="center"/>
                </w:tcPr>
                <w:p w14:paraId="27907D06">
                  <w:pPr>
                    <w:pStyle w:val="24"/>
                    <w:widowControl w:val="0"/>
                    <w:rPr>
                      <w:sz w:val="18"/>
                      <w:szCs w:val="18"/>
                    </w:rPr>
                  </w:pPr>
                  <w:r>
                    <w:rPr>
                      <w:rFonts w:hint="eastAsia"/>
                      <w:sz w:val="18"/>
                      <w:szCs w:val="18"/>
                    </w:rPr>
                    <w:t>满足</w:t>
                  </w:r>
                </w:p>
              </w:tc>
            </w:tr>
          </w:tbl>
          <w:p w14:paraId="6371FE25">
            <w:pPr>
              <w:pStyle w:val="6"/>
            </w:pPr>
            <w:r>
              <w:rPr>
                <w:rFonts w:hint="eastAsia"/>
              </w:rPr>
              <w:t>*保守取装置各侧30cm外最大辐射剂量率。</w:t>
            </w:r>
          </w:p>
          <w:p w14:paraId="31343FD3">
            <w:pPr>
              <w:pStyle w:val="2"/>
              <w:ind w:firstLine="480"/>
            </w:pPr>
            <w:r>
              <w:t>从表</w:t>
            </w:r>
            <w:r>
              <w:rPr>
                <w:rFonts w:hint="eastAsia"/>
              </w:rPr>
              <w:t xml:space="preserve"> </w:t>
            </w:r>
            <w:r>
              <w:t>11-4</w:t>
            </w:r>
            <w:r>
              <w:rPr>
                <w:rFonts w:hint="eastAsia"/>
              </w:rPr>
              <w:t xml:space="preserve"> </w:t>
            </w:r>
            <w:r>
              <w:t>中的计算结果可以看出，当本项目X射线实时成像检测装置周围辐射工作人员的</w:t>
            </w:r>
            <w:r>
              <w:rPr>
                <w:rFonts w:hint="eastAsia"/>
              </w:rPr>
              <w:t>周</w:t>
            </w:r>
            <w:r>
              <w:t>有效剂量最大值为</w:t>
            </w:r>
            <w:r>
              <w:rPr>
                <w:rFonts w:hint="eastAsia"/>
              </w:rPr>
              <w:t>17.55</w:t>
            </w:r>
            <w:r>
              <w:rPr>
                <w:rFonts w:cs="Times New Roman"/>
              </w:rPr>
              <w:t>μ</w:t>
            </w:r>
            <w:r>
              <w:t>Sv：公众</w:t>
            </w:r>
            <w:r>
              <w:rPr>
                <w:rFonts w:hint="eastAsia"/>
              </w:rPr>
              <w:t>周</w:t>
            </w:r>
            <w:r>
              <w:t>有效剂量最大值</w:t>
            </w:r>
            <w:r>
              <w:rPr>
                <w:rFonts w:hint="eastAsia"/>
              </w:rPr>
              <w:t>为1.94</w:t>
            </w:r>
            <w:r>
              <w:rPr>
                <w:rFonts w:cs="Times New Roman"/>
              </w:rPr>
              <w:t>μ</w:t>
            </w:r>
            <w:r>
              <w:t>Sv，均能满足《电离辐射防护与辐射源安全基本标准》（GB18871-2002）剂量限值和本项目剂量约束值的要求：职业人员</w:t>
            </w:r>
            <w:r>
              <w:rPr>
                <w:rFonts w:hint="eastAsia"/>
              </w:rPr>
              <w:t>周</w:t>
            </w:r>
            <w:r>
              <w:t>有效剂量不超过</w:t>
            </w:r>
            <w:r>
              <w:rPr>
                <w:rFonts w:hint="eastAsia"/>
              </w:rPr>
              <w:t>100</w:t>
            </w:r>
            <w:r>
              <w:rPr>
                <w:rFonts w:cs="Times New Roman"/>
              </w:rPr>
              <w:t>μ</w:t>
            </w:r>
            <w:r>
              <w:t>Sv，公众年有效剂量不超过</w:t>
            </w:r>
            <w:r>
              <w:rPr>
                <w:rFonts w:hint="eastAsia"/>
              </w:rPr>
              <w:t>5</w:t>
            </w:r>
            <w:r>
              <w:rPr>
                <w:rFonts w:cs="Times New Roman"/>
              </w:rPr>
              <w:t>μ</w:t>
            </w:r>
            <w:r>
              <w:t>Sv。</w:t>
            </w:r>
          </w:p>
          <w:p w14:paraId="31B70820">
            <w:pPr>
              <w:pStyle w:val="21"/>
            </w:pPr>
            <w:r>
              <w:rPr>
                <w:rFonts w:hint="eastAsia"/>
              </w:rPr>
              <w:t>表11-5 本项目 X 射线实时成像检测装置周围人员年受照有效剂量结果评价</w:t>
            </w:r>
          </w:p>
          <w:tbl>
            <w:tblPr>
              <w:tblStyle w:val="13"/>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704"/>
              <w:gridCol w:w="625"/>
              <w:gridCol w:w="1826"/>
              <w:gridCol w:w="1280"/>
              <w:gridCol w:w="974"/>
              <w:gridCol w:w="1407"/>
              <w:gridCol w:w="1345"/>
              <w:gridCol w:w="458"/>
            </w:tblGrid>
            <w:tr w14:paraId="39F040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A363CD5">
                  <w:pPr>
                    <w:pStyle w:val="24"/>
                    <w:widowControl w:val="0"/>
                    <w:rPr>
                      <w:sz w:val="18"/>
                      <w:szCs w:val="18"/>
                    </w:rPr>
                  </w:pPr>
                  <w:r>
                    <w:rPr>
                      <w:rFonts w:hint="eastAsia"/>
                      <w:sz w:val="18"/>
                      <w:szCs w:val="18"/>
                    </w:rPr>
                    <w:t>序号</w:t>
                  </w:r>
                </w:p>
              </w:tc>
              <w:tc>
                <w:tcPr>
                  <w:tcW w:w="0" w:type="auto"/>
                  <w:vAlign w:val="center"/>
                </w:tcPr>
                <w:p w14:paraId="7DC8865A">
                  <w:pPr>
                    <w:pStyle w:val="24"/>
                    <w:widowControl w:val="0"/>
                    <w:rPr>
                      <w:sz w:val="18"/>
                      <w:szCs w:val="18"/>
                    </w:rPr>
                  </w:pPr>
                  <w:r>
                    <w:rPr>
                      <w:rFonts w:hint="eastAsia"/>
                      <w:sz w:val="18"/>
                      <w:szCs w:val="18"/>
                    </w:rPr>
                    <w:t>关注点</w:t>
                  </w:r>
                </w:p>
              </w:tc>
              <w:tc>
                <w:tcPr>
                  <w:tcW w:w="0" w:type="auto"/>
                  <w:vAlign w:val="center"/>
                </w:tcPr>
                <w:p w14:paraId="10D715C5">
                  <w:pPr>
                    <w:pStyle w:val="24"/>
                    <w:widowControl w:val="0"/>
                    <w:rPr>
                      <w:sz w:val="18"/>
                      <w:szCs w:val="18"/>
                    </w:rPr>
                  </w:pPr>
                  <w:r>
                    <w:rPr>
                      <w:rFonts w:hint="eastAsia"/>
                      <w:sz w:val="18"/>
                      <w:szCs w:val="18"/>
                    </w:rPr>
                    <w:t>使用因子U</w:t>
                  </w:r>
                </w:p>
              </w:tc>
              <w:tc>
                <w:tcPr>
                  <w:tcW w:w="0" w:type="auto"/>
                  <w:vAlign w:val="center"/>
                </w:tcPr>
                <w:p w14:paraId="266AEFC6">
                  <w:pPr>
                    <w:pStyle w:val="24"/>
                    <w:widowControl w:val="0"/>
                    <w:rPr>
                      <w:sz w:val="18"/>
                      <w:szCs w:val="18"/>
                    </w:rPr>
                  </w:pPr>
                  <w:r>
                    <w:rPr>
                      <w:rFonts w:hint="eastAsia"/>
                      <w:sz w:val="18"/>
                      <w:szCs w:val="18"/>
                    </w:rPr>
                    <w:t>居留因子T</w:t>
                  </w:r>
                </w:p>
              </w:tc>
              <w:tc>
                <w:tcPr>
                  <w:tcW w:w="0" w:type="auto"/>
                  <w:vAlign w:val="center"/>
                </w:tcPr>
                <w:p w14:paraId="6F7D4429">
                  <w:pPr>
                    <w:pStyle w:val="24"/>
                    <w:widowControl w:val="0"/>
                    <w:rPr>
                      <w:sz w:val="18"/>
                      <w:szCs w:val="18"/>
                    </w:rPr>
                  </w:pPr>
                  <w:r>
                    <w:rPr>
                      <w:rFonts w:hint="eastAsia"/>
                      <w:sz w:val="18"/>
                      <w:szCs w:val="18"/>
                    </w:rPr>
                    <w:t>剂量率值（</w:t>
                  </w:r>
                  <w:r>
                    <w:rPr>
                      <w:sz w:val="18"/>
                      <w:szCs w:val="18"/>
                    </w:rPr>
                    <w:t>μ</w:t>
                  </w:r>
                  <w:r>
                    <w:rPr>
                      <w:rFonts w:hint="eastAsia"/>
                      <w:sz w:val="18"/>
                      <w:szCs w:val="18"/>
                    </w:rPr>
                    <w:t>Sv/h）*</w:t>
                  </w:r>
                </w:p>
              </w:tc>
              <w:tc>
                <w:tcPr>
                  <w:tcW w:w="0" w:type="auto"/>
                  <w:vAlign w:val="center"/>
                </w:tcPr>
                <w:p w14:paraId="33ACD2CE">
                  <w:pPr>
                    <w:pStyle w:val="24"/>
                    <w:widowControl w:val="0"/>
                    <w:rPr>
                      <w:sz w:val="18"/>
                      <w:szCs w:val="18"/>
                    </w:rPr>
                  </w:pPr>
                  <w:r>
                    <w:rPr>
                      <w:rFonts w:hint="eastAsia"/>
                      <w:sz w:val="18"/>
                      <w:szCs w:val="18"/>
                    </w:rPr>
                    <w:t>年工作时间（h）</w:t>
                  </w:r>
                </w:p>
              </w:tc>
              <w:tc>
                <w:tcPr>
                  <w:tcW w:w="0" w:type="auto"/>
                  <w:vAlign w:val="center"/>
                </w:tcPr>
                <w:p w14:paraId="081FF0B2">
                  <w:pPr>
                    <w:pStyle w:val="24"/>
                    <w:widowControl w:val="0"/>
                    <w:rPr>
                      <w:sz w:val="18"/>
                      <w:szCs w:val="18"/>
                    </w:rPr>
                  </w:pPr>
                  <w:r>
                    <w:rPr>
                      <w:rFonts w:hint="eastAsia"/>
                      <w:sz w:val="18"/>
                      <w:szCs w:val="18"/>
                    </w:rPr>
                    <w:t>年剂量估算值（mSv/a）</w:t>
                  </w:r>
                </w:p>
              </w:tc>
              <w:tc>
                <w:tcPr>
                  <w:tcW w:w="0" w:type="auto"/>
                  <w:vAlign w:val="center"/>
                </w:tcPr>
                <w:p w14:paraId="4C61978F">
                  <w:pPr>
                    <w:pStyle w:val="24"/>
                    <w:widowControl w:val="0"/>
                    <w:rPr>
                      <w:sz w:val="18"/>
                      <w:szCs w:val="18"/>
                    </w:rPr>
                  </w:pPr>
                  <w:r>
                    <w:rPr>
                      <w:rFonts w:hint="eastAsia"/>
                      <w:sz w:val="18"/>
                      <w:szCs w:val="18"/>
                    </w:rPr>
                    <w:t>剂量约束值（mSv/a）</w:t>
                  </w:r>
                </w:p>
              </w:tc>
              <w:tc>
                <w:tcPr>
                  <w:tcW w:w="0" w:type="auto"/>
                  <w:vAlign w:val="center"/>
                </w:tcPr>
                <w:p w14:paraId="570019F2">
                  <w:pPr>
                    <w:pStyle w:val="24"/>
                    <w:widowControl w:val="0"/>
                    <w:rPr>
                      <w:sz w:val="18"/>
                      <w:szCs w:val="18"/>
                    </w:rPr>
                  </w:pPr>
                  <w:r>
                    <w:rPr>
                      <w:rFonts w:hint="eastAsia"/>
                      <w:sz w:val="18"/>
                      <w:szCs w:val="18"/>
                    </w:rPr>
                    <w:t>评价</w:t>
                  </w:r>
                </w:p>
              </w:tc>
            </w:tr>
            <w:tr w14:paraId="713B3D1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0E03060">
                  <w:pPr>
                    <w:pStyle w:val="24"/>
                    <w:widowControl w:val="0"/>
                    <w:rPr>
                      <w:sz w:val="18"/>
                      <w:szCs w:val="18"/>
                    </w:rPr>
                  </w:pPr>
                  <w:r>
                    <w:rPr>
                      <w:rFonts w:hint="eastAsia"/>
                      <w:sz w:val="18"/>
                      <w:szCs w:val="18"/>
                    </w:rPr>
                    <w:t>1</w:t>
                  </w:r>
                </w:p>
              </w:tc>
              <w:tc>
                <w:tcPr>
                  <w:tcW w:w="0" w:type="auto"/>
                  <w:vAlign w:val="center"/>
                </w:tcPr>
                <w:p w14:paraId="43ACC19E">
                  <w:pPr>
                    <w:pStyle w:val="24"/>
                    <w:widowControl w:val="0"/>
                    <w:rPr>
                      <w:sz w:val="18"/>
                      <w:szCs w:val="18"/>
                    </w:rPr>
                  </w:pPr>
                  <w:r>
                    <w:rPr>
                      <w:rFonts w:hint="eastAsia"/>
                      <w:sz w:val="18"/>
                      <w:szCs w:val="18"/>
                    </w:rPr>
                    <w:t>监测装置西侧</w:t>
                  </w:r>
                </w:p>
              </w:tc>
              <w:tc>
                <w:tcPr>
                  <w:tcW w:w="0" w:type="auto"/>
                  <w:vAlign w:val="center"/>
                </w:tcPr>
                <w:p w14:paraId="558CB612">
                  <w:pPr>
                    <w:pStyle w:val="24"/>
                    <w:widowControl w:val="0"/>
                    <w:rPr>
                      <w:sz w:val="18"/>
                      <w:szCs w:val="18"/>
                    </w:rPr>
                  </w:pPr>
                  <w:r>
                    <w:rPr>
                      <w:rFonts w:hint="eastAsia"/>
                      <w:sz w:val="18"/>
                      <w:szCs w:val="18"/>
                    </w:rPr>
                    <w:t>1</w:t>
                  </w:r>
                </w:p>
              </w:tc>
              <w:tc>
                <w:tcPr>
                  <w:tcW w:w="0" w:type="auto"/>
                  <w:vAlign w:val="center"/>
                </w:tcPr>
                <w:p w14:paraId="1231AB0E">
                  <w:pPr>
                    <w:pStyle w:val="24"/>
                    <w:widowControl w:val="0"/>
                    <w:rPr>
                      <w:sz w:val="18"/>
                      <w:szCs w:val="18"/>
                    </w:rPr>
                  </w:pPr>
                  <w:r>
                    <w:rPr>
                      <w:rFonts w:hint="eastAsia"/>
                      <w:sz w:val="18"/>
                      <w:szCs w:val="18"/>
                    </w:rPr>
                    <w:t>1（操作室）</w:t>
                  </w:r>
                </w:p>
              </w:tc>
              <w:tc>
                <w:tcPr>
                  <w:tcW w:w="0" w:type="auto"/>
                  <w:vAlign w:val="center"/>
                </w:tcPr>
                <w:p w14:paraId="167BFBC0">
                  <w:pPr>
                    <w:pStyle w:val="24"/>
                    <w:widowControl w:val="0"/>
                    <w:rPr>
                      <w:sz w:val="18"/>
                      <w:szCs w:val="18"/>
                    </w:rPr>
                  </w:pPr>
                  <w:r>
                    <w:rPr>
                      <w:rFonts w:hint="eastAsia"/>
                      <w:sz w:val="18"/>
                      <w:szCs w:val="18"/>
                    </w:rPr>
                    <w:t>4.8</w:t>
                  </w:r>
                  <w:r>
                    <w:rPr>
                      <w:sz w:val="18"/>
                      <w:szCs w:val="18"/>
                    </w:rPr>
                    <w:t>×10</w:t>
                  </w:r>
                  <w:r>
                    <w:rPr>
                      <w:sz w:val="18"/>
                      <w:szCs w:val="18"/>
                      <w:vertAlign w:val="superscript"/>
                    </w:rPr>
                    <w:t>-</w:t>
                  </w:r>
                  <w:r>
                    <w:rPr>
                      <w:rFonts w:hint="eastAsia"/>
                      <w:sz w:val="18"/>
                      <w:szCs w:val="18"/>
                      <w:vertAlign w:val="superscript"/>
                    </w:rPr>
                    <w:t>3</w:t>
                  </w:r>
                </w:p>
              </w:tc>
              <w:tc>
                <w:tcPr>
                  <w:tcW w:w="0" w:type="auto"/>
                  <w:vAlign w:val="center"/>
                </w:tcPr>
                <w:p w14:paraId="2D75A90D">
                  <w:pPr>
                    <w:pStyle w:val="24"/>
                    <w:widowControl w:val="0"/>
                    <w:rPr>
                      <w:sz w:val="18"/>
                      <w:szCs w:val="18"/>
                    </w:rPr>
                  </w:pPr>
                  <w:r>
                    <w:rPr>
                      <w:rFonts w:hint="eastAsia"/>
                      <w:sz w:val="18"/>
                      <w:szCs w:val="18"/>
                    </w:rPr>
                    <w:t>500</w:t>
                  </w:r>
                </w:p>
              </w:tc>
              <w:tc>
                <w:tcPr>
                  <w:tcW w:w="0" w:type="auto"/>
                  <w:vAlign w:val="center"/>
                </w:tcPr>
                <w:p w14:paraId="15E32953">
                  <w:pPr>
                    <w:pStyle w:val="24"/>
                    <w:widowControl w:val="0"/>
                    <w:rPr>
                      <w:sz w:val="18"/>
                      <w:szCs w:val="18"/>
                    </w:rPr>
                  </w:pPr>
                  <w:r>
                    <w:rPr>
                      <w:rFonts w:hint="eastAsia"/>
                      <w:sz w:val="18"/>
                      <w:szCs w:val="18"/>
                    </w:rPr>
                    <w:t>2.4</w:t>
                  </w:r>
                  <w:r>
                    <w:rPr>
                      <w:sz w:val="18"/>
                      <w:szCs w:val="18"/>
                    </w:rPr>
                    <w:t>×10</w:t>
                  </w:r>
                  <w:r>
                    <w:rPr>
                      <w:sz w:val="18"/>
                      <w:szCs w:val="18"/>
                      <w:vertAlign w:val="superscript"/>
                    </w:rPr>
                    <w:t>-</w:t>
                  </w:r>
                  <w:r>
                    <w:rPr>
                      <w:rFonts w:hint="eastAsia"/>
                      <w:sz w:val="18"/>
                      <w:szCs w:val="18"/>
                      <w:vertAlign w:val="superscript"/>
                    </w:rPr>
                    <w:t>3</w:t>
                  </w:r>
                </w:p>
              </w:tc>
              <w:tc>
                <w:tcPr>
                  <w:tcW w:w="0" w:type="auto"/>
                  <w:vMerge w:val="restart"/>
                  <w:vAlign w:val="center"/>
                </w:tcPr>
                <w:p w14:paraId="46B50136">
                  <w:pPr>
                    <w:pStyle w:val="24"/>
                    <w:widowControl w:val="0"/>
                    <w:rPr>
                      <w:sz w:val="18"/>
                      <w:szCs w:val="18"/>
                    </w:rPr>
                  </w:pPr>
                  <w:r>
                    <w:rPr>
                      <w:rFonts w:hint="eastAsia"/>
                      <w:sz w:val="18"/>
                      <w:szCs w:val="18"/>
                    </w:rPr>
                    <w:t>5（职业人员）</w:t>
                  </w:r>
                </w:p>
              </w:tc>
              <w:tc>
                <w:tcPr>
                  <w:tcW w:w="0" w:type="auto"/>
                  <w:vAlign w:val="center"/>
                </w:tcPr>
                <w:p w14:paraId="28FC46F7">
                  <w:pPr>
                    <w:pStyle w:val="24"/>
                    <w:widowControl w:val="0"/>
                    <w:rPr>
                      <w:sz w:val="18"/>
                      <w:szCs w:val="18"/>
                    </w:rPr>
                  </w:pPr>
                  <w:r>
                    <w:rPr>
                      <w:rFonts w:hint="eastAsia"/>
                      <w:sz w:val="18"/>
                      <w:szCs w:val="18"/>
                    </w:rPr>
                    <w:t>满足</w:t>
                  </w:r>
                </w:p>
              </w:tc>
            </w:tr>
            <w:tr w14:paraId="1DA3771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195B7B1">
                  <w:pPr>
                    <w:pStyle w:val="24"/>
                    <w:widowControl w:val="0"/>
                    <w:rPr>
                      <w:sz w:val="18"/>
                      <w:szCs w:val="18"/>
                    </w:rPr>
                  </w:pPr>
                  <w:r>
                    <w:rPr>
                      <w:rFonts w:hint="eastAsia"/>
                      <w:sz w:val="18"/>
                      <w:szCs w:val="18"/>
                    </w:rPr>
                    <w:t>2</w:t>
                  </w:r>
                </w:p>
              </w:tc>
              <w:tc>
                <w:tcPr>
                  <w:tcW w:w="0" w:type="auto"/>
                  <w:vAlign w:val="center"/>
                </w:tcPr>
                <w:p w14:paraId="27B4E82E">
                  <w:pPr>
                    <w:pStyle w:val="24"/>
                    <w:widowControl w:val="0"/>
                    <w:rPr>
                      <w:sz w:val="18"/>
                      <w:szCs w:val="18"/>
                    </w:rPr>
                  </w:pPr>
                  <w:r>
                    <w:rPr>
                      <w:rFonts w:hint="eastAsia"/>
                      <w:sz w:val="18"/>
                      <w:szCs w:val="18"/>
                    </w:rPr>
                    <w:t>维修门外</w:t>
                  </w:r>
                </w:p>
              </w:tc>
              <w:tc>
                <w:tcPr>
                  <w:tcW w:w="0" w:type="auto"/>
                  <w:vAlign w:val="center"/>
                </w:tcPr>
                <w:p w14:paraId="623BEF3F">
                  <w:pPr>
                    <w:pStyle w:val="24"/>
                    <w:widowControl w:val="0"/>
                    <w:rPr>
                      <w:sz w:val="18"/>
                      <w:szCs w:val="18"/>
                    </w:rPr>
                  </w:pPr>
                  <w:r>
                    <w:rPr>
                      <w:rFonts w:hint="eastAsia"/>
                      <w:sz w:val="18"/>
                      <w:szCs w:val="18"/>
                    </w:rPr>
                    <w:t>1</w:t>
                  </w:r>
                </w:p>
              </w:tc>
              <w:tc>
                <w:tcPr>
                  <w:tcW w:w="0" w:type="auto"/>
                  <w:vAlign w:val="center"/>
                </w:tcPr>
                <w:p w14:paraId="3056291E">
                  <w:pPr>
                    <w:pStyle w:val="24"/>
                    <w:widowControl w:val="0"/>
                    <w:rPr>
                      <w:sz w:val="18"/>
                      <w:szCs w:val="18"/>
                    </w:rPr>
                  </w:pPr>
                  <w:r>
                    <w:rPr>
                      <w:rFonts w:hint="eastAsia"/>
                      <w:sz w:val="18"/>
                      <w:szCs w:val="18"/>
                    </w:rPr>
                    <w:t>1（操作室）</w:t>
                  </w:r>
                </w:p>
              </w:tc>
              <w:tc>
                <w:tcPr>
                  <w:tcW w:w="0" w:type="auto"/>
                  <w:vAlign w:val="center"/>
                </w:tcPr>
                <w:p w14:paraId="74742695">
                  <w:pPr>
                    <w:pStyle w:val="24"/>
                    <w:widowControl w:val="0"/>
                    <w:rPr>
                      <w:sz w:val="18"/>
                      <w:szCs w:val="18"/>
                    </w:rPr>
                  </w:pPr>
                  <w:r>
                    <w:rPr>
                      <w:rFonts w:hint="eastAsia"/>
                      <w:sz w:val="18"/>
                      <w:szCs w:val="18"/>
                    </w:rPr>
                    <w:t>1.75</w:t>
                  </w:r>
                </w:p>
              </w:tc>
              <w:tc>
                <w:tcPr>
                  <w:tcW w:w="0" w:type="auto"/>
                  <w:vAlign w:val="center"/>
                </w:tcPr>
                <w:p w14:paraId="26F9154C">
                  <w:pPr>
                    <w:pStyle w:val="24"/>
                    <w:widowControl w:val="0"/>
                    <w:rPr>
                      <w:sz w:val="18"/>
                      <w:szCs w:val="18"/>
                    </w:rPr>
                  </w:pPr>
                  <w:r>
                    <w:rPr>
                      <w:rFonts w:hint="eastAsia"/>
                      <w:sz w:val="18"/>
                      <w:szCs w:val="18"/>
                    </w:rPr>
                    <w:t>500</w:t>
                  </w:r>
                </w:p>
              </w:tc>
              <w:tc>
                <w:tcPr>
                  <w:tcW w:w="0" w:type="auto"/>
                  <w:vAlign w:val="center"/>
                </w:tcPr>
                <w:p w14:paraId="3CB2BF21">
                  <w:pPr>
                    <w:pStyle w:val="24"/>
                    <w:widowControl w:val="0"/>
                    <w:rPr>
                      <w:sz w:val="18"/>
                      <w:szCs w:val="18"/>
                    </w:rPr>
                  </w:pPr>
                  <w:r>
                    <w:rPr>
                      <w:rFonts w:hint="eastAsia"/>
                      <w:sz w:val="18"/>
                      <w:szCs w:val="18"/>
                    </w:rPr>
                    <w:t>0.88</w:t>
                  </w:r>
                </w:p>
              </w:tc>
              <w:tc>
                <w:tcPr>
                  <w:tcW w:w="0" w:type="auto"/>
                  <w:vMerge w:val="continue"/>
                  <w:vAlign w:val="center"/>
                </w:tcPr>
                <w:p w14:paraId="305B2982">
                  <w:pPr>
                    <w:pStyle w:val="24"/>
                    <w:widowControl w:val="0"/>
                    <w:rPr>
                      <w:sz w:val="18"/>
                      <w:szCs w:val="18"/>
                    </w:rPr>
                  </w:pPr>
                </w:p>
              </w:tc>
              <w:tc>
                <w:tcPr>
                  <w:tcW w:w="0" w:type="auto"/>
                  <w:vAlign w:val="center"/>
                </w:tcPr>
                <w:p w14:paraId="345435DF">
                  <w:pPr>
                    <w:pStyle w:val="24"/>
                    <w:widowControl w:val="0"/>
                    <w:rPr>
                      <w:sz w:val="18"/>
                      <w:szCs w:val="18"/>
                    </w:rPr>
                  </w:pPr>
                  <w:r>
                    <w:rPr>
                      <w:rFonts w:hint="eastAsia"/>
                      <w:sz w:val="18"/>
                      <w:szCs w:val="18"/>
                    </w:rPr>
                    <w:t>满足</w:t>
                  </w:r>
                </w:p>
              </w:tc>
            </w:tr>
            <w:tr w14:paraId="5E07AB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8A42AAD">
                  <w:pPr>
                    <w:pStyle w:val="24"/>
                    <w:widowControl w:val="0"/>
                    <w:rPr>
                      <w:sz w:val="18"/>
                      <w:szCs w:val="18"/>
                    </w:rPr>
                  </w:pPr>
                  <w:r>
                    <w:rPr>
                      <w:rFonts w:hint="eastAsia"/>
                      <w:sz w:val="18"/>
                      <w:szCs w:val="18"/>
                    </w:rPr>
                    <w:t>3</w:t>
                  </w:r>
                </w:p>
              </w:tc>
              <w:tc>
                <w:tcPr>
                  <w:tcW w:w="0" w:type="auto"/>
                  <w:vAlign w:val="center"/>
                </w:tcPr>
                <w:p w14:paraId="1D05D7B0">
                  <w:pPr>
                    <w:pStyle w:val="24"/>
                    <w:widowControl w:val="0"/>
                    <w:rPr>
                      <w:sz w:val="18"/>
                      <w:szCs w:val="18"/>
                    </w:rPr>
                  </w:pPr>
                  <w:r>
                    <w:rPr>
                      <w:rFonts w:hint="eastAsia"/>
                      <w:sz w:val="18"/>
                      <w:szCs w:val="18"/>
                    </w:rPr>
                    <w:t>监测装置东侧</w:t>
                  </w:r>
                </w:p>
              </w:tc>
              <w:tc>
                <w:tcPr>
                  <w:tcW w:w="0" w:type="auto"/>
                  <w:vAlign w:val="center"/>
                </w:tcPr>
                <w:p w14:paraId="04302E31">
                  <w:pPr>
                    <w:pStyle w:val="24"/>
                    <w:widowControl w:val="0"/>
                    <w:rPr>
                      <w:sz w:val="18"/>
                      <w:szCs w:val="18"/>
                    </w:rPr>
                  </w:pPr>
                  <w:r>
                    <w:rPr>
                      <w:rFonts w:hint="eastAsia"/>
                      <w:sz w:val="18"/>
                      <w:szCs w:val="18"/>
                    </w:rPr>
                    <w:t>1</w:t>
                  </w:r>
                </w:p>
              </w:tc>
              <w:tc>
                <w:tcPr>
                  <w:tcW w:w="0" w:type="auto"/>
                  <w:vAlign w:val="center"/>
                </w:tcPr>
                <w:p w14:paraId="4768CA91">
                  <w:pPr>
                    <w:pStyle w:val="24"/>
                    <w:widowControl w:val="0"/>
                    <w:rPr>
                      <w:sz w:val="18"/>
                      <w:szCs w:val="18"/>
                    </w:rPr>
                  </w:pPr>
                  <w:r>
                    <w:rPr>
                      <w:rFonts w:hint="eastAsia"/>
                      <w:sz w:val="18"/>
                      <w:szCs w:val="18"/>
                    </w:rPr>
                    <w:t>1/8（五金、原料仓库）</w:t>
                  </w:r>
                </w:p>
              </w:tc>
              <w:tc>
                <w:tcPr>
                  <w:tcW w:w="0" w:type="auto"/>
                  <w:vAlign w:val="center"/>
                </w:tcPr>
                <w:p w14:paraId="1A30026E">
                  <w:pPr>
                    <w:pStyle w:val="24"/>
                    <w:widowControl w:val="0"/>
                    <w:rPr>
                      <w:sz w:val="18"/>
                      <w:szCs w:val="18"/>
                    </w:rPr>
                  </w:pPr>
                  <w:r>
                    <w:rPr>
                      <w:rFonts w:hint="eastAsia"/>
                      <w:sz w:val="18"/>
                      <w:szCs w:val="18"/>
                    </w:rPr>
                    <w:t>6.6</w:t>
                  </w:r>
                  <w:r>
                    <w:rPr>
                      <w:sz w:val="18"/>
                      <w:szCs w:val="18"/>
                    </w:rPr>
                    <w:t>×10</w:t>
                  </w:r>
                  <w:r>
                    <w:rPr>
                      <w:sz w:val="18"/>
                      <w:szCs w:val="18"/>
                      <w:vertAlign w:val="superscript"/>
                    </w:rPr>
                    <w:t>-</w:t>
                  </w:r>
                  <w:r>
                    <w:rPr>
                      <w:rFonts w:hint="eastAsia"/>
                      <w:sz w:val="18"/>
                      <w:szCs w:val="18"/>
                      <w:vertAlign w:val="superscript"/>
                    </w:rPr>
                    <w:t>3</w:t>
                  </w:r>
                </w:p>
              </w:tc>
              <w:tc>
                <w:tcPr>
                  <w:tcW w:w="0" w:type="auto"/>
                  <w:vAlign w:val="center"/>
                </w:tcPr>
                <w:p w14:paraId="3EDA0310">
                  <w:pPr>
                    <w:pStyle w:val="24"/>
                    <w:widowControl w:val="0"/>
                    <w:rPr>
                      <w:sz w:val="18"/>
                      <w:szCs w:val="18"/>
                    </w:rPr>
                  </w:pPr>
                  <w:r>
                    <w:rPr>
                      <w:rFonts w:hint="eastAsia"/>
                      <w:sz w:val="18"/>
                      <w:szCs w:val="18"/>
                    </w:rPr>
                    <w:t>500</w:t>
                  </w:r>
                </w:p>
              </w:tc>
              <w:tc>
                <w:tcPr>
                  <w:tcW w:w="0" w:type="auto"/>
                  <w:vAlign w:val="center"/>
                </w:tcPr>
                <w:p w14:paraId="4CB45321">
                  <w:pPr>
                    <w:pStyle w:val="24"/>
                    <w:widowControl w:val="0"/>
                    <w:rPr>
                      <w:sz w:val="18"/>
                      <w:szCs w:val="18"/>
                    </w:rPr>
                  </w:pPr>
                  <w:r>
                    <w:rPr>
                      <w:rFonts w:hint="eastAsia"/>
                      <w:sz w:val="18"/>
                      <w:szCs w:val="18"/>
                    </w:rPr>
                    <w:t>4.1</w:t>
                  </w:r>
                  <w:r>
                    <w:rPr>
                      <w:sz w:val="18"/>
                      <w:szCs w:val="18"/>
                    </w:rPr>
                    <w:t>×10</w:t>
                  </w:r>
                  <w:r>
                    <w:rPr>
                      <w:sz w:val="18"/>
                      <w:szCs w:val="18"/>
                      <w:vertAlign w:val="superscript"/>
                    </w:rPr>
                    <w:t>-</w:t>
                  </w:r>
                  <w:r>
                    <w:rPr>
                      <w:rFonts w:hint="eastAsia"/>
                      <w:sz w:val="18"/>
                      <w:szCs w:val="18"/>
                      <w:vertAlign w:val="superscript"/>
                    </w:rPr>
                    <w:t>4</w:t>
                  </w:r>
                </w:p>
              </w:tc>
              <w:tc>
                <w:tcPr>
                  <w:tcW w:w="0" w:type="auto"/>
                  <w:vMerge w:val="restart"/>
                  <w:vAlign w:val="center"/>
                </w:tcPr>
                <w:p w14:paraId="3CE5FC6B">
                  <w:pPr>
                    <w:pStyle w:val="24"/>
                    <w:widowControl w:val="0"/>
                    <w:rPr>
                      <w:sz w:val="18"/>
                      <w:szCs w:val="18"/>
                    </w:rPr>
                  </w:pPr>
                  <w:r>
                    <w:rPr>
                      <w:rFonts w:hint="eastAsia"/>
                      <w:sz w:val="18"/>
                      <w:szCs w:val="18"/>
                    </w:rPr>
                    <w:t>0.1（公众）</w:t>
                  </w:r>
                </w:p>
              </w:tc>
              <w:tc>
                <w:tcPr>
                  <w:tcW w:w="0" w:type="auto"/>
                  <w:vAlign w:val="center"/>
                </w:tcPr>
                <w:p w14:paraId="5E117022">
                  <w:pPr>
                    <w:pStyle w:val="24"/>
                    <w:widowControl w:val="0"/>
                    <w:rPr>
                      <w:sz w:val="18"/>
                      <w:szCs w:val="18"/>
                    </w:rPr>
                  </w:pPr>
                  <w:r>
                    <w:rPr>
                      <w:rFonts w:hint="eastAsia"/>
                      <w:sz w:val="18"/>
                      <w:szCs w:val="18"/>
                    </w:rPr>
                    <w:t>满足</w:t>
                  </w:r>
                </w:p>
              </w:tc>
            </w:tr>
            <w:tr w14:paraId="2F49BEA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744B3B1">
                  <w:pPr>
                    <w:pStyle w:val="24"/>
                    <w:widowControl w:val="0"/>
                    <w:rPr>
                      <w:sz w:val="18"/>
                      <w:szCs w:val="18"/>
                    </w:rPr>
                  </w:pPr>
                  <w:r>
                    <w:rPr>
                      <w:rFonts w:hint="eastAsia"/>
                      <w:sz w:val="18"/>
                      <w:szCs w:val="18"/>
                    </w:rPr>
                    <w:t>4</w:t>
                  </w:r>
                </w:p>
              </w:tc>
              <w:tc>
                <w:tcPr>
                  <w:tcW w:w="0" w:type="auto"/>
                  <w:vAlign w:val="center"/>
                </w:tcPr>
                <w:p w14:paraId="51AE8902">
                  <w:pPr>
                    <w:pStyle w:val="24"/>
                    <w:widowControl w:val="0"/>
                    <w:rPr>
                      <w:sz w:val="18"/>
                      <w:szCs w:val="18"/>
                    </w:rPr>
                  </w:pPr>
                  <w:r>
                    <w:rPr>
                      <w:rFonts w:hint="eastAsia"/>
                      <w:sz w:val="18"/>
                      <w:szCs w:val="18"/>
                    </w:rPr>
                    <w:t>监测装置南侧</w:t>
                  </w:r>
                </w:p>
              </w:tc>
              <w:tc>
                <w:tcPr>
                  <w:tcW w:w="0" w:type="auto"/>
                  <w:vAlign w:val="center"/>
                </w:tcPr>
                <w:p w14:paraId="2FCAE74C">
                  <w:pPr>
                    <w:pStyle w:val="24"/>
                    <w:widowControl w:val="0"/>
                    <w:rPr>
                      <w:sz w:val="18"/>
                      <w:szCs w:val="18"/>
                    </w:rPr>
                  </w:pPr>
                  <w:r>
                    <w:rPr>
                      <w:rFonts w:hint="eastAsia"/>
                      <w:sz w:val="18"/>
                      <w:szCs w:val="18"/>
                    </w:rPr>
                    <w:t>1</w:t>
                  </w:r>
                </w:p>
              </w:tc>
              <w:tc>
                <w:tcPr>
                  <w:tcW w:w="0" w:type="auto"/>
                  <w:vAlign w:val="center"/>
                </w:tcPr>
                <w:p w14:paraId="161812B9">
                  <w:pPr>
                    <w:pStyle w:val="24"/>
                    <w:widowControl w:val="0"/>
                    <w:rPr>
                      <w:sz w:val="18"/>
                      <w:szCs w:val="18"/>
                    </w:rPr>
                  </w:pPr>
                  <w:r>
                    <w:rPr>
                      <w:rFonts w:hint="eastAsia"/>
                      <w:sz w:val="18"/>
                      <w:szCs w:val="18"/>
                    </w:rPr>
                    <w:t>1/2（</w:t>
                  </w:r>
                  <w:r>
                    <w:rPr>
                      <w:sz w:val="18"/>
                      <w:szCs w:val="18"/>
                    </w:rPr>
                    <w:t>江阴市远景能源有限公司</w:t>
                  </w:r>
                  <w:r>
                    <w:rPr>
                      <w:rFonts w:hint="eastAsia"/>
                      <w:sz w:val="18"/>
                      <w:szCs w:val="18"/>
                    </w:rPr>
                    <w:t>生产组装车间过道）</w:t>
                  </w:r>
                </w:p>
              </w:tc>
              <w:tc>
                <w:tcPr>
                  <w:tcW w:w="0" w:type="auto"/>
                  <w:vAlign w:val="center"/>
                </w:tcPr>
                <w:p w14:paraId="3492FAF4">
                  <w:pPr>
                    <w:pStyle w:val="24"/>
                    <w:widowControl w:val="0"/>
                    <w:rPr>
                      <w:sz w:val="18"/>
                      <w:szCs w:val="18"/>
                    </w:rPr>
                  </w:pPr>
                  <w:r>
                    <w:rPr>
                      <w:rFonts w:hint="eastAsia"/>
                      <w:sz w:val="18"/>
                      <w:szCs w:val="18"/>
                    </w:rPr>
                    <w:t>0.39</w:t>
                  </w:r>
                </w:p>
              </w:tc>
              <w:tc>
                <w:tcPr>
                  <w:tcW w:w="0" w:type="auto"/>
                  <w:vAlign w:val="center"/>
                </w:tcPr>
                <w:p w14:paraId="05B241E1">
                  <w:pPr>
                    <w:pStyle w:val="24"/>
                    <w:widowControl w:val="0"/>
                    <w:rPr>
                      <w:sz w:val="18"/>
                      <w:szCs w:val="18"/>
                    </w:rPr>
                  </w:pPr>
                  <w:r>
                    <w:rPr>
                      <w:rFonts w:hint="eastAsia"/>
                      <w:sz w:val="18"/>
                      <w:szCs w:val="18"/>
                    </w:rPr>
                    <w:t>500</w:t>
                  </w:r>
                </w:p>
              </w:tc>
              <w:tc>
                <w:tcPr>
                  <w:tcW w:w="0" w:type="auto"/>
                  <w:vAlign w:val="center"/>
                </w:tcPr>
                <w:p w14:paraId="2296030C">
                  <w:pPr>
                    <w:pStyle w:val="24"/>
                    <w:widowControl w:val="0"/>
                    <w:rPr>
                      <w:sz w:val="18"/>
                      <w:szCs w:val="18"/>
                    </w:rPr>
                  </w:pPr>
                  <w:r>
                    <w:rPr>
                      <w:rFonts w:hint="eastAsia"/>
                      <w:sz w:val="18"/>
                      <w:szCs w:val="18"/>
                    </w:rPr>
                    <w:t>0.097</w:t>
                  </w:r>
                </w:p>
              </w:tc>
              <w:tc>
                <w:tcPr>
                  <w:tcW w:w="0" w:type="auto"/>
                  <w:vMerge w:val="continue"/>
                  <w:vAlign w:val="center"/>
                </w:tcPr>
                <w:p w14:paraId="6FFFA093">
                  <w:pPr>
                    <w:pStyle w:val="24"/>
                    <w:widowControl w:val="0"/>
                    <w:rPr>
                      <w:sz w:val="18"/>
                      <w:szCs w:val="18"/>
                    </w:rPr>
                  </w:pPr>
                </w:p>
              </w:tc>
              <w:tc>
                <w:tcPr>
                  <w:tcW w:w="0" w:type="auto"/>
                  <w:vAlign w:val="center"/>
                </w:tcPr>
                <w:p w14:paraId="3CC0109A">
                  <w:pPr>
                    <w:pStyle w:val="24"/>
                    <w:widowControl w:val="0"/>
                    <w:rPr>
                      <w:sz w:val="18"/>
                      <w:szCs w:val="18"/>
                    </w:rPr>
                  </w:pPr>
                  <w:r>
                    <w:rPr>
                      <w:rFonts w:hint="eastAsia"/>
                      <w:sz w:val="18"/>
                      <w:szCs w:val="18"/>
                    </w:rPr>
                    <w:t>满足</w:t>
                  </w:r>
                </w:p>
              </w:tc>
            </w:tr>
            <w:tr w14:paraId="75C819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B251824">
                  <w:pPr>
                    <w:pStyle w:val="24"/>
                    <w:widowControl w:val="0"/>
                    <w:rPr>
                      <w:sz w:val="18"/>
                      <w:szCs w:val="18"/>
                    </w:rPr>
                  </w:pPr>
                  <w:r>
                    <w:rPr>
                      <w:rFonts w:hint="eastAsia"/>
                      <w:sz w:val="18"/>
                      <w:szCs w:val="18"/>
                    </w:rPr>
                    <w:t>5</w:t>
                  </w:r>
                </w:p>
              </w:tc>
              <w:tc>
                <w:tcPr>
                  <w:tcW w:w="0" w:type="auto"/>
                  <w:vAlign w:val="center"/>
                </w:tcPr>
                <w:p w14:paraId="191BEB62">
                  <w:pPr>
                    <w:pStyle w:val="24"/>
                    <w:widowControl w:val="0"/>
                    <w:rPr>
                      <w:sz w:val="18"/>
                      <w:szCs w:val="18"/>
                    </w:rPr>
                  </w:pPr>
                  <w:r>
                    <w:rPr>
                      <w:rFonts w:hint="eastAsia"/>
                      <w:sz w:val="18"/>
                      <w:szCs w:val="18"/>
                    </w:rPr>
                    <w:t>监测装置北侧</w:t>
                  </w:r>
                </w:p>
              </w:tc>
              <w:tc>
                <w:tcPr>
                  <w:tcW w:w="0" w:type="auto"/>
                  <w:vAlign w:val="center"/>
                </w:tcPr>
                <w:p w14:paraId="5F21BAF5">
                  <w:pPr>
                    <w:pStyle w:val="24"/>
                    <w:widowControl w:val="0"/>
                    <w:rPr>
                      <w:sz w:val="18"/>
                      <w:szCs w:val="18"/>
                    </w:rPr>
                  </w:pPr>
                  <w:r>
                    <w:rPr>
                      <w:rFonts w:hint="eastAsia"/>
                      <w:sz w:val="18"/>
                      <w:szCs w:val="18"/>
                    </w:rPr>
                    <w:t>1</w:t>
                  </w:r>
                </w:p>
              </w:tc>
              <w:tc>
                <w:tcPr>
                  <w:tcW w:w="0" w:type="auto"/>
                  <w:vAlign w:val="center"/>
                </w:tcPr>
                <w:p w14:paraId="2C0E373A">
                  <w:pPr>
                    <w:pStyle w:val="24"/>
                    <w:widowControl w:val="0"/>
                    <w:rPr>
                      <w:sz w:val="18"/>
                      <w:szCs w:val="18"/>
                    </w:rPr>
                  </w:pPr>
                  <w:r>
                    <w:rPr>
                      <w:rFonts w:hint="eastAsia"/>
                      <w:sz w:val="18"/>
                      <w:szCs w:val="18"/>
                    </w:rPr>
                    <w:t>1/2（车间内过道）</w:t>
                  </w:r>
                </w:p>
              </w:tc>
              <w:tc>
                <w:tcPr>
                  <w:tcW w:w="0" w:type="auto"/>
                  <w:vAlign w:val="center"/>
                </w:tcPr>
                <w:p w14:paraId="386966F7">
                  <w:pPr>
                    <w:pStyle w:val="24"/>
                    <w:widowControl w:val="0"/>
                    <w:rPr>
                      <w:sz w:val="18"/>
                      <w:szCs w:val="18"/>
                    </w:rPr>
                  </w:pPr>
                  <w:r>
                    <w:rPr>
                      <w:rFonts w:hint="eastAsia"/>
                      <w:sz w:val="18"/>
                      <w:szCs w:val="18"/>
                    </w:rPr>
                    <w:t>0.36</w:t>
                  </w:r>
                </w:p>
              </w:tc>
              <w:tc>
                <w:tcPr>
                  <w:tcW w:w="0" w:type="auto"/>
                  <w:vAlign w:val="center"/>
                </w:tcPr>
                <w:p w14:paraId="3E9FE2BA">
                  <w:pPr>
                    <w:pStyle w:val="24"/>
                    <w:widowControl w:val="0"/>
                    <w:rPr>
                      <w:sz w:val="18"/>
                      <w:szCs w:val="18"/>
                    </w:rPr>
                  </w:pPr>
                  <w:r>
                    <w:rPr>
                      <w:rFonts w:hint="eastAsia"/>
                      <w:sz w:val="18"/>
                      <w:szCs w:val="18"/>
                    </w:rPr>
                    <w:t>500</w:t>
                  </w:r>
                </w:p>
              </w:tc>
              <w:tc>
                <w:tcPr>
                  <w:tcW w:w="0" w:type="auto"/>
                  <w:vAlign w:val="center"/>
                </w:tcPr>
                <w:p w14:paraId="16C9E0F9">
                  <w:pPr>
                    <w:pStyle w:val="24"/>
                    <w:widowControl w:val="0"/>
                    <w:rPr>
                      <w:sz w:val="18"/>
                      <w:szCs w:val="18"/>
                    </w:rPr>
                  </w:pPr>
                  <w:r>
                    <w:rPr>
                      <w:rFonts w:hint="eastAsia"/>
                      <w:sz w:val="18"/>
                      <w:szCs w:val="18"/>
                    </w:rPr>
                    <w:t>0.090</w:t>
                  </w:r>
                </w:p>
              </w:tc>
              <w:tc>
                <w:tcPr>
                  <w:tcW w:w="0" w:type="auto"/>
                  <w:vMerge w:val="continue"/>
                  <w:vAlign w:val="center"/>
                </w:tcPr>
                <w:p w14:paraId="59C87D68">
                  <w:pPr>
                    <w:pStyle w:val="24"/>
                    <w:widowControl w:val="0"/>
                    <w:rPr>
                      <w:sz w:val="18"/>
                      <w:szCs w:val="18"/>
                    </w:rPr>
                  </w:pPr>
                </w:p>
              </w:tc>
              <w:tc>
                <w:tcPr>
                  <w:tcW w:w="0" w:type="auto"/>
                  <w:vAlign w:val="center"/>
                </w:tcPr>
                <w:p w14:paraId="7B7FED86">
                  <w:pPr>
                    <w:pStyle w:val="24"/>
                    <w:widowControl w:val="0"/>
                    <w:rPr>
                      <w:sz w:val="18"/>
                      <w:szCs w:val="18"/>
                    </w:rPr>
                  </w:pPr>
                  <w:r>
                    <w:rPr>
                      <w:rFonts w:hint="eastAsia"/>
                      <w:sz w:val="18"/>
                      <w:szCs w:val="18"/>
                    </w:rPr>
                    <w:t>满足</w:t>
                  </w:r>
                </w:p>
              </w:tc>
            </w:tr>
            <w:tr w14:paraId="2FEBEC4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3DE7A32">
                  <w:pPr>
                    <w:pStyle w:val="24"/>
                    <w:widowControl w:val="0"/>
                    <w:rPr>
                      <w:sz w:val="18"/>
                      <w:szCs w:val="18"/>
                    </w:rPr>
                  </w:pPr>
                  <w:r>
                    <w:rPr>
                      <w:rFonts w:hint="eastAsia"/>
                      <w:sz w:val="18"/>
                      <w:szCs w:val="18"/>
                    </w:rPr>
                    <w:t>6</w:t>
                  </w:r>
                </w:p>
              </w:tc>
              <w:tc>
                <w:tcPr>
                  <w:tcW w:w="0" w:type="auto"/>
                  <w:vAlign w:val="center"/>
                </w:tcPr>
                <w:p w14:paraId="4902B6E4">
                  <w:pPr>
                    <w:pStyle w:val="24"/>
                    <w:widowControl w:val="0"/>
                    <w:rPr>
                      <w:sz w:val="18"/>
                      <w:szCs w:val="18"/>
                    </w:rPr>
                  </w:pPr>
                  <w:r>
                    <w:rPr>
                      <w:rFonts w:hint="eastAsia"/>
                      <w:sz w:val="18"/>
                      <w:szCs w:val="18"/>
                    </w:rPr>
                    <w:t>进出料门外</w:t>
                  </w:r>
                </w:p>
              </w:tc>
              <w:tc>
                <w:tcPr>
                  <w:tcW w:w="0" w:type="auto"/>
                  <w:vAlign w:val="center"/>
                </w:tcPr>
                <w:p w14:paraId="082F23CB">
                  <w:pPr>
                    <w:pStyle w:val="24"/>
                    <w:widowControl w:val="0"/>
                    <w:rPr>
                      <w:sz w:val="18"/>
                      <w:szCs w:val="18"/>
                    </w:rPr>
                  </w:pPr>
                  <w:r>
                    <w:rPr>
                      <w:rFonts w:hint="eastAsia"/>
                      <w:sz w:val="18"/>
                      <w:szCs w:val="18"/>
                    </w:rPr>
                    <w:t>1</w:t>
                  </w:r>
                </w:p>
              </w:tc>
              <w:tc>
                <w:tcPr>
                  <w:tcW w:w="0" w:type="auto"/>
                  <w:vAlign w:val="center"/>
                </w:tcPr>
                <w:p w14:paraId="137CE9DB">
                  <w:pPr>
                    <w:pStyle w:val="24"/>
                    <w:widowControl w:val="0"/>
                    <w:rPr>
                      <w:sz w:val="18"/>
                      <w:szCs w:val="18"/>
                    </w:rPr>
                  </w:pPr>
                  <w:r>
                    <w:rPr>
                      <w:rFonts w:hint="eastAsia"/>
                      <w:sz w:val="18"/>
                      <w:szCs w:val="18"/>
                    </w:rPr>
                    <w:t>1/16（进/出料滚道）</w:t>
                  </w:r>
                </w:p>
              </w:tc>
              <w:tc>
                <w:tcPr>
                  <w:tcW w:w="0" w:type="auto"/>
                  <w:vAlign w:val="center"/>
                </w:tcPr>
                <w:p w14:paraId="3A24387F">
                  <w:pPr>
                    <w:pStyle w:val="24"/>
                    <w:widowControl w:val="0"/>
                    <w:rPr>
                      <w:sz w:val="18"/>
                      <w:szCs w:val="18"/>
                    </w:rPr>
                  </w:pPr>
                  <w:r>
                    <w:rPr>
                      <w:rFonts w:hint="eastAsia"/>
                      <w:sz w:val="18"/>
                      <w:szCs w:val="18"/>
                    </w:rPr>
                    <w:t>2.39</w:t>
                  </w:r>
                </w:p>
              </w:tc>
              <w:tc>
                <w:tcPr>
                  <w:tcW w:w="0" w:type="auto"/>
                  <w:vAlign w:val="center"/>
                </w:tcPr>
                <w:p w14:paraId="1A9833FC">
                  <w:pPr>
                    <w:pStyle w:val="24"/>
                    <w:widowControl w:val="0"/>
                    <w:rPr>
                      <w:sz w:val="18"/>
                      <w:szCs w:val="18"/>
                    </w:rPr>
                  </w:pPr>
                  <w:r>
                    <w:rPr>
                      <w:rFonts w:hint="eastAsia"/>
                      <w:sz w:val="18"/>
                      <w:szCs w:val="18"/>
                    </w:rPr>
                    <w:t>500</w:t>
                  </w:r>
                </w:p>
              </w:tc>
              <w:tc>
                <w:tcPr>
                  <w:tcW w:w="0" w:type="auto"/>
                  <w:vAlign w:val="center"/>
                </w:tcPr>
                <w:p w14:paraId="5C0F07D6">
                  <w:pPr>
                    <w:pStyle w:val="24"/>
                    <w:widowControl w:val="0"/>
                    <w:rPr>
                      <w:sz w:val="18"/>
                      <w:szCs w:val="18"/>
                    </w:rPr>
                  </w:pPr>
                  <w:r>
                    <w:rPr>
                      <w:rFonts w:hint="eastAsia"/>
                      <w:sz w:val="18"/>
                      <w:szCs w:val="18"/>
                    </w:rPr>
                    <w:t>0.075</w:t>
                  </w:r>
                </w:p>
              </w:tc>
              <w:tc>
                <w:tcPr>
                  <w:tcW w:w="0" w:type="auto"/>
                  <w:vMerge w:val="continue"/>
                  <w:vAlign w:val="center"/>
                </w:tcPr>
                <w:p w14:paraId="47AC8CE9">
                  <w:pPr>
                    <w:pStyle w:val="24"/>
                    <w:widowControl w:val="0"/>
                    <w:rPr>
                      <w:sz w:val="18"/>
                      <w:szCs w:val="18"/>
                    </w:rPr>
                  </w:pPr>
                </w:p>
              </w:tc>
              <w:tc>
                <w:tcPr>
                  <w:tcW w:w="0" w:type="auto"/>
                  <w:vAlign w:val="center"/>
                </w:tcPr>
                <w:p w14:paraId="41A69D43">
                  <w:pPr>
                    <w:pStyle w:val="24"/>
                    <w:widowControl w:val="0"/>
                    <w:rPr>
                      <w:sz w:val="18"/>
                      <w:szCs w:val="18"/>
                    </w:rPr>
                  </w:pPr>
                  <w:r>
                    <w:rPr>
                      <w:rFonts w:hint="eastAsia"/>
                      <w:sz w:val="18"/>
                      <w:szCs w:val="18"/>
                    </w:rPr>
                    <w:t>满足</w:t>
                  </w:r>
                </w:p>
              </w:tc>
            </w:tr>
          </w:tbl>
          <w:p w14:paraId="30582344">
            <w:pPr>
              <w:pStyle w:val="6"/>
            </w:pPr>
            <w:r>
              <w:rPr>
                <w:rFonts w:hint="eastAsia"/>
              </w:rPr>
              <w:t>*保守取装置各侧30cm外最大辐射剂量率。</w:t>
            </w:r>
          </w:p>
          <w:p w14:paraId="70AE4793">
            <w:pPr>
              <w:pStyle w:val="2"/>
              <w:ind w:firstLine="480"/>
            </w:pPr>
            <w:r>
              <w:t>从表</w:t>
            </w:r>
            <w:r>
              <w:rPr>
                <w:rFonts w:hint="eastAsia"/>
              </w:rPr>
              <w:t xml:space="preserve"> </w:t>
            </w:r>
            <w:r>
              <w:t>11-</w:t>
            </w:r>
            <w:r>
              <w:rPr>
                <w:rFonts w:hint="eastAsia"/>
              </w:rPr>
              <w:t xml:space="preserve">5 </w:t>
            </w:r>
            <w:r>
              <w:t>中的计算结果可以看出，当本项目X射线实时成像检测装置周围辐射工作人员的年有效剂量最大值为0</w:t>
            </w:r>
            <w:r>
              <w:rPr>
                <w:rFonts w:hint="eastAsia"/>
              </w:rPr>
              <w:t>.88</w:t>
            </w:r>
            <w:r>
              <w:t>mSv：公众年有效剂量最大值0.</w:t>
            </w:r>
            <w:r>
              <w:rPr>
                <w:rFonts w:hint="eastAsia"/>
              </w:rPr>
              <w:t>097</w:t>
            </w:r>
            <w:r>
              <w:t>mSv，均能满足《电离辐射防护与辐射源安全基本标准》（GB18871-2002）剂量限值和本项目剂量约束值的要求：职业人员年有效剂量不超过5mSv，公众年有效剂量不超过0.1mSv。</w:t>
            </w:r>
          </w:p>
          <w:p w14:paraId="10331EAA">
            <w:pPr>
              <w:pStyle w:val="3"/>
            </w:pPr>
            <w:r>
              <w:rPr>
                <w:rFonts w:hint="eastAsia"/>
              </w:rPr>
              <w:t>4 三废治理评价</w:t>
            </w:r>
          </w:p>
          <w:p w14:paraId="2A37F344">
            <w:pPr>
              <w:pStyle w:val="2"/>
              <w:ind w:firstLine="480"/>
              <w:rPr>
                <w:rFonts w:cs="Times New Roman"/>
              </w:rPr>
            </w:pPr>
            <w:r>
              <w:rPr>
                <w:rFonts w:hint="eastAsia" w:cs="Times New Roman"/>
              </w:rPr>
              <w:t xml:space="preserve">本项目 </w:t>
            </w:r>
            <w:r>
              <w:rPr>
                <w:rFonts w:cs="Times New Roman"/>
              </w:rPr>
              <w:t>X</w:t>
            </w:r>
            <w:r>
              <w:rPr>
                <w:rFonts w:hint="eastAsia" w:cs="Times New Roman"/>
              </w:rPr>
              <w:t xml:space="preserve"> 射线实时成像检测装置工作时产生的</w:t>
            </w:r>
            <w:r>
              <w:rPr>
                <w:rFonts w:cs="Times New Roman"/>
              </w:rPr>
              <w:t>X</w:t>
            </w:r>
            <w:r>
              <w:rPr>
                <w:rFonts w:hint="eastAsia" w:cs="Times New Roman"/>
              </w:rPr>
              <w:t xml:space="preserve">射线可使空气电离从而产生少量臭氧和氮氧化物。本项目 </w:t>
            </w:r>
            <w:r>
              <w:rPr>
                <w:rFonts w:cs="Times New Roman"/>
              </w:rPr>
              <w:t>X</w:t>
            </w:r>
            <w:r>
              <w:rPr>
                <w:rFonts w:hint="eastAsia" w:cs="Times New Roman"/>
              </w:rPr>
              <w:t xml:space="preserve"> 射线实时成像检测装置的曝光室南侧底部拟设置</w:t>
            </w:r>
            <w:r>
              <w:rPr>
                <w:rFonts w:cs="Times New Roman"/>
                <w:color w:val="auto"/>
              </w:rPr>
              <w:t>1</w:t>
            </w:r>
            <w:r>
              <w:rPr>
                <w:rFonts w:hint="eastAsia" w:cs="Times New Roman"/>
                <w:color w:val="auto"/>
              </w:rPr>
              <w:t>个通风口</w:t>
            </w:r>
            <w:r>
              <w:rPr>
                <w:rFonts w:hint="eastAsia" w:cs="Times New Roman"/>
              </w:rPr>
              <w:t>，</w:t>
            </w:r>
            <w:r>
              <w:rPr>
                <w:rFonts w:cs="Times New Roman"/>
              </w:rPr>
              <w:t>X</w:t>
            </w:r>
            <w:r>
              <w:rPr>
                <w:rFonts w:hint="eastAsia" w:cs="Times New Roman"/>
              </w:rPr>
              <w:t xml:space="preserve"> 射线实时成像检测装置铅房内产生的少量臭氧和氮氧化物可通过检测铅房的进出料口及顶部通风口进入车间，最终通过车间排风系统排入车间外。臭氧常温下</w:t>
            </w:r>
            <w:r>
              <w:rPr>
                <w:rFonts w:cs="Times New Roman"/>
              </w:rPr>
              <w:t>50min</w:t>
            </w:r>
            <w:r>
              <w:rPr>
                <w:rFonts w:hint="eastAsia" w:cs="Times New Roman"/>
              </w:rPr>
              <w:t>内可自行分解为氧气，对周围环境影响较小。</w:t>
            </w:r>
          </w:p>
          <w:p w14:paraId="142C1F26">
            <w:pPr>
              <w:pStyle w:val="2"/>
              <w:ind w:firstLine="480"/>
            </w:pPr>
            <w:r>
              <w:rPr>
                <w:rFonts w:hint="eastAsia" w:cs="Times New Roman"/>
              </w:rPr>
              <w:t>本项目辐射工作人员在工作过程中产生的生活污水将进入城市污水管网，一般生活垃圾收集后将交由城市环卫部门处理，对周围环境影响较小。</w:t>
            </w:r>
          </w:p>
        </w:tc>
      </w:tr>
      <w:tr w14:paraId="44D33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9076" w:type="dxa"/>
            <w:vAlign w:val="bottom"/>
          </w:tcPr>
          <w:p w14:paraId="3A22B799">
            <w:pPr>
              <w:pStyle w:val="28"/>
              <w:rPr>
                <w:b/>
                <w:bCs/>
              </w:rPr>
            </w:pPr>
            <w:r>
              <w:rPr>
                <w:b/>
                <w:bCs/>
              </w:rPr>
              <w:t>事故影响分析</w:t>
            </w:r>
          </w:p>
          <w:p w14:paraId="60EA4C03">
            <w:pPr>
              <w:pStyle w:val="3"/>
            </w:pPr>
            <w:r>
              <w:rPr>
                <w:rFonts w:eastAsia="Times New Roman" w:cs="Times New Roman"/>
                <w:spacing w:val="-2"/>
              </w:rPr>
              <w:t>1</w:t>
            </w:r>
            <w:r>
              <w:rPr>
                <w:rFonts w:eastAsia="Times New Roman" w:cs="Times New Roman"/>
              </w:rPr>
              <w:t xml:space="preserve"> </w:t>
            </w:r>
            <w:r>
              <w:t>潜在事故分析</w:t>
            </w:r>
          </w:p>
          <w:p w14:paraId="1772EA5B">
            <w:pPr>
              <w:pStyle w:val="2"/>
              <w:ind w:firstLine="468"/>
            </w:pPr>
            <w:r>
              <w:rPr>
                <w:spacing w:val="-6"/>
              </w:rPr>
              <w:t xml:space="preserve">本项目 </w:t>
            </w:r>
            <w:r>
              <w:t>X</w:t>
            </w:r>
            <w:r>
              <w:rPr>
                <w:spacing w:val="-6"/>
              </w:rPr>
              <w:t xml:space="preserve"> </w:t>
            </w:r>
            <w:r>
              <w:rPr>
                <w:spacing w:val="-4"/>
              </w:rPr>
              <w:t>射</w:t>
            </w:r>
            <w:r>
              <w:t>线</w:t>
            </w:r>
            <w:r>
              <w:rPr>
                <w:rFonts w:hint="eastAsia"/>
              </w:rPr>
              <w:t>实时成像检测装置</w:t>
            </w:r>
            <w:r>
              <w:t>只有在开机曝光时才产生 X 射线，因此，X 射</w:t>
            </w:r>
            <w:r>
              <w:rPr>
                <w:spacing w:val="-6"/>
              </w:rPr>
              <w:t>线</w:t>
            </w:r>
            <w:r>
              <w:t>事故多为开机误照射事故，主要有：</w:t>
            </w:r>
          </w:p>
          <w:p w14:paraId="2E9561AD">
            <w:pPr>
              <w:pStyle w:val="2"/>
              <w:ind w:firstLine="466"/>
              <w:rPr>
                <w:spacing w:val="-7"/>
              </w:rPr>
            </w:pPr>
            <w:r>
              <w:rPr>
                <w:spacing w:val="-7"/>
              </w:rPr>
              <w:t>(1) 由于安全联锁装置失灵，导致防护门未关闭时人员开机工作受到误照射。</w:t>
            </w:r>
          </w:p>
          <w:p w14:paraId="33D101AA">
            <w:pPr>
              <w:pStyle w:val="2"/>
              <w:ind w:firstLine="466"/>
            </w:pPr>
            <w:r>
              <w:rPr>
                <w:spacing w:val="-7"/>
              </w:rPr>
              <w:t>(2) 机器调试、检修时误照射。</w:t>
            </w:r>
            <w:r>
              <w:rPr>
                <w:spacing w:val="-2"/>
              </w:rPr>
              <w:t>X</w:t>
            </w:r>
            <w:r>
              <w:rPr>
                <w:spacing w:val="-7"/>
              </w:rPr>
              <w:t xml:space="preserve"> 射线实时成像在调试或检修过程中，责任者脱</w:t>
            </w:r>
            <w:r>
              <w:rPr>
                <w:spacing w:val="-2"/>
              </w:rPr>
              <w:t>离岗位，不注意防护或他人误开机使人员受到照射。</w:t>
            </w:r>
          </w:p>
          <w:p w14:paraId="7439AC19">
            <w:pPr>
              <w:pStyle w:val="2"/>
              <w:ind w:firstLine="500"/>
              <w:rPr>
                <w:spacing w:val="-4"/>
              </w:rPr>
            </w:pPr>
            <w:r>
              <w:rPr>
                <w:spacing w:val="10"/>
              </w:rPr>
              <w:t>(3)二</w:t>
            </w:r>
            <w:r>
              <w:rPr>
                <w:spacing w:val="6"/>
              </w:rPr>
              <w:t>人</w:t>
            </w:r>
            <w:r>
              <w:rPr>
                <w:spacing w:val="5"/>
              </w:rPr>
              <w:t>作业，配合失误受照。两个人一起作业时，一人放置待测工件，而另</w:t>
            </w:r>
            <w:r>
              <w:t xml:space="preserve"> </w:t>
            </w:r>
            <w:r>
              <w:rPr>
                <w:spacing w:val="-1"/>
              </w:rPr>
              <w:t>一人却仍误开机导致人员受到</w:t>
            </w:r>
            <w:r>
              <w:t>误照射。</w:t>
            </w:r>
            <w:r>
              <w:rPr>
                <w:rFonts w:hint="eastAsia"/>
                <w:spacing w:val="7"/>
              </w:rPr>
              <w:t>江阴市胜辉管道科技</w:t>
            </w:r>
            <w:r>
              <w:rPr>
                <w:spacing w:val="7"/>
              </w:rPr>
              <w:t>有限公司应加强管理，严格要求辐射工作人员按照操</w:t>
            </w:r>
            <w:r>
              <w:rPr>
                <w:spacing w:val="1"/>
              </w:rPr>
              <w:t>作</w:t>
            </w:r>
            <w:r>
              <w:rPr>
                <w:spacing w:val="-8"/>
              </w:rPr>
              <w:t>规</w:t>
            </w:r>
            <w:r>
              <w:rPr>
                <w:spacing w:val="-4"/>
              </w:rPr>
              <w:t>程进行操作，并在实际工作中不断对辐射安全管理制度进行完善；加强职工辐射防</w:t>
            </w:r>
            <w:r>
              <w:rPr>
                <w:spacing w:val="-8"/>
              </w:rPr>
              <w:t>护</w:t>
            </w:r>
            <w:r>
              <w:rPr>
                <w:spacing w:val="-5"/>
              </w:rPr>
              <w:t>知</w:t>
            </w:r>
            <w:r>
              <w:rPr>
                <w:spacing w:val="-4"/>
              </w:rPr>
              <w:t>识的培训，尽可能避免辐射事故的发生。</w:t>
            </w:r>
          </w:p>
          <w:p w14:paraId="638C3703">
            <w:pPr>
              <w:pStyle w:val="3"/>
            </w:pPr>
            <w:r>
              <w:rPr>
                <w:spacing w:val="1"/>
              </w:rPr>
              <w:t>2 辐射事故</w:t>
            </w:r>
            <w:r>
              <w:t>处置方法及预防措施</w:t>
            </w:r>
          </w:p>
          <w:p w14:paraId="152758B7">
            <w:pPr>
              <w:pStyle w:val="2"/>
              <w:ind w:firstLine="480"/>
            </w:pPr>
            <w:r>
              <w:rPr>
                <w:rFonts w:hint="eastAsia"/>
              </w:rPr>
              <w:t>本项目针对上述可能出现的主要事故建议性的给出预防措施、处置措施：预防措施：（1）公司定期测量X射线实时成像检测装置周围区域的剂量率水平，包括操作台位置和周围毗邻区域人员居留处。当测量值高于参考控制水平时，终止调试工作并向辐射防护负责人报告；（2）公司应加强管理，加强辐射工作人员的培训，严格执行安全操作规程，防止人员误入误留在装置内；（3）定期检查门机联锁装置等辐射安全设施，确保调试工作正常进行。</w:t>
            </w:r>
          </w:p>
          <w:p w14:paraId="21832A2A">
            <w:pPr>
              <w:pStyle w:val="2"/>
              <w:ind w:firstLine="480"/>
            </w:pPr>
            <w:r>
              <w:rPr>
                <w:rFonts w:hint="eastAsia"/>
              </w:rPr>
              <w:t>处置措施：（1）发生事故时应按下急停开关切断电源，确保装置停止出束；(2)立即向单位领导汇报，并控制现场区域，防止无关人员进入；（3）对可能受到超剂量照射的人员，及时送医检查并治疗；（4）对受照人员进行受照剂量估算，并进行身体检查和医学观察；（5）事故处理后保存好受照人员体检资料，做好跟踪观察。</w:t>
            </w:r>
          </w:p>
          <w:p w14:paraId="3FF56440">
            <w:pPr>
              <w:pStyle w:val="2"/>
              <w:ind w:firstLine="480"/>
            </w:pPr>
            <w:r>
              <w:rPr>
                <w:rFonts w:hint="eastAsia"/>
              </w:rPr>
              <w:t>公司在日常工作中应加强辐射安全管理，定期对X射线实时成像检测装置进行检查、维护，发现问题及时维修；严格要求辐射工作人员按照操作规程进行X射线实时成像检测装置操作，每次操作前检查X射线设备门机联锁、急停按钮等安全防护措施的有效性，定期检测X射线设备的周围辐射水平，确保安全措施有效运行；针对可能发生的辐射安全事故，制定切实可行的辐射事故应急预案，以能够有序应对事故。此外，公司应制定应急计划演练，配备应急物品，通过演练确定应急措施是否可行。同时公司应在今后的工作实践中不断完善辐射安全制度，提高制度的可操作性。</w:t>
            </w:r>
          </w:p>
          <w:p w14:paraId="4413C0AB">
            <w:pPr>
              <w:pStyle w:val="2"/>
              <w:ind w:firstLine="480"/>
              <w:rPr>
                <w:rFonts w:cs="Times New Roman"/>
                <w:spacing w:val="-1"/>
                <w:szCs w:val="24"/>
              </w:rPr>
            </w:pPr>
            <w:r>
              <w:rPr>
                <w:rFonts w:hint="eastAsia"/>
              </w:rPr>
              <w:t>根据原国家环保总局《关于建立放射性同位素与射线装置辐射事故分级处理和报制度的通知》和《江苏省辐射污染防治条例》，在发生辐射事故时，事故单位应当立即启动本单位的辐射事故应急方案，采取必要防范措施，按要求在2小时内填写《辐射事故初始报告表》，并在1小时内向当地生态环境部门和公安部门报告。造成或可能造成人员超剂量照射的，还应同时向当地卫生健康部门报告。对于可能受到大剂量照射的人员，迅速安排医学检查和救治，积极配合政府管理部门做好事故调查和善后工作。</w:t>
            </w:r>
          </w:p>
        </w:tc>
      </w:tr>
    </w:tbl>
    <w:p w14:paraId="76CADF61">
      <w:pPr>
        <w:rPr>
          <w:rFonts w:eastAsiaTheme="minorEastAsia"/>
        </w:rPr>
        <w:sectPr>
          <w:pgSz w:w="11907" w:h="16841"/>
          <w:pgMar w:top="1418" w:right="1134" w:bottom="1418" w:left="1701" w:header="0" w:footer="1134" w:gutter="0"/>
          <w:cols w:space="720" w:num="1"/>
        </w:sectPr>
      </w:pPr>
    </w:p>
    <w:p w14:paraId="5FE89116">
      <w:pPr>
        <w:pStyle w:val="11"/>
      </w:pPr>
      <w:r>
        <w:t>表 12  辐射安全管理</w:t>
      </w:r>
    </w:p>
    <w:tbl>
      <w:tblPr>
        <w:tblStyle w:val="15"/>
        <w:tblW w:w="90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75"/>
      </w:tblGrid>
      <w:tr w14:paraId="7A90E7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8" w:hRule="atLeast"/>
        </w:trPr>
        <w:tc>
          <w:tcPr>
            <w:tcW w:w="9075" w:type="dxa"/>
          </w:tcPr>
          <w:p w14:paraId="7812D4C7">
            <w:pPr>
              <w:pStyle w:val="28"/>
              <w:rPr>
                <w:b/>
                <w:bCs/>
              </w:rPr>
            </w:pPr>
            <w:r>
              <w:rPr>
                <w:b/>
                <w:bCs/>
                <w:spacing w:val="1"/>
              </w:rPr>
              <w:t>辐射安全与</w:t>
            </w:r>
            <w:r>
              <w:rPr>
                <w:b/>
                <w:bCs/>
              </w:rPr>
              <w:t>环境保护管理机构的设置</w:t>
            </w:r>
          </w:p>
          <w:p w14:paraId="0579C3B1">
            <w:pPr>
              <w:pStyle w:val="2"/>
              <w:ind w:firstLine="480"/>
            </w:pPr>
            <w:r>
              <w:t>本项目开展</w:t>
            </w:r>
            <w:r>
              <w:rPr>
                <w:spacing w:val="-5"/>
              </w:rPr>
              <w:t>工</w:t>
            </w:r>
            <w:r>
              <w:rPr>
                <w:spacing w:val="-4"/>
              </w:rPr>
              <w:t xml:space="preserve">业 </w:t>
            </w:r>
            <w:r>
              <w:rPr>
                <w:rFonts w:eastAsia="Times New Roman" w:cs="Times New Roman"/>
                <w:spacing w:val="-4"/>
              </w:rPr>
              <w:t xml:space="preserve">X </w:t>
            </w:r>
            <w:r>
              <w:rPr>
                <w:spacing w:val="-4"/>
              </w:rPr>
              <w:t>射线使用的设备</w:t>
            </w:r>
            <w:r>
              <w:rPr>
                <w:rFonts w:hint="eastAsia"/>
                <w:spacing w:val="-4"/>
              </w:rPr>
              <w:t xml:space="preserve">为 </w:t>
            </w:r>
            <w:r>
              <w:rPr>
                <w:rFonts w:hint="eastAsia" w:cs="Times New Roman" w:eastAsiaTheme="minorEastAsia"/>
                <w:spacing w:val="-4"/>
              </w:rPr>
              <w:t>X 射线实时成像检测装置，属</w:t>
            </w:r>
            <w:r>
              <w:rPr>
                <w:rFonts w:eastAsia="Times New Roman" w:cs="Times New Roman"/>
              </w:rPr>
              <w:t>Ⅱ</w:t>
            </w:r>
            <w:r>
              <w:rPr>
                <w:rFonts w:hint="eastAsia" w:ascii="宋体" w:hAnsi="宋体" w:cs="宋体"/>
              </w:rPr>
              <w:t>类射线装置</w:t>
            </w:r>
            <w:r>
              <w:t>。根据《放射性同位素与射线装置安全许可管理办法》的要求，使用</w:t>
            </w:r>
            <w:r>
              <w:rPr>
                <w:rFonts w:eastAsia="Times New Roman" w:cs="Times New Roman"/>
              </w:rPr>
              <w:t>Ⅱ</w:t>
            </w:r>
            <w:r>
              <w:t>类射线装</w:t>
            </w:r>
            <w:r>
              <w:rPr>
                <w:spacing w:val="-6"/>
              </w:rPr>
              <w:t>置</w:t>
            </w:r>
            <w:r>
              <w:rPr>
                <w:spacing w:val="-12"/>
              </w:rPr>
              <w:t>的</w:t>
            </w:r>
            <w:r>
              <w:t xml:space="preserve">单位，应设有专门的辐射安全与环境保护管理机构，或者至少有 </w:t>
            </w:r>
            <w:r>
              <w:rPr>
                <w:rFonts w:eastAsia="Times New Roman" w:cs="Times New Roman"/>
              </w:rPr>
              <w:t xml:space="preserve">1 </w:t>
            </w:r>
            <w:r>
              <w:t>名具有本科以上学</w:t>
            </w:r>
            <w:r>
              <w:rPr>
                <w:spacing w:val="-4"/>
              </w:rPr>
              <w:t>历的技术人员专职负责辐射安全与环境保护管理工作，并以文件形式明确管理人员</w:t>
            </w:r>
            <w:r>
              <w:rPr>
                <w:spacing w:val="-1"/>
              </w:rPr>
              <w:t>职责。从事辐射工作的人员必须通过辐射安全和防护专业知识及相关法律法规的培</w:t>
            </w:r>
            <w:r>
              <w:t>训</w:t>
            </w:r>
            <w:r>
              <w:rPr>
                <w:spacing w:val="-10"/>
              </w:rPr>
              <w:t>和</w:t>
            </w:r>
            <w:r>
              <w:t>考核。</w:t>
            </w:r>
          </w:p>
          <w:p w14:paraId="2B551845">
            <w:pPr>
              <w:pStyle w:val="2"/>
              <w:ind w:firstLine="478"/>
            </w:pPr>
            <w:bookmarkStart w:id="24" w:name="OLE_LINK21"/>
            <w:r>
              <w:rPr>
                <w:rFonts w:hint="eastAsia"/>
                <w:spacing w:val="-1"/>
              </w:rPr>
              <w:t>江阴市胜辉管道科技</w:t>
            </w:r>
            <w:r>
              <w:rPr>
                <w:spacing w:val="-1"/>
              </w:rPr>
              <w:t>有限公司拟成立专门的辐射安全与环境保护管理机构，</w:t>
            </w:r>
            <w:r>
              <w:t xml:space="preserve"> 并</w:t>
            </w:r>
            <w:r>
              <w:rPr>
                <w:spacing w:val="-6"/>
              </w:rPr>
              <w:t>以文件形式明确管理人员</w:t>
            </w:r>
            <w:r>
              <w:rPr>
                <w:spacing w:val="-3"/>
              </w:rPr>
              <w:t xml:space="preserve">职责。公司拟为本项目配备的 </w:t>
            </w:r>
            <w:r>
              <w:rPr>
                <w:rFonts w:cs="Times New Roman"/>
                <w:spacing w:val="-3"/>
              </w:rPr>
              <w:t>2</w:t>
            </w:r>
            <w:r>
              <w:rPr>
                <w:rFonts w:hint="eastAsia"/>
                <w:spacing w:val="-3"/>
              </w:rPr>
              <w:t xml:space="preserve"> </w:t>
            </w:r>
            <w:r>
              <w:rPr>
                <w:spacing w:val="-3"/>
              </w:rPr>
              <w:t>名辐射工作人员，辐射工</w:t>
            </w:r>
            <w:r>
              <w:rPr>
                <w:spacing w:val="10"/>
              </w:rPr>
              <w:t>作人员均</w:t>
            </w:r>
            <w:r>
              <w:rPr>
                <w:spacing w:val="9"/>
              </w:rPr>
              <w:t>应</w:t>
            </w:r>
            <w:r>
              <w:rPr>
                <w:spacing w:val="5"/>
              </w:rPr>
              <w:t>取得辐射安全培训合格证书或通过生态环境部培训平台上的线上考核方</w:t>
            </w:r>
            <w:r>
              <w:rPr>
                <w:spacing w:val="-3"/>
              </w:rPr>
              <w:t>可上岗。</w:t>
            </w:r>
            <w:bookmarkEnd w:id="24"/>
          </w:p>
        </w:tc>
      </w:tr>
      <w:tr w14:paraId="57C77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67" w:hRule="atLeast"/>
        </w:trPr>
        <w:tc>
          <w:tcPr>
            <w:tcW w:w="9075" w:type="dxa"/>
          </w:tcPr>
          <w:p w14:paraId="23FC0130">
            <w:pPr>
              <w:pStyle w:val="28"/>
              <w:rPr>
                <w:b/>
                <w:bCs/>
              </w:rPr>
            </w:pPr>
            <w:r>
              <w:rPr>
                <w:b/>
                <w:bCs/>
                <w:spacing w:val="1"/>
              </w:rPr>
              <w:t>辐</w:t>
            </w:r>
            <w:r>
              <w:rPr>
                <w:b/>
                <w:bCs/>
              </w:rPr>
              <w:t>射安全管理规章制度</w:t>
            </w:r>
          </w:p>
          <w:p w14:paraId="15C65BD7">
            <w:pPr>
              <w:pStyle w:val="2"/>
              <w:ind w:firstLine="512"/>
            </w:pPr>
            <w:r>
              <w:rPr>
                <w:spacing w:val="16"/>
              </w:rPr>
              <w:t>本项</w:t>
            </w:r>
            <w:r>
              <w:rPr>
                <w:spacing w:val="12"/>
              </w:rPr>
              <w:t>目</w:t>
            </w:r>
            <w:r>
              <w:rPr>
                <w:spacing w:val="8"/>
              </w:rPr>
              <w:t>为新建项目，</w:t>
            </w:r>
            <w:r>
              <w:rPr>
                <w:rFonts w:hint="eastAsia"/>
                <w:spacing w:val="8"/>
              </w:rPr>
              <w:t>江阴市胜辉管道科技</w:t>
            </w:r>
            <w:r>
              <w:rPr>
                <w:spacing w:val="8"/>
              </w:rPr>
              <w:t>有限公司拟制定一系列完善的辐射安</w:t>
            </w:r>
            <w:r>
              <w:t>全管理制度，包括操作规程、岗位职责、辐射防护和安全保卫制度、设备检修维护</w:t>
            </w:r>
            <w:r>
              <w:rPr>
                <w:spacing w:val="2"/>
              </w:rPr>
              <w:t>制</w:t>
            </w:r>
            <w:r>
              <w:rPr>
                <w:spacing w:val="-1"/>
              </w:rPr>
              <w:t>度、人员培训计划、监测方案等，可</w:t>
            </w:r>
            <w:r>
              <w:t>满足《放射性同位素与射线装置安全和防护条例》和《放射性同位素与射线装置安全许可管理办法》的要求。本报告对各项管理制度</w:t>
            </w:r>
            <w:r>
              <w:rPr>
                <w:spacing w:val="1"/>
              </w:rPr>
              <w:t>制</w:t>
            </w:r>
            <w:r>
              <w:rPr>
                <w:spacing w:val="-10"/>
              </w:rPr>
              <w:t>定</w:t>
            </w:r>
            <w:r>
              <w:rPr>
                <w:spacing w:val="-6"/>
              </w:rPr>
              <w:t>要点提出如下建议：</w:t>
            </w:r>
          </w:p>
          <w:p w14:paraId="75BE12EE">
            <w:pPr>
              <w:pStyle w:val="2"/>
              <w:ind w:firstLine="482"/>
              <w:rPr>
                <w:rFonts w:hint="eastAsia" w:ascii="宋体" w:hAnsi="宋体" w:cs="宋体"/>
              </w:rPr>
            </w:pPr>
            <w:r>
              <w:rPr>
                <w:b/>
                <w:bCs/>
              </w:rPr>
              <w:t>操作规程：</w:t>
            </w:r>
            <w:r>
              <w:rPr>
                <w:rFonts w:ascii="宋体" w:hAnsi="宋体" w:cs="宋体"/>
                <w:spacing w:val="-6"/>
              </w:rPr>
              <w:t>明确</w:t>
            </w:r>
            <w:r>
              <w:rPr>
                <w:rFonts w:eastAsia="Times New Roman"/>
                <w:spacing w:val="-6"/>
              </w:rPr>
              <w:t xml:space="preserve">X </w:t>
            </w:r>
            <w:r>
              <w:rPr>
                <w:rFonts w:ascii="宋体" w:hAnsi="宋体" w:cs="宋体"/>
                <w:spacing w:val="-6"/>
              </w:rPr>
              <w:t>射线</w:t>
            </w:r>
            <w:r>
              <w:rPr>
                <w:rFonts w:hint="eastAsia" w:ascii="宋体" w:hAnsi="宋体" w:cs="宋体"/>
                <w:spacing w:val="-6"/>
              </w:rPr>
              <w:t>设备</w:t>
            </w:r>
            <w:r>
              <w:rPr>
                <w:rFonts w:ascii="宋体" w:hAnsi="宋体" w:cs="宋体"/>
                <w:spacing w:val="-6"/>
              </w:rPr>
              <w:t>辐射人员的资质条件要求、</w:t>
            </w:r>
            <w:r>
              <w:rPr>
                <w:rFonts w:eastAsia="Times New Roman"/>
                <w:spacing w:val="-6"/>
              </w:rPr>
              <w:t xml:space="preserve">X </w:t>
            </w:r>
            <w:r>
              <w:rPr>
                <w:rFonts w:ascii="宋体" w:hAnsi="宋体" w:cs="宋体"/>
                <w:spacing w:val="-6"/>
              </w:rPr>
              <w:t>射线</w:t>
            </w:r>
            <w:r>
              <w:rPr>
                <w:rFonts w:hint="eastAsia" w:ascii="宋体" w:hAnsi="宋体" w:cs="宋体"/>
              </w:rPr>
              <w:t>设备</w:t>
            </w:r>
            <w:r>
              <w:rPr>
                <w:rFonts w:ascii="宋体" w:hAnsi="宋体" w:cs="宋体"/>
                <w:spacing w:val="-7"/>
              </w:rPr>
              <w:t>操作流程及操作过程中应采取的具体防护措施，重点是明确</w:t>
            </w:r>
            <w:r>
              <w:rPr>
                <w:rFonts w:hint="eastAsia" w:ascii="宋体" w:hAnsi="宋体" w:cs="宋体"/>
                <w:spacing w:val="-7"/>
              </w:rPr>
              <w:t xml:space="preserve"> </w:t>
            </w:r>
            <w:r>
              <w:rPr>
                <w:rFonts w:eastAsia="Times New Roman"/>
                <w:spacing w:val="-1"/>
              </w:rPr>
              <w:t>X</w:t>
            </w:r>
            <w:r>
              <w:rPr>
                <w:rFonts w:eastAsia="Times New Roman"/>
                <w:spacing w:val="-7"/>
              </w:rPr>
              <w:t xml:space="preserve"> </w:t>
            </w:r>
            <w:r>
              <w:rPr>
                <w:rFonts w:ascii="宋体" w:hAnsi="宋体" w:cs="宋体"/>
                <w:spacing w:val="-7"/>
              </w:rPr>
              <w:t>射线</w:t>
            </w:r>
            <w:r>
              <w:rPr>
                <w:rFonts w:hint="eastAsia" w:ascii="宋体" w:hAnsi="宋体" w:cs="宋体"/>
              </w:rPr>
              <w:t>设备</w:t>
            </w:r>
            <w:r>
              <w:rPr>
                <w:rFonts w:ascii="宋体" w:hAnsi="宋体" w:cs="宋体"/>
                <w:spacing w:val="-2"/>
              </w:rPr>
              <w:t>操作步骤以及作业过程</w:t>
            </w:r>
            <w:r>
              <w:rPr>
                <w:rFonts w:ascii="宋体" w:hAnsi="宋体" w:cs="宋体"/>
                <w:spacing w:val="-1"/>
              </w:rPr>
              <w:t>中必须采取的辐射安全措施。</w:t>
            </w:r>
          </w:p>
          <w:p w14:paraId="17E92DC6">
            <w:pPr>
              <w:pStyle w:val="2"/>
              <w:ind w:firstLine="482"/>
              <w:rPr>
                <w:rFonts w:hint="eastAsia" w:ascii="宋体" w:hAnsi="宋体" w:cs="宋体"/>
              </w:rPr>
            </w:pPr>
            <w:r>
              <w:rPr>
                <w:b/>
                <w:bCs/>
              </w:rPr>
              <w:t>岗位职责：</w:t>
            </w:r>
            <w:r>
              <w:rPr>
                <w:rFonts w:ascii="宋体" w:hAnsi="宋体" w:cs="宋体"/>
                <w:spacing w:val="-8"/>
              </w:rPr>
              <w:t>明确管理人员、</w:t>
            </w:r>
            <w:r>
              <w:rPr>
                <w:rFonts w:hint="eastAsia" w:ascii="宋体" w:hAnsi="宋体" w:cs="宋体"/>
                <w:spacing w:val="-8"/>
              </w:rPr>
              <w:t>辐射</w:t>
            </w:r>
            <w:r>
              <w:rPr>
                <w:rFonts w:ascii="宋体" w:hAnsi="宋体" w:cs="宋体"/>
                <w:spacing w:val="-8"/>
              </w:rPr>
              <w:t>工作人员、维修人员的岗位责任</w:t>
            </w:r>
            <w:r>
              <w:rPr>
                <w:rFonts w:hint="eastAsia" w:ascii="宋体" w:hAnsi="宋体" w:cs="宋体"/>
                <w:spacing w:val="-8"/>
              </w:rPr>
              <w:t>。建设单位为辐射管理第一责任人，建设单位应当对设备操作规范、设备检修与维护、辐射工作人员健康状况等全方面负责。</w:t>
            </w:r>
            <w:r>
              <w:rPr>
                <w:rFonts w:ascii="宋体" w:hAnsi="宋体" w:cs="宋体"/>
                <w:spacing w:val="-8"/>
              </w:rPr>
              <w:t>每一个相关</w:t>
            </w:r>
            <w:r>
              <w:rPr>
                <w:rFonts w:ascii="宋体" w:hAnsi="宋体" w:cs="宋体"/>
                <w:spacing w:val="-4"/>
              </w:rPr>
              <w:t>的工作人员明确</w:t>
            </w:r>
            <w:r>
              <w:rPr>
                <w:rFonts w:ascii="宋体" w:hAnsi="宋体" w:cs="宋体"/>
                <w:spacing w:val="-2"/>
              </w:rPr>
              <w:t>自己所在岗位具体责任，并层层落实。</w:t>
            </w:r>
          </w:p>
          <w:p w14:paraId="678DBB67">
            <w:pPr>
              <w:pStyle w:val="2"/>
              <w:ind w:firstLine="482"/>
              <w:rPr>
                <w:rFonts w:hint="eastAsia" w:ascii="宋体" w:hAnsi="宋体" w:cs="宋体"/>
              </w:rPr>
            </w:pPr>
            <w:r>
              <w:rPr>
                <w:b/>
                <w:bCs/>
              </w:rPr>
              <w:t>辐射防护和安全保卫制度：</w:t>
            </w:r>
            <w:r>
              <w:rPr>
                <w:rFonts w:ascii="宋体" w:hAnsi="宋体" w:cs="宋体"/>
                <w:spacing w:val="-2"/>
              </w:rPr>
              <w:t>根据</w:t>
            </w:r>
            <w:r>
              <w:rPr>
                <w:rFonts w:ascii="宋体" w:hAnsi="宋体" w:cs="宋体"/>
                <w:spacing w:val="-1"/>
              </w:rPr>
              <w:t>企业的具体情况完善辐射防护和安全保卫制度，</w:t>
            </w:r>
            <w:r>
              <w:rPr>
                <w:rFonts w:ascii="宋体" w:hAnsi="宋体" w:cs="宋体"/>
              </w:rPr>
              <w:t xml:space="preserve"> </w:t>
            </w:r>
            <w:r>
              <w:rPr>
                <w:rFonts w:ascii="宋体" w:hAnsi="宋体" w:cs="宋体"/>
                <w:spacing w:val="-6"/>
              </w:rPr>
              <w:t xml:space="preserve">重点是 </w:t>
            </w:r>
            <w:r>
              <w:rPr>
                <w:rFonts w:eastAsia="Times New Roman"/>
                <w:spacing w:val="-3"/>
              </w:rPr>
              <w:t>X</w:t>
            </w:r>
            <w:r>
              <w:rPr>
                <w:rFonts w:eastAsia="Times New Roman"/>
                <w:spacing w:val="-4"/>
              </w:rPr>
              <w:t xml:space="preserve"> </w:t>
            </w:r>
            <w:r>
              <w:rPr>
                <w:rFonts w:ascii="宋体" w:hAnsi="宋体" w:cs="宋体"/>
                <w:spacing w:val="-3"/>
              </w:rPr>
              <w:t>射线</w:t>
            </w:r>
            <w:r>
              <w:rPr>
                <w:rFonts w:hint="eastAsia" w:ascii="宋体" w:hAnsi="宋体" w:cs="宋体"/>
                <w:spacing w:val="-3"/>
              </w:rPr>
              <w:t>实时成像检测装置</w:t>
            </w:r>
            <w:r>
              <w:rPr>
                <w:rFonts w:ascii="宋体" w:hAnsi="宋体" w:cs="宋体"/>
                <w:spacing w:val="-3"/>
              </w:rPr>
              <w:t>的运行和维修时辐射安全管理。</w:t>
            </w:r>
          </w:p>
          <w:p w14:paraId="435B3A48">
            <w:pPr>
              <w:pStyle w:val="2"/>
              <w:ind w:firstLine="482"/>
              <w:rPr>
                <w:rFonts w:hint="eastAsia" w:ascii="宋体" w:hAnsi="宋体" w:cs="宋体"/>
                <w:spacing w:val="-1"/>
              </w:rPr>
            </w:pPr>
            <w:r>
              <w:rPr>
                <w:b/>
                <w:bCs/>
              </w:rPr>
              <w:t>设备维修制度：</w:t>
            </w:r>
            <w:r>
              <w:rPr>
                <w:rFonts w:ascii="宋体" w:hAnsi="宋体" w:cs="宋体"/>
                <w:spacing w:val="-4"/>
              </w:rPr>
              <w:t>明确</w:t>
            </w:r>
            <w:r>
              <w:rPr>
                <w:rFonts w:hint="eastAsia" w:ascii="宋体" w:hAnsi="宋体" w:cs="宋体"/>
                <w:spacing w:val="-4"/>
              </w:rPr>
              <w:t xml:space="preserve"> </w:t>
            </w:r>
            <w:r>
              <w:rPr>
                <w:rFonts w:eastAsia="Times New Roman"/>
                <w:spacing w:val="-4"/>
              </w:rPr>
              <w:t xml:space="preserve">X </w:t>
            </w:r>
            <w:r>
              <w:rPr>
                <w:rFonts w:ascii="宋体" w:hAnsi="宋体" w:cs="宋体"/>
                <w:spacing w:val="-4"/>
              </w:rPr>
              <w:t>射线</w:t>
            </w:r>
            <w:r>
              <w:rPr>
                <w:rFonts w:hint="eastAsia" w:ascii="宋体" w:hAnsi="宋体" w:cs="宋体"/>
                <w:spacing w:val="-4"/>
              </w:rPr>
              <w:t>设备</w:t>
            </w:r>
            <w:r>
              <w:rPr>
                <w:rFonts w:ascii="宋体" w:hAnsi="宋体" w:cs="宋体"/>
                <w:spacing w:val="-4"/>
              </w:rPr>
              <w:t>、辐射监测设备维修计划、维修的</w:t>
            </w:r>
            <w:r>
              <w:rPr>
                <w:rFonts w:ascii="宋体" w:hAnsi="宋体" w:cs="宋体"/>
                <w:spacing w:val="-12"/>
              </w:rPr>
              <w:t>记录和在</w:t>
            </w:r>
            <w:r>
              <w:rPr>
                <w:rFonts w:ascii="宋体" w:hAnsi="宋体" w:cs="宋体"/>
                <w:spacing w:val="-9"/>
              </w:rPr>
              <w:t>日</w:t>
            </w:r>
            <w:r>
              <w:rPr>
                <w:rFonts w:ascii="宋体" w:hAnsi="宋体" w:cs="宋体"/>
                <w:spacing w:val="-6"/>
              </w:rPr>
              <w:t>常使用过程中维护保养以及发生故障时采取的措施，确保</w:t>
            </w:r>
            <w:r>
              <w:rPr>
                <w:rFonts w:hint="eastAsia" w:ascii="宋体" w:hAnsi="宋体" w:cs="宋体"/>
                <w:spacing w:val="-6"/>
              </w:rPr>
              <w:t xml:space="preserve"> </w:t>
            </w:r>
            <w:r>
              <w:rPr>
                <w:rFonts w:eastAsia="Times New Roman"/>
                <w:spacing w:val="-6"/>
              </w:rPr>
              <w:t xml:space="preserve">X </w:t>
            </w:r>
            <w:r>
              <w:rPr>
                <w:rFonts w:ascii="宋体" w:hAnsi="宋体" w:cs="宋体"/>
                <w:spacing w:val="-6"/>
              </w:rPr>
              <w:t>射线</w:t>
            </w:r>
            <w:r>
              <w:rPr>
                <w:rFonts w:hint="eastAsia" w:ascii="宋体" w:hAnsi="宋体" w:cs="宋体"/>
                <w:spacing w:val="-6"/>
              </w:rPr>
              <w:t>设备</w:t>
            </w:r>
            <w:r>
              <w:rPr>
                <w:rFonts w:ascii="宋体" w:hAnsi="宋体" w:cs="宋体"/>
                <w:spacing w:val="-2"/>
              </w:rPr>
              <w:t>、剂量报警仪等仪器设备保持良</w:t>
            </w:r>
            <w:r>
              <w:rPr>
                <w:rFonts w:ascii="宋体" w:hAnsi="宋体" w:cs="宋体"/>
                <w:spacing w:val="-1"/>
              </w:rPr>
              <w:t>好工作状态。</w:t>
            </w:r>
          </w:p>
          <w:p w14:paraId="75A79DBD">
            <w:pPr>
              <w:pStyle w:val="2"/>
              <w:ind w:firstLine="482"/>
              <w:rPr>
                <w:spacing w:val="-4"/>
              </w:rPr>
            </w:pPr>
            <w:r>
              <w:rPr>
                <w:b/>
                <w:bCs/>
              </w:rPr>
              <w:t>人员培训计划：</w:t>
            </w:r>
            <w:r>
              <w:rPr>
                <w:spacing w:val="-4"/>
              </w:rPr>
              <w:t>制定人员培训计划</w:t>
            </w:r>
            <w:r>
              <w:rPr>
                <w:rFonts w:hint="eastAsia"/>
                <w:spacing w:val="-4"/>
              </w:rPr>
              <w:t>。辐射工作人员上岗前应当接受辐射防护和有关法律知识培训，考核合格方可参加相应的工作。培训时间不少于</w:t>
            </w:r>
            <w:r>
              <w:rPr>
                <w:spacing w:val="-4"/>
              </w:rPr>
              <w:t xml:space="preserve">4 </w:t>
            </w:r>
            <w:r>
              <w:rPr>
                <w:rFonts w:hint="eastAsia"/>
                <w:spacing w:val="-4"/>
              </w:rPr>
              <w:t>天；单位应当定期组织本单位的辐射人员接受辐射防护和有关法律知识培训，辐射工作人员两次培训的时间间隔不超过</w:t>
            </w:r>
            <w:r>
              <w:rPr>
                <w:spacing w:val="-4"/>
              </w:rPr>
              <w:t xml:space="preserve"> 2</w:t>
            </w:r>
            <w:r>
              <w:rPr>
                <w:rFonts w:hint="eastAsia"/>
                <w:spacing w:val="-4"/>
              </w:rPr>
              <w:t>年，每次培训时间不少于</w:t>
            </w:r>
            <w:r>
              <w:rPr>
                <w:spacing w:val="-4"/>
              </w:rPr>
              <w:t xml:space="preserve"> 2 </w:t>
            </w:r>
            <w:r>
              <w:rPr>
                <w:rFonts w:hint="eastAsia"/>
                <w:spacing w:val="-4"/>
              </w:rPr>
              <w:t>天；单位应当建立按照规定的期限妥善保存培训档案，培训档案应包括每次培训的课程名称、培训时间、考试或考核成绩等资料；辐射防护及有关法律知识培训应当由符合省级卫生行政部门规定条件的单位承担，培训单位可会同辐射工作单位共同制定培训计划，并按照培训计划和有关规范或标准实施和考核；单位应当将每次培训的情况及时记录在《辐射工作人员证》中。</w:t>
            </w:r>
          </w:p>
          <w:p w14:paraId="3A5B5A5D">
            <w:pPr>
              <w:pStyle w:val="2"/>
              <w:ind w:firstLine="482"/>
            </w:pPr>
            <w:r>
              <w:rPr>
                <w:b/>
                <w:bCs/>
              </w:rPr>
              <w:t>监测方案：</w:t>
            </w:r>
            <w:r>
              <w:rPr>
                <w:spacing w:val="-7"/>
              </w:rPr>
              <w:t>制定辐射工作人员剂量监测工作制度</w:t>
            </w:r>
            <w:r>
              <w:rPr>
                <w:rFonts w:hint="eastAsia"/>
                <w:spacing w:val="-7"/>
              </w:rPr>
              <w:t>、周围公众定期监测制度</w:t>
            </w:r>
            <w:r>
              <w:rPr>
                <w:spacing w:val="-7"/>
              </w:rPr>
              <w:t>和工作场所定期监测制度。发现</w:t>
            </w:r>
            <w:r>
              <w:rPr>
                <w:spacing w:val="-8"/>
              </w:rPr>
              <w:t>个</w:t>
            </w:r>
            <w:r>
              <w:rPr>
                <w:spacing w:val="-7"/>
              </w:rPr>
              <w:t>人剂量异常的，应当对有关人员采取保护措施，并在接到监测报告之日起五日内报</w:t>
            </w:r>
            <w:r>
              <w:rPr>
                <w:spacing w:val="-11"/>
              </w:rPr>
              <w:t>告</w:t>
            </w:r>
            <w:r>
              <w:rPr>
                <w:spacing w:val="-7"/>
              </w:rPr>
              <w:t>发证的生态环境部门、卫生健康部门调查处理</w:t>
            </w:r>
            <w:r>
              <w:rPr>
                <w:rFonts w:hint="eastAsia"/>
                <w:spacing w:val="-7"/>
              </w:rPr>
              <w:t>。</w:t>
            </w:r>
            <w:r>
              <w:rPr>
                <w:spacing w:val="-7"/>
              </w:rPr>
              <w:t>发现工作场所监测异常的，应当立</w:t>
            </w:r>
            <w:r>
              <w:rPr>
                <w:spacing w:val="7"/>
              </w:rPr>
              <w:t>即采取措施，并在一小时内向县(市、区)或者设区的市生态环境部门报告</w:t>
            </w:r>
            <w:r>
              <w:rPr>
                <w:spacing w:val="1"/>
              </w:rPr>
              <w:t>。</w:t>
            </w:r>
          </w:p>
          <w:p w14:paraId="56CE5EB8">
            <w:pPr>
              <w:spacing w:line="360" w:lineRule="auto"/>
              <w:ind w:firstLine="482" w:firstLineChars="200"/>
              <w:rPr>
                <w:rFonts w:eastAsiaTheme="minorEastAsia"/>
              </w:rPr>
            </w:pPr>
            <w:r>
              <w:rPr>
                <w:rFonts w:hint="eastAsia" w:ascii="Times New Roman" w:hAnsi="Times New Roman" w:eastAsia="宋体"/>
                <w:b/>
                <w:bCs/>
                <w:sz w:val="24"/>
              </w:rPr>
              <w:t>台账管理制度：</w:t>
            </w:r>
            <w:r>
              <w:rPr>
                <w:rStyle w:val="16"/>
                <w:rFonts w:hint="eastAsia" w:ascii="宋体" w:hAnsi="宋体" w:eastAsia="宋体" w:cs="宋体"/>
              </w:rPr>
              <w:t>对</w:t>
            </w:r>
            <w:r>
              <w:rPr>
                <w:rStyle w:val="16"/>
              </w:rPr>
              <w:t xml:space="preserve"> </w:t>
            </w:r>
            <w:r>
              <w:rPr>
                <w:rStyle w:val="16"/>
                <w:rFonts w:ascii="Times New Roman" w:hAnsi="Times New Roman" w:cs="Times New Roman"/>
              </w:rPr>
              <w:t>X</w:t>
            </w:r>
            <w:r>
              <w:rPr>
                <w:rStyle w:val="16"/>
              </w:rPr>
              <w:t xml:space="preserve"> </w:t>
            </w:r>
            <w:r>
              <w:rPr>
                <w:rStyle w:val="16"/>
                <w:rFonts w:hint="eastAsia" w:ascii="宋体" w:hAnsi="宋体" w:eastAsia="宋体" w:cs="宋体"/>
              </w:rPr>
              <w:t>射线设备使用情况进行登记，标明设备名称、型号、电压、电流等，并对</w:t>
            </w:r>
            <w:r>
              <w:rPr>
                <w:rStyle w:val="16"/>
                <w:rFonts w:hint="eastAsia"/>
              </w:rPr>
              <w:t xml:space="preserve"> </w:t>
            </w:r>
            <w:r>
              <w:rPr>
                <w:rStyle w:val="16"/>
                <w:rFonts w:ascii="Times New Roman" w:hAnsi="Times New Roman" w:cs="Times New Roman"/>
              </w:rPr>
              <w:t>X</w:t>
            </w:r>
            <w:r>
              <w:rPr>
                <w:rStyle w:val="16"/>
                <w:rFonts w:hint="eastAsia"/>
              </w:rPr>
              <w:t xml:space="preserve"> </w:t>
            </w:r>
            <w:r>
              <w:rPr>
                <w:rStyle w:val="16"/>
                <w:rFonts w:hint="eastAsia" w:ascii="宋体" w:hAnsi="宋体" w:eastAsia="宋体" w:cs="宋体"/>
              </w:rPr>
              <w:t>射线设备进出进行严格管理，台账妥善保存</w:t>
            </w:r>
            <w:r>
              <w:rPr>
                <w:rFonts w:hint="eastAsia"/>
              </w:rPr>
              <w:t>。</w:t>
            </w:r>
          </w:p>
          <w:p w14:paraId="07486848">
            <w:pPr>
              <w:pStyle w:val="2"/>
              <w:ind w:left="0" w:right="0" w:firstLine="482"/>
            </w:pPr>
            <w:r>
              <w:rPr>
                <w:rFonts w:hint="eastAsia"/>
                <w:b/>
                <w:bCs/>
              </w:rPr>
              <w:t>事故应急预案：</w:t>
            </w:r>
            <w:r>
              <w:t>依据《关于建立放射性同位素与射线装置辐射事故分级处理和报告制度的通知》的要求，必须明确建立应急机构和人员职责分工，应急人员的组织、培训以及应急辐射事故分类与应急响应的措施。当发生事故时，公司应当立即启动辐射事故应急方案，采取有效防范措施，及时制止事故的恶化，并在1小时内向当地生态环境部门和公安部门报告。造成或可能造成人员超剂量照射的，还应同时向当地卫生健康部门报告。</w:t>
            </w:r>
          </w:p>
          <w:p w14:paraId="5DA6819E">
            <w:pPr>
              <w:pStyle w:val="2"/>
              <w:ind w:firstLine="480"/>
            </w:pPr>
            <w:r>
              <w:t>公司已制定的辐射安全管理规章制度具有一定的针对性和可操作性，在针对本项目</w:t>
            </w:r>
            <w:r>
              <w:rPr>
                <w:rFonts w:hint="eastAsia"/>
              </w:rPr>
              <w:t xml:space="preserve"> </w:t>
            </w:r>
            <w:r>
              <w:t>X</w:t>
            </w:r>
            <w:r>
              <w:rPr>
                <w:rFonts w:hint="eastAsia"/>
              </w:rPr>
              <w:t xml:space="preserve"> </w:t>
            </w:r>
            <w:r>
              <w:t>射线实时成像检测装置项目对辐射安全管理制度进行完善后，将满足现有核技术利用项目及本项目对辐射安全管理规章制度的需求，公司能够按照辐射安全管理制度要求的辐射活动进行管理。此外，公司在之后的实际工作中还应不断根据法律法规及实际情况对各管理制度进行补充和完善，使其具有较强的针对性和可操作性。</w:t>
            </w:r>
          </w:p>
        </w:tc>
      </w:tr>
    </w:tbl>
    <w:p w14:paraId="1931D4C1">
      <w:pPr>
        <w:jc w:val="both"/>
        <w:sectPr>
          <w:pgSz w:w="11907" w:h="16841"/>
          <w:pgMar w:top="1418" w:right="1134" w:bottom="1418" w:left="1701" w:header="0" w:footer="1134" w:gutter="0"/>
          <w:cols w:space="720" w:num="1"/>
        </w:sectPr>
      </w:pPr>
    </w:p>
    <w:p w14:paraId="27BBB5F3">
      <w:pPr>
        <w:spacing w:line="99" w:lineRule="exact"/>
        <w:jc w:val="both"/>
      </w:pPr>
    </w:p>
    <w:tbl>
      <w:tblPr>
        <w:tblStyle w:val="15"/>
        <w:tblW w:w="90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075"/>
      </w:tblGrid>
      <w:tr w14:paraId="1E5F9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48" w:hRule="atLeast"/>
        </w:trPr>
        <w:tc>
          <w:tcPr>
            <w:tcW w:w="9075" w:type="dxa"/>
          </w:tcPr>
          <w:p w14:paraId="673FE9D7">
            <w:pPr>
              <w:pStyle w:val="28"/>
              <w:rPr>
                <w:b/>
                <w:bCs/>
              </w:rPr>
            </w:pPr>
            <w:r>
              <w:rPr>
                <w:b/>
                <w:bCs/>
              </w:rPr>
              <w:t>辐射监测</w:t>
            </w:r>
          </w:p>
          <w:p w14:paraId="19FAD0A6">
            <w:pPr>
              <w:pStyle w:val="2"/>
              <w:ind w:firstLine="480"/>
            </w:pPr>
            <w:r>
              <w:t>公司</w:t>
            </w:r>
            <w:r>
              <w:rPr>
                <w:spacing w:val="-4"/>
              </w:rPr>
              <w:t xml:space="preserve">使用的 </w:t>
            </w:r>
            <w:r>
              <w:rPr>
                <w:rFonts w:eastAsia="Times New Roman" w:cs="Times New Roman"/>
                <w:spacing w:val="-4"/>
              </w:rPr>
              <w:t xml:space="preserve">X </w:t>
            </w:r>
            <w:r>
              <w:rPr>
                <w:spacing w:val="-4"/>
              </w:rPr>
              <w:t>射线</w:t>
            </w:r>
            <w:r>
              <w:rPr>
                <w:rFonts w:hint="eastAsia"/>
                <w:spacing w:val="-4"/>
              </w:rPr>
              <w:t>实时成像检测装置为</w:t>
            </w:r>
            <w:r>
              <w:rPr>
                <w:rFonts w:cs="Times New Roman"/>
                <w:spacing w:val="-4"/>
              </w:rPr>
              <w:t>Ⅱ</w:t>
            </w:r>
            <w:r>
              <w:rPr>
                <w:spacing w:val="-4"/>
              </w:rPr>
              <w:t>类射线装置，根据《放射性同位素与射</w:t>
            </w:r>
            <w:r>
              <w:rPr>
                <w:spacing w:val="-16"/>
              </w:rPr>
              <w:t>线</w:t>
            </w:r>
            <w:r>
              <w:rPr>
                <w:spacing w:val="-10"/>
              </w:rPr>
              <w:t>装</w:t>
            </w:r>
            <w:r>
              <w:t>置安全许可管理办法》，本项目</w:t>
            </w:r>
            <w:r>
              <w:rPr>
                <w:rFonts w:hint="eastAsia"/>
              </w:rPr>
              <w:t>拟</w:t>
            </w:r>
            <w:r>
              <w:t xml:space="preserve">配置 </w:t>
            </w:r>
            <w:r>
              <w:rPr>
                <w:rFonts w:eastAsia="Times New Roman" w:cs="Times New Roman"/>
              </w:rPr>
              <w:t xml:space="preserve">1 </w:t>
            </w:r>
            <w:r>
              <w:t>台环境辐射剂量巡测仪，以满足射</w:t>
            </w:r>
            <w:r>
              <w:rPr>
                <w:spacing w:val="-6"/>
              </w:rPr>
              <w:t>线装置</w:t>
            </w:r>
            <w:r>
              <w:rPr>
                <w:spacing w:val="-3"/>
              </w:rPr>
              <w:t xml:space="preserve">日常运行时，对装置周围 </w:t>
            </w:r>
            <w:r>
              <w:rPr>
                <w:rFonts w:eastAsia="Times New Roman" w:cs="Times New Roman"/>
                <w:spacing w:val="-3"/>
              </w:rPr>
              <w:t xml:space="preserve">X </w:t>
            </w:r>
            <w:r>
              <w:rPr>
                <w:spacing w:val="-3"/>
              </w:rPr>
              <w:t>射线的辐射泄漏和散射的巡测。</w:t>
            </w:r>
          </w:p>
          <w:p w14:paraId="4623273A">
            <w:pPr>
              <w:pStyle w:val="2"/>
              <w:ind w:firstLine="472"/>
            </w:pPr>
            <w:r>
              <w:rPr>
                <w:spacing w:val="-4"/>
              </w:rPr>
              <w:t>公司拟为本项目配备</w:t>
            </w:r>
            <w:r>
              <w:rPr>
                <w:spacing w:val="-3"/>
              </w:rPr>
              <w:t xml:space="preserve"> </w:t>
            </w:r>
            <w:r>
              <w:rPr>
                <w:rFonts w:eastAsia="Times New Roman" w:cs="Times New Roman"/>
                <w:spacing w:val="-2"/>
              </w:rPr>
              <w:t xml:space="preserve">1 </w:t>
            </w:r>
            <w:r>
              <w:rPr>
                <w:spacing w:val="-2"/>
              </w:rPr>
              <w:t>台环境辐射剂量巡测仪，用于对本项目</w:t>
            </w:r>
            <w:r>
              <w:rPr>
                <w:rFonts w:hint="eastAsia"/>
                <w:spacing w:val="-2"/>
              </w:rPr>
              <w:t xml:space="preserve"> </w:t>
            </w:r>
            <w:r>
              <w:rPr>
                <w:rFonts w:eastAsia="Times New Roman" w:cs="Times New Roman"/>
                <w:spacing w:val="-2"/>
              </w:rPr>
              <w:t xml:space="preserve">X </w:t>
            </w:r>
            <w:r>
              <w:rPr>
                <w:spacing w:val="-2"/>
              </w:rPr>
              <w:t>射线</w:t>
            </w:r>
            <w:r>
              <w:rPr>
                <w:rFonts w:hint="eastAsia"/>
                <w:spacing w:val="-2"/>
              </w:rPr>
              <w:t>设备</w:t>
            </w:r>
            <w:r>
              <w:rPr>
                <w:spacing w:val="-5"/>
              </w:rPr>
              <w:t xml:space="preserve">日常运行时周围的辐射水平进行监测。公司拟为本项目辐射工作人员配备 </w:t>
            </w:r>
            <w:r>
              <w:rPr>
                <w:rFonts w:cs="Times New Roman"/>
                <w:spacing w:val="-5"/>
              </w:rPr>
              <w:t>2</w:t>
            </w:r>
            <w:r>
              <w:rPr>
                <w:rFonts w:hint="eastAsia"/>
                <w:spacing w:val="-5"/>
              </w:rPr>
              <w:t xml:space="preserve"> </w:t>
            </w:r>
            <w:r>
              <w:rPr>
                <w:spacing w:val="-5"/>
              </w:rPr>
              <w:t>台</w:t>
            </w:r>
            <w:r>
              <w:rPr>
                <w:spacing w:val="-2"/>
              </w:rPr>
              <w:t>个人</w:t>
            </w:r>
            <w:r>
              <w:rPr>
                <w:spacing w:val="-1"/>
              </w:rPr>
              <w:t>剂量报警仪。</w:t>
            </w:r>
          </w:p>
          <w:p w14:paraId="38944029">
            <w:pPr>
              <w:pStyle w:val="2"/>
              <w:ind w:firstLine="480"/>
              <w:rPr>
                <w:spacing w:val="-5"/>
              </w:rPr>
            </w:pPr>
            <w:r>
              <w:t>公司拟每</w:t>
            </w:r>
            <w:r>
              <w:rPr>
                <w:spacing w:val="-6"/>
              </w:rPr>
              <w:t>年</w:t>
            </w:r>
            <w:r>
              <w:rPr>
                <w:spacing w:val="-4"/>
              </w:rPr>
              <w:t>请有资质的单位对辐射工作场所和周围环境的辐射水平进行监测；在</w:t>
            </w:r>
            <w:r>
              <w:t xml:space="preserve"> </w:t>
            </w:r>
            <w:r>
              <w:rPr>
                <w:spacing w:val="-12"/>
              </w:rPr>
              <w:t>开展</w:t>
            </w:r>
            <w:r>
              <w:rPr>
                <w:rFonts w:hint="eastAsia"/>
                <w:spacing w:val="-12"/>
              </w:rPr>
              <w:t>辐射</w:t>
            </w:r>
            <w:r>
              <w:rPr>
                <w:spacing w:val="-10"/>
              </w:rPr>
              <w:t>作</w:t>
            </w:r>
            <w:r>
              <w:rPr>
                <w:spacing w:val="-6"/>
              </w:rPr>
              <w:t xml:space="preserve">业时，公司定期对 </w:t>
            </w:r>
            <w:r>
              <w:rPr>
                <w:rFonts w:eastAsia="Times New Roman" w:cs="Times New Roman"/>
                <w:spacing w:val="-6"/>
              </w:rPr>
              <w:t xml:space="preserve">X </w:t>
            </w:r>
            <w:r>
              <w:rPr>
                <w:spacing w:val="-6"/>
              </w:rPr>
              <w:t>射线</w:t>
            </w:r>
            <w:r>
              <w:rPr>
                <w:rFonts w:hint="eastAsia"/>
                <w:spacing w:val="-6"/>
              </w:rPr>
              <w:t>设备</w:t>
            </w:r>
            <w:r>
              <w:rPr>
                <w:spacing w:val="-6"/>
              </w:rPr>
              <w:t>周围的辐射水平进行监测，并</w:t>
            </w:r>
            <w:r>
              <w:rPr>
                <w:spacing w:val="-10"/>
              </w:rPr>
              <w:t>做相</w:t>
            </w:r>
            <w:r>
              <w:rPr>
                <w:spacing w:val="-6"/>
              </w:rPr>
              <w:t>关</w:t>
            </w:r>
            <w:r>
              <w:rPr>
                <w:spacing w:val="-5"/>
              </w:rPr>
              <w:t xml:space="preserve">记录；本项目辐射工作人员拟佩带个人剂量计监测累积剂量，每 </w:t>
            </w:r>
            <w:r>
              <w:rPr>
                <w:rFonts w:eastAsia="Times New Roman" w:cs="Times New Roman"/>
                <w:spacing w:val="-5"/>
              </w:rPr>
              <w:t xml:space="preserve">3 </w:t>
            </w:r>
            <w:r>
              <w:rPr>
                <w:spacing w:val="-5"/>
              </w:rPr>
              <w:t>个月送有资</w:t>
            </w:r>
            <w:r>
              <w:rPr>
                <w:spacing w:val="-4"/>
              </w:rPr>
              <w:t>质部门进行个人剂量测量，并建立了个人剂量档案。公司拟定期安排辐射工作人员进行职业健康体检，并建立了职业健康档案。公司拟每年对辐射安全和防护状况进行年</w:t>
            </w:r>
            <w:r>
              <w:rPr>
                <w:spacing w:val="-10"/>
              </w:rPr>
              <w:t>度</w:t>
            </w:r>
            <w:r>
              <w:rPr>
                <w:spacing w:val="-7"/>
              </w:rPr>
              <w:t>评</w:t>
            </w:r>
            <w:r>
              <w:rPr>
                <w:spacing w:val="-5"/>
              </w:rPr>
              <w:t xml:space="preserve">估，并于每年 </w:t>
            </w:r>
            <w:r>
              <w:rPr>
                <w:rFonts w:eastAsia="Times New Roman" w:cs="Times New Roman"/>
                <w:spacing w:val="-5"/>
              </w:rPr>
              <w:t xml:space="preserve">1 </w:t>
            </w:r>
            <w:r>
              <w:rPr>
                <w:spacing w:val="-5"/>
              </w:rPr>
              <w:t xml:space="preserve">月 </w:t>
            </w:r>
            <w:r>
              <w:rPr>
                <w:rFonts w:eastAsia="Times New Roman" w:cs="Times New Roman"/>
                <w:spacing w:val="-5"/>
              </w:rPr>
              <w:t xml:space="preserve">31 </w:t>
            </w:r>
            <w:r>
              <w:rPr>
                <w:spacing w:val="-5"/>
              </w:rPr>
              <w:t>日前提交上一年度的评估报告。</w:t>
            </w:r>
          </w:p>
          <w:p w14:paraId="4DA4BB61">
            <w:pPr>
              <w:pStyle w:val="2"/>
              <w:ind w:firstLine="470"/>
            </w:pPr>
            <w:r>
              <w:rPr>
                <w:rFonts w:hint="eastAsia"/>
                <w:spacing w:val="-5"/>
              </w:rPr>
              <w:t>公司还应根据辐射管理要求，针对本项目完善已有监测方案：</w:t>
            </w:r>
          </w:p>
          <w:p w14:paraId="67C3BD55">
            <w:pPr>
              <w:pStyle w:val="2"/>
              <w:ind w:firstLine="480"/>
            </w:pPr>
            <w:r>
              <w:rPr>
                <w:rFonts w:hint="eastAsia"/>
              </w:rPr>
              <w:t>（1）</w:t>
            </w:r>
            <w:r>
              <w:t>公司拟每年委托有资质的单位对本项目辐射工作场所和周围环境的辐射水平进行监测，周期为1次/年。监测结果连同单位的年度辐射安全评估报告一起，在次年的1月31日前，上报发证的生态环境部门备案；</w:t>
            </w:r>
          </w:p>
          <w:p w14:paraId="5B4357C5">
            <w:pPr>
              <w:pStyle w:val="2"/>
              <w:ind w:firstLine="480"/>
            </w:pPr>
            <w:r>
              <w:rPr>
                <w:rFonts w:hint="eastAsia"/>
              </w:rPr>
              <w:t>（2）</w:t>
            </w:r>
            <w:r>
              <w:t>在开展检测工作时，公司拟定期对X射线实时成像检测装置周围的辐射水平进行监测，周期为1次/3个月，并做相关记录；</w:t>
            </w:r>
          </w:p>
          <w:p w14:paraId="418AFE01">
            <w:pPr>
              <w:pStyle w:val="2"/>
              <w:ind w:firstLine="480"/>
            </w:pPr>
            <w:r>
              <w:rPr>
                <w:rFonts w:hint="eastAsia"/>
              </w:rPr>
              <w:t>（3）</w:t>
            </w:r>
            <w:r>
              <w:t>本项目新增的2名辐射工作人员均拟佩戴个人剂量计监测累积剂量，定期(每1个月/次，最长不超过3个月/次)送有资质部门进行个人剂量测量，并建立个人剂量档案；</w:t>
            </w:r>
          </w:p>
          <w:p w14:paraId="62D6BF0D">
            <w:pPr>
              <w:pStyle w:val="2"/>
              <w:ind w:firstLine="480"/>
            </w:pPr>
            <w:r>
              <w:rPr>
                <w:rFonts w:hint="eastAsia"/>
              </w:rPr>
              <w:t>（4）</w:t>
            </w:r>
            <w:r>
              <w:t>公司拟定期安排本项目辐射工作人员进行职业健康体检</w:t>
            </w:r>
            <w:r>
              <w:rPr>
                <w:rFonts w:hint="eastAsia"/>
              </w:rPr>
              <w:t>（</w:t>
            </w:r>
            <w:r>
              <w:t>两次检查的时间间隔不应超过2年</w:t>
            </w:r>
            <w:r>
              <w:rPr>
                <w:rFonts w:hint="eastAsia"/>
              </w:rPr>
              <w:t>），</w:t>
            </w:r>
            <w:r>
              <w:t>并建立职业健康档案。本项目辐射监测方案见表12-1。</w:t>
            </w:r>
          </w:p>
          <w:p w14:paraId="4D9F3CFA">
            <w:pPr>
              <w:pStyle w:val="21"/>
            </w:pPr>
            <w:r>
              <w:rPr>
                <w:rFonts w:hint="eastAsia"/>
              </w:rPr>
              <w:t>表12-1 辐射监测方案</w:t>
            </w:r>
          </w:p>
          <w:tbl>
            <w:tblPr>
              <w:tblStyle w:val="13"/>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19"/>
              <w:gridCol w:w="1254"/>
              <w:gridCol w:w="2500"/>
              <w:gridCol w:w="841"/>
              <w:gridCol w:w="2955"/>
            </w:tblGrid>
            <w:tr w14:paraId="3E01EF5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8CF9167">
                  <w:pPr>
                    <w:pStyle w:val="24"/>
                    <w:widowControl w:val="0"/>
                  </w:pPr>
                  <w:r>
                    <w:rPr>
                      <w:rFonts w:hint="eastAsia"/>
                    </w:rPr>
                    <w:t>监测对象</w:t>
                  </w:r>
                </w:p>
              </w:tc>
              <w:tc>
                <w:tcPr>
                  <w:tcW w:w="0" w:type="auto"/>
                  <w:vAlign w:val="center"/>
                </w:tcPr>
                <w:p w14:paraId="3E09DBCF">
                  <w:pPr>
                    <w:pStyle w:val="24"/>
                    <w:widowControl w:val="0"/>
                  </w:pPr>
                  <w:r>
                    <w:rPr>
                      <w:rFonts w:hint="eastAsia"/>
                    </w:rPr>
                    <w:t>监测项目</w:t>
                  </w:r>
                </w:p>
              </w:tc>
              <w:tc>
                <w:tcPr>
                  <w:tcW w:w="0" w:type="auto"/>
                  <w:vAlign w:val="center"/>
                </w:tcPr>
                <w:p w14:paraId="1B42614E">
                  <w:pPr>
                    <w:pStyle w:val="24"/>
                    <w:widowControl w:val="0"/>
                  </w:pPr>
                  <w:r>
                    <w:rPr>
                      <w:rFonts w:hint="eastAsia"/>
                    </w:rPr>
                    <w:t>监测方式</w:t>
                  </w:r>
                </w:p>
              </w:tc>
              <w:tc>
                <w:tcPr>
                  <w:tcW w:w="0" w:type="auto"/>
                  <w:vAlign w:val="center"/>
                </w:tcPr>
                <w:p w14:paraId="5C9B9D4A">
                  <w:pPr>
                    <w:pStyle w:val="24"/>
                    <w:widowControl w:val="0"/>
                  </w:pPr>
                  <w:r>
                    <w:rPr>
                      <w:rFonts w:hint="eastAsia"/>
                    </w:rPr>
                    <w:t>监测周期</w:t>
                  </w:r>
                </w:p>
              </w:tc>
              <w:tc>
                <w:tcPr>
                  <w:tcW w:w="0" w:type="auto"/>
                  <w:vAlign w:val="center"/>
                </w:tcPr>
                <w:p w14:paraId="58EE0350">
                  <w:pPr>
                    <w:pStyle w:val="24"/>
                    <w:widowControl w:val="0"/>
                  </w:pPr>
                  <w:r>
                    <w:rPr>
                      <w:rFonts w:hint="eastAsia"/>
                    </w:rPr>
                    <w:t>监测点位</w:t>
                  </w:r>
                </w:p>
              </w:tc>
            </w:tr>
            <w:tr w14:paraId="1ADC36B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restart"/>
                  <w:vAlign w:val="center"/>
                </w:tcPr>
                <w:p w14:paraId="6B472621">
                  <w:pPr>
                    <w:pStyle w:val="24"/>
                    <w:widowControl w:val="0"/>
                  </w:pPr>
                  <w:r>
                    <w:rPr>
                      <w:rFonts w:hint="eastAsia"/>
                    </w:rPr>
                    <w:t>X 射线实时成像检测装置</w:t>
                  </w:r>
                </w:p>
              </w:tc>
              <w:tc>
                <w:tcPr>
                  <w:tcW w:w="0" w:type="auto"/>
                  <w:vMerge w:val="restart"/>
                  <w:vAlign w:val="center"/>
                </w:tcPr>
                <w:p w14:paraId="238EBE2B">
                  <w:pPr>
                    <w:pStyle w:val="24"/>
                    <w:widowControl w:val="0"/>
                  </w:pPr>
                  <w:r>
                    <w:rPr>
                      <w:rFonts w:hint="eastAsia"/>
                    </w:rPr>
                    <w:t>X-</w:t>
                  </w:r>
                  <w:r>
                    <w:t>γ</w:t>
                  </w:r>
                  <w:r>
                    <w:rPr>
                      <w:rFonts w:hint="eastAsia"/>
                    </w:rPr>
                    <w:t>周围剂量当量率</w:t>
                  </w:r>
                </w:p>
              </w:tc>
              <w:tc>
                <w:tcPr>
                  <w:tcW w:w="0" w:type="auto"/>
                  <w:vAlign w:val="center"/>
                </w:tcPr>
                <w:p w14:paraId="36224CF7">
                  <w:pPr>
                    <w:pStyle w:val="24"/>
                    <w:widowControl w:val="0"/>
                  </w:pPr>
                  <w:r>
                    <w:rPr>
                      <w:rFonts w:hint="eastAsia"/>
                    </w:rPr>
                    <w:t>验收监测</w:t>
                  </w:r>
                </w:p>
              </w:tc>
              <w:tc>
                <w:tcPr>
                  <w:tcW w:w="0" w:type="auto"/>
                  <w:vAlign w:val="center"/>
                </w:tcPr>
                <w:p w14:paraId="5CEF754C">
                  <w:pPr>
                    <w:pStyle w:val="24"/>
                    <w:widowControl w:val="0"/>
                  </w:pPr>
                  <w:r>
                    <w:rPr>
                      <w:rFonts w:hint="eastAsia"/>
                    </w:rPr>
                    <w:t>1次</w:t>
                  </w:r>
                </w:p>
              </w:tc>
              <w:tc>
                <w:tcPr>
                  <w:tcW w:w="0" w:type="auto"/>
                  <w:vMerge w:val="restart"/>
                  <w:vAlign w:val="center"/>
                </w:tcPr>
                <w:p w14:paraId="39EA9A7D">
                  <w:pPr>
                    <w:pStyle w:val="24"/>
                    <w:widowControl w:val="0"/>
                    <w:jc w:val="both"/>
                  </w:pPr>
                  <w:r>
                    <w:rPr>
                      <w:rFonts w:hint="eastAsia"/>
                    </w:rPr>
                    <w:t>①X射线实时成像检测装置曝光室屏蔽体外30cm处；</w:t>
                  </w:r>
                </w:p>
                <w:p w14:paraId="4F371D82">
                  <w:pPr>
                    <w:pStyle w:val="24"/>
                    <w:widowControl w:val="0"/>
                    <w:jc w:val="both"/>
                  </w:pPr>
                  <w:r>
                    <w:rPr>
                      <w:rFonts w:hint="eastAsia"/>
                    </w:rPr>
                    <w:t>②操作室内；</w:t>
                  </w:r>
                </w:p>
                <w:p w14:paraId="10FF75FE">
                  <w:pPr>
                    <w:pStyle w:val="24"/>
                    <w:widowControl w:val="0"/>
                    <w:jc w:val="both"/>
                  </w:pPr>
                  <w:r>
                    <w:rPr>
                      <w:rFonts w:hint="eastAsia"/>
                    </w:rPr>
                    <w:t>③电缆口外：</w:t>
                  </w:r>
                </w:p>
                <w:p w14:paraId="6973CF15">
                  <w:pPr>
                    <w:pStyle w:val="24"/>
                    <w:widowControl w:val="0"/>
                    <w:jc w:val="both"/>
                  </w:pPr>
                  <w:r>
                    <w:rPr>
                      <w:rFonts w:hint="eastAsia"/>
                    </w:rPr>
                    <w:t>④X 射线实时成像检测装置周围保护目标处。</w:t>
                  </w:r>
                </w:p>
              </w:tc>
            </w:tr>
            <w:tr w14:paraId="744C3E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0D2CCFE6">
                  <w:pPr>
                    <w:pStyle w:val="24"/>
                    <w:widowControl w:val="0"/>
                  </w:pPr>
                </w:p>
              </w:tc>
              <w:tc>
                <w:tcPr>
                  <w:tcW w:w="0" w:type="auto"/>
                  <w:vMerge w:val="continue"/>
                  <w:vAlign w:val="center"/>
                </w:tcPr>
                <w:p w14:paraId="0B3058DD">
                  <w:pPr>
                    <w:pStyle w:val="24"/>
                    <w:widowControl w:val="0"/>
                  </w:pPr>
                </w:p>
              </w:tc>
              <w:tc>
                <w:tcPr>
                  <w:tcW w:w="0" w:type="auto"/>
                  <w:vAlign w:val="center"/>
                </w:tcPr>
                <w:p w14:paraId="58CDD380">
                  <w:pPr>
                    <w:pStyle w:val="24"/>
                    <w:widowControl w:val="0"/>
                  </w:pPr>
                  <w:r>
                    <w:rPr>
                      <w:rFonts w:hint="eastAsia"/>
                    </w:rPr>
                    <w:t>工作场所年度监测，委托有资质的单位进行</w:t>
                  </w:r>
                </w:p>
              </w:tc>
              <w:tc>
                <w:tcPr>
                  <w:tcW w:w="0" w:type="auto"/>
                  <w:vAlign w:val="center"/>
                </w:tcPr>
                <w:p w14:paraId="6B37BEB2">
                  <w:pPr>
                    <w:pStyle w:val="24"/>
                    <w:widowControl w:val="0"/>
                  </w:pPr>
                  <w:r>
                    <w:rPr>
                      <w:rFonts w:hint="eastAsia"/>
                    </w:rPr>
                    <w:t>1次/年</w:t>
                  </w:r>
                </w:p>
              </w:tc>
              <w:tc>
                <w:tcPr>
                  <w:tcW w:w="0" w:type="auto"/>
                  <w:vMerge w:val="continue"/>
                  <w:vAlign w:val="center"/>
                </w:tcPr>
                <w:p w14:paraId="549BB3C4">
                  <w:pPr>
                    <w:pStyle w:val="24"/>
                    <w:widowControl w:val="0"/>
                  </w:pPr>
                </w:p>
              </w:tc>
            </w:tr>
            <w:tr w14:paraId="60FAE59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2C13B9BD">
                  <w:pPr>
                    <w:pStyle w:val="24"/>
                    <w:widowControl w:val="0"/>
                  </w:pPr>
                </w:p>
              </w:tc>
              <w:tc>
                <w:tcPr>
                  <w:tcW w:w="0" w:type="auto"/>
                  <w:vMerge w:val="continue"/>
                  <w:vAlign w:val="center"/>
                </w:tcPr>
                <w:p w14:paraId="0BC9566A">
                  <w:pPr>
                    <w:pStyle w:val="24"/>
                    <w:widowControl w:val="0"/>
                  </w:pPr>
                </w:p>
              </w:tc>
              <w:tc>
                <w:tcPr>
                  <w:tcW w:w="0" w:type="auto"/>
                  <w:vAlign w:val="center"/>
                </w:tcPr>
                <w:p w14:paraId="4604D050">
                  <w:pPr>
                    <w:pStyle w:val="24"/>
                    <w:widowControl w:val="0"/>
                  </w:pPr>
                  <w:r>
                    <w:rPr>
                      <w:rFonts w:hint="eastAsia"/>
                    </w:rPr>
                    <w:t>定期自行开展辐射监测</w:t>
                  </w:r>
                </w:p>
              </w:tc>
              <w:tc>
                <w:tcPr>
                  <w:tcW w:w="0" w:type="auto"/>
                  <w:vAlign w:val="center"/>
                </w:tcPr>
                <w:p w14:paraId="41B8628E">
                  <w:pPr>
                    <w:pStyle w:val="24"/>
                    <w:widowControl w:val="0"/>
                  </w:pPr>
                  <w:r>
                    <w:rPr>
                      <w:rFonts w:hint="eastAsia"/>
                    </w:rPr>
                    <w:t>1次/3个月</w:t>
                  </w:r>
                </w:p>
              </w:tc>
              <w:tc>
                <w:tcPr>
                  <w:tcW w:w="0" w:type="auto"/>
                  <w:vMerge w:val="continue"/>
                  <w:vAlign w:val="center"/>
                </w:tcPr>
                <w:p w14:paraId="59A9C517">
                  <w:pPr>
                    <w:pStyle w:val="24"/>
                    <w:widowControl w:val="0"/>
                  </w:pPr>
                </w:p>
              </w:tc>
            </w:tr>
            <w:tr w14:paraId="1419536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4468A5B">
                  <w:pPr>
                    <w:pStyle w:val="24"/>
                    <w:widowControl w:val="0"/>
                  </w:pPr>
                  <w:r>
                    <w:rPr>
                      <w:rFonts w:hint="eastAsia"/>
                    </w:rPr>
                    <w:t>辐射工作人员</w:t>
                  </w:r>
                </w:p>
              </w:tc>
              <w:tc>
                <w:tcPr>
                  <w:tcW w:w="0" w:type="auto"/>
                  <w:vAlign w:val="center"/>
                </w:tcPr>
                <w:p w14:paraId="713676E2">
                  <w:pPr>
                    <w:pStyle w:val="24"/>
                    <w:widowControl w:val="0"/>
                  </w:pPr>
                  <w:r>
                    <w:rPr>
                      <w:rFonts w:hint="eastAsia"/>
                    </w:rPr>
                    <w:t>个人剂量当量</w:t>
                  </w:r>
                </w:p>
              </w:tc>
              <w:tc>
                <w:tcPr>
                  <w:tcW w:w="0" w:type="auto"/>
                  <w:vAlign w:val="center"/>
                </w:tcPr>
                <w:p w14:paraId="517BB449">
                  <w:pPr>
                    <w:pStyle w:val="24"/>
                    <w:widowControl w:val="0"/>
                  </w:pPr>
                  <w:r>
                    <w:rPr>
                      <w:rFonts w:hint="eastAsia"/>
                    </w:rPr>
                    <w:t>委托有资质的单位进行</w:t>
                  </w:r>
                </w:p>
              </w:tc>
              <w:tc>
                <w:tcPr>
                  <w:tcW w:w="0" w:type="auto"/>
                  <w:vAlign w:val="center"/>
                </w:tcPr>
                <w:p w14:paraId="11C03BD9">
                  <w:pPr>
                    <w:pStyle w:val="24"/>
                    <w:widowControl w:val="0"/>
                  </w:pPr>
                  <w:r>
                    <w:rPr>
                      <w:rFonts w:hint="eastAsia"/>
                    </w:rPr>
                    <w:t>每3个月/次</w:t>
                  </w:r>
                </w:p>
              </w:tc>
              <w:tc>
                <w:tcPr>
                  <w:tcW w:w="0" w:type="auto"/>
                  <w:vAlign w:val="center"/>
                </w:tcPr>
                <w:p w14:paraId="16C4B9D1">
                  <w:pPr>
                    <w:pStyle w:val="24"/>
                    <w:widowControl w:val="0"/>
                  </w:pPr>
                  <w:r>
                    <w:rPr>
                      <w:rFonts w:hint="eastAsia"/>
                    </w:rPr>
                    <w:t>/</w:t>
                  </w:r>
                </w:p>
              </w:tc>
            </w:tr>
          </w:tbl>
          <w:p w14:paraId="43B553E0">
            <w:pPr>
              <w:pStyle w:val="2"/>
              <w:ind w:firstLine="436"/>
            </w:pPr>
            <w:r>
              <w:rPr>
                <w:spacing w:val="-22"/>
                <w:position w:val="16"/>
              </w:rPr>
              <w:t>落实</w:t>
            </w:r>
            <w:r>
              <w:rPr>
                <w:spacing w:val="-11"/>
                <w:position w:val="16"/>
              </w:rPr>
              <w:t>以上措施后，公司安全管理措施能够满足辐射安全的要求。落实以上措施后，</w:t>
            </w:r>
            <w:r>
              <w:rPr>
                <w:spacing w:val="-4"/>
              </w:rPr>
              <w:t>公司安全管</w:t>
            </w:r>
            <w:r>
              <w:rPr>
                <w:spacing w:val="-2"/>
              </w:rPr>
              <w:t>理措施能够满足辐射安全的要求。</w:t>
            </w:r>
          </w:p>
        </w:tc>
      </w:tr>
      <w:tr w14:paraId="27538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09" w:hRule="atLeast"/>
        </w:trPr>
        <w:tc>
          <w:tcPr>
            <w:tcW w:w="9075" w:type="dxa"/>
          </w:tcPr>
          <w:p w14:paraId="5450AFF4">
            <w:pPr>
              <w:pStyle w:val="28"/>
              <w:rPr>
                <w:b/>
                <w:bCs/>
              </w:rPr>
            </w:pPr>
            <w:r>
              <w:rPr>
                <w:b/>
                <w:bCs/>
              </w:rPr>
              <w:t>辐射事故应急</w:t>
            </w:r>
          </w:p>
          <w:p w14:paraId="367AFADC">
            <w:pPr>
              <w:pStyle w:val="2"/>
              <w:ind w:firstLine="464"/>
            </w:pPr>
            <w:r>
              <w:rPr>
                <w:spacing w:val="-8"/>
              </w:rPr>
              <w:t>根据</w:t>
            </w:r>
            <w:r>
              <w:rPr>
                <w:spacing w:val="-4"/>
              </w:rPr>
              <w:t>《放射性同位素与射线装置安全和防护管理办法》中关于应急报告与处理的</w:t>
            </w:r>
            <w:r>
              <w:t xml:space="preserve"> 相关要求，</w:t>
            </w:r>
            <w:r>
              <w:rPr>
                <w:rFonts w:hint="eastAsia"/>
              </w:rPr>
              <w:t>江阴市胜辉管道科技有限公司</w:t>
            </w:r>
            <w:r>
              <w:t>应针对射线项目可能产生的辐射事故</w:t>
            </w:r>
            <w:r>
              <w:rPr>
                <w:spacing w:val="-3"/>
              </w:rPr>
              <w:t>情况制定事故应急方案，应急方案内容应包括</w:t>
            </w:r>
            <w:r>
              <w:rPr>
                <w:spacing w:val="-2"/>
              </w:rPr>
              <w:t>：</w:t>
            </w:r>
          </w:p>
          <w:p w14:paraId="26F68DE2">
            <w:pPr>
              <w:pStyle w:val="2"/>
              <w:ind w:firstLine="506"/>
            </w:pPr>
            <w:r>
              <w:rPr>
                <w:spacing w:val="13"/>
              </w:rPr>
              <w:t>(</w:t>
            </w:r>
            <w:r>
              <w:rPr>
                <w:rFonts w:eastAsia="Times New Roman" w:cs="Times New Roman"/>
                <w:spacing w:val="13"/>
              </w:rPr>
              <w:t>1</w:t>
            </w:r>
            <w:r>
              <w:rPr>
                <w:spacing w:val="13"/>
              </w:rPr>
              <w:t>)应急机构和职责分工</w:t>
            </w:r>
            <w:r>
              <w:rPr>
                <w:spacing w:val="12"/>
              </w:rPr>
              <w:t>；</w:t>
            </w:r>
          </w:p>
          <w:p w14:paraId="5BADE746">
            <w:pPr>
              <w:pStyle w:val="2"/>
              <w:ind w:firstLine="500"/>
              <w:rPr>
                <w:spacing w:val="5"/>
              </w:rPr>
            </w:pPr>
            <w:r>
              <w:rPr>
                <w:spacing w:val="10"/>
              </w:rPr>
              <w:t>(</w:t>
            </w:r>
            <w:r>
              <w:rPr>
                <w:rFonts w:eastAsia="Times New Roman" w:cs="Times New Roman"/>
                <w:spacing w:val="8"/>
              </w:rPr>
              <w:t>2</w:t>
            </w:r>
            <w:r>
              <w:rPr>
                <w:spacing w:val="5"/>
              </w:rPr>
              <w:t>)应急人员的组织、培训以及应急和救助的装备、资金、物资准备；</w:t>
            </w:r>
          </w:p>
          <w:p w14:paraId="398E4FE8">
            <w:pPr>
              <w:pStyle w:val="2"/>
              <w:ind w:firstLine="500"/>
            </w:pPr>
            <w:r>
              <w:rPr>
                <w:spacing w:val="10"/>
              </w:rPr>
              <w:t>(</w:t>
            </w:r>
            <w:r>
              <w:rPr>
                <w:rFonts w:eastAsia="Times New Roman" w:cs="Times New Roman"/>
                <w:spacing w:val="10"/>
              </w:rPr>
              <w:t>3</w:t>
            </w:r>
            <w:r>
              <w:rPr>
                <w:spacing w:val="10"/>
              </w:rPr>
              <w:t>)辐射事故分级与应急响应措施</w:t>
            </w:r>
            <w:r>
              <w:rPr>
                <w:spacing w:val="8"/>
              </w:rPr>
              <w:t>；</w:t>
            </w:r>
          </w:p>
          <w:p w14:paraId="239C4B34">
            <w:pPr>
              <w:pStyle w:val="2"/>
              <w:ind w:firstLine="524"/>
            </w:pPr>
            <w:r>
              <w:rPr>
                <w:spacing w:val="22"/>
              </w:rPr>
              <w:t>(</w:t>
            </w:r>
            <w:r>
              <w:rPr>
                <w:rFonts w:eastAsia="Times New Roman" w:cs="Times New Roman"/>
                <w:spacing w:val="11"/>
              </w:rPr>
              <w:t>4</w:t>
            </w:r>
            <w:r>
              <w:rPr>
                <w:spacing w:val="11"/>
              </w:rPr>
              <w:t>)辐射事故调查、报告和处理程序；</w:t>
            </w:r>
          </w:p>
          <w:p w14:paraId="3DFDCE27">
            <w:pPr>
              <w:pStyle w:val="2"/>
              <w:ind w:firstLine="506"/>
            </w:pPr>
            <w:r>
              <w:rPr>
                <w:spacing w:val="13"/>
              </w:rPr>
              <w:t>(</w:t>
            </w:r>
            <w:r>
              <w:rPr>
                <w:rFonts w:eastAsia="Times New Roman" w:cs="Times New Roman"/>
                <w:spacing w:val="11"/>
              </w:rPr>
              <w:t>5</w:t>
            </w:r>
            <w:r>
              <w:rPr>
                <w:spacing w:val="11"/>
              </w:rPr>
              <w:t>)辐射事故信息公开、公众宣传方案。</w:t>
            </w:r>
          </w:p>
          <w:p w14:paraId="4CDA73DA">
            <w:pPr>
              <w:pStyle w:val="2"/>
              <w:ind w:firstLine="488"/>
            </w:pPr>
            <w:r>
              <w:rPr>
                <w:rFonts w:hint="eastAsia"/>
                <w:spacing w:val="4"/>
              </w:rPr>
              <w:t>江阴市胜辉管道科技</w:t>
            </w:r>
            <w:r>
              <w:rPr>
                <w:spacing w:val="2"/>
              </w:rPr>
              <w:t>有限公司拟依据《关于建立放射性同位素与射线装置辐射</w:t>
            </w:r>
            <w:r>
              <w:rPr>
                <w:spacing w:val="-7"/>
              </w:rPr>
              <w:t>事故分级处理和报告制度的通知》及《江苏省辐射污染防治条例》的要求制定辐射事</w:t>
            </w:r>
            <w:r>
              <w:rPr>
                <w:spacing w:val="-2"/>
              </w:rPr>
              <w:t>故应急预案，明确建立应急机构和人员职责分工，应急人</w:t>
            </w:r>
            <w:r>
              <w:t>员的组织、培训以及应急，</w:t>
            </w:r>
            <w:r>
              <w:rPr>
                <w:spacing w:val="-7"/>
              </w:rPr>
              <w:t>辐射事故分类与应急响应的措施。公司拟组织应急人员对应急处理措施进行培训，</w:t>
            </w:r>
            <w:r>
              <w:rPr>
                <w:spacing w:val="-4"/>
              </w:rPr>
              <w:t>并</w:t>
            </w:r>
            <w:r>
              <w:t>组织应急人员进行应急演练</w:t>
            </w:r>
            <w:r>
              <w:rPr>
                <w:rFonts w:hint="eastAsia"/>
              </w:rPr>
              <w:t>。</w:t>
            </w:r>
          </w:p>
          <w:p w14:paraId="739B492F">
            <w:pPr>
              <w:pStyle w:val="2"/>
              <w:ind w:firstLine="488"/>
            </w:pPr>
            <w:r>
              <w:rPr>
                <w:rFonts w:hint="eastAsia"/>
                <w:spacing w:val="4"/>
              </w:rPr>
              <w:t>发生辐射事故时，公司应立即启动本单位的事故应急方案，采取必要防范措施， 在1小时内向所在地生态环境部门和公安部门报告，并在2小时内填写《辐射事故初始报告表》，造成或者可能造成人员超剂量照射的，同时向卫生健康部门报告。事故发生后公司应积极配合生态环境部门、公安部门及卫生健康部门调查事故原因，并做好后续工作。</w:t>
            </w:r>
          </w:p>
        </w:tc>
      </w:tr>
    </w:tbl>
    <w:p w14:paraId="4B292D18">
      <w:pPr>
        <w:pStyle w:val="2"/>
        <w:ind w:firstLine="480"/>
      </w:pPr>
    </w:p>
    <w:p w14:paraId="05B3D813">
      <w:pPr>
        <w:pStyle w:val="11"/>
      </w:pPr>
      <w:r>
        <w:t>表13  结论与建议</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2"/>
      </w:tblGrid>
      <w:tr w14:paraId="6DB8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2" w:type="dxa"/>
          </w:tcPr>
          <w:p w14:paraId="5F750906">
            <w:pPr>
              <w:widowControl w:val="0"/>
              <w:jc w:val="both"/>
              <w:rPr>
                <w:rFonts w:eastAsiaTheme="minorEastAsia"/>
                <w:b/>
                <w:bCs/>
                <w:sz w:val="24"/>
                <w:szCs w:val="24"/>
              </w:rPr>
            </w:pPr>
            <w:r>
              <w:rPr>
                <w:rFonts w:eastAsiaTheme="minorEastAsia"/>
                <w:b/>
                <w:bCs/>
                <w:sz w:val="24"/>
                <w:szCs w:val="24"/>
              </w:rPr>
              <w:t xml:space="preserve"> </w:t>
            </w:r>
            <w:r>
              <w:rPr>
                <w:rFonts w:hint="eastAsia" w:eastAsiaTheme="minorEastAsia"/>
                <w:b/>
                <w:bCs/>
                <w:sz w:val="24"/>
                <w:szCs w:val="24"/>
              </w:rPr>
              <w:t>结论</w:t>
            </w:r>
          </w:p>
          <w:p w14:paraId="27E806E5">
            <w:pPr>
              <w:pStyle w:val="3"/>
              <w:widowControl w:val="0"/>
              <w:jc w:val="both"/>
            </w:pPr>
            <w:r>
              <w:t xml:space="preserve">1 </w:t>
            </w:r>
            <w:r>
              <w:rPr>
                <w:rFonts w:hint="eastAsia"/>
              </w:rPr>
              <w:t>辐射安全与防护分析结论</w:t>
            </w:r>
          </w:p>
          <w:p w14:paraId="0B5D3F42">
            <w:pPr>
              <w:pStyle w:val="4"/>
              <w:widowControl w:val="0"/>
              <w:jc w:val="both"/>
            </w:pPr>
            <w:r>
              <w:rPr>
                <w:rFonts w:hint="eastAsia"/>
              </w:rPr>
              <w:t>1.1 项目位置</w:t>
            </w:r>
          </w:p>
          <w:p w14:paraId="63AAA4D2">
            <w:pPr>
              <w:pStyle w:val="2"/>
              <w:widowControl w:val="0"/>
              <w:ind w:firstLine="480"/>
            </w:pPr>
            <w:r>
              <w:rPr>
                <w:rFonts w:hint="eastAsia"/>
              </w:rPr>
              <w:t>江阴市胜辉管道科技有限公司位于江苏省江阴市利港街道贵宾路60号，公司厂区东侧为贵宾大道，南侧为江阴市远景能源有限公司生产车间，西侧为公司办公楼，北侧为奚墅路。</w:t>
            </w:r>
          </w:p>
          <w:p w14:paraId="6DCBF69E">
            <w:pPr>
              <w:pStyle w:val="2"/>
              <w:widowControl w:val="0"/>
              <w:ind w:firstLine="480"/>
            </w:pPr>
            <w:r>
              <w:t>本项目</w:t>
            </w:r>
            <w:r>
              <w:rPr>
                <w:rFonts w:hint="eastAsia"/>
              </w:rPr>
              <w:t xml:space="preserve"> </w:t>
            </w:r>
            <w:r>
              <w:t>X</w:t>
            </w:r>
            <w:r>
              <w:rPr>
                <w:rFonts w:hint="eastAsia"/>
              </w:rPr>
              <w:t xml:space="preserve"> </w:t>
            </w:r>
            <w:r>
              <w:t>射线实时成像检测装置建于旋卷式耐压金属壳体生产车间内，建址东侧依次为五金仓库和原料仓库，南侧为江阴市远景能源有限公司生产车间，西侧依次为成品仓库，北侧为本公司焊管螺旋车间生产区域，</w:t>
            </w:r>
            <w:r>
              <w:rPr>
                <w:rFonts w:hint="eastAsia"/>
              </w:rPr>
              <w:t>楼上、楼下均无建筑。</w:t>
            </w:r>
          </w:p>
          <w:p w14:paraId="53A5E323">
            <w:pPr>
              <w:pStyle w:val="2"/>
              <w:widowControl w:val="0"/>
              <w:ind w:firstLine="480"/>
            </w:pPr>
            <w:r>
              <w:rPr>
                <w:rFonts w:hint="eastAsia"/>
              </w:rPr>
              <w:t>本项目 X 射线实时成像检测装置周围50m范围内没有居民区、学校等环境敏感目标，本项目辐射环境保护目标主要为辐射工作人员及 X 射线实时成像检测装置周围评价范围内的公众。</w:t>
            </w:r>
          </w:p>
          <w:p w14:paraId="133411C5">
            <w:pPr>
              <w:pStyle w:val="4"/>
              <w:widowControl w:val="0"/>
              <w:jc w:val="both"/>
            </w:pPr>
            <w:r>
              <w:rPr>
                <w:rFonts w:hint="eastAsia"/>
              </w:rPr>
              <w:t>1.2 项目分区及布局</w:t>
            </w:r>
          </w:p>
          <w:p w14:paraId="7D48FF92">
            <w:pPr>
              <w:pStyle w:val="2"/>
              <w:widowControl w:val="0"/>
              <w:ind w:firstLine="480"/>
            </w:pPr>
            <w:r>
              <w:t>本项目拟将 X 射线实时成像检测装置的曝光室作为本项目的辐射防护控制区，在曝光室表面明显位置设置电离辐射警告标志及中文警示说明，工作时任何人不得进入；拟将 X 射线实时成像检测装置的操作室作为辐射防护监督区，设置明显的电离辐射警示标志和警告标语，并拟设立表明监督区的标牌，工作时无关人员不得进入。本项目辐射防护分区的划分符合《工业探伤放射防护标准》（GBZ 117-2022）中关于辐射工作场所的分区规定。</w:t>
            </w:r>
          </w:p>
          <w:p w14:paraId="322F5999">
            <w:pPr>
              <w:pStyle w:val="4"/>
              <w:widowControl w:val="0"/>
              <w:jc w:val="both"/>
            </w:pPr>
            <w:r>
              <w:rPr>
                <w:rFonts w:hint="eastAsia"/>
              </w:rPr>
              <w:t>1.3 辐射安全措施</w:t>
            </w:r>
          </w:p>
          <w:p w14:paraId="3BEA1783">
            <w:pPr>
              <w:pStyle w:val="2"/>
              <w:widowControl w:val="0"/>
              <w:ind w:firstLine="480"/>
            </w:pPr>
            <w:r>
              <w:t xml:space="preserve">X </w:t>
            </w:r>
            <w:r>
              <w:rPr>
                <w:rFonts w:hint="eastAsia"/>
              </w:rPr>
              <w:t>射线实时成像检测装置操作室的操作台处拟设置钥匙开关。只有在打开操作台钥匙开关后，</w:t>
            </w:r>
            <w:r>
              <w:t xml:space="preserve">X </w:t>
            </w:r>
            <w:r>
              <w:rPr>
                <w:rFonts w:hint="eastAsia"/>
              </w:rPr>
              <w:t>射线管才能出束；钥匙只有在停机或待机状态时才能拔出。拟在</w:t>
            </w:r>
            <w:r>
              <w:t xml:space="preserve"> X </w:t>
            </w:r>
            <w:r>
              <w:rPr>
                <w:rFonts w:hint="eastAsia"/>
              </w:rPr>
              <w:t>射线实时成像检测装置操作室的操作台处设置</w:t>
            </w:r>
            <w:r>
              <w:t>1</w:t>
            </w:r>
            <w:r>
              <w:rPr>
                <w:rFonts w:hint="eastAsia"/>
              </w:rPr>
              <w:t>个急停按钮，在曝光室内西侧铅门旁设置</w:t>
            </w:r>
            <w:r>
              <w:t>1</w:t>
            </w:r>
            <w:r>
              <w:rPr>
                <w:rFonts w:hint="eastAsia"/>
              </w:rPr>
              <w:t>个急停按钮，按钮带有标签，表明使用方法，确保出现紧急事故时，能立即停止照射。</w:t>
            </w:r>
            <w:r>
              <w:t xml:space="preserve"> X </w:t>
            </w:r>
            <w:r>
              <w:rPr>
                <w:rFonts w:hint="eastAsia"/>
              </w:rPr>
              <w:t>射线实时成像检测装置曝光室顶部外拟设置工作状态指示灯及声音提示装置，并与</w:t>
            </w:r>
            <w:r>
              <w:t xml:space="preserve"> X </w:t>
            </w:r>
            <w:r>
              <w:rPr>
                <w:rFonts w:hint="eastAsia"/>
              </w:rPr>
              <w:t>射线管联锁。设备工作时，警示灯开启，警告无关人员勿靠近设备或在设备附近做不必要的逗留。工作状态指示灯与该工作场所内使用的其他报警信号应有明显区别。</w:t>
            </w:r>
            <w:r>
              <w:t xml:space="preserve">X </w:t>
            </w:r>
            <w:r>
              <w:rPr>
                <w:rFonts w:hint="eastAsia"/>
              </w:rPr>
              <w:t>射线实时成像检测装置西侧维修门和东侧进出料门均拟设置门机连锁装置，只有当防护门完全关闭后才能进行出束检测作业，在出束检测过程中，防护门被意外打开时，能立刻停止出束。</w:t>
            </w:r>
            <w:r>
              <w:t xml:space="preserve">X </w:t>
            </w:r>
            <w:r>
              <w:rPr>
                <w:rFonts w:hint="eastAsia"/>
              </w:rPr>
              <w:t>射线实时成像检测装置曝光室铅门和进/出料铅门表面明显位置拟设置“无关人员禁止靠近”的电离辐射警告标志及警示说明，提醒无关人员勿在其附近逗留。</w:t>
            </w:r>
            <w:r>
              <w:t xml:space="preserve">X </w:t>
            </w:r>
            <w:r>
              <w:rPr>
                <w:rFonts w:hint="eastAsia"/>
              </w:rPr>
              <w:t>射线实时成像检测装置的曝光室内拟设置</w:t>
            </w:r>
            <w:r>
              <w:t>4</w:t>
            </w:r>
            <w:r>
              <w:rPr>
                <w:rFonts w:hint="eastAsia"/>
              </w:rPr>
              <w:t>个摄像头，摄像显示装置拟设于操作室内。拟在</w:t>
            </w:r>
            <w:r>
              <w:t xml:space="preserve"> X </w:t>
            </w:r>
            <w:r>
              <w:rPr>
                <w:rFonts w:hint="eastAsia"/>
              </w:rPr>
              <w:t>射线实时成像检测装置的进出料口外各拟设置</w:t>
            </w:r>
            <w:r>
              <w:t>1</w:t>
            </w:r>
            <w:r>
              <w:rPr>
                <w:rFonts w:hint="eastAsia"/>
              </w:rPr>
              <w:t>个固定式场所辐射探测报警装置的探头，辐射探测报警装置的显示装置拟安装在操作室内。</w:t>
            </w:r>
          </w:p>
          <w:p w14:paraId="17617CC4">
            <w:pPr>
              <w:pStyle w:val="4"/>
              <w:widowControl w:val="0"/>
              <w:jc w:val="both"/>
            </w:pPr>
            <w:r>
              <w:rPr>
                <w:rFonts w:hint="eastAsia"/>
              </w:rPr>
              <w:t>1.4 辐射安全管理</w:t>
            </w:r>
          </w:p>
          <w:p w14:paraId="7A441468">
            <w:pPr>
              <w:pStyle w:val="2"/>
              <w:widowControl w:val="0"/>
              <w:ind w:firstLine="480"/>
            </w:pPr>
            <w:r>
              <w:t>江阴市胜辉管道科技有限公司拟成立专门的辐射安全与环境保护管理机构， 并以文件形式明确管理人员职责。公司拟为本项目配备的 2 名辐射工作人员，辐射工作人员均应取得辐射安全培训合格证书或通过生态环境部培训平台上的线上考核方可上岗。</w:t>
            </w:r>
            <w:r>
              <w:rPr>
                <w:rFonts w:hint="eastAsia"/>
              </w:rPr>
              <w:t>公司拟对新增辐射工作人员进行职业健康监护和个人剂量监测，并为辐射工作人员建立个人职业健康监护档案和个人剂量档案。</w:t>
            </w:r>
          </w:p>
          <w:p w14:paraId="20CFD26B">
            <w:pPr>
              <w:pStyle w:val="2"/>
              <w:widowControl w:val="0"/>
              <w:ind w:firstLine="480"/>
            </w:pPr>
            <w:r>
              <w:rPr>
                <w:rFonts w:hint="eastAsia"/>
              </w:rPr>
              <w:t>公司目前共配有</w:t>
            </w:r>
            <w:r>
              <w:t>1</w:t>
            </w:r>
            <w:r>
              <w:rPr>
                <w:rFonts w:hint="eastAsia"/>
              </w:rPr>
              <w:t>台环境辐射剂量巡测仪及</w:t>
            </w:r>
            <w:r>
              <w:t>2</w:t>
            </w:r>
            <w:r>
              <w:rPr>
                <w:rFonts w:hint="eastAsia"/>
              </w:rPr>
              <w:t>台个人剂量报警仪，公司还拟为本项目辐射工作人员配备</w:t>
            </w:r>
            <w:r>
              <w:t>2</w:t>
            </w:r>
            <w:r>
              <w:rPr>
                <w:rFonts w:hint="eastAsia"/>
              </w:rPr>
              <w:t>台个人剂量报警仪，方能够满足审管部门关于仪器配备的要求。</w:t>
            </w:r>
          </w:p>
          <w:p w14:paraId="2743B54A">
            <w:pPr>
              <w:pStyle w:val="2"/>
              <w:widowControl w:val="0"/>
              <w:ind w:firstLine="480"/>
            </w:pPr>
            <w:r>
              <w:rPr>
                <w:rFonts w:hint="eastAsia"/>
              </w:rPr>
              <w:t>在落实以上辐射安全措施后，本项目的辐射安全管理措施能够满足辐射安全管理的要求。</w:t>
            </w:r>
          </w:p>
          <w:p w14:paraId="625E8BC8">
            <w:pPr>
              <w:pStyle w:val="3"/>
              <w:widowControl w:val="0"/>
              <w:jc w:val="both"/>
            </w:pPr>
            <w:r>
              <w:t xml:space="preserve">2 </w:t>
            </w:r>
            <w:r>
              <w:rPr>
                <w:rFonts w:hint="eastAsia"/>
              </w:rPr>
              <w:t>环境影响分析结论</w:t>
            </w:r>
          </w:p>
          <w:p w14:paraId="60256A72">
            <w:pPr>
              <w:pStyle w:val="4"/>
              <w:widowControl w:val="0"/>
              <w:jc w:val="both"/>
            </w:pPr>
            <w:r>
              <w:rPr>
                <w:rFonts w:hint="eastAsia"/>
              </w:rPr>
              <w:t>2.1 辐射防护影响预测</w:t>
            </w:r>
          </w:p>
          <w:p w14:paraId="42E0E06D">
            <w:pPr>
              <w:pStyle w:val="2"/>
              <w:widowControl w:val="0"/>
              <w:ind w:firstLine="480"/>
            </w:pPr>
            <w:r>
              <w:t>本项目 X 射线曝光室尺寸为45m（长）×4.6m（宽）×6.6m（高），</w:t>
            </w:r>
            <w:bookmarkStart w:id="25" w:name="OLE_LINK26"/>
            <w:r>
              <w:rPr>
                <w:rFonts w:hint="eastAsia"/>
              </w:rPr>
              <w:t>曝光室四周</w:t>
            </w:r>
            <w:r>
              <w:t>墙体、线缆口</w:t>
            </w:r>
            <w:r>
              <w:rPr>
                <w:rFonts w:hint="eastAsia"/>
              </w:rPr>
              <w:t>和通风口</w:t>
            </w:r>
            <w:r>
              <w:t>防护罩采用480mm</w:t>
            </w:r>
            <w:r>
              <w:rPr>
                <w:rFonts w:hint="eastAsia"/>
              </w:rPr>
              <w:t>砖混结构</w:t>
            </w:r>
            <w:r>
              <w:t>+100mmBaSO</w:t>
            </w:r>
            <w:r>
              <w:rPr>
                <w:vertAlign w:val="subscript"/>
              </w:rPr>
              <w:t>4</w:t>
            </w:r>
            <w:r>
              <w:t>，顶部采用500mm混凝土+80mmBaSO</w:t>
            </w:r>
            <w:r>
              <w:rPr>
                <w:vertAlign w:val="subscript"/>
              </w:rPr>
              <w:t>4</w:t>
            </w:r>
            <w:r>
              <w:t>，</w:t>
            </w:r>
            <w:bookmarkEnd w:id="25"/>
            <w:r>
              <w:t>西侧维修门和东侧进出料门均采用</w:t>
            </w:r>
            <w:r>
              <w:rPr>
                <w:rFonts w:hint="eastAsia"/>
              </w:rPr>
              <w:t>7</w:t>
            </w:r>
            <w:r>
              <w:t>mm的铅。</w:t>
            </w:r>
          </w:p>
          <w:p w14:paraId="70BE7793">
            <w:pPr>
              <w:pStyle w:val="2"/>
              <w:widowControl w:val="0"/>
              <w:ind w:firstLine="480"/>
            </w:pPr>
            <w:r>
              <w:rPr>
                <w:rFonts w:hint="eastAsia"/>
              </w:rPr>
              <w:t>根据理论预测结果，本项目</w:t>
            </w:r>
            <w:r>
              <w:t>X</w:t>
            </w:r>
            <w:r>
              <w:rPr>
                <w:rFonts w:hint="eastAsia"/>
              </w:rPr>
              <w:t>射线实时成像检测装置运行后周围的辐射剂量率均能够满足《工业探伤放射防护标准》（</w:t>
            </w:r>
            <w:r>
              <w:t>GBZ117-2022</w:t>
            </w:r>
            <w:r>
              <w:rPr>
                <w:rFonts w:hint="eastAsia"/>
              </w:rPr>
              <w:t>）及《工业</w:t>
            </w:r>
            <w:r>
              <w:t>X</w:t>
            </w:r>
            <w:r>
              <w:rPr>
                <w:rFonts w:hint="eastAsia"/>
              </w:rPr>
              <w:t>射线探伤室辐射屏蔽规范》（</w:t>
            </w:r>
            <w:r>
              <w:t>GBZ/T250-2014</w:t>
            </w:r>
            <w:r>
              <w:rPr>
                <w:rFonts w:hint="eastAsia"/>
              </w:rPr>
              <w:t>）的辐射剂量限值要求。</w:t>
            </w:r>
          </w:p>
          <w:p w14:paraId="1AA50A2F">
            <w:pPr>
              <w:pStyle w:val="4"/>
              <w:widowControl w:val="0"/>
              <w:jc w:val="both"/>
            </w:pPr>
            <w:r>
              <w:rPr>
                <w:rFonts w:hint="eastAsia"/>
              </w:rPr>
              <w:t>2.2 保护目标剂量</w:t>
            </w:r>
          </w:p>
          <w:p w14:paraId="66CF215E">
            <w:pPr>
              <w:pStyle w:val="2"/>
              <w:widowControl w:val="0"/>
              <w:ind w:firstLine="480"/>
            </w:pPr>
            <w:r>
              <w:t>根据理论预测结果，本项目投入运行后辐射工作人员和周围公众年有效剂量均能够满足《电离辐射防护与辐射源安全基本标准》（GB18871-2002）中对职业人员和公众有效剂量限值要求以及本项目的剂量约束值要求：职业人员周有效剂</w:t>
            </w:r>
            <w:r>
              <w:rPr>
                <w:rFonts w:hint="eastAsia"/>
              </w:rPr>
              <w:t>量不超过</w:t>
            </w:r>
            <w:r>
              <w:t>100</w:t>
            </w:r>
            <w:r>
              <w:rPr>
                <w:rFonts w:cs="Times New Roman"/>
              </w:rPr>
              <w:t>μ</w:t>
            </w:r>
            <w:r>
              <w:t>Sv</w:t>
            </w:r>
            <w:r>
              <w:rPr>
                <w:rFonts w:hint="eastAsia"/>
              </w:rPr>
              <w:t>，公众周有效剂量不超过</w:t>
            </w:r>
            <w:r>
              <w:t>5</w:t>
            </w:r>
            <w:bookmarkStart w:id="26" w:name="OLE_LINK22"/>
            <w:r>
              <w:rPr>
                <w:rFonts w:cs="Times New Roman"/>
              </w:rPr>
              <w:t>μ</w:t>
            </w:r>
            <w:bookmarkEnd w:id="26"/>
            <w:r>
              <w:t>Sv</w:t>
            </w:r>
            <w:r>
              <w:rPr>
                <w:rFonts w:hint="eastAsia"/>
              </w:rPr>
              <w:t>：职业人员年有效剂量不超过</w:t>
            </w:r>
            <w:r>
              <w:t>5mSv</w:t>
            </w:r>
            <w:r>
              <w:rPr>
                <w:rFonts w:hint="eastAsia"/>
              </w:rPr>
              <w:t>，公众年有效剂量不超过</w:t>
            </w:r>
            <w:r>
              <w:t>0.1mSv</w:t>
            </w:r>
            <w:r>
              <w:rPr>
                <w:rFonts w:hint="eastAsia"/>
              </w:rPr>
              <w:t>。</w:t>
            </w:r>
          </w:p>
          <w:p w14:paraId="192E1642">
            <w:pPr>
              <w:pStyle w:val="4"/>
              <w:widowControl w:val="0"/>
              <w:jc w:val="both"/>
            </w:pPr>
            <w:r>
              <w:rPr>
                <w:rFonts w:hint="eastAsia"/>
              </w:rPr>
              <w:t>2.3 三废处理处置</w:t>
            </w:r>
          </w:p>
          <w:p w14:paraId="7F88F861">
            <w:pPr>
              <w:pStyle w:val="2"/>
              <w:widowControl w:val="0"/>
              <w:ind w:firstLine="480"/>
            </w:pPr>
            <w:r>
              <w:rPr>
                <w:rFonts w:hint="eastAsia"/>
              </w:rPr>
              <w:t xml:space="preserve">本项目 </w:t>
            </w:r>
            <w:r>
              <w:t>X</w:t>
            </w:r>
            <w:r>
              <w:rPr>
                <w:rFonts w:hint="eastAsia"/>
              </w:rPr>
              <w:t xml:space="preserve"> 射线实时成像检测装置工作时产生的</w:t>
            </w:r>
            <w:r>
              <w:t>X</w:t>
            </w:r>
            <w:r>
              <w:rPr>
                <w:rFonts w:hint="eastAsia"/>
              </w:rPr>
              <w:t>射线可使空气电离从而产生少量臭氧和氮氧化物。本项目</w:t>
            </w:r>
            <w:r>
              <w:t xml:space="preserve"> X </w:t>
            </w:r>
            <w:r>
              <w:rPr>
                <w:rFonts w:hint="eastAsia"/>
              </w:rPr>
              <w:t>射线实时成像检测装置的曝光室南侧底部拟设置</w:t>
            </w:r>
            <w:r>
              <w:t>1</w:t>
            </w:r>
            <w:r>
              <w:rPr>
                <w:rFonts w:hint="eastAsia"/>
              </w:rPr>
              <w:t>个通风口，</w:t>
            </w:r>
            <w:r>
              <w:t xml:space="preserve">X </w:t>
            </w:r>
            <w:r>
              <w:rPr>
                <w:rFonts w:hint="eastAsia"/>
              </w:rPr>
              <w:t>射线实时成像检测装置铅房内产生的少量臭氧和氮氧化物可通过检测铅房的进出料口及顶部通风口进入车间，最终通过车间排风系统排入车间外。臭氧常温下</w:t>
            </w:r>
            <w:r>
              <w:t>50min</w:t>
            </w:r>
            <w:r>
              <w:rPr>
                <w:rFonts w:hint="eastAsia"/>
              </w:rPr>
              <w:t>内可自行分解为氧气，对周围环境影响较小。</w:t>
            </w:r>
          </w:p>
          <w:p w14:paraId="30CD8B3D">
            <w:pPr>
              <w:pStyle w:val="2"/>
              <w:widowControl w:val="0"/>
              <w:ind w:firstLine="480"/>
              <w:rPr>
                <w:rFonts w:eastAsiaTheme="minorEastAsia"/>
              </w:rPr>
            </w:pPr>
            <w:r>
              <w:rPr>
                <w:rFonts w:hint="eastAsia"/>
              </w:rPr>
              <w:t>本项目辐射工作人员在工作过程中产生的生活污水将进入城市污水管网，一般生活垃圾收集后将交由城市环卫部门处理，对周围环境影响较小。</w:t>
            </w:r>
          </w:p>
          <w:p w14:paraId="494417F9">
            <w:pPr>
              <w:pStyle w:val="3"/>
              <w:widowControl w:val="0"/>
              <w:jc w:val="both"/>
            </w:pPr>
            <w:r>
              <w:rPr>
                <w:rFonts w:hint="eastAsia"/>
              </w:rPr>
              <w:t>3</w:t>
            </w:r>
            <w:r>
              <w:t xml:space="preserve"> </w:t>
            </w:r>
            <w:r>
              <w:rPr>
                <w:rFonts w:hint="eastAsia"/>
              </w:rPr>
              <w:t>可行性分析结论</w:t>
            </w:r>
          </w:p>
          <w:p w14:paraId="035BA43E">
            <w:pPr>
              <w:pStyle w:val="2"/>
              <w:widowControl w:val="0"/>
              <w:ind w:firstLine="480"/>
            </w:pPr>
            <w:r>
              <w:t>综上所述，江阴市胜辉管道科技有限公司新建固定式 X 射线实时成像检测装置项目在落实本报告提出的各项污染防治措施和管理措施后，该公司将具有与其所从事的辐射活动相适应的技术能力和具备相应的辐射安全防护措施，项目对环境和公众的影响满足《电离辐射防护与辐射源安全基本标准》(GB18871-2002)及《工业探伤放射防护标准》(GBZ 117-2022)相关要求，其运行对周围环境产生的影响能够符合辐射环境保护的要求，从辐射环境保护角度论证，该项目的建设和运行是可行的。</w:t>
            </w:r>
          </w:p>
        </w:tc>
      </w:tr>
      <w:tr w14:paraId="5AF4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2" w:type="dxa"/>
          </w:tcPr>
          <w:p w14:paraId="5A9834C2">
            <w:pPr>
              <w:pStyle w:val="2"/>
              <w:widowControl w:val="0"/>
              <w:ind w:left="0" w:firstLine="0" w:firstLineChars="0"/>
              <w:rPr>
                <w:b/>
                <w:bCs/>
                <w:szCs w:val="24"/>
              </w:rPr>
            </w:pPr>
            <w:r>
              <w:rPr>
                <w:b/>
                <w:bCs/>
                <w:spacing w:val="-6"/>
                <w:szCs w:val="24"/>
              </w:rPr>
              <w:t>建</w:t>
            </w:r>
            <w:r>
              <w:rPr>
                <w:b/>
                <w:bCs/>
                <w:szCs w:val="24"/>
              </w:rPr>
              <w:t>议和承诺</w:t>
            </w:r>
          </w:p>
          <w:p w14:paraId="1C2CF016">
            <w:pPr>
              <w:pStyle w:val="2"/>
              <w:widowControl w:val="0"/>
              <w:ind w:firstLine="480"/>
            </w:pPr>
            <w:r>
              <w:rPr>
                <w:rFonts w:hint="eastAsia"/>
              </w:rPr>
              <w:t>（1）</w:t>
            </w:r>
            <w:r>
              <w:t>该项目运行后，应严格遵循操作规程，加强对操作人员的培训，杜绝麻痹大意思想</w:t>
            </w:r>
            <w:r>
              <w:rPr>
                <w:spacing w:val="-7"/>
              </w:rPr>
              <w:t>，以避免意外事故造成对公众和职业人员的附加影响，使对环境的影响降低到最低。</w:t>
            </w:r>
          </w:p>
          <w:p w14:paraId="03034E44">
            <w:pPr>
              <w:pStyle w:val="2"/>
              <w:widowControl w:val="0"/>
              <w:ind w:firstLine="480"/>
            </w:pPr>
            <w:r>
              <w:rPr>
                <w:rFonts w:hint="eastAsia"/>
              </w:rPr>
              <w:t>（2）</w:t>
            </w:r>
            <w:r>
              <w:t>各项</w:t>
            </w:r>
            <w:r>
              <w:rPr>
                <w:spacing w:val="-7"/>
              </w:rPr>
              <w:t>环</w:t>
            </w:r>
            <w:r>
              <w:rPr>
                <w:spacing w:val="-5"/>
              </w:rPr>
              <w:t>保设施及辐射防护设施必须正常运行，严格按国家有关规定要求进行操</w:t>
            </w:r>
            <w:r>
              <w:t>作</w:t>
            </w:r>
            <w:r>
              <w:rPr>
                <w:spacing w:val="-6"/>
              </w:rPr>
              <w:t>，</w:t>
            </w:r>
            <w:r>
              <w:rPr>
                <w:spacing w:val="-5"/>
              </w:rPr>
              <w:t>确保其安全可靠。</w:t>
            </w:r>
          </w:p>
          <w:p w14:paraId="30DE4B1D">
            <w:pPr>
              <w:pStyle w:val="2"/>
              <w:widowControl w:val="0"/>
              <w:ind w:firstLine="468"/>
              <w:rPr>
                <w:rFonts w:eastAsiaTheme="minorEastAsia"/>
                <w:b/>
                <w:bCs/>
                <w:sz w:val="28"/>
                <w:szCs w:val="28"/>
              </w:rPr>
            </w:pPr>
            <w:r>
              <w:rPr>
                <w:rFonts w:hint="eastAsia"/>
                <w:spacing w:val="-6"/>
              </w:rPr>
              <w:t>（3）</w:t>
            </w:r>
            <w:r>
              <w:rPr>
                <w:spacing w:val="-6"/>
              </w:rPr>
              <w:t>公</w:t>
            </w:r>
            <w:r>
              <w:t>司应按照《建设项目环境保护管理条例》规定</w:t>
            </w:r>
            <w:r>
              <w:rPr>
                <w:rFonts w:hint="eastAsia"/>
              </w:rPr>
              <w:t>在3个月内</w:t>
            </w:r>
            <w:r>
              <w:t>及时进行竣工环保验收。</w:t>
            </w:r>
          </w:p>
        </w:tc>
      </w:tr>
    </w:tbl>
    <w:p w14:paraId="6DBFC348">
      <w:pPr>
        <w:rPr>
          <w:rFonts w:eastAsiaTheme="minorEastAsia"/>
        </w:rPr>
      </w:pPr>
    </w:p>
    <w:p w14:paraId="70B3949E">
      <w:pPr>
        <w:pStyle w:val="2"/>
        <w:ind w:left="0" w:firstLine="0" w:firstLineChars="0"/>
        <w:sectPr>
          <w:pgSz w:w="11907" w:h="16841"/>
          <w:pgMar w:top="1418" w:right="1134" w:bottom="1418" w:left="1701" w:header="0" w:footer="1134" w:gutter="0"/>
          <w:cols w:space="720" w:num="1"/>
        </w:sectPr>
      </w:pPr>
    </w:p>
    <w:p w14:paraId="34596E28">
      <w:pPr>
        <w:pStyle w:val="11"/>
      </w:pPr>
      <w:r>
        <w:t>表14  审批</w:t>
      </w:r>
    </w:p>
    <w:tbl>
      <w:tblPr>
        <w:tblStyle w:val="15"/>
        <w:tblW w:w="9075"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93"/>
        <w:gridCol w:w="5582"/>
      </w:tblGrid>
      <w:tr w14:paraId="6C2F4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1" w:hRule="atLeast"/>
        </w:trPr>
        <w:tc>
          <w:tcPr>
            <w:tcW w:w="9075" w:type="dxa"/>
            <w:gridSpan w:val="2"/>
            <w:tcBorders>
              <w:bottom w:val="nil"/>
            </w:tcBorders>
          </w:tcPr>
          <w:p w14:paraId="65E3B8A4">
            <w:pPr>
              <w:spacing w:before="176" w:line="220" w:lineRule="auto"/>
              <w:ind w:left="302"/>
              <w:rPr>
                <w:rFonts w:hint="eastAsia" w:ascii="宋体" w:hAnsi="宋体" w:eastAsia="宋体" w:cs="宋体"/>
                <w:sz w:val="24"/>
                <w:szCs w:val="24"/>
              </w:rPr>
            </w:pPr>
            <w:r>
              <w:rPr>
                <w:rFonts w:ascii="宋体" w:hAnsi="宋体" w:eastAsia="宋体" w:cs="宋体"/>
                <w:spacing w:val="-2"/>
                <w:sz w:val="24"/>
                <w:szCs w:val="24"/>
              </w:rPr>
              <w:t>下一级环</w:t>
            </w:r>
            <w:r>
              <w:rPr>
                <w:rFonts w:ascii="宋体" w:hAnsi="宋体" w:eastAsia="宋体" w:cs="宋体"/>
                <w:spacing w:val="-1"/>
                <w:sz w:val="24"/>
                <w:szCs w:val="24"/>
              </w:rPr>
              <w:t>保部门预审意见：</w:t>
            </w:r>
          </w:p>
        </w:tc>
      </w:tr>
      <w:tr w14:paraId="00DC2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9" w:hRule="atLeast"/>
        </w:trPr>
        <w:tc>
          <w:tcPr>
            <w:tcW w:w="3493" w:type="dxa"/>
            <w:tcBorders>
              <w:top w:val="nil"/>
              <w:right w:val="nil"/>
            </w:tcBorders>
          </w:tcPr>
          <w:p w14:paraId="6D2AC42B">
            <w:pPr>
              <w:spacing w:line="252" w:lineRule="auto"/>
            </w:pPr>
          </w:p>
          <w:p w14:paraId="1CB4A0BB">
            <w:pPr>
              <w:spacing w:line="252" w:lineRule="auto"/>
            </w:pPr>
          </w:p>
          <w:p w14:paraId="5886EA31">
            <w:pPr>
              <w:spacing w:line="252" w:lineRule="auto"/>
            </w:pPr>
          </w:p>
          <w:p w14:paraId="4AD345D9">
            <w:pPr>
              <w:spacing w:line="252" w:lineRule="auto"/>
            </w:pPr>
          </w:p>
          <w:p w14:paraId="262B6CD3">
            <w:pPr>
              <w:spacing w:line="253" w:lineRule="auto"/>
            </w:pPr>
          </w:p>
          <w:p w14:paraId="6AFAB011">
            <w:pPr>
              <w:spacing w:line="253" w:lineRule="auto"/>
            </w:pPr>
          </w:p>
          <w:p w14:paraId="2E417F14">
            <w:pPr>
              <w:spacing w:line="253" w:lineRule="auto"/>
            </w:pPr>
          </w:p>
          <w:p w14:paraId="21B4E255">
            <w:pPr>
              <w:spacing w:line="253" w:lineRule="auto"/>
            </w:pPr>
          </w:p>
          <w:p w14:paraId="335B95F8">
            <w:pPr>
              <w:spacing w:line="253" w:lineRule="auto"/>
            </w:pPr>
          </w:p>
          <w:p w14:paraId="5B9522AF">
            <w:pPr>
              <w:spacing w:line="253" w:lineRule="auto"/>
            </w:pPr>
          </w:p>
          <w:p w14:paraId="03607A61">
            <w:pPr>
              <w:spacing w:line="253" w:lineRule="auto"/>
            </w:pPr>
          </w:p>
          <w:p w14:paraId="274396CF">
            <w:pPr>
              <w:spacing w:before="78" w:line="220" w:lineRule="auto"/>
              <w:ind w:left="975"/>
              <w:rPr>
                <w:rFonts w:hint="eastAsia" w:ascii="宋体" w:hAnsi="宋体" w:eastAsia="宋体" w:cs="宋体"/>
                <w:sz w:val="24"/>
                <w:szCs w:val="24"/>
              </w:rPr>
            </w:pPr>
            <w:r>
              <w:rPr>
                <w:rFonts w:ascii="宋体" w:hAnsi="宋体" w:eastAsia="宋体" w:cs="宋体"/>
                <w:spacing w:val="-4"/>
                <w:sz w:val="24"/>
                <w:szCs w:val="24"/>
              </w:rPr>
              <w:t>经</w:t>
            </w:r>
            <w:r>
              <w:rPr>
                <w:rFonts w:ascii="宋体" w:hAnsi="宋体" w:eastAsia="宋体" w:cs="宋体"/>
                <w:spacing w:val="-2"/>
                <w:sz w:val="24"/>
                <w:szCs w:val="24"/>
              </w:rPr>
              <w:t>办人</w:t>
            </w:r>
          </w:p>
        </w:tc>
        <w:tc>
          <w:tcPr>
            <w:tcW w:w="5582" w:type="dxa"/>
            <w:tcBorders>
              <w:top w:val="nil"/>
              <w:left w:val="nil"/>
            </w:tcBorders>
          </w:tcPr>
          <w:p w14:paraId="66FD462F">
            <w:pPr>
              <w:spacing w:line="257" w:lineRule="auto"/>
            </w:pPr>
          </w:p>
          <w:p w14:paraId="1D7A61C0">
            <w:pPr>
              <w:spacing w:line="257" w:lineRule="auto"/>
            </w:pPr>
          </w:p>
          <w:p w14:paraId="7B04D312">
            <w:pPr>
              <w:spacing w:line="257" w:lineRule="auto"/>
            </w:pPr>
          </w:p>
          <w:p w14:paraId="03224EF5">
            <w:pPr>
              <w:spacing w:line="257" w:lineRule="auto"/>
            </w:pPr>
          </w:p>
          <w:p w14:paraId="563BB264">
            <w:pPr>
              <w:spacing w:line="257" w:lineRule="auto"/>
            </w:pPr>
          </w:p>
          <w:p w14:paraId="4B3798AC">
            <w:pPr>
              <w:spacing w:line="257" w:lineRule="auto"/>
            </w:pPr>
          </w:p>
          <w:p w14:paraId="2EE8D002">
            <w:pPr>
              <w:spacing w:line="257" w:lineRule="auto"/>
            </w:pPr>
          </w:p>
          <w:p w14:paraId="3480A82E">
            <w:pPr>
              <w:spacing w:line="258" w:lineRule="auto"/>
            </w:pPr>
          </w:p>
          <w:p w14:paraId="46C0C32E">
            <w:pPr>
              <w:spacing w:line="258" w:lineRule="auto"/>
            </w:pPr>
          </w:p>
          <w:p w14:paraId="6C0C86B6">
            <w:pPr>
              <w:spacing w:before="78" w:line="219" w:lineRule="auto"/>
              <w:ind w:left="2171"/>
              <w:rPr>
                <w:rFonts w:hint="eastAsia" w:ascii="宋体" w:hAnsi="宋体" w:eastAsia="宋体" w:cs="宋体"/>
                <w:sz w:val="24"/>
                <w:szCs w:val="24"/>
              </w:rPr>
            </w:pPr>
            <w:r>
              <w:rPr>
                <w:rFonts w:ascii="宋体" w:hAnsi="宋体" w:eastAsia="宋体" w:cs="宋体"/>
                <w:sz w:val="24"/>
                <w:szCs w:val="24"/>
              </w:rPr>
              <w:t>公 章</w:t>
            </w:r>
          </w:p>
          <w:p w14:paraId="3798ED80">
            <w:pPr>
              <w:spacing w:before="182" w:line="220" w:lineRule="auto"/>
              <w:ind w:left="1805"/>
              <w:rPr>
                <w:rFonts w:hint="eastAsia" w:ascii="宋体" w:hAnsi="宋体" w:eastAsia="宋体" w:cs="宋体"/>
                <w:sz w:val="24"/>
                <w:szCs w:val="24"/>
              </w:rPr>
            </w:pPr>
            <w:r>
              <w:rPr>
                <w:rFonts w:ascii="宋体" w:hAnsi="宋体" w:eastAsia="宋体" w:cs="宋体"/>
                <w:spacing w:val="8"/>
                <w:sz w:val="24"/>
                <w:szCs w:val="24"/>
              </w:rPr>
              <w:t>年</w:t>
            </w:r>
            <w:r>
              <w:rPr>
                <w:rFonts w:ascii="宋体" w:hAnsi="宋体" w:eastAsia="宋体" w:cs="宋体"/>
                <w:spacing w:val="4"/>
                <w:sz w:val="24"/>
                <w:szCs w:val="24"/>
              </w:rPr>
              <w:t xml:space="preserve">   月   日</w:t>
            </w:r>
          </w:p>
        </w:tc>
      </w:tr>
      <w:tr w14:paraId="767F8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3" w:hRule="atLeast"/>
        </w:trPr>
        <w:tc>
          <w:tcPr>
            <w:tcW w:w="9075" w:type="dxa"/>
            <w:gridSpan w:val="2"/>
            <w:tcBorders>
              <w:bottom w:val="nil"/>
            </w:tcBorders>
          </w:tcPr>
          <w:p w14:paraId="19734735">
            <w:pPr>
              <w:spacing w:before="174" w:line="220" w:lineRule="auto"/>
              <w:ind w:left="308"/>
              <w:rPr>
                <w:rFonts w:hint="eastAsia" w:ascii="宋体" w:hAnsi="宋体" w:eastAsia="宋体" w:cs="宋体"/>
                <w:sz w:val="24"/>
                <w:szCs w:val="24"/>
              </w:rPr>
            </w:pPr>
            <w:r>
              <w:rPr>
                <w:rFonts w:ascii="宋体" w:hAnsi="宋体" w:eastAsia="宋体" w:cs="宋体"/>
                <w:spacing w:val="-5"/>
                <w:sz w:val="24"/>
                <w:szCs w:val="24"/>
              </w:rPr>
              <w:t>审</w:t>
            </w:r>
            <w:r>
              <w:rPr>
                <w:rFonts w:ascii="宋体" w:hAnsi="宋体" w:eastAsia="宋体" w:cs="宋体"/>
                <w:spacing w:val="-4"/>
                <w:sz w:val="24"/>
                <w:szCs w:val="24"/>
              </w:rPr>
              <w:t>批意见</w:t>
            </w:r>
          </w:p>
        </w:tc>
      </w:tr>
      <w:tr w14:paraId="62A66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0" w:hRule="atLeast"/>
        </w:trPr>
        <w:tc>
          <w:tcPr>
            <w:tcW w:w="3493" w:type="dxa"/>
            <w:tcBorders>
              <w:top w:val="nil"/>
              <w:right w:val="nil"/>
            </w:tcBorders>
          </w:tcPr>
          <w:p w14:paraId="16944092">
            <w:pPr>
              <w:spacing w:line="254" w:lineRule="auto"/>
            </w:pPr>
          </w:p>
          <w:p w14:paraId="507DD09E">
            <w:pPr>
              <w:spacing w:line="255" w:lineRule="auto"/>
            </w:pPr>
          </w:p>
          <w:p w14:paraId="05B9245B">
            <w:pPr>
              <w:spacing w:line="255" w:lineRule="auto"/>
            </w:pPr>
          </w:p>
          <w:p w14:paraId="2AB45A34">
            <w:pPr>
              <w:spacing w:line="255" w:lineRule="auto"/>
            </w:pPr>
          </w:p>
          <w:p w14:paraId="63F537A2">
            <w:pPr>
              <w:spacing w:line="255" w:lineRule="auto"/>
            </w:pPr>
          </w:p>
          <w:p w14:paraId="51642B46">
            <w:pPr>
              <w:spacing w:line="255" w:lineRule="auto"/>
            </w:pPr>
          </w:p>
          <w:p w14:paraId="0ADD0C14">
            <w:pPr>
              <w:spacing w:line="255" w:lineRule="auto"/>
            </w:pPr>
          </w:p>
          <w:p w14:paraId="5D25011A">
            <w:pPr>
              <w:spacing w:line="255" w:lineRule="auto"/>
            </w:pPr>
          </w:p>
          <w:p w14:paraId="6FA8383B">
            <w:pPr>
              <w:spacing w:line="255" w:lineRule="auto"/>
            </w:pPr>
          </w:p>
          <w:p w14:paraId="23821DF4">
            <w:pPr>
              <w:spacing w:line="255" w:lineRule="auto"/>
            </w:pPr>
          </w:p>
          <w:p w14:paraId="51C3F07B">
            <w:pPr>
              <w:spacing w:before="78" w:line="220" w:lineRule="auto"/>
              <w:ind w:left="975"/>
              <w:rPr>
                <w:rFonts w:hint="eastAsia" w:ascii="宋体" w:hAnsi="宋体" w:eastAsia="宋体" w:cs="宋体"/>
                <w:sz w:val="24"/>
                <w:szCs w:val="24"/>
              </w:rPr>
            </w:pPr>
            <w:r>
              <w:rPr>
                <w:rFonts w:ascii="宋体" w:hAnsi="宋体" w:eastAsia="宋体" w:cs="宋体"/>
                <w:spacing w:val="-4"/>
                <w:sz w:val="24"/>
                <w:szCs w:val="24"/>
              </w:rPr>
              <w:t>经</w:t>
            </w:r>
            <w:r>
              <w:rPr>
                <w:rFonts w:ascii="宋体" w:hAnsi="宋体" w:eastAsia="宋体" w:cs="宋体"/>
                <w:spacing w:val="-2"/>
                <w:sz w:val="24"/>
                <w:szCs w:val="24"/>
              </w:rPr>
              <w:t>办人</w:t>
            </w:r>
          </w:p>
        </w:tc>
        <w:tc>
          <w:tcPr>
            <w:tcW w:w="5582" w:type="dxa"/>
            <w:tcBorders>
              <w:top w:val="nil"/>
              <w:left w:val="nil"/>
            </w:tcBorders>
          </w:tcPr>
          <w:p w14:paraId="64ED8C87">
            <w:pPr>
              <w:spacing w:line="260" w:lineRule="auto"/>
            </w:pPr>
          </w:p>
          <w:p w14:paraId="0834FBD3">
            <w:pPr>
              <w:spacing w:line="260" w:lineRule="auto"/>
            </w:pPr>
          </w:p>
          <w:p w14:paraId="73AD8CE4">
            <w:pPr>
              <w:spacing w:line="260" w:lineRule="auto"/>
            </w:pPr>
          </w:p>
          <w:p w14:paraId="6402EC5B">
            <w:pPr>
              <w:spacing w:line="261" w:lineRule="auto"/>
            </w:pPr>
          </w:p>
          <w:p w14:paraId="5F323DB1">
            <w:pPr>
              <w:spacing w:line="261" w:lineRule="auto"/>
            </w:pPr>
          </w:p>
          <w:p w14:paraId="257598F4">
            <w:pPr>
              <w:spacing w:line="261" w:lineRule="auto"/>
            </w:pPr>
          </w:p>
          <w:p w14:paraId="2B798077">
            <w:pPr>
              <w:spacing w:line="261" w:lineRule="auto"/>
            </w:pPr>
          </w:p>
          <w:p w14:paraId="6F421511">
            <w:pPr>
              <w:spacing w:line="261" w:lineRule="auto"/>
            </w:pPr>
          </w:p>
          <w:p w14:paraId="552F2416">
            <w:pPr>
              <w:spacing w:before="78" w:line="219" w:lineRule="auto"/>
              <w:ind w:left="2171"/>
              <w:rPr>
                <w:rFonts w:hint="eastAsia" w:ascii="宋体" w:hAnsi="宋体" w:eastAsia="宋体" w:cs="宋体"/>
                <w:sz w:val="24"/>
                <w:szCs w:val="24"/>
              </w:rPr>
            </w:pPr>
            <w:r>
              <w:rPr>
                <w:rFonts w:ascii="宋体" w:hAnsi="宋体" w:eastAsia="宋体" w:cs="宋体"/>
                <w:sz w:val="24"/>
                <w:szCs w:val="24"/>
              </w:rPr>
              <w:t>公 章</w:t>
            </w:r>
          </w:p>
          <w:p w14:paraId="0C884406">
            <w:pPr>
              <w:spacing w:before="182" w:line="220" w:lineRule="auto"/>
              <w:ind w:left="1805"/>
              <w:rPr>
                <w:rFonts w:hint="eastAsia" w:ascii="宋体" w:hAnsi="宋体" w:eastAsia="宋体" w:cs="宋体"/>
                <w:sz w:val="24"/>
                <w:szCs w:val="24"/>
              </w:rPr>
            </w:pPr>
            <w:r>
              <w:rPr>
                <w:rFonts w:ascii="宋体" w:hAnsi="宋体" w:eastAsia="宋体" w:cs="宋体"/>
                <w:spacing w:val="8"/>
                <w:sz w:val="24"/>
                <w:szCs w:val="24"/>
              </w:rPr>
              <w:t>年</w:t>
            </w:r>
            <w:r>
              <w:rPr>
                <w:rFonts w:ascii="宋体" w:hAnsi="宋体" w:eastAsia="宋体" w:cs="宋体"/>
                <w:spacing w:val="4"/>
                <w:sz w:val="24"/>
                <w:szCs w:val="24"/>
              </w:rPr>
              <w:t xml:space="preserve">   月   日</w:t>
            </w:r>
          </w:p>
        </w:tc>
      </w:tr>
    </w:tbl>
    <w:p w14:paraId="23CF773F"/>
    <w:p w14:paraId="691E6056">
      <w:pPr>
        <w:sectPr>
          <w:pgSz w:w="11907" w:h="16841"/>
          <w:pgMar w:top="1418" w:right="1134" w:bottom="1418" w:left="1701" w:header="0" w:footer="1418" w:gutter="0"/>
          <w:cols w:space="0" w:num="1"/>
        </w:sectPr>
      </w:pPr>
    </w:p>
    <w:p w14:paraId="4D62A2C6">
      <w:pPr>
        <w:spacing w:before="47" w:after="120" w:afterLines="50" w:line="221" w:lineRule="auto"/>
        <w:ind w:left="2704"/>
        <w:rPr>
          <w:rFonts w:hint="eastAsia" w:ascii="宋体" w:hAnsi="宋体" w:eastAsia="宋体" w:cs="宋体"/>
          <w:b/>
          <w:bCs/>
          <w:sz w:val="24"/>
          <w:szCs w:val="24"/>
        </w:rPr>
      </w:pPr>
      <w:r>
        <w:rPr>
          <w:rFonts w:ascii="宋体" w:hAnsi="宋体" w:eastAsia="宋体" w:cs="宋体"/>
          <w:b/>
          <w:bCs/>
          <w:spacing w:val="-1"/>
          <w:sz w:val="24"/>
          <w:szCs w:val="24"/>
        </w:rPr>
        <w:t>辐射污染防治措施</w:t>
      </w:r>
      <w:r>
        <w:rPr>
          <w:rFonts w:ascii="Times New Roman" w:hAnsi="Times New Roman" w:eastAsia="Times New Roman" w:cs="Times New Roman"/>
          <w:b/>
          <w:bCs/>
          <w:spacing w:val="-1"/>
          <w:sz w:val="24"/>
          <w:szCs w:val="24"/>
        </w:rPr>
        <w:t>“</w:t>
      </w:r>
      <w:r>
        <w:rPr>
          <w:rFonts w:ascii="宋体" w:hAnsi="宋体" w:eastAsia="宋体" w:cs="宋体"/>
          <w:b/>
          <w:bCs/>
          <w:sz w:val="24"/>
          <w:szCs w:val="24"/>
        </w:rPr>
        <w:t>三同时</w:t>
      </w:r>
      <w:r>
        <w:rPr>
          <w:rFonts w:ascii="Times New Roman" w:hAnsi="Times New Roman" w:eastAsia="Times New Roman" w:cs="Times New Roman"/>
          <w:b/>
          <w:bCs/>
          <w:sz w:val="24"/>
          <w:szCs w:val="24"/>
        </w:rPr>
        <w:t>”</w:t>
      </w:r>
      <w:r>
        <w:rPr>
          <w:rFonts w:ascii="宋体" w:hAnsi="宋体" w:eastAsia="宋体" w:cs="宋体"/>
          <w:b/>
          <w:bCs/>
          <w:sz w:val="24"/>
          <w:szCs w:val="24"/>
        </w:rPr>
        <w:t>措施一览表</w:t>
      </w:r>
    </w:p>
    <w:p w14:paraId="5C0B7678">
      <w:pPr>
        <w:spacing w:line="17" w:lineRule="exact"/>
      </w:pPr>
    </w:p>
    <w:tbl>
      <w:tblPr>
        <w:tblStyle w:val="15"/>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64"/>
        <w:gridCol w:w="5103"/>
        <w:gridCol w:w="2948"/>
        <w:gridCol w:w="453"/>
      </w:tblGrid>
      <w:tr w14:paraId="3C277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trPr>
        <w:tc>
          <w:tcPr>
            <w:tcW w:w="564" w:type="dxa"/>
            <w:vAlign w:val="center"/>
          </w:tcPr>
          <w:p w14:paraId="3ECCD30E">
            <w:pPr>
              <w:pStyle w:val="24"/>
              <w:rPr>
                <w:b/>
                <w:bCs w:val="0"/>
              </w:rPr>
            </w:pPr>
            <w:r>
              <w:rPr>
                <w:b/>
                <w:bCs w:val="0"/>
              </w:rPr>
              <w:t>项</w:t>
            </w:r>
            <w:r>
              <w:rPr>
                <w:b/>
                <w:bCs w:val="0"/>
                <w:spacing w:val="15"/>
              </w:rPr>
              <w:t>目</w:t>
            </w:r>
          </w:p>
        </w:tc>
        <w:tc>
          <w:tcPr>
            <w:tcW w:w="5103" w:type="dxa"/>
            <w:vAlign w:val="center"/>
          </w:tcPr>
          <w:p w14:paraId="52C9846B">
            <w:pPr>
              <w:pStyle w:val="24"/>
              <w:rPr>
                <w:b/>
                <w:bCs w:val="0"/>
              </w:rPr>
            </w:pPr>
            <w:r>
              <w:rPr>
                <w:b/>
                <w:bCs w:val="0"/>
                <w:spacing w:val="-16"/>
              </w:rPr>
              <w:t>“</w:t>
            </w:r>
            <w:r>
              <w:rPr>
                <w:b/>
                <w:bCs w:val="0"/>
                <w:spacing w:val="-15"/>
              </w:rPr>
              <w:t xml:space="preserve"> 三 同 时 ”措施</w:t>
            </w:r>
          </w:p>
        </w:tc>
        <w:tc>
          <w:tcPr>
            <w:tcW w:w="2948" w:type="dxa"/>
            <w:vAlign w:val="center"/>
          </w:tcPr>
          <w:p w14:paraId="17E9EFE4">
            <w:pPr>
              <w:pStyle w:val="24"/>
              <w:rPr>
                <w:b/>
                <w:bCs w:val="0"/>
              </w:rPr>
            </w:pPr>
            <w:r>
              <w:rPr>
                <w:b/>
                <w:bCs w:val="0"/>
                <w:spacing w:val="-28"/>
              </w:rPr>
              <w:t>预</w:t>
            </w:r>
            <w:r>
              <w:rPr>
                <w:b/>
                <w:bCs w:val="0"/>
                <w:spacing w:val="-27"/>
              </w:rPr>
              <w:t xml:space="preserve"> 期 效 果</w:t>
            </w:r>
          </w:p>
        </w:tc>
        <w:tc>
          <w:tcPr>
            <w:tcW w:w="0" w:type="auto"/>
            <w:vAlign w:val="center"/>
          </w:tcPr>
          <w:p w14:paraId="04A4AA57">
            <w:pPr>
              <w:pStyle w:val="24"/>
              <w:rPr>
                <w:b/>
                <w:bCs w:val="0"/>
              </w:rPr>
            </w:pPr>
            <w:r>
              <w:rPr>
                <w:rFonts w:hint="eastAsia"/>
                <w:b/>
                <w:bCs w:val="0"/>
                <w:spacing w:val="-28"/>
              </w:rPr>
              <w:t>投资（万元）</w:t>
            </w:r>
          </w:p>
        </w:tc>
      </w:tr>
      <w:tr w14:paraId="7EF3E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5" w:hRule="atLeast"/>
        </w:trPr>
        <w:tc>
          <w:tcPr>
            <w:tcW w:w="564" w:type="dxa"/>
            <w:vAlign w:val="center"/>
          </w:tcPr>
          <w:p w14:paraId="51A7E149">
            <w:pPr>
              <w:pStyle w:val="24"/>
            </w:pPr>
            <w:r>
              <w:rPr>
                <w:spacing w:val="6"/>
              </w:rPr>
              <w:t>辐射</w:t>
            </w:r>
            <w:r>
              <w:rPr>
                <w:spacing w:val="7"/>
              </w:rPr>
              <w:t>安</w:t>
            </w:r>
            <w:r>
              <w:rPr>
                <w:spacing w:val="5"/>
              </w:rPr>
              <w:t>全</w:t>
            </w:r>
            <w:r>
              <w:rPr>
                <w:spacing w:val="7"/>
              </w:rPr>
              <w:t>管</w:t>
            </w:r>
            <w:r>
              <w:rPr>
                <w:spacing w:val="5"/>
              </w:rPr>
              <w:t>理</w:t>
            </w:r>
            <w:r>
              <w:t xml:space="preserve"> </w:t>
            </w:r>
            <w:r>
              <w:rPr>
                <w:spacing w:val="-2"/>
              </w:rPr>
              <w:t>机</w:t>
            </w:r>
            <w:r>
              <w:rPr>
                <w:spacing w:val="-1"/>
              </w:rPr>
              <w:t>构</w:t>
            </w:r>
          </w:p>
        </w:tc>
        <w:tc>
          <w:tcPr>
            <w:tcW w:w="5103" w:type="dxa"/>
            <w:vAlign w:val="center"/>
          </w:tcPr>
          <w:p w14:paraId="307A7F44">
            <w:pPr>
              <w:pStyle w:val="24"/>
              <w:jc w:val="both"/>
            </w:pPr>
            <w:r>
              <w:rPr>
                <w:spacing w:val="6"/>
              </w:rPr>
              <w:t>公司拟成</w:t>
            </w:r>
            <w:r>
              <w:rPr>
                <w:spacing w:val="5"/>
              </w:rPr>
              <w:t>立</w:t>
            </w:r>
            <w:r>
              <w:rPr>
                <w:spacing w:val="3"/>
              </w:rPr>
              <w:t>辐射安全管理机构，并以文件形</w:t>
            </w:r>
            <w:r>
              <w:rPr>
                <w:spacing w:val="-2"/>
              </w:rPr>
              <w:t>式</w:t>
            </w:r>
            <w:r>
              <w:rPr>
                <w:spacing w:val="-1"/>
              </w:rPr>
              <w:t>明确各成员职责</w:t>
            </w:r>
          </w:p>
        </w:tc>
        <w:tc>
          <w:tcPr>
            <w:tcW w:w="2948" w:type="dxa"/>
            <w:vAlign w:val="center"/>
          </w:tcPr>
          <w:p w14:paraId="6671340F">
            <w:pPr>
              <w:pStyle w:val="24"/>
              <w:jc w:val="both"/>
            </w:pPr>
            <w:r>
              <w:rPr>
                <w:spacing w:val="-1"/>
              </w:rPr>
              <w:t>满足《放射</w:t>
            </w:r>
            <w:r>
              <w:t>性同位素与射线装置安</w:t>
            </w:r>
            <w:r>
              <w:rPr>
                <w:spacing w:val="-1"/>
              </w:rPr>
              <w:t>全许可</w:t>
            </w:r>
            <w:r>
              <w:t>管理办法》的要求，使用</w:t>
            </w:r>
            <w:r>
              <w:rPr>
                <w:rFonts w:hint="eastAsia"/>
              </w:rPr>
              <w:t xml:space="preserve"> </w:t>
            </w:r>
            <w:r>
              <w:rPr>
                <w:rFonts w:eastAsia="Times New Roman"/>
              </w:rPr>
              <w:t xml:space="preserve">Ⅱ </w:t>
            </w:r>
            <w:r>
              <w:rPr>
                <w:spacing w:val="-12"/>
              </w:rPr>
              <w:t>类射</w:t>
            </w:r>
            <w:r>
              <w:rPr>
                <w:spacing w:val="-6"/>
              </w:rPr>
              <w:t>线装置的单位，应设有专门的</w:t>
            </w:r>
            <w:r>
              <w:rPr>
                <w:spacing w:val="-1"/>
              </w:rPr>
              <w:t>辐射安</w:t>
            </w:r>
            <w:r>
              <w:t>全与环境保护管理机构的要</w:t>
            </w:r>
            <w:r>
              <w:rPr>
                <w:spacing w:val="-4"/>
              </w:rPr>
              <w:t>求</w:t>
            </w:r>
            <w:r>
              <w:rPr>
                <w:spacing w:val="-2"/>
              </w:rPr>
              <w:t>。</w:t>
            </w:r>
          </w:p>
        </w:tc>
        <w:tc>
          <w:tcPr>
            <w:tcW w:w="0" w:type="auto"/>
            <w:vAlign w:val="center"/>
          </w:tcPr>
          <w:p w14:paraId="1FE713EB">
            <w:pPr>
              <w:pStyle w:val="24"/>
            </w:pPr>
            <w:r>
              <w:rPr>
                <w:rFonts w:hint="eastAsia"/>
              </w:rPr>
              <w:t>/</w:t>
            </w:r>
          </w:p>
        </w:tc>
      </w:tr>
      <w:tr w14:paraId="2AAD4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trPr>
        <w:tc>
          <w:tcPr>
            <w:tcW w:w="564" w:type="dxa"/>
            <w:vMerge w:val="restart"/>
            <w:tcBorders>
              <w:bottom w:val="single" w:color="auto" w:sz="4" w:space="0"/>
            </w:tcBorders>
            <w:vAlign w:val="center"/>
          </w:tcPr>
          <w:p w14:paraId="6E77F8F4">
            <w:pPr>
              <w:pStyle w:val="24"/>
            </w:pPr>
            <w:r>
              <w:rPr>
                <w:spacing w:val="6"/>
              </w:rPr>
              <w:t>辐射</w:t>
            </w:r>
            <w:r>
              <w:rPr>
                <w:spacing w:val="7"/>
              </w:rPr>
              <w:t>安</w:t>
            </w:r>
            <w:r>
              <w:rPr>
                <w:spacing w:val="5"/>
              </w:rPr>
              <w:t>全</w:t>
            </w:r>
            <w:r>
              <w:rPr>
                <w:spacing w:val="7"/>
              </w:rPr>
              <w:t>和</w:t>
            </w:r>
            <w:r>
              <w:rPr>
                <w:spacing w:val="5"/>
              </w:rPr>
              <w:t>防</w:t>
            </w:r>
            <w:r>
              <w:t xml:space="preserve"> </w:t>
            </w:r>
            <w:r>
              <w:rPr>
                <w:spacing w:val="7"/>
              </w:rPr>
              <w:t>护</w:t>
            </w:r>
            <w:r>
              <w:rPr>
                <w:spacing w:val="5"/>
              </w:rPr>
              <w:t>措</w:t>
            </w:r>
            <w:r>
              <w:t>施</w:t>
            </w:r>
          </w:p>
        </w:tc>
        <w:tc>
          <w:tcPr>
            <w:tcW w:w="5103" w:type="dxa"/>
            <w:vAlign w:val="center"/>
          </w:tcPr>
          <w:p w14:paraId="0B969B5C">
            <w:pPr>
              <w:pStyle w:val="24"/>
              <w:jc w:val="both"/>
              <w:rPr>
                <w:rFonts w:eastAsia="Times New Roman"/>
              </w:rPr>
            </w:pPr>
            <w:r>
              <w:rPr>
                <w:rFonts w:hint="eastAsia"/>
                <w:spacing w:val="-6"/>
              </w:rPr>
              <w:t>本项目 X 射线设备曝光室尺寸为 45m(长) ×4.6m  (宽) ×6.6m (高) ，</w:t>
            </w:r>
            <w:r>
              <w:rPr>
                <w:spacing w:val="-6"/>
              </w:rPr>
              <w:t>曝光室四周墙体、线缆口和通风口防护罩采用480mm</w:t>
            </w:r>
            <w:r>
              <w:rPr>
                <w:rFonts w:hint="eastAsia"/>
                <w:spacing w:val="-6"/>
              </w:rPr>
              <w:t>砖混结构</w:t>
            </w:r>
            <w:r>
              <w:rPr>
                <w:spacing w:val="-6"/>
              </w:rPr>
              <w:t>+100mmBaSO</w:t>
            </w:r>
            <w:r>
              <w:rPr>
                <w:spacing w:val="-6"/>
                <w:vertAlign w:val="subscript"/>
              </w:rPr>
              <w:t>4</w:t>
            </w:r>
            <w:r>
              <w:rPr>
                <w:spacing w:val="-6"/>
              </w:rPr>
              <w:t>，顶部采用500mm混凝土+80mmBaSO</w:t>
            </w:r>
            <w:r>
              <w:rPr>
                <w:spacing w:val="-6"/>
                <w:vertAlign w:val="subscript"/>
              </w:rPr>
              <w:t>4</w:t>
            </w:r>
            <w:r>
              <w:rPr>
                <w:spacing w:val="-6"/>
              </w:rPr>
              <w:t>，</w:t>
            </w:r>
            <w:r>
              <w:rPr>
                <w:rFonts w:hint="eastAsia"/>
              </w:rPr>
              <w:t>维修门、进/出料门与曝光室屏蔽体缝隙均小于5mm，搭接长度不少于100mm，墙体搭接与门缝间隙不小于10倍。</w:t>
            </w:r>
          </w:p>
        </w:tc>
        <w:tc>
          <w:tcPr>
            <w:tcW w:w="2948" w:type="dxa"/>
            <w:vAlign w:val="center"/>
          </w:tcPr>
          <w:p w14:paraId="2BD2CF7F">
            <w:pPr>
              <w:pStyle w:val="24"/>
              <w:jc w:val="both"/>
            </w:pPr>
            <w:r>
              <w:rPr>
                <w:rFonts w:hint="eastAsia"/>
                <w:spacing w:val="-3"/>
              </w:rPr>
              <w:t>曝光室</w:t>
            </w:r>
            <w:r>
              <w:rPr>
                <w:spacing w:val="-3"/>
              </w:rPr>
              <w:t xml:space="preserve">表面外 </w:t>
            </w:r>
            <w:r>
              <w:rPr>
                <w:rFonts w:eastAsia="Times New Roman"/>
                <w:spacing w:val="-3"/>
              </w:rPr>
              <w:t xml:space="preserve">30cm </w:t>
            </w:r>
            <w:r>
              <w:rPr>
                <w:spacing w:val="-3"/>
              </w:rPr>
              <w:t>处辐射剂量率能</w:t>
            </w:r>
            <w:r>
              <w:rPr>
                <w:spacing w:val="-16"/>
              </w:rPr>
              <w:t>够</w:t>
            </w:r>
            <w:r>
              <w:rPr>
                <w:spacing w:val="-8"/>
              </w:rPr>
              <w:t>满足《工业探伤放射防护</w:t>
            </w:r>
            <w:r>
              <w:rPr>
                <w:rFonts w:hint="eastAsia"/>
                <w:spacing w:val="-8"/>
              </w:rPr>
              <w:t>标准</w:t>
            </w:r>
            <w:r>
              <w:rPr>
                <w:spacing w:val="-4"/>
              </w:rPr>
              <w:t>》(</w:t>
            </w:r>
            <w:r>
              <w:rPr>
                <w:rFonts w:eastAsia="Times New Roman"/>
                <w:spacing w:val="-2"/>
              </w:rPr>
              <w:t>GBZ</w:t>
            </w:r>
            <w:r>
              <w:rPr>
                <w:rFonts w:eastAsia="Times New Roman"/>
                <w:spacing w:val="-4"/>
              </w:rPr>
              <w:t xml:space="preserve"> 117-</w:t>
            </w:r>
            <w:r>
              <w:rPr>
                <w:rFonts w:eastAsia="Times New Roman"/>
                <w:spacing w:val="-2"/>
              </w:rPr>
              <w:t>20</w:t>
            </w:r>
            <w:r>
              <w:rPr>
                <w:rFonts w:hint="eastAsia"/>
                <w:spacing w:val="-2"/>
              </w:rPr>
              <w:t>22</w:t>
            </w:r>
            <w:r>
              <w:rPr>
                <w:spacing w:val="-2"/>
              </w:rPr>
              <w:t xml:space="preserve">) 及《工业 </w:t>
            </w:r>
            <w:r>
              <w:rPr>
                <w:rFonts w:eastAsia="Times New Roman"/>
                <w:spacing w:val="-2"/>
              </w:rPr>
              <w:t xml:space="preserve">X </w:t>
            </w:r>
            <w:r>
              <w:rPr>
                <w:spacing w:val="-2"/>
              </w:rPr>
              <w:t>射</w:t>
            </w:r>
            <w:r>
              <w:rPr>
                <w:spacing w:val="24"/>
              </w:rPr>
              <w:t>线</w:t>
            </w:r>
            <w:r>
              <w:rPr>
                <w:spacing w:val="22"/>
              </w:rPr>
              <w:t>探伤室辐射屏蔽规范》(</w:t>
            </w:r>
            <w:r>
              <w:rPr>
                <w:rFonts w:eastAsia="Times New Roman"/>
              </w:rPr>
              <w:t>GBZ</w:t>
            </w:r>
            <w:r>
              <w:rPr>
                <w:rFonts w:eastAsia="Times New Roman"/>
                <w:spacing w:val="22"/>
              </w:rPr>
              <w:t>/</w:t>
            </w:r>
            <w:r>
              <w:rPr>
                <w:rFonts w:eastAsia="Times New Roman"/>
              </w:rPr>
              <w:t xml:space="preserve">T </w:t>
            </w:r>
            <w:r>
              <w:rPr>
                <w:rFonts w:eastAsia="Times New Roman"/>
                <w:spacing w:val="8"/>
              </w:rPr>
              <w:t>2</w:t>
            </w:r>
            <w:r>
              <w:rPr>
                <w:rFonts w:eastAsia="Times New Roman"/>
                <w:spacing w:val="7"/>
              </w:rPr>
              <w:t>5</w:t>
            </w:r>
            <w:r>
              <w:rPr>
                <w:rFonts w:eastAsia="Times New Roman"/>
                <w:spacing w:val="4"/>
              </w:rPr>
              <w:t>0-2014</w:t>
            </w:r>
            <w:r>
              <w:rPr>
                <w:spacing w:val="4"/>
              </w:rPr>
              <w:t>)中“关注点最高周围剂量</w:t>
            </w:r>
            <w:r>
              <w:rPr>
                <w:spacing w:val="-18"/>
              </w:rPr>
              <w:t>当</w:t>
            </w:r>
            <w:r>
              <w:rPr>
                <w:spacing w:val="-16"/>
              </w:rPr>
              <w:t>量率参考控制水平不大于</w:t>
            </w:r>
            <w:r>
              <w:rPr>
                <w:rFonts w:eastAsia="Times New Roman"/>
                <w:spacing w:val="-1"/>
              </w:rPr>
              <w:t>2.</w:t>
            </w:r>
            <w:r>
              <w:rPr>
                <w:rFonts w:eastAsia="Times New Roman"/>
              </w:rPr>
              <w:t>5μSv/h</w:t>
            </w:r>
            <w:r>
              <w:t>”的要求</w:t>
            </w:r>
            <w:r>
              <w:rPr>
                <w:rFonts w:hint="eastAsia"/>
              </w:rPr>
              <w:t>。</w:t>
            </w:r>
          </w:p>
        </w:tc>
        <w:tc>
          <w:tcPr>
            <w:tcW w:w="0" w:type="auto"/>
            <w:vAlign w:val="center"/>
          </w:tcPr>
          <w:p w14:paraId="516F0205">
            <w:pPr>
              <w:pStyle w:val="24"/>
              <w:rPr>
                <w:rFonts w:eastAsia="Times New Roman"/>
              </w:rPr>
            </w:pPr>
            <w:r>
              <w:rPr>
                <w:rFonts w:eastAsia="Times New Roman"/>
              </w:rPr>
              <w:t>/</w:t>
            </w:r>
          </w:p>
        </w:tc>
      </w:tr>
      <w:tr w14:paraId="6B342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 w:hRule="atLeast"/>
        </w:trPr>
        <w:tc>
          <w:tcPr>
            <w:tcW w:w="564" w:type="dxa"/>
            <w:vMerge w:val="continue"/>
            <w:tcBorders>
              <w:top w:val="single" w:color="auto" w:sz="4" w:space="0"/>
              <w:bottom w:val="single" w:color="auto" w:sz="4" w:space="0"/>
            </w:tcBorders>
            <w:vAlign w:val="center"/>
          </w:tcPr>
          <w:p w14:paraId="5577F0D3">
            <w:pPr>
              <w:pStyle w:val="24"/>
            </w:pPr>
          </w:p>
        </w:tc>
        <w:tc>
          <w:tcPr>
            <w:tcW w:w="5103" w:type="dxa"/>
            <w:vAlign w:val="center"/>
          </w:tcPr>
          <w:p w14:paraId="598B65D2">
            <w:pPr>
              <w:pStyle w:val="24"/>
              <w:jc w:val="both"/>
            </w:pPr>
            <w:r>
              <w:rPr>
                <w:rFonts w:hint="eastAsia"/>
              </w:rPr>
              <w:t>（</w:t>
            </w:r>
            <w:r>
              <w:t>1</w:t>
            </w:r>
            <w:r>
              <w:rPr>
                <w:rFonts w:hint="eastAsia"/>
              </w:rPr>
              <w:t>）</w:t>
            </w:r>
            <w:r>
              <w:t xml:space="preserve">X </w:t>
            </w:r>
            <w:r>
              <w:rPr>
                <w:rFonts w:hint="eastAsia"/>
              </w:rPr>
              <w:t>射线实时成像检测装置操作室的操作台处拟设置钥匙开关。只有在打开操作台钥匙开关后，</w:t>
            </w:r>
            <w:r>
              <w:t xml:space="preserve">X </w:t>
            </w:r>
            <w:r>
              <w:rPr>
                <w:rFonts w:hint="eastAsia"/>
              </w:rPr>
              <w:t>射线管才能出束；钥匙只有在停机或待机状态时才能拔出。</w:t>
            </w:r>
          </w:p>
          <w:p w14:paraId="53CE19FB">
            <w:pPr>
              <w:pStyle w:val="24"/>
              <w:jc w:val="both"/>
            </w:pPr>
            <w:r>
              <w:rPr>
                <w:rFonts w:hint="eastAsia"/>
              </w:rPr>
              <w:t>（</w:t>
            </w:r>
            <w:r>
              <w:t>2</w:t>
            </w:r>
            <w:r>
              <w:rPr>
                <w:rFonts w:hint="eastAsia"/>
              </w:rPr>
              <w:t>）拟在</w:t>
            </w:r>
            <w:r>
              <w:t xml:space="preserve"> X </w:t>
            </w:r>
            <w:r>
              <w:rPr>
                <w:rFonts w:hint="eastAsia"/>
              </w:rPr>
              <w:t>射线实时成像检测装置操作室的操作台处设置</w:t>
            </w:r>
            <w:r>
              <w:t>1</w:t>
            </w:r>
            <w:r>
              <w:rPr>
                <w:rFonts w:hint="eastAsia"/>
              </w:rPr>
              <w:t>个急停按钮，在曝光室内北墙东、西侧和南墙东、西侧各设置</w:t>
            </w:r>
            <w:r>
              <w:t>1</w:t>
            </w:r>
            <w:r>
              <w:rPr>
                <w:rFonts w:hint="eastAsia"/>
              </w:rPr>
              <w:t>个急停按钮，共设置</w:t>
            </w:r>
            <w:r>
              <w:t>5</w:t>
            </w:r>
            <w:r>
              <w:rPr>
                <w:rFonts w:hint="eastAsia"/>
              </w:rPr>
              <w:t>个急停按钮。按钮带有标签，表明使用方法，确保出现紧急事故时，能立即停止照射。</w:t>
            </w:r>
          </w:p>
          <w:p w14:paraId="24C79338">
            <w:pPr>
              <w:pStyle w:val="24"/>
              <w:jc w:val="both"/>
            </w:pPr>
            <w:r>
              <w:rPr>
                <w:rFonts w:hint="eastAsia"/>
              </w:rPr>
              <w:t>（</w:t>
            </w:r>
            <w:r>
              <w:t>3</w:t>
            </w:r>
            <w:r>
              <w:rPr>
                <w:rFonts w:hint="eastAsia"/>
              </w:rPr>
              <w:t>）</w:t>
            </w:r>
            <w:r>
              <w:t xml:space="preserve"> X </w:t>
            </w:r>
            <w:r>
              <w:rPr>
                <w:rFonts w:hint="eastAsia"/>
              </w:rPr>
              <w:t>射线实时成像检测装置曝光室顶部外拟设置工作状态指示灯及声音提示装置，并与</w:t>
            </w:r>
            <w:r>
              <w:t xml:space="preserve"> X </w:t>
            </w:r>
            <w:r>
              <w:rPr>
                <w:rFonts w:hint="eastAsia"/>
              </w:rPr>
              <w:t>射线管联锁。设备工作时，警示灯开启，警告无关人员勿靠近设备或在设备附近做不必要的逗留。工作状态指示灯与该工作场所内使用的其他报警信号应有明显区别。</w:t>
            </w:r>
          </w:p>
          <w:p w14:paraId="17678770">
            <w:pPr>
              <w:pStyle w:val="24"/>
              <w:jc w:val="both"/>
            </w:pPr>
            <w:r>
              <w:rPr>
                <w:rFonts w:hint="eastAsia"/>
              </w:rPr>
              <w:t>（</w:t>
            </w:r>
            <w:r>
              <w:t>4</w:t>
            </w:r>
            <w:r>
              <w:rPr>
                <w:rFonts w:hint="eastAsia"/>
              </w:rPr>
              <w:t>）</w:t>
            </w:r>
            <w:r>
              <w:t xml:space="preserve">X </w:t>
            </w:r>
            <w:r>
              <w:rPr>
                <w:rFonts w:hint="eastAsia"/>
              </w:rPr>
              <w:t>射线实时成像检测装置西侧维修门和东侧进出料门均拟设置门机连锁装置，只有当防护门完全关闭后才能进行出束检测作业，在出束检测过程中，防护门被意外打开时，能立刻停止出束。</w:t>
            </w:r>
          </w:p>
          <w:p w14:paraId="79C3A116">
            <w:pPr>
              <w:pStyle w:val="24"/>
              <w:jc w:val="both"/>
            </w:pPr>
            <w:r>
              <w:rPr>
                <w:rFonts w:hint="eastAsia"/>
              </w:rPr>
              <w:t>（</w:t>
            </w:r>
            <w:r>
              <w:t>5</w:t>
            </w:r>
            <w:r>
              <w:rPr>
                <w:rFonts w:hint="eastAsia"/>
              </w:rPr>
              <w:t>）拟在</w:t>
            </w:r>
            <w:r>
              <w:t xml:space="preserve">X </w:t>
            </w:r>
            <w:r>
              <w:rPr>
                <w:rFonts w:hint="eastAsia"/>
              </w:rPr>
              <w:t>射线实时成像检测装置曝光室铅门和进</w:t>
            </w:r>
            <w:r>
              <w:t>/</w:t>
            </w:r>
            <w:r>
              <w:rPr>
                <w:rFonts w:hint="eastAsia"/>
              </w:rPr>
              <w:t>出料铅门表面明显位置设置“无关人员禁止靠近”的电离辐射警告标志及警示说明，提醒无关人员勿在其附近逗留。</w:t>
            </w:r>
          </w:p>
          <w:p w14:paraId="6107BB2E">
            <w:pPr>
              <w:pStyle w:val="24"/>
              <w:jc w:val="both"/>
            </w:pPr>
            <w:r>
              <w:rPr>
                <w:rFonts w:hint="eastAsia"/>
              </w:rPr>
              <w:t>（</w:t>
            </w:r>
            <w:r>
              <w:t>6</w:t>
            </w:r>
            <w:r>
              <w:rPr>
                <w:rFonts w:hint="eastAsia"/>
              </w:rPr>
              <w:t>）</w:t>
            </w:r>
            <w:r>
              <w:t xml:space="preserve">X </w:t>
            </w:r>
            <w:r>
              <w:rPr>
                <w:rFonts w:hint="eastAsia"/>
              </w:rPr>
              <w:t>射线实时成像检测装置的曝光室内拟设置</w:t>
            </w:r>
            <w:r>
              <w:t>4</w:t>
            </w:r>
            <w:r>
              <w:rPr>
                <w:rFonts w:hint="eastAsia"/>
              </w:rPr>
              <w:t>个摄像头，摄像显示装置拟设于操作室内。</w:t>
            </w:r>
          </w:p>
          <w:p w14:paraId="3199C2A3">
            <w:pPr>
              <w:pStyle w:val="24"/>
              <w:jc w:val="both"/>
            </w:pPr>
            <w:r>
              <w:rPr>
                <w:rFonts w:hint="eastAsia"/>
              </w:rPr>
              <w:t>（</w:t>
            </w:r>
            <w:r>
              <w:t>7</w:t>
            </w:r>
            <w:r>
              <w:rPr>
                <w:rFonts w:hint="eastAsia"/>
              </w:rPr>
              <w:t>）拟在</w:t>
            </w:r>
            <w:r>
              <w:t xml:space="preserve"> X </w:t>
            </w:r>
            <w:r>
              <w:rPr>
                <w:rFonts w:hint="eastAsia"/>
              </w:rPr>
              <w:t>射线实时成像检测装置的进出料口外各拟设置</w:t>
            </w:r>
            <w:r>
              <w:t>1</w:t>
            </w:r>
            <w:r>
              <w:rPr>
                <w:rFonts w:hint="eastAsia"/>
              </w:rPr>
              <w:t>个固定式场所辐射探测报警装置的探头，辐射探测报警装置的显示装置拟安装在操作室内。</w:t>
            </w:r>
          </w:p>
        </w:tc>
        <w:tc>
          <w:tcPr>
            <w:tcW w:w="2948" w:type="dxa"/>
            <w:vAlign w:val="center"/>
          </w:tcPr>
          <w:p w14:paraId="72CCAC85">
            <w:pPr>
              <w:pStyle w:val="24"/>
            </w:pPr>
            <w:r>
              <w:rPr>
                <w:spacing w:val="7"/>
              </w:rPr>
              <w:t>满</w:t>
            </w:r>
            <w:r>
              <w:rPr>
                <w:spacing w:val="6"/>
              </w:rPr>
              <w:t>足《工业探伤放射防护</w:t>
            </w:r>
            <w:r>
              <w:rPr>
                <w:rFonts w:hint="eastAsia"/>
                <w:spacing w:val="6"/>
              </w:rPr>
              <w:t>标准</w:t>
            </w:r>
            <w:r>
              <w:rPr>
                <w:spacing w:val="5"/>
              </w:rPr>
              <w:t>》(</w:t>
            </w:r>
            <w:r>
              <w:rPr>
                <w:rFonts w:eastAsia="Times New Roman"/>
              </w:rPr>
              <w:t>GBZ</w:t>
            </w:r>
            <w:r>
              <w:rPr>
                <w:rFonts w:eastAsia="Times New Roman"/>
                <w:spacing w:val="5"/>
              </w:rPr>
              <w:t xml:space="preserve"> 117-20</w:t>
            </w:r>
            <w:r>
              <w:rPr>
                <w:rFonts w:hint="eastAsia"/>
                <w:spacing w:val="5"/>
              </w:rPr>
              <w:t>22</w:t>
            </w:r>
            <w:r>
              <w:rPr>
                <w:spacing w:val="5"/>
              </w:rPr>
              <w:t>)中的要</w:t>
            </w:r>
            <w:r>
              <w:rPr>
                <w:spacing w:val="2"/>
              </w:rPr>
              <w:t>求</w:t>
            </w:r>
          </w:p>
        </w:tc>
        <w:tc>
          <w:tcPr>
            <w:tcW w:w="0" w:type="auto"/>
            <w:vAlign w:val="center"/>
          </w:tcPr>
          <w:p w14:paraId="31036B32">
            <w:pPr>
              <w:pStyle w:val="24"/>
              <w:rPr>
                <w:color w:val="auto"/>
                <w:highlight w:val="darkCyan"/>
              </w:rPr>
            </w:pPr>
            <w:r>
              <w:rPr>
                <w:rFonts w:hint="eastAsia"/>
              </w:rPr>
              <w:t>10.0</w:t>
            </w:r>
          </w:p>
        </w:tc>
      </w:tr>
      <w:tr w14:paraId="6920E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64" w:type="dxa"/>
            <w:vMerge w:val="restart"/>
            <w:tcBorders>
              <w:top w:val="single" w:color="auto" w:sz="4" w:space="0"/>
              <w:bottom w:val="single" w:color="auto" w:sz="4" w:space="0"/>
            </w:tcBorders>
            <w:vAlign w:val="center"/>
          </w:tcPr>
          <w:p w14:paraId="49DC1951">
            <w:pPr>
              <w:pStyle w:val="24"/>
            </w:pPr>
            <w:r>
              <w:rPr>
                <w:spacing w:val="5"/>
              </w:rPr>
              <w:t>人</w:t>
            </w:r>
            <w:r>
              <w:rPr>
                <w:spacing w:val="4"/>
              </w:rPr>
              <w:t>员</w:t>
            </w:r>
            <w:r>
              <w:rPr>
                <w:spacing w:val="-2"/>
              </w:rPr>
              <w:t>配</w:t>
            </w:r>
            <w:r>
              <w:rPr>
                <w:spacing w:val="-1"/>
              </w:rPr>
              <w:t>备</w:t>
            </w:r>
          </w:p>
        </w:tc>
        <w:tc>
          <w:tcPr>
            <w:tcW w:w="5103" w:type="dxa"/>
            <w:vAlign w:val="center"/>
          </w:tcPr>
          <w:p w14:paraId="1BC40A2D">
            <w:pPr>
              <w:pStyle w:val="24"/>
              <w:jc w:val="both"/>
              <w:rPr>
                <w:spacing w:val="-18"/>
              </w:rPr>
            </w:pPr>
            <w:r>
              <w:rPr>
                <w:spacing w:val="-18"/>
              </w:rPr>
              <w:t xml:space="preserve">公司拟为本项目配备的 </w:t>
            </w:r>
            <w:r>
              <w:rPr>
                <w:rFonts w:hint="eastAsia"/>
                <w:spacing w:val="-18"/>
              </w:rPr>
              <w:t xml:space="preserve">2 </w:t>
            </w:r>
            <w:r>
              <w:rPr>
                <w:spacing w:val="-18"/>
              </w:rPr>
              <w:t>名辐射工作人员， 辐射工作人员均应取得辐射安全培训合格证 书或通过生态环境部培训平台上的线上考核</w:t>
            </w:r>
          </w:p>
        </w:tc>
        <w:tc>
          <w:tcPr>
            <w:tcW w:w="2948" w:type="dxa"/>
            <w:vMerge w:val="restart"/>
            <w:tcBorders>
              <w:bottom w:val="nil"/>
            </w:tcBorders>
            <w:vAlign w:val="center"/>
          </w:tcPr>
          <w:p w14:paraId="4AC71A58">
            <w:pPr>
              <w:pStyle w:val="24"/>
              <w:jc w:val="both"/>
            </w:pPr>
            <w:r>
              <w:rPr>
                <w:spacing w:val="-6"/>
              </w:rPr>
              <w:t>满足</w:t>
            </w:r>
            <w:r>
              <w:rPr>
                <w:spacing w:val="-5"/>
              </w:rPr>
              <w:t>《</w:t>
            </w:r>
            <w:r>
              <w:rPr>
                <w:spacing w:val="-3"/>
              </w:rPr>
              <w:t>放射性同位素与射线装置安全</w:t>
            </w:r>
            <w:r>
              <w:rPr>
                <w:spacing w:val="-6"/>
              </w:rPr>
              <w:t>和防护</w:t>
            </w:r>
            <w:r>
              <w:rPr>
                <w:spacing w:val="-3"/>
              </w:rPr>
              <w:t>条例》、《放射性同位素与射</w:t>
            </w:r>
            <w:r>
              <w:rPr>
                <w:spacing w:val="-6"/>
              </w:rPr>
              <w:t>线装置</w:t>
            </w:r>
            <w:r>
              <w:rPr>
                <w:spacing w:val="-3"/>
              </w:rPr>
              <w:t>安全许可管理办法》和《放射</w:t>
            </w:r>
            <w:r>
              <w:rPr>
                <w:spacing w:val="18"/>
              </w:rPr>
              <w:t>性</w:t>
            </w:r>
            <w:r>
              <w:rPr>
                <w:spacing w:val="11"/>
              </w:rPr>
              <w:t>同</w:t>
            </w:r>
            <w:r>
              <w:rPr>
                <w:spacing w:val="9"/>
              </w:rPr>
              <w:t>位素与射线装置安全和防护管</w:t>
            </w:r>
            <w:r>
              <w:rPr>
                <w:spacing w:val="-6"/>
              </w:rPr>
              <w:t>理办法</w:t>
            </w:r>
            <w:r>
              <w:rPr>
                <w:spacing w:val="-3"/>
              </w:rPr>
              <w:t>》中关于人员培训、个人剂量</w:t>
            </w:r>
            <w:r>
              <w:rPr>
                <w:spacing w:val="-1"/>
              </w:rPr>
              <w:t>监测及职</w:t>
            </w:r>
            <w:r>
              <w:t>业健康体检的相关要求。</w:t>
            </w:r>
          </w:p>
        </w:tc>
        <w:tc>
          <w:tcPr>
            <w:tcW w:w="0" w:type="auto"/>
            <w:vMerge w:val="restart"/>
            <w:tcBorders>
              <w:bottom w:val="nil"/>
            </w:tcBorders>
            <w:vAlign w:val="center"/>
          </w:tcPr>
          <w:p w14:paraId="534A6C12">
            <w:pPr>
              <w:pStyle w:val="24"/>
              <w:rPr>
                <w:highlight w:val="cyan"/>
              </w:rPr>
            </w:pPr>
            <w:r>
              <w:rPr>
                <w:rFonts w:hint="eastAsia"/>
                <w:spacing w:val="-4"/>
                <w:position w:val="7"/>
              </w:rPr>
              <w:t>定期投入</w:t>
            </w:r>
          </w:p>
        </w:tc>
      </w:tr>
      <w:tr w14:paraId="2236A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3" w:hRule="atLeast"/>
        </w:trPr>
        <w:tc>
          <w:tcPr>
            <w:tcW w:w="564" w:type="dxa"/>
            <w:vMerge w:val="continue"/>
            <w:tcBorders>
              <w:top w:val="single" w:color="auto" w:sz="4" w:space="0"/>
              <w:bottom w:val="single" w:color="auto" w:sz="4" w:space="0"/>
            </w:tcBorders>
            <w:vAlign w:val="center"/>
          </w:tcPr>
          <w:p w14:paraId="2D65B85D">
            <w:pPr>
              <w:pStyle w:val="24"/>
            </w:pPr>
          </w:p>
        </w:tc>
        <w:tc>
          <w:tcPr>
            <w:tcW w:w="5103" w:type="dxa"/>
            <w:vAlign w:val="center"/>
          </w:tcPr>
          <w:p w14:paraId="325E9410">
            <w:pPr>
              <w:pStyle w:val="24"/>
              <w:jc w:val="both"/>
              <w:rPr>
                <w:spacing w:val="-18"/>
              </w:rPr>
            </w:pPr>
            <w:r>
              <w:rPr>
                <w:spacing w:val="-18"/>
              </w:rPr>
              <w:t xml:space="preserve">公司拟委托有资质的单位对 </w:t>
            </w:r>
            <w:r>
              <w:rPr>
                <w:rFonts w:hint="eastAsia"/>
                <w:spacing w:val="-18"/>
              </w:rPr>
              <w:t>2</w:t>
            </w:r>
            <w:r>
              <w:rPr>
                <w:spacing w:val="-18"/>
              </w:rPr>
              <w:t xml:space="preserve"> 名辐射工作 人员开展个人剂量检测</w:t>
            </w:r>
            <w:r>
              <w:rPr>
                <w:rFonts w:hint="eastAsia"/>
                <w:spacing w:val="-18"/>
              </w:rPr>
              <w:t xml:space="preserve"> </w:t>
            </w:r>
            <w:r>
              <w:rPr>
                <w:spacing w:val="-18"/>
              </w:rPr>
              <w:t>(不超过三个月/  次)， 并按相关要求建立辐射工作人员个人 剂量监测档案</w:t>
            </w:r>
          </w:p>
        </w:tc>
        <w:tc>
          <w:tcPr>
            <w:tcW w:w="2948" w:type="dxa"/>
            <w:vMerge w:val="continue"/>
            <w:tcBorders>
              <w:top w:val="nil"/>
              <w:bottom w:val="nil"/>
            </w:tcBorders>
            <w:vAlign w:val="center"/>
          </w:tcPr>
          <w:p w14:paraId="71630034">
            <w:pPr>
              <w:pStyle w:val="24"/>
              <w:jc w:val="both"/>
            </w:pPr>
          </w:p>
        </w:tc>
        <w:tc>
          <w:tcPr>
            <w:tcW w:w="0" w:type="auto"/>
            <w:vMerge w:val="continue"/>
            <w:tcBorders>
              <w:top w:val="nil"/>
              <w:bottom w:val="nil"/>
            </w:tcBorders>
            <w:vAlign w:val="center"/>
          </w:tcPr>
          <w:p w14:paraId="7E0BB549">
            <w:pPr>
              <w:pStyle w:val="24"/>
              <w:rPr>
                <w:highlight w:val="cyan"/>
              </w:rPr>
            </w:pPr>
          </w:p>
        </w:tc>
      </w:tr>
      <w:tr w14:paraId="517FC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564" w:type="dxa"/>
            <w:vMerge w:val="continue"/>
            <w:tcBorders>
              <w:top w:val="single" w:color="auto" w:sz="4" w:space="0"/>
              <w:bottom w:val="single" w:color="auto" w:sz="4" w:space="0"/>
            </w:tcBorders>
            <w:vAlign w:val="center"/>
          </w:tcPr>
          <w:p w14:paraId="26E55C9D">
            <w:pPr>
              <w:pStyle w:val="24"/>
            </w:pPr>
          </w:p>
        </w:tc>
        <w:tc>
          <w:tcPr>
            <w:tcW w:w="5103" w:type="dxa"/>
            <w:vAlign w:val="center"/>
          </w:tcPr>
          <w:p w14:paraId="481EA7EF">
            <w:pPr>
              <w:pStyle w:val="24"/>
              <w:jc w:val="both"/>
              <w:rPr>
                <w:spacing w:val="-18"/>
              </w:rPr>
            </w:pPr>
            <w:r>
              <w:rPr>
                <w:spacing w:val="-18"/>
              </w:rPr>
              <w:t xml:space="preserve">公司拟定期组织 </w:t>
            </w:r>
            <w:r>
              <w:rPr>
                <w:rFonts w:hint="eastAsia"/>
                <w:spacing w:val="-18"/>
              </w:rPr>
              <w:t>2</w:t>
            </w:r>
            <w:r>
              <w:rPr>
                <w:spacing w:val="-18"/>
              </w:rPr>
              <w:t xml:space="preserve"> 名辐射工作人员进行职业健康体检(体检周期为 1~2 年/次)， 并按相 关要求建立辐射工作人员职业健康监护档案</w:t>
            </w:r>
          </w:p>
        </w:tc>
        <w:tc>
          <w:tcPr>
            <w:tcW w:w="2948" w:type="dxa"/>
            <w:vMerge w:val="continue"/>
            <w:tcBorders>
              <w:top w:val="nil"/>
            </w:tcBorders>
            <w:vAlign w:val="center"/>
          </w:tcPr>
          <w:p w14:paraId="5B1D5ECE">
            <w:pPr>
              <w:pStyle w:val="24"/>
              <w:jc w:val="both"/>
            </w:pPr>
          </w:p>
        </w:tc>
        <w:tc>
          <w:tcPr>
            <w:tcW w:w="0" w:type="auto"/>
            <w:vMerge w:val="continue"/>
            <w:tcBorders>
              <w:top w:val="nil"/>
            </w:tcBorders>
            <w:vAlign w:val="center"/>
          </w:tcPr>
          <w:p w14:paraId="10CADCA8">
            <w:pPr>
              <w:pStyle w:val="24"/>
              <w:rPr>
                <w:highlight w:val="cyan"/>
              </w:rPr>
            </w:pPr>
          </w:p>
        </w:tc>
      </w:tr>
      <w:tr w14:paraId="35401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564" w:type="dxa"/>
            <w:vMerge w:val="restart"/>
            <w:tcBorders>
              <w:top w:val="single" w:color="auto" w:sz="4" w:space="0"/>
              <w:bottom w:val="single" w:color="auto" w:sz="4" w:space="0"/>
            </w:tcBorders>
            <w:vAlign w:val="center"/>
          </w:tcPr>
          <w:p w14:paraId="2E28F0A9">
            <w:pPr>
              <w:pStyle w:val="24"/>
            </w:pPr>
            <w:r>
              <w:rPr>
                <w:spacing w:val="5"/>
              </w:rPr>
              <w:t>监测仪器和防</w:t>
            </w:r>
            <w:r>
              <w:t xml:space="preserve"> </w:t>
            </w:r>
            <w:r>
              <w:rPr>
                <w:spacing w:val="5"/>
              </w:rPr>
              <w:t>护用</w:t>
            </w:r>
            <w:r>
              <w:t>品</w:t>
            </w:r>
          </w:p>
        </w:tc>
        <w:tc>
          <w:tcPr>
            <w:tcW w:w="5103" w:type="dxa"/>
            <w:vAlign w:val="center"/>
          </w:tcPr>
          <w:p w14:paraId="73A54780">
            <w:pPr>
              <w:pStyle w:val="24"/>
            </w:pPr>
            <w:r>
              <w:rPr>
                <w:spacing w:val="-6"/>
              </w:rPr>
              <w:t>拟配</w:t>
            </w:r>
            <w:r>
              <w:rPr>
                <w:spacing w:val="-5"/>
              </w:rPr>
              <w:t>置</w:t>
            </w:r>
            <w:r>
              <w:rPr>
                <w:spacing w:val="-3"/>
              </w:rPr>
              <w:t xml:space="preserve"> </w:t>
            </w:r>
            <w:r>
              <w:rPr>
                <w:rFonts w:eastAsia="Times New Roman"/>
                <w:spacing w:val="-3"/>
              </w:rPr>
              <w:t xml:space="preserve">1 </w:t>
            </w:r>
            <w:r>
              <w:rPr>
                <w:spacing w:val="-3"/>
              </w:rPr>
              <w:t>台环境辐射剂量巡测仪</w:t>
            </w:r>
          </w:p>
        </w:tc>
        <w:tc>
          <w:tcPr>
            <w:tcW w:w="2948" w:type="dxa"/>
            <w:vMerge w:val="restart"/>
            <w:tcBorders>
              <w:bottom w:val="single" w:color="auto" w:sz="4" w:space="0"/>
            </w:tcBorders>
            <w:vAlign w:val="center"/>
          </w:tcPr>
          <w:p w14:paraId="26B4FDFA">
            <w:pPr>
              <w:pStyle w:val="24"/>
              <w:jc w:val="both"/>
            </w:pPr>
            <w:r>
              <w:rPr>
                <w:spacing w:val="4"/>
              </w:rPr>
              <w:t>满足</w:t>
            </w:r>
            <w:r>
              <w:rPr>
                <w:spacing w:val="3"/>
              </w:rPr>
              <w:t>《</w:t>
            </w:r>
            <w:r>
              <w:rPr>
                <w:spacing w:val="2"/>
              </w:rPr>
              <w:t>放射性同位素与射线装置安</w:t>
            </w:r>
            <w:r>
              <w:t xml:space="preserve"> </w:t>
            </w:r>
            <w:r>
              <w:rPr>
                <w:spacing w:val="-20"/>
              </w:rPr>
              <w:t>全</w:t>
            </w:r>
            <w:r>
              <w:rPr>
                <w:spacing w:val="-10"/>
              </w:rPr>
              <w:t>许可管理办法》，本项目应配备与</w:t>
            </w:r>
            <w:r>
              <w:rPr>
                <w:spacing w:val="4"/>
              </w:rPr>
              <w:t>辐射类型和</w:t>
            </w:r>
            <w:r>
              <w:rPr>
                <w:spacing w:val="2"/>
              </w:rPr>
              <w:t>辐射水平相适应的防护</w:t>
            </w:r>
            <w:r>
              <w:rPr>
                <w:spacing w:val="4"/>
              </w:rPr>
              <w:t>用品和监测</w:t>
            </w:r>
            <w:r>
              <w:rPr>
                <w:spacing w:val="2"/>
              </w:rPr>
              <w:t>仪器，包括个人剂量报</w:t>
            </w:r>
            <w:r>
              <w:rPr>
                <w:spacing w:val="4"/>
              </w:rPr>
              <w:t>警仪、辐射</w:t>
            </w:r>
            <w:r>
              <w:rPr>
                <w:spacing w:val="2"/>
              </w:rPr>
              <w:t>剂量巡测仪等仪器的要</w:t>
            </w:r>
            <w:r>
              <w:rPr>
                <w:rFonts w:hint="eastAsia"/>
                <w:spacing w:val="2"/>
              </w:rPr>
              <w:t>求</w:t>
            </w:r>
          </w:p>
        </w:tc>
        <w:tc>
          <w:tcPr>
            <w:tcW w:w="0" w:type="auto"/>
            <w:vAlign w:val="center"/>
          </w:tcPr>
          <w:p w14:paraId="088018B2">
            <w:pPr>
              <w:pStyle w:val="24"/>
              <w:rPr>
                <w:rFonts w:eastAsia="Times New Roman"/>
                <w:highlight w:val="cyan"/>
              </w:rPr>
            </w:pPr>
            <w:r>
              <w:rPr>
                <w:rFonts w:eastAsia="Times New Roman"/>
                <w:spacing w:val="-10"/>
              </w:rPr>
              <w:t>1</w:t>
            </w:r>
            <w:r>
              <w:rPr>
                <w:rFonts w:eastAsia="Times New Roman"/>
                <w:spacing w:val="-7"/>
              </w:rPr>
              <w:t>.0</w:t>
            </w:r>
          </w:p>
        </w:tc>
      </w:tr>
      <w:tr w14:paraId="44579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564" w:type="dxa"/>
            <w:vMerge w:val="continue"/>
            <w:tcBorders>
              <w:top w:val="single" w:color="auto" w:sz="4" w:space="0"/>
              <w:bottom w:val="single" w:color="auto" w:sz="4" w:space="0"/>
            </w:tcBorders>
            <w:vAlign w:val="center"/>
          </w:tcPr>
          <w:p w14:paraId="762497AC">
            <w:pPr>
              <w:pStyle w:val="24"/>
            </w:pPr>
          </w:p>
        </w:tc>
        <w:tc>
          <w:tcPr>
            <w:tcW w:w="5103" w:type="dxa"/>
            <w:vAlign w:val="center"/>
          </w:tcPr>
          <w:p w14:paraId="74DB8AAE">
            <w:pPr>
              <w:pStyle w:val="24"/>
            </w:pPr>
            <w:r>
              <w:rPr>
                <w:spacing w:val="-18"/>
              </w:rPr>
              <w:t>拟</w:t>
            </w:r>
            <w:r>
              <w:rPr>
                <w:spacing w:val="-10"/>
              </w:rPr>
              <w:t>配</w:t>
            </w:r>
            <w:r>
              <w:rPr>
                <w:spacing w:val="-9"/>
              </w:rPr>
              <w:t xml:space="preserve">置 </w:t>
            </w:r>
            <w:r>
              <w:rPr>
                <w:rFonts w:hint="eastAsia"/>
                <w:spacing w:val="-9"/>
              </w:rPr>
              <w:t>2</w:t>
            </w:r>
            <w:r>
              <w:rPr>
                <w:spacing w:val="-9"/>
              </w:rPr>
              <w:t xml:space="preserve"> 台个人剂量报警仪</w:t>
            </w:r>
          </w:p>
        </w:tc>
        <w:tc>
          <w:tcPr>
            <w:tcW w:w="2948" w:type="dxa"/>
            <w:vMerge w:val="continue"/>
            <w:tcBorders>
              <w:top w:val="single" w:color="auto" w:sz="4" w:space="0"/>
              <w:bottom w:val="single" w:color="auto" w:sz="4" w:space="0"/>
            </w:tcBorders>
            <w:vAlign w:val="center"/>
          </w:tcPr>
          <w:p w14:paraId="25643650">
            <w:pPr>
              <w:pStyle w:val="24"/>
              <w:jc w:val="both"/>
            </w:pPr>
          </w:p>
        </w:tc>
        <w:tc>
          <w:tcPr>
            <w:tcW w:w="0" w:type="auto"/>
            <w:vAlign w:val="center"/>
          </w:tcPr>
          <w:p w14:paraId="108473B5">
            <w:pPr>
              <w:pStyle w:val="24"/>
              <w:rPr>
                <w:rFonts w:eastAsia="Times New Roman"/>
                <w:highlight w:val="cyan"/>
              </w:rPr>
            </w:pPr>
            <w:r>
              <w:rPr>
                <w:rFonts w:hint="eastAsia"/>
                <w:spacing w:val="-5"/>
              </w:rPr>
              <w:t>2.</w:t>
            </w:r>
            <w:r>
              <w:rPr>
                <w:rFonts w:eastAsia="Times New Roman"/>
                <w:spacing w:val="-3"/>
              </w:rPr>
              <w:t>0</w:t>
            </w:r>
          </w:p>
        </w:tc>
      </w:tr>
      <w:tr w14:paraId="06752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564" w:type="dxa"/>
            <w:tcBorders>
              <w:top w:val="single" w:color="auto" w:sz="4" w:space="0"/>
              <w:bottom w:val="single" w:color="auto" w:sz="4" w:space="0"/>
            </w:tcBorders>
            <w:vAlign w:val="center"/>
          </w:tcPr>
          <w:p w14:paraId="6F1542FE">
            <w:pPr>
              <w:pStyle w:val="24"/>
            </w:pPr>
            <w:r>
              <w:t>辐射安全管理 制度</w:t>
            </w:r>
          </w:p>
        </w:tc>
        <w:tc>
          <w:tcPr>
            <w:tcW w:w="5103" w:type="dxa"/>
            <w:vAlign w:val="center"/>
          </w:tcPr>
          <w:p w14:paraId="1DB7F8DF">
            <w:pPr>
              <w:pStyle w:val="24"/>
              <w:jc w:val="both"/>
              <w:rPr>
                <w:spacing w:val="-18"/>
              </w:rPr>
            </w:pPr>
            <w:r>
              <w:rPr>
                <w:spacing w:val="-2"/>
              </w:rPr>
              <w:t>公司拟根据相关标准要求，制定一系列</w:t>
            </w:r>
            <w:r>
              <w:rPr>
                <w:spacing w:val="-1"/>
              </w:rPr>
              <w:t>辐</w:t>
            </w:r>
            <w:r>
              <w:t>射</w:t>
            </w:r>
            <w:r>
              <w:rPr>
                <w:spacing w:val="-12"/>
              </w:rPr>
              <w:t>安全</w:t>
            </w:r>
            <w:r>
              <w:rPr>
                <w:spacing w:val="-6"/>
              </w:rPr>
              <w:t>管理制度，包括操作规程、岗位职责、</w:t>
            </w:r>
            <w:r>
              <w:rPr>
                <w:spacing w:val="-2"/>
              </w:rPr>
              <w:t>辐射防护和安全保</w:t>
            </w:r>
            <w:r>
              <w:rPr>
                <w:spacing w:val="-1"/>
              </w:rPr>
              <w:t>卫制度、设备检修维护制</w:t>
            </w:r>
            <w:r>
              <w:rPr>
                <w:spacing w:val="-2"/>
              </w:rPr>
              <w:t>度、人员培训计划</w:t>
            </w:r>
            <w:r>
              <w:rPr>
                <w:spacing w:val="-1"/>
              </w:rPr>
              <w:t>、监测方案、射线装置使</w:t>
            </w:r>
            <w:r>
              <w:rPr>
                <w:spacing w:val="-2"/>
              </w:rPr>
              <w:t>用登记、台账管理</w:t>
            </w:r>
            <w:r>
              <w:rPr>
                <w:spacing w:val="-1"/>
              </w:rPr>
              <w:t>制度以及辐射事故应急方案等制</w:t>
            </w:r>
            <w:r>
              <w:t>度</w:t>
            </w:r>
          </w:p>
        </w:tc>
        <w:tc>
          <w:tcPr>
            <w:tcW w:w="2948" w:type="dxa"/>
            <w:tcBorders>
              <w:top w:val="single" w:color="auto" w:sz="4" w:space="0"/>
            </w:tcBorders>
            <w:vAlign w:val="center"/>
          </w:tcPr>
          <w:p w14:paraId="35D33A62">
            <w:pPr>
              <w:pStyle w:val="24"/>
              <w:jc w:val="both"/>
            </w:pPr>
            <w:r>
              <w:rPr>
                <w:spacing w:val="3"/>
              </w:rPr>
              <w:t>满足《放射性同位素与射线装置安</w:t>
            </w:r>
            <w:r>
              <w:t xml:space="preserve"> </w:t>
            </w:r>
            <w:r>
              <w:rPr>
                <w:spacing w:val="-13"/>
              </w:rPr>
              <w:t>全</w:t>
            </w:r>
            <w:r>
              <w:rPr>
                <w:spacing w:val="-10"/>
              </w:rPr>
              <w:t>和防护条例》、《放射性同位素与</w:t>
            </w:r>
            <w:r>
              <w:t xml:space="preserve"> </w:t>
            </w:r>
            <w:r>
              <w:rPr>
                <w:spacing w:val="3"/>
              </w:rPr>
              <w:t>射线装置安全许可管理办法》</w:t>
            </w:r>
            <w:r>
              <w:rPr>
                <w:spacing w:val="2"/>
              </w:rPr>
              <w:t>和</w:t>
            </w:r>
            <w:r>
              <w:rPr>
                <w:spacing w:val="4"/>
              </w:rPr>
              <w:t>《</w:t>
            </w:r>
            <w:r>
              <w:rPr>
                <w:spacing w:val="3"/>
              </w:rPr>
              <w:t>放射性同位素与射线装置安全和</w:t>
            </w:r>
            <w:r>
              <w:t xml:space="preserve"> </w:t>
            </w:r>
            <w:r>
              <w:rPr>
                <w:spacing w:val="-18"/>
              </w:rPr>
              <w:t>防</w:t>
            </w:r>
            <w:r>
              <w:rPr>
                <w:spacing w:val="-11"/>
              </w:rPr>
              <w:t>护</w:t>
            </w:r>
            <w:r>
              <w:rPr>
                <w:spacing w:val="-9"/>
              </w:rPr>
              <w:t>管理办法》中的有关要求，使</w:t>
            </w:r>
            <w:r>
              <w:rPr>
                <w:spacing w:val="22"/>
              </w:rPr>
              <w:t>用</w:t>
            </w:r>
            <w:r>
              <w:rPr>
                <w:spacing w:val="18"/>
              </w:rPr>
              <w:t>射线装置的单位要健全操作规</w:t>
            </w:r>
            <w:r>
              <w:rPr>
                <w:spacing w:val="-13"/>
              </w:rPr>
              <w:t>程</w:t>
            </w:r>
            <w:r>
              <w:rPr>
                <w:spacing w:val="-10"/>
              </w:rPr>
              <w:t>、岗位职责、辐射防护和安全保卫</w:t>
            </w:r>
            <w:r>
              <w:rPr>
                <w:spacing w:val="-13"/>
              </w:rPr>
              <w:t>制</w:t>
            </w:r>
            <w:r>
              <w:rPr>
                <w:spacing w:val="-10"/>
              </w:rPr>
              <w:t>、设备检修维护制度、台账登记制</w:t>
            </w:r>
            <w:r>
              <w:rPr>
                <w:spacing w:val="-13"/>
              </w:rPr>
              <w:t>度</w:t>
            </w:r>
            <w:r>
              <w:rPr>
                <w:spacing w:val="-10"/>
              </w:rPr>
              <w:t>、人员培训计划、监测方案等，并</w:t>
            </w:r>
            <w:r>
              <w:rPr>
                <w:spacing w:val="-1"/>
              </w:rPr>
              <w:t>有完善的</w:t>
            </w:r>
            <w:r>
              <w:t>辐射事故应急方案</w:t>
            </w:r>
            <w:r>
              <w:rPr>
                <w:rFonts w:hint="eastAsia"/>
              </w:rPr>
              <w:t>。</w:t>
            </w:r>
          </w:p>
        </w:tc>
        <w:tc>
          <w:tcPr>
            <w:tcW w:w="0" w:type="auto"/>
            <w:vAlign w:val="center"/>
          </w:tcPr>
          <w:p w14:paraId="0373A45C">
            <w:pPr>
              <w:pStyle w:val="24"/>
              <w:rPr>
                <w:spacing w:val="-5"/>
              </w:rPr>
            </w:pPr>
            <w:r>
              <w:rPr>
                <w:rFonts w:hint="eastAsia"/>
                <w:spacing w:val="-5"/>
              </w:rPr>
              <w:t>/</w:t>
            </w:r>
          </w:p>
        </w:tc>
      </w:tr>
    </w:tbl>
    <w:p w14:paraId="41F0541C">
      <w:pPr>
        <w:spacing w:before="37" w:line="220" w:lineRule="auto"/>
        <w:ind w:left="110"/>
      </w:pPr>
      <w:r>
        <w:rPr>
          <w:rFonts w:ascii="宋体" w:hAnsi="宋体" w:eastAsia="宋体" w:cs="宋体"/>
          <w:spacing w:val="-6"/>
          <w:sz w:val="24"/>
          <w:szCs w:val="24"/>
        </w:rPr>
        <w:t>以上措</w:t>
      </w:r>
      <w:r>
        <w:rPr>
          <w:rFonts w:ascii="宋体" w:hAnsi="宋体" w:eastAsia="宋体" w:cs="宋体"/>
          <w:spacing w:val="-3"/>
          <w:sz w:val="24"/>
          <w:szCs w:val="24"/>
        </w:rPr>
        <w:t>施必须在项目运行前落实。</w:t>
      </w:r>
    </w:p>
    <w:sectPr>
      <w:pgSz w:w="11907" w:h="16839"/>
      <w:pgMar w:top="1418" w:right="1134" w:bottom="1418" w:left="1701" w:header="0" w:footer="851"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5E50E">
    <w:pPr>
      <w:spacing w:line="219" w:lineRule="auto"/>
      <w:ind w:left="3341"/>
      <w:rPr>
        <w:rFonts w:hint="eastAsia" w:ascii="宋体" w:hAnsi="宋体" w:eastAsia="宋体" w:cs="宋体"/>
        <w:sz w:val="30"/>
        <w:szCs w:val="30"/>
      </w:rPr>
    </w:pPr>
    <w:r>
      <w:rPr>
        <w:rFonts w:ascii="宋体" w:hAnsi="宋体" w:eastAsia="宋体" w:cs="宋体"/>
        <w:spacing w:val="-1"/>
        <w:sz w:val="30"/>
        <w:szCs w:val="30"/>
        <w14:textOutline w14:w="5448" w14:cap="flat" w14:cmpd="sng" w14:algn="ctr">
          <w14:solidFill>
            <w14:srgbClr w14:val="000000"/>
          </w14:solidFill>
          <w14:prstDash w14:val="solid"/>
          <w14:miter w14:val="0"/>
        </w14:textOutline>
      </w:rPr>
      <w:t>环境保护部监</w:t>
    </w:r>
    <w:r>
      <w:rPr>
        <w:rFonts w:ascii="宋体" w:hAnsi="宋体" w:eastAsia="宋体" w:cs="宋体"/>
        <w:sz w:val="30"/>
        <w:szCs w:val="30"/>
        <w14:textOutline w14:w="5448" w14:cap="flat" w14:cmpd="sng" w14:algn="ctr">
          <w14:solidFill>
            <w14:srgbClr w14:val="000000"/>
          </w14:solidFill>
          <w14:prstDash w14:val="solid"/>
          <w14:miter w14:val="0"/>
        </w14:textOutline>
      </w:rPr>
      <w:t>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8E855">
    <w:pPr>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D47AB">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fldChar w:fldCharType="begin"/>
    </w:r>
    <w:r>
      <w:rPr>
        <w:rFonts w:ascii="Times New Roman" w:hAnsi="Times New Roman" w:eastAsia="Times New Roman" w:cs="Times New Roman"/>
        <w:sz w:val="18"/>
        <w:szCs w:val="18"/>
      </w:rPr>
      <w:instrText xml:space="preserve">PAGE   \* MERGEFORMAT</w:instrText>
    </w:r>
    <w:r>
      <w:rPr>
        <w:rFonts w:ascii="Times New Roman" w:hAnsi="Times New Roman" w:eastAsia="Times New Roman" w:cs="Times New Roman"/>
        <w:sz w:val="18"/>
        <w:szCs w:val="18"/>
      </w:rPr>
      <w:fldChar w:fldCharType="separate"/>
    </w:r>
    <w:r>
      <w:rPr>
        <w:rFonts w:ascii="Times New Roman" w:hAnsi="Times New Roman" w:eastAsia="Times New Roman" w:cs="Times New Roman"/>
        <w:sz w:val="18"/>
        <w:szCs w:val="18"/>
        <w:lang w:val="zh-CN"/>
      </w:rPr>
      <w:t>1</w:t>
    </w:r>
    <w:r>
      <w:rPr>
        <w:rFonts w:ascii="Times New Roman" w:hAnsi="Times New Roman" w:eastAsia="Times New Roman" w:cs="Times New Roman"/>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2726A">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fldChar w:fldCharType="begin"/>
    </w:r>
    <w:r>
      <w:rPr>
        <w:rFonts w:ascii="Times New Roman" w:hAnsi="Times New Roman" w:eastAsia="Times New Roman" w:cs="Times New Roman"/>
        <w:sz w:val="18"/>
        <w:szCs w:val="18"/>
      </w:rPr>
      <w:instrText xml:space="preserve">PAGE   \* MERGEFORMAT</w:instrText>
    </w:r>
    <w:r>
      <w:rPr>
        <w:rFonts w:ascii="Times New Roman" w:hAnsi="Times New Roman" w:eastAsia="Times New Roman" w:cs="Times New Roman"/>
        <w:sz w:val="18"/>
        <w:szCs w:val="18"/>
      </w:rPr>
      <w:fldChar w:fldCharType="separate"/>
    </w:r>
    <w:r>
      <w:rPr>
        <w:rFonts w:ascii="Times New Roman" w:hAnsi="Times New Roman" w:eastAsia="Times New Roman" w:cs="Times New Roman"/>
        <w:sz w:val="18"/>
        <w:szCs w:val="18"/>
        <w:lang w:val="zh-CN"/>
      </w:rPr>
      <w:t>1</w:t>
    </w:r>
    <w:r>
      <w:rPr>
        <w:rFonts w:ascii="Times New Roman" w:hAnsi="Times New Roman" w:eastAsia="Times New Roman" w:cs="Times New Roman"/>
        <w:sz w:val="18"/>
        <w:szCs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713FAF"/>
    <w:multiLevelType w:val="multilevel"/>
    <w:tmpl w:val="33713FAF"/>
    <w:lvl w:ilvl="0" w:tentative="0">
      <w:start w:val="1"/>
      <w:numFmt w:val="decimal"/>
      <w:lvlText w:val="%1"/>
      <w:lvlJc w:val="left"/>
      <w:pPr>
        <w:ind w:left="450" w:hanging="450"/>
      </w:pPr>
      <w:rPr>
        <w:rFonts w:hint="default"/>
      </w:rPr>
    </w:lvl>
    <w:lvl w:ilvl="1" w:tentative="0">
      <w:start w:val="1"/>
      <w:numFmt w:val="decimal"/>
      <w:isLgl/>
      <w:lvlText w:val="%1.%2"/>
      <w:lvlJc w:val="left"/>
      <w:pPr>
        <w:ind w:left="465" w:hanging="465"/>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5ZmZkYzViMDAyNDgzZjA5YTIzMWEwODZjYTIzMDgifQ=="/>
  </w:docVars>
  <w:rsids>
    <w:rsidRoot w:val="00172A27"/>
    <w:rsid w:val="000032E3"/>
    <w:rsid w:val="00006355"/>
    <w:rsid w:val="00006828"/>
    <w:rsid w:val="00010091"/>
    <w:rsid w:val="00015FA4"/>
    <w:rsid w:val="0001611C"/>
    <w:rsid w:val="00016879"/>
    <w:rsid w:val="00022472"/>
    <w:rsid w:val="00025617"/>
    <w:rsid w:val="00027B67"/>
    <w:rsid w:val="000338DE"/>
    <w:rsid w:val="00035CC9"/>
    <w:rsid w:val="00050983"/>
    <w:rsid w:val="000565C1"/>
    <w:rsid w:val="00060C65"/>
    <w:rsid w:val="00062AAF"/>
    <w:rsid w:val="00072226"/>
    <w:rsid w:val="00075D76"/>
    <w:rsid w:val="00086063"/>
    <w:rsid w:val="000901EF"/>
    <w:rsid w:val="0009372D"/>
    <w:rsid w:val="00093900"/>
    <w:rsid w:val="000A2FA9"/>
    <w:rsid w:val="000A4139"/>
    <w:rsid w:val="000A63D3"/>
    <w:rsid w:val="000A6825"/>
    <w:rsid w:val="000B0F9C"/>
    <w:rsid w:val="000B312A"/>
    <w:rsid w:val="000B73EB"/>
    <w:rsid w:val="000C267D"/>
    <w:rsid w:val="000C5CE9"/>
    <w:rsid w:val="000C7C5D"/>
    <w:rsid w:val="000D03BE"/>
    <w:rsid w:val="000D345D"/>
    <w:rsid w:val="000D5B87"/>
    <w:rsid w:val="000E023D"/>
    <w:rsid w:val="000E42B9"/>
    <w:rsid w:val="000F3ECB"/>
    <w:rsid w:val="000F4EF2"/>
    <w:rsid w:val="000F6792"/>
    <w:rsid w:val="00100556"/>
    <w:rsid w:val="00100B55"/>
    <w:rsid w:val="00103099"/>
    <w:rsid w:val="00103FAB"/>
    <w:rsid w:val="00120FD5"/>
    <w:rsid w:val="0012202B"/>
    <w:rsid w:val="00130B7D"/>
    <w:rsid w:val="0013103C"/>
    <w:rsid w:val="001315C7"/>
    <w:rsid w:val="00131B54"/>
    <w:rsid w:val="0013553D"/>
    <w:rsid w:val="00136B77"/>
    <w:rsid w:val="001400C9"/>
    <w:rsid w:val="001401DA"/>
    <w:rsid w:val="001409FB"/>
    <w:rsid w:val="00144FF2"/>
    <w:rsid w:val="00147425"/>
    <w:rsid w:val="00147C09"/>
    <w:rsid w:val="00150A00"/>
    <w:rsid w:val="00150E97"/>
    <w:rsid w:val="00154069"/>
    <w:rsid w:val="00161B6F"/>
    <w:rsid w:val="00166DA9"/>
    <w:rsid w:val="00172A27"/>
    <w:rsid w:val="001755C3"/>
    <w:rsid w:val="001808D0"/>
    <w:rsid w:val="0018256F"/>
    <w:rsid w:val="00183FB0"/>
    <w:rsid w:val="00187418"/>
    <w:rsid w:val="001900F5"/>
    <w:rsid w:val="001903AD"/>
    <w:rsid w:val="001908BC"/>
    <w:rsid w:val="00191D2A"/>
    <w:rsid w:val="00193335"/>
    <w:rsid w:val="00193681"/>
    <w:rsid w:val="00193FF3"/>
    <w:rsid w:val="0019516E"/>
    <w:rsid w:val="001A191E"/>
    <w:rsid w:val="001A22D3"/>
    <w:rsid w:val="001A357A"/>
    <w:rsid w:val="001A53C0"/>
    <w:rsid w:val="001A73C1"/>
    <w:rsid w:val="001B1956"/>
    <w:rsid w:val="001B2C13"/>
    <w:rsid w:val="001B437A"/>
    <w:rsid w:val="001B7EAD"/>
    <w:rsid w:val="001C0667"/>
    <w:rsid w:val="001C0A17"/>
    <w:rsid w:val="001C2F02"/>
    <w:rsid w:val="001E1292"/>
    <w:rsid w:val="001E27F9"/>
    <w:rsid w:val="001E3A36"/>
    <w:rsid w:val="001E4357"/>
    <w:rsid w:val="001E6987"/>
    <w:rsid w:val="001F169E"/>
    <w:rsid w:val="001F6397"/>
    <w:rsid w:val="001F7C0F"/>
    <w:rsid w:val="002022A8"/>
    <w:rsid w:val="00203227"/>
    <w:rsid w:val="002039E6"/>
    <w:rsid w:val="00204DE6"/>
    <w:rsid w:val="002050FA"/>
    <w:rsid w:val="00205694"/>
    <w:rsid w:val="0020589E"/>
    <w:rsid w:val="00207B13"/>
    <w:rsid w:val="00211521"/>
    <w:rsid w:val="002121C5"/>
    <w:rsid w:val="002124AD"/>
    <w:rsid w:val="00213FD2"/>
    <w:rsid w:val="00215AC7"/>
    <w:rsid w:val="0021752C"/>
    <w:rsid w:val="002242FB"/>
    <w:rsid w:val="002255B4"/>
    <w:rsid w:val="00227388"/>
    <w:rsid w:val="0023050A"/>
    <w:rsid w:val="0025678E"/>
    <w:rsid w:val="00262A25"/>
    <w:rsid w:val="00264383"/>
    <w:rsid w:val="002653C8"/>
    <w:rsid w:val="0027016B"/>
    <w:rsid w:val="002767CD"/>
    <w:rsid w:val="002809AA"/>
    <w:rsid w:val="0029277D"/>
    <w:rsid w:val="002A12FB"/>
    <w:rsid w:val="002A384B"/>
    <w:rsid w:val="002A536F"/>
    <w:rsid w:val="002B2CDE"/>
    <w:rsid w:val="002B3847"/>
    <w:rsid w:val="002B50F8"/>
    <w:rsid w:val="002B560C"/>
    <w:rsid w:val="002C195E"/>
    <w:rsid w:val="002C53C9"/>
    <w:rsid w:val="002C5672"/>
    <w:rsid w:val="002C6156"/>
    <w:rsid w:val="002C6922"/>
    <w:rsid w:val="002D3D1B"/>
    <w:rsid w:val="002E1055"/>
    <w:rsid w:val="002E125A"/>
    <w:rsid w:val="002E3070"/>
    <w:rsid w:val="002F019A"/>
    <w:rsid w:val="002F1C01"/>
    <w:rsid w:val="002F727A"/>
    <w:rsid w:val="00301D79"/>
    <w:rsid w:val="0030292D"/>
    <w:rsid w:val="00306711"/>
    <w:rsid w:val="00311E16"/>
    <w:rsid w:val="00314163"/>
    <w:rsid w:val="003177AE"/>
    <w:rsid w:val="00320ECC"/>
    <w:rsid w:val="00321A19"/>
    <w:rsid w:val="00323119"/>
    <w:rsid w:val="003269D7"/>
    <w:rsid w:val="003303FB"/>
    <w:rsid w:val="0033061C"/>
    <w:rsid w:val="00330BEC"/>
    <w:rsid w:val="00336948"/>
    <w:rsid w:val="00342275"/>
    <w:rsid w:val="00345382"/>
    <w:rsid w:val="00345D6B"/>
    <w:rsid w:val="00346136"/>
    <w:rsid w:val="00360E31"/>
    <w:rsid w:val="00370A1A"/>
    <w:rsid w:val="00371602"/>
    <w:rsid w:val="00372F6C"/>
    <w:rsid w:val="003750A1"/>
    <w:rsid w:val="00375986"/>
    <w:rsid w:val="00375C24"/>
    <w:rsid w:val="00380FBD"/>
    <w:rsid w:val="00381331"/>
    <w:rsid w:val="0038528A"/>
    <w:rsid w:val="00385D49"/>
    <w:rsid w:val="00390B63"/>
    <w:rsid w:val="00393E35"/>
    <w:rsid w:val="003940B2"/>
    <w:rsid w:val="00395E38"/>
    <w:rsid w:val="00397B0D"/>
    <w:rsid w:val="003A071C"/>
    <w:rsid w:val="003A4140"/>
    <w:rsid w:val="003A5823"/>
    <w:rsid w:val="003A6359"/>
    <w:rsid w:val="003A6C51"/>
    <w:rsid w:val="003B1A36"/>
    <w:rsid w:val="003C2DE1"/>
    <w:rsid w:val="003C387D"/>
    <w:rsid w:val="003C4F6D"/>
    <w:rsid w:val="003D1AE3"/>
    <w:rsid w:val="003D27C6"/>
    <w:rsid w:val="003D2E03"/>
    <w:rsid w:val="003D4323"/>
    <w:rsid w:val="003D745D"/>
    <w:rsid w:val="003E1810"/>
    <w:rsid w:val="003E714E"/>
    <w:rsid w:val="003F2A5A"/>
    <w:rsid w:val="003F6564"/>
    <w:rsid w:val="003F7F22"/>
    <w:rsid w:val="004007E0"/>
    <w:rsid w:val="00402821"/>
    <w:rsid w:val="0041127D"/>
    <w:rsid w:val="004114B0"/>
    <w:rsid w:val="004123DD"/>
    <w:rsid w:val="00417D24"/>
    <w:rsid w:val="00421138"/>
    <w:rsid w:val="0042234A"/>
    <w:rsid w:val="004255E0"/>
    <w:rsid w:val="0044166E"/>
    <w:rsid w:val="00443646"/>
    <w:rsid w:val="004440F0"/>
    <w:rsid w:val="004445D4"/>
    <w:rsid w:val="00444741"/>
    <w:rsid w:val="00444EA7"/>
    <w:rsid w:val="0044789D"/>
    <w:rsid w:val="00451649"/>
    <w:rsid w:val="0045223D"/>
    <w:rsid w:val="00453F51"/>
    <w:rsid w:val="00456597"/>
    <w:rsid w:val="00457A66"/>
    <w:rsid w:val="00462409"/>
    <w:rsid w:val="0046344B"/>
    <w:rsid w:val="00466A4B"/>
    <w:rsid w:val="0047763A"/>
    <w:rsid w:val="004925E4"/>
    <w:rsid w:val="004943F1"/>
    <w:rsid w:val="0049486B"/>
    <w:rsid w:val="00496218"/>
    <w:rsid w:val="004A0D6B"/>
    <w:rsid w:val="004A65C1"/>
    <w:rsid w:val="004A783F"/>
    <w:rsid w:val="004A7951"/>
    <w:rsid w:val="004B2F57"/>
    <w:rsid w:val="004B5737"/>
    <w:rsid w:val="004B66A0"/>
    <w:rsid w:val="004B743D"/>
    <w:rsid w:val="004B7B1A"/>
    <w:rsid w:val="004C34DB"/>
    <w:rsid w:val="004C37CE"/>
    <w:rsid w:val="004C6BC7"/>
    <w:rsid w:val="004E5220"/>
    <w:rsid w:val="004E70FF"/>
    <w:rsid w:val="004F1B9A"/>
    <w:rsid w:val="004F1F16"/>
    <w:rsid w:val="004F30F5"/>
    <w:rsid w:val="004F4A6F"/>
    <w:rsid w:val="00503C58"/>
    <w:rsid w:val="0050485B"/>
    <w:rsid w:val="00511477"/>
    <w:rsid w:val="00511B68"/>
    <w:rsid w:val="00513458"/>
    <w:rsid w:val="00513645"/>
    <w:rsid w:val="00536EB0"/>
    <w:rsid w:val="00537912"/>
    <w:rsid w:val="005412EC"/>
    <w:rsid w:val="005434F3"/>
    <w:rsid w:val="0054610C"/>
    <w:rsid w:val="00547F74"/>
    <w:rsid w:val="005500B6"/>
    <w:rsid w:val="00557F25"/>
    <w:rsid w:val="00561F0D"/>
    <w:rsid w:val="0056256E"/>
    <w:rsid w:val="00564F32"/>
    <w:rsid w:val="00571436"/>
    <w:rsid w:val="0057249C"/>
    <w:rsid w:val="0057285C"/>
    <w:rsid w:val="00575B0C"/>
    <w:rsid w:val="00576527"/>
    <w:rsid w:val="00592FC7"/>
    <w:rsid w:val="0059340F"/>
    <w:rsid w:val="00594925"/>
    <w:rsid w:val="00596F12"/>
    <w:rsid w:val="005A069F"/>
    <w:rsid w:val="005A6146"/>
    <w:rsid w:val="005B6E66"/>
    <w:rsid w:val="005C4DB4"/>
    <w:rsid w:val="005D01F0"/>
    <w:rsid w:val="005D253C"/>
    <w:rsid w:val="005D357F"/>
    <w:rsid w:val="005D4742"/>
    <w:rsid w:val="005E169A"/>
    <w:rsid w:val="005E3D3B"/>
    <w:rsid w:val="005E4F02"/>
    <w:rsid w:val="005E71FE"/>
    <w:rsid w:val="005F5CCC"/>
    <w:rsid w:val="005F7712"/>
    <w:rsid w:val="005F7E08"/>
    <w:rsid w:val="006004D0"/>
    <w:rsid w:val="006056EA"/>
    <w:rsid w:val="00606C45"/>
    <w:rsid w:val="006122F5"/>
    <w:rsid w:val="00614771"/>
    <w:rsid w:val="00616200"/>
    <w:rsid w:val="006316C2"/>
    <w:rsid w:val="0063204D"/>
    <w:rsid w:val="00634232"/>
    <w:rsid w:val="006347C3"/>
    <w:rsid w:val="0063583C"/>
    <w:rsid w:val="00641521"/>
    <w:rsid w:val="00642B68"/>
    <w:rsid w:val="006444AA"/>
    <w:rsid w:val="00647EA9"/>
    <w:rsid w:val="00653306"/>
    <w:rsid w:val="00653FE3"/>
    <w:rsid w:val="00654413"/>
    <w:rsid w:val="0065510F"/>
    <w:rsid w:val="00660579"/>
    <w:rsid w:val="00661A37"/>
    <w:rsid w:val="00661C30"/>
    <w:rsid w:val="00664F89"/>
    <w:rsid w:val="0066667B"/>
    <w:rsid w:val="00672A3B"/>
    <w:rsid w:val="0067741A"/>
    <w:rsid w:val="0068044F"/>
    <w:rsid w:val="006825F8"/>
    <w:rsid w:val="00682871"/>
    <w:rsid w:val="0068507D"/>
    <w:rsid w:val="00685532"/>
    <w:rsid w:val="00687DC9"/>
    <w:rsid w:val="0069068C"/>
    <w:rsid w:val="006914EE"/>
    <w:rsid w:val="00695057"/>
    <w:rsid w:val="006979D8"/>
    <w:rsid w:val="006A0A71"/>
    <w:rsid w:val="006A10CE"/>
    <w:rsid w:val="006A4B9D"/>
    <w:rsid w:val="006A6CA4"/>
    <w:rsid w:val="006B07ED"/>
    <w:rsid w:val="006B1664"/>
    <w:rsid w:val="006C23BA"/>
    <w:rsid w:val="006C46F1"/>
    <w:rsid w:val="006D04D6"/>
    <w:rsid w:val="006D2B86"/>
    <w:rsid w:val="006D3D79"/>
    <w:rsid w:val="006D5437"/>
    <w:rsid w:val="006E068B"/>
    <w:rsid w:val="006E3E8E"/>
    <w:rsid w:val="006F1F7C"/>
    <w:rsid w:val="006F28D5"/>
    <w:rsid w:val="006F4A0B"/>
    <w:rsid w:val="006F52BA"/>
    <w:rsid w:val="00701365"/>
    <w:rsid w:val="00701B1E"/>
    <w:rsid w:val="00702830"/>
    <w:rsid w:val="00706062"/>
    <w:rsid w:val="00707364"/>
    <w:rsid w:val="00714489"/>
    <w:rsid w:val="00715D60"/>
    <w:rsid w:val="007220E9"/>
    <w:rsid w:val="007246AE"/>
    <w:rsid w:val="00725368"/>
    <w:rsid w:val="00726232"/>
    <w:rsid w:val="00727A36"/>
    <w:rsid w:val="00727ADC"/>
    <w:rsid w:val="0073455C"/>
    <w:rsid w:val="00734566"/>
    <w:rsid w:val="0073522E"/>
    <w:rsid w:val="00743CCE"/>
    <w:rsid w:val="00743E76"/>
    <w:rsid w:val="0074455E"/>
    <w:rsid w:val="00751492"/>
    <w:rsid w:val="007541BE"/>
    <w:rsid w:val="00756957"/>
    <w:rsid w:val="007576FA"/>
    <w:rsid w:val="0076112B"/>
    <w:rsid w:val="00767CCA"/>
    <w:rsid w:val="0077041A"/>
    <w:rsid w:val="00772570"/>
    <w:rsid w:val="007766FA"/>
    <w:rsid w:val="007836DE"/>
    <w:rsid w:val="00785585"/>
    <w:rsid w:val="007867AE"/>
    <w:rsid w:val="0079449E"/>
    <w:rsid w:val="00795C6B"/>
    <w:rsid w:val="00796F19"/>
    <w:rsid w:val="007977B3"/>
    <w:rsid w:val="007A338A"/>
    <w:rsid w:val="007A57FB"/>
    <w:rsid w:val="007B6DF8"/>
    <w:rsid w:val="007B77EC"/>
    <w:rsid w:val="007C1285"/>
    <w:rsid w:val="007D3875"/>
    <w:rsid w:val="007D3C1A"/>
    <w:rsid w:val="007F0232"/>
    <w:rsid w:val="007F3462"/>
    <w:rsid w:val="007F42D9"/>
    <w:rsid w:val="007F5191"/>
    <w:rsid w:val="007F79C8"/>
    <w:rsid w:val="008048FB"/>
    <w:rsid w:val="0080677F"/>
    <w:rsid w:val="008109FD"/>
    <w:rsid w:val="008175BB"/>
    <w:rsid w:val="008205DC"/>
    <w:rsid w:val="008208CB"/>
    <w:rsid w:val="0082226D"/>
    <w:rsid w:val="00824A02"/>
    <w:rsid w:val="00824CC8"/>
    <w:rsid w:val="008255D3"/>
    <w:rsid w:val="008266C0"/>
    <w:rsid w:val="00830140"/>
    <w:rsid w:val="00830E92"/>
    <w:rsid w:val="0083489C"/>
    <w:rsid w:val="00834B82"/>
    <w:rsid w:val="00837532"/>
    <w:rsid w:val="00841681"/>
    <w:rsid w:val="00842729"/>
    <w:rsid w:val="0084389D"/>
    <w:rsid w:val="008503DE"/>
    <w:rsid w:val="00850992"/>
    <w:rsid w:val="008534D6"/>
    <w:rsid w:val="008619C0"/>
    <w:rsid w:val="00865287"/>
    <w:rsid w:val="0086720F"/>
    <w:rsid w:val="00873223"/>
    <w:rsid w:val="00876659"/>
    <w:rsid w:val="00876810"/>
    <w:rsid w:val="0088619A"/>
    <w:rsid w:val="00891165"/>
    <w:rsid w:val="00893C10"/>
    <w:rsid w:val="00894557"/>
    <w:rsid w:val="008A221A"/>
    <w:rsid w:val="008A3913"/>
    <w:rsid w:val="008A3DC2"/>
    <w:rsid w:val="008A4B59"/>
    <w:rsid w:val="008A564B"/>
    <w:rsid w:val="008A5B8C"/>
    <w:rsid w:val="008A7B6F"/>
    <w:rsid w:val="008B1B0A"/>
    <w:rsid w:val="008B1D80"/>
    <w:rsid w:val="008B545D"/>
    <w:rsid w:val="008B6FAB"/>
    <w:rsid w:val="008C165D"/>
    <w:rsid w:val="008C58AC"/>
    <w:rsid w:val="008D1011"/>
    <w:rsid w:val="008D49A9"/>
    <w:rsid w:val="008D5762"/>
    <w:rsid w:val="008D7D31"/>
    <w:rsid w:val="008E1924"/>
    <w:rsid w:val="008E1BD4"/>
    <w:rsid w:val="008E3B3C"/>
    <w:rsid w:val="008E681F"/>
    <w:rsid w:val="008F02FD"/>
    <w:rsid w:val="008F4C65"/>
    <w:rsid w:val="008F5098"/>
    <w:rsid w:val="00900BF2"/>
    <w:rsid w:val="00904A2D"/>
    <w:rsid w:val="009147B6"/>
    <w:rsid w:val="00920BDD"/>
    <w:rsid w:val="0092167F"/>
    <w:rsid w:val="00923B13"/>
    <w:rsid w:val="00925DB1"/>
    <w:rsid w:val="00925E19"/>
    <w:rsid w:val="0092650D"/>
    <w:rsid w:val="0093319C"/>
    <w:rsid w:val="00934E49"/>
    <w:rsid w:val="00935103"/>
    <w:rsid w:val="009370D3"/>
    <w:rsid w:val="009408A2"/>
    <w:rsid w:val="00940D6F"/>
    <w:rsid w:val="00943611"/>
    <w:rsid w:val="00945215"/>
    <w:rsid w:val="00947034"/>
    <w:rsid w:val="00950D56"/>
    <w:rsid w:val="00953439"/>
    <w:rsid w:val="00961373"/>
    <w:rsid w:val="00962BA9"/>
    <w:rsid w:val="00964CFC"/>
    <w:rsid w:val="00977DFD"/>
    <w:rsid w:val="009816EB"/>
    <w:rsid w:val="009855B5"/>
    <w:rsid w:val="00985A4E"/>
    <w:rsid w:val="00985D47"/>
    <w:rsid w:val="009877EE"/>
    <w:rsid w:val="00992E0F"/>
    <w:rsid w:val="00995041"/>
    <w:rsid w:val="009A71BB"/>
    <w:rsid w:val="009B04E2"/>
    <w:rsid w:val="009B6170"/>
    <w:rsid w:val="009C0A45"/>
    <w:rsid w:val="009C15D4"/>
    <w:rsid w:val="009C46ED"/>
    <w:rsid w:val="009C519B"/>
    <w:rsid w:val="009D1386"/>
    <w:rsid w:val="009D208B"/>
    <w:rsid w:val="009D342D"/>
    <w:rsid w:val="009D72DD"/>
    <w:rsid w:val="009E29C8"/>
    <w:rsid w:val="009E4DC6"/>
    <w:rsid w:val="009E6892"/>
    <w:rsid w:val="009F2221"/>
    <w:rsid w:val="009F51D5"/>
    <w:rsid w:val="009F6EF0"/>
    <w:rsid w:val="00A0251D"/>
    <w:rsid w:val="00A06C69"/>
    <w:rsid w:val="00A16BC9"/>
    <w:rsid w:val="00A453E1"/>
    <w:rsid w:val="00A57DF3"/>
    <w:rsid w:val="00A64F27"/>
    <w:rsid w:val="00A73A00"/>
    <w:rsid w:val="00A7430E"/>
    <w:rsid w:val="00A76DAF"/>
    <w:rsid w:val="00A8130B"/>
    <w:rsid w:val="00A85146"/>
    <w:rsid w:val="00A87049"/>
    <w:rsid w:val="00A91D4C"/>
    <w:rsid w:val="00A92B85"/>
    <w:rsid w:val="00AA0AD1"/>
    <w:rsid w:val="00AA2BBF"/>
    <w:rsid w:val="00AB586D"/>
    <w:rsid w:val="00AC0811"/>
    <w:rsid w:val="00AC33F4"/>
    <w:rsid w:val="00AC3F7B"/>
    <w:rsid w:val="00AC64D4"/>
    <w:rsid w:val="00AD05E1"/>
    <w:rsid w:val="00AD0C34"/>
    <w:rsid w:val="00AD2F37"/>
    <w:rsid w:val="00AE1447"/>
    <w:rsid w:val="00AE48FD"/>
    <w:rsid w:val="00AF5AB6"/>
    <w:rsid w:val="00B01216"/>
    <w:rsid w:val="00B01C23"/>
    <w:rsid w:val="00B01CE7"/>
    <w:rsid w:val="00B04867"/>
    <w:rsid w:val="00B07AE1"/>
    <w:rsid w:val="00B11028"/>
    <w:rsid w:val="00B143F0"/>
    <w:rsid w:val="00B1520B"/>
    <w:rsid w:val="00B2398E"/>
    <w:rsid w:val="00B26C67"/>
    <w:rsid w:val="00B30E5E"/>
    <w:rsid w:val="00B332A8"/>
    <w:rsid w:val="00B360E5"/>
    <w:rsid w:val="00B3626C"/>
    <w:rsid w:val="00B378A0"/>
    <w:rsid w:val="00B40F53"/>
    <w:rsid w:val="00B430C5"/>
    <w:rsid w:val="00B44DA1"/>
    <w:rsid w:val="00B46287"/>
    <w:rsid w:val="00B47908"/>
    <w:rsid w:val="00B52C13"/>
    <w:rsid w:val="00B620DB"/>
    <w:rsid w:val="00B6259F"/>
    <w:rsid w:val="00B70AAE"/>
    <w:rsid w:val="00B73B74"/>
    <w:rsid w:val="00B740D6"/>
    <w:rsid w:val="00B75084"/>
    <w:rsid w:val="00B76D9C"/>
    <w:rsid w:val="00B77D93"/>
    <w:rsid w:val="00B813A3"/>
    <w:rsid w:val="00B83249"/>
    <w:rsid w:val="00B9385E"/>
    <w:rsid w:val="00B951CD"/>
    <w:rsid w:val="00B95541"/>
    <w:rsid w:val="00B95FF6"/>
    <w:rsid w:val="00B977A4"/>
    <w:rsid w:val="00B9799F"/>
    <w:rsid w:val="00BA0513"/>
    <w:rsid w:val="00BA775D"/>
    <w:rsid w:val="00BB14EF"/>
    <w:rsid w:val="00BB3A79"/>
    <w:rsid w:val="00BB5565"/>
    <w:rsid w:val="00BB60A7"/>
    <w:rsid w:val="00BC2EB7"/>
    <w:rsid w:val="00BC3A00"/>
    <w:rsid w:val="00BC49CF"/>
    <w:rsid w:val="00BC4FA6"/>
    <w:rsid w:val="00BC5286"/>
    <w:rsid w:val="00BC52F8"/>
    <w:rsid w:val="00BC653B"/>
    <w:rsid w:val="00BC7C70"/>
    <w:rsid w:val="00BD025B"/>
    <w:rsid w:val="00BD1202"/>
    <w:rsid w:val="00BD39AE"/>
    <w:rsid w:val="00BD7F5D"/>
    <w:rsid w:val="00BE238E"/>
    <w:rsid w:val="00BE2CA2"/>
    <w:rsid w:val="00BE2F32"/>
    <w:rsid w:val="00BE3D25"/>
    <w:rsid w:val="00BE58F0"/>
    <w:rsid w:val="00BE7871"/>
    <w:rsid w:val="00BF215D"/>
    <w:rsid w:val="00C01C92"/>
    <w:rsid w:val="00C024EA"/>
    <w:rsid w:val="00C053C8"/>
    <w:rsid w:val="00C0625F"/>
    <w:rsid w:val="00C11494"/>
    <w:rsid w:val="00C12ACE"/>
    <w:rsid w:val="00C13986"/>
    <w:rsid w:val="00C2289B"/>
    <w:rsid w:val="00C2691E"/>
    <w:rsid w:val="00C26DE9"/>
    <w:rsid w:val="00C34F67"/>
    <w:rsid w:val="00C3797F"/>
    <w:rsid w:val="00C403A7"/>
    <w:rsid w:val="00C53832"/>
    <w:rsid w:val="00C53C52"/>
    <w:rsid w:val="00C634B4"/>
    <w:rsid w:val="00C70007"/>
    <w:rsid w:val="00C867EC"/>
    <w:rsid w:val="00C87DC5"/>
    <w:rsid w:val="00C91752"/>
    <w:rsid w:val="00C92B54"/>
    <w:rsid w:val="00C940B3"/>
    <w:rsid w:val="00C95C1D"/>
    <w:rsid w:val="00CA0B23"/>
    <w:rsid w:val="00CA2885"/>
    <w:rsid w:val="00CA3524"/>
    <w:rsid w:val="00CA3F09"/>
    <w:rsid w:val="00CA64EC"/>
    <w:rsid w:val="00CA6F22"/>
    <w:rsid w:val="00CA7693"/>
    <w:rsid w:val="00CB376D"/>
    <w:rsid w:val="00CC0172"/>
    <w:rsid w:val="00CD1ECF"/>
    <w:rsid w:val="00CD548D"/>
    <w:rsid w:val="00CD612E"/>
    <w:rsid w:val="00CE26F2"/>
    <w:rsid w:val="00CE51FC"/>
    <w:rsid w:val="00CE5AB8"/>
    <w:rsid w:val="00CF136D"/>
    <w:rsid w:val="00CF2FAC"/>
    <w:rsid w:val="00CF5CF2"/>
    <w:rsid w:val="00CF7664"/>
    <w:rsid w:val="00CF7C6D"/>
    <w:rsid w:val="00D02FCB"/>
    <w:rsid w:val="00D0528B"/>
    <w:rsid w:val="00D059FD"/>
    <w:rsid w:val="00D06507"/>
    <w:rsid w:val="00D10CC9"/>
    <w:rsid w:val="00D16666"/>
    <w:rsid w:val="00D1775A"/>
    <w:rsid w:val="00D17C85"/>
    <w:rsid w:val="00D23B58"/>
    <w:rsid w:val="00D242A2"/>
    <w:rsid w:val="00D2454B"/>
    <w:rsid w:val="00D30C0B"/>
    <w:rsid w:val="00D3331A"/>
    <w:rsid w:val="00D34849"/>
    <w:rsid w:val="00D4314D"/>
    <w:rsid w:val="00D43C08"/>
    <w:rsid w:val="00D51967"/>
    <w:rsid w:val="00D574A5"/>
    <w:rsid w:val="00D613D1"/>
    <w:rsid w:val="00D63837"/>
    <w:rsid w:val="00D6386E"/>
    <w:rsid w:val="00D6430E"/>
    <w:rsid w:val="00D669EC"/>
    <w:rsid w:val="00D73F80"/>
    <w:rsid w:val="00D74120"/>
    <w:rsid w:val="00D77938"/>
    <w:rsid w:val="00D80E33"/>
    <w:rsid w:val="00D81BB2"/>
    <w:rsid w:val="00D83E2A"/>
    <w:rsid w:val="00D84CD5"/>
    <w:rsid w:val="00D8649E"/>
    <w:rsid w:val="00D925DD"/>
    <w:rsid w:val="00D9300B"/>
    <w:rsid w:val="00D9335A"/>
    <w:rsid w:val="00D93AE1"/>
    <w:rsid w:val="00D959F9"/>
    <w:rsid w:val="00D96A70"/>
    <w:rsid w:val="00DA35CE"/>
    <w:rsid w:val="00DA3D9D"/>
    <w:rsid w:val="00DA53E9"/>
    <w:rsid w:val="00DA5DD3"/>
    <w:rsid w:val="00DC1ECF"/>
    <w:rsid w:val="00DC4F59"/>
    <w:rsid w:val="00DD0226"/>
    <w:rsid w:val="00DD2855"/>
    <w:rsid w:val="00DD3963"/>
    <w:rsid w:val="00DD39BF"/>
    <w:rsid w:val="00DD49D8"/>
    <w:rsid w:val="00DE0756"/>
    <w:rsid w:val="00DE6EFF"/>
    <w:rsid w:val="00DF0D10"/>
    <w:rsid w:val="00DF3375"/>
    <w:rsid w:val="00E0311C"/>
    <w:rsid w:val="00E04F0D"/>
    <w:rsid w:val="00E11DCF"/>
    <w:rsid w:val="00E205F9"/>
    <w:rsid w:val="00E2152F"/>
    <w:rsid w:val="00E24BA0"/>
    <w:rsid w:val="00E26AEC"/>
    <w:rsid w:val="00E30215"/>
    <w:rsid w:val="00E30E3E"/>
    <w:rsid w:val="00E329C6"/>
    <w:rsid w:val="00E32DD1"/>
    <w:rsid w:val="00E33322"/>
    <w:rsid w:val="00E36081"/>
    <w:rsid w:val="00E371C6"/>
    <w:rsid w:val="00E40DCF"/>
    <w:rsid w:val="00E4377D"/>
    <w:rsid w:val="00E43804"/>
    <w:rsid w:val="00E448CF"/>
    <w:rsid w:val="00E46F90"/>
    <w:rsid w:val="00E46FFA"/>
    <w:rsid w:val="00E508A8"/>
    <w:rsid w:val="00E51D6C"/>
    <w:rsid w:val="00E56283"/>
    <w:rsid w:val="00E57CAD"/>
    <w:rsid w:val="00E60D32"/>
    <w:rsid w:val="00E62D28"/>
    <w:rsid w:val="00E6524A"/>
    <w:rsid w:val="00E66CB1"/>
    <w:rsid w:val="00E749F4"/>
    <w:rsid w:val="00E758F4"/>
    <w:rsid w:val="00E77606"/>
    <w:rsid w:val="00E80FD8"/>
    <w:rsid w:val="00E82186"/>
    <w:rsid w:val="00E82D5C"/>
    <w:rsid w:val="00E83403"/>
    <w:rsid w:val="00E83435"/>
    <w:rsid w:val="00E838B6"/>
    <w:rsid w:val="00E93C74"/>
    <w:rsid w:val="00E95150"/>
    <w:rsid w:val="00EA167F"/>
    <w:rsid w:val="00EA5908"/>
    <w:rsid w:val="00EB089C"/>
    <w:rsid w:val="00EB51EE"/>
    <w:rsid w:val="00EC1B5D"/>
    <w:rsid w:val="00EC5444"/>
    <w:rsid w:val="00EC7439"/>
    <w:rsid w:val="00EC7908"/>
    <w:rsid w:val="00ED23AD"/>
    <w:rsid w:val="00ED4548"/>
    <w:rsid w:val="00ED7C96"/>
    <w:rsid w:val="00EE05EF"/>
    <w:rsid w:val="00EE1D91"/>
    <w:rsid w:val="00EE2004"/>
    <w:rsid w:val="00EE54A1"/>
    <w:rsid w:val="00EE6861"/>
    <w:rsid w:val="00EF0AD1"/>
    <w:rsid w:val="00F006FA"/>
    <w:rsid w:val="00F05EE8"/>
    <w:rsid w:val="00F06074"/>
    <w:rsid w:val="00F06E87"/>
    <w:rsid w:val="00F1318B"/>
    <w:rsid w:val="00F1573C"/>
    <w:rsid w:val="00F23551"/>
    <w:rsid w:val="00F249E3"/>
    <w:rsid w:val="00F31D9D"/>
    <w:rsid w:val="00F325E0"/>
    <w:rsid w:val="00F42523"/>
    <w:rsid w:val="00F44774"/>
    <w:rsid w:val="00F44B44"/>
    <w:rsid w:val="00F46BDF"/>
    <w:rsid w:val="00F502C4"/>
    <w:rsid w:val="00F509BD"/>
    <w:rsid w:val="00F51486"/>
    <w:rsid w:val="00F61791"/>
    <w:rsid w:val="00F629A2"/>
    <w:rsid w:val="00F658BA"/>
    <w:rsid w:val="00F66E84"/>
    <w:rsid w:val="00F73DDD"/>
    <w:rsid w:val="00F760EE"/>
    <w:rsid w:val="00F76AA0"/>
    <w:rsid w:val="00F77900"/>
    <w:rsid w:val="00F80991"/>
    <w:rsid w:val="00F81FD4"/>
    <w:rsid w:val="00F84CF5"/>
    <w:rsid w:val="00F8676C"/>
    <w:rsid w:val="00F93FC1"/>
    <w:rsid w:val="00FB12A7"/>
    <w:rsid w:val="00FB176F"/>
    <w:rsid w:val="00FB221F"/>
    <w:rsid w:val="00FB536A"/>
    <w:rsid w:val="00FC2EFC"/>
    <w:rsid w:val="00FC4FBB"/>
    <w:rsid w:val="00FC6766"/>
    <w:rsid w:val="00FD0A84"/>
    <w:rsid w:val="00FD3610"/>
    <w:rsid w:val="00FE0AA9"/>
    <w:rsid w:val="00FE41C3"/>
    <w:rsid w:val="00FE468E"/>
    <w:rsid w:val="00FE57CB"/>
    <w:rsid w:val="00FE5D94"/>
    <w:rsid w:val="00FE5E5A"/>
    <w:rsid w:val="00FE6080"/>
    <w:rsid w:val="00FF3B70"/>
    <w:rsid w:val="0136183A"/>
    <w:rsid w:val="015412D0"/>
    <w:rsid w:val="01E76678"/>
    <w:rsid w:val="023127CD"/>
    <w:rsid w:val="024A413C"/>
    <w:rsid w:val="027B34D8"/>
    <w:rsid w:val="02B710CD"/>
    <w:rsid w:val="02BF625E"/>
    <w:rsid w:val="02C951E3"/>
    <w:rsid w:val="02ED5AD6"/>
    <w:rsid w:val="03203A09"/>
    <w:rsid w:val="034200BD"/>
    <w:rsid w:val="034209F7"/>
    <w:rsid w:val="03920ECF"/>
    <w:rsid w:val="03921602"/>
    <w:rsid w:val="03CA0F37"/>
    <w:rsid w:val="03ED1E22"/>
    <w:rsid w:val="042207A6"/>
    <w:rsid w:val="05752345"/>
    <w:rsid w:val="05A8424F"/>
    <w:rsid w:val="05B252FA"/>
    <w:rsid w:val="05B52FCA"/>
    <w:rsid w:val="06CB6FEC"/>
    <w:rsid w:val="06E166E1"/>
    <w:rsid w:val="07B812A2"/>
    <w:rsid w:val="07FE54E3"/>
    <w:rsid w:val="08157D0A"/>
    <w:rsid w:val="08E93512"/>
    <w:rsid w:val="09440656"/>
    <w:rsid w:val="09977A83"/>
    <w:rsid w:val="0A1F6CB8"/>
    <w:rsid w:val="0B7A42BB"/>
    <w:rsid w:val="0B8975B0"/>
    <w:rsid w:val="0B8C6B55"/>
    <w:rsid w:val="0C2150AB"/>
    <w:rsid w:val="0C475CD4"/>
    <w:rsid w:val="0C9E3391"/>
    <w:rsid w:val="0CE1197F"/>
    <w:rsid w:val="0CF22138"/>
    <w:rsid w:val="0D252FB8"/>
    <w:rsid w:val="0DE06F9F"/>
    <w:rsid w:val="0DF77E97"/>
    <w:rsid w:val="0E7347DF"/>
    <w:rsid w:val="0EDC4EDD"/>
    <w:rsid w:val="0F250FC1"/>
    <w:rsid w:val="0F395589"/>
    <w:rsid w:val="0F4C5F6E"/>
    <w:rsid w:val="0F5E25ED"/>
    <w:rsid w:val="0F703D93"/>
    <w:rsid w:val="0F7D22E5"/>
    <w:rsid w:val="0F980C99"/>
    <w:rsid w:val="0FDE2C18"/>
    <w:rsid w:val="0FF102FF"/>
    <w:rsid w:val="10441911"/>
    <w:rsid w:val="108076A5"/>
    <w:rsid w:val="10A63951"/>
    <w:rsid w:val="10DE05CF"/>
    <w:rsid w:val="10EC3289"/>
    <w:rsid w:val="10EF1FB4"/>
    <w:rsid w:val="11032FA4"/>
    <w:rsid w:val="11DC26C1"/>
    <w:rsid w:val="123E7A46"/>
    <w:rsid w:val="13083BE4"/>
    <w:rsid w:val="134E5B50"/>
    <w:rsid w:val="13780B86"/>
    <w:rsid w:val="1379344A"/>
    <w:rsid w:val="13B9691B"/>
    <w:rsid w:val="13E764D3"/>
    <w:rsid w:val="13FD7F7E"/>
    <w:rsid w:val="14095A1D"/>
    <w:rsid w:val="14462861"/>
    <w:rsid w:val="146513D2"/>
    <w:rsid w:val="14AD0B13"/>
    <w:rsid w:val="14AF3ABC"/>
    <w:rsid w:val="14DE58EF"/>
    <w:rsid w:val="157D66F5"/>
    <w:rsid w:val="15AF25A4"/>
    <w:rsid w:val="1685565C"/>
    <w:rsid w:val="169138B9"/>
    <w:rsid w:val="16914AB9"/>
    <w:rsid w:val="16C561D6"/>
    <w:rsid w:val="1759213D"/>
    <w:rsid w:val="175C7467"/>
    <w:rsid w:val="17794AE8"/>
    <w:rsid w:val="180421F5"/>
    <w:rsid w:val="18131AFB"/>
    <w:rsid w:val="188C68CE"/>
    <w:rsid w:val="18A72D74"/>
    <w:rsid w:val="19113D5F"/>
    <w:rsid w:val="191A6C23"/>
    <w:rsid w:val="19CA47AF"/>
    <w:rsid w:val="1A6B5C6E"/>
    <w:rsid w:val="1ABC6926"/>
    <w:rsid w:val="1AD361D7"/>
    <w:rsid w:val="1B57375F"/>
    <w:rsid w:val="1B8076CB"/>
    <w:rsid w:val="1BA42DEE"/>
    <w:rsid w:val="1C3109C5"/>
    <w:rsid w:val="1C612D43"/>
    <w:rsid w:val="1C67088B"/>
    <w:rsid w:val="1C870C33"/>
    <w:rsid w:val="1CA676D0"/>
    <w:rsid w:val="1CB4038B"/>
    <w:rsid w:val="1DB758B6"/>
    <w:rsid w:val="1DE223CA"/>
    <w:rsid w:val="1DE91573"/>
    <w:rsid w:val="1E2F0F5D"/>
    <w:rsid w:val="1E3D3D59"/>
    <w:rsid w:val="1E5C190A"/>
    <w:rsid w:val="1ECB3353"/>
    <w:rsid w:val="1F691076"/>
    <w:rsid w:val="1F7A540F"/>
    <w:rsid w:val="1F98039D"/>
    <w:rsid w:val="1FD70CC3"/>
    <w:rsid w:val="204672C3"/>
    <w:rsid w:val="208F56BE"/>
    <w:rsid w:val="20BF7684"/>
    <w:rsid w:val="21554E6E"/>
    <w:rsid w:val="215F7D83"/>
    <w:rsid w:val="217557F8"/>
    <w:rsid w:val="21AE532C"/>
    <w:rsid w:val="21C37E49"/>
    <w:rsid w:val="228B4942"/>
    <w:rsid w:val="228E4DC3"/>
    <w:rsid w:val="22EE3BAA"/>
    <w:rsid w:val="23AB467C"/>
    <w:rsid w:val="23EB6217"/>
    <w:rsid w:val="23FD4655"/>
    <w:rsid w:val="242239E6"/>
    <w:rsid w:val="24CD093B"/>
    <w:rsid w:val="25B519CB"/>
    <w:rsid w:val="25F969FB"/>
    <w:rsid w:val="260B4CBB"/>
    <w:rsid w:val="26752752"/>
    <w:rsid w:val="27223877"/>
    <w:rsid w:val="283F7C14"/>
    <w:rsid w:val="288A794E"/>
    <w:rsid w:val="29037427"/>
    <w:rsid w:val="296F2B25"/>
    <w:rsid w:val="297414A2"/>
    <w:rsid w:val="29A62C82"/>
    <w:rsid w:val="29C82D7C"/>
    <w:rsid w:val="2A44625D"/>
    <w:rsid w:val="2A4823D4"/>
    <w:rsid w:val="2A9F4266"/>
    <w:rsid w:val="2B0139C3"/>
    <w:rsid w:val="2B4F3B03"/>
    <w:rsid w:val="2BA01810"/>
    <w:rsid w:val="2BB17D73"/>
    <w:rsid w:val="2C9C23E1"/>
    <w:rsid w:val="2CDC4068"/>
    <w:rsid w:val="2DA56EA0"/>
    <w:rsid w:val="2E146772"/>
    <w:rsid w:val="2EE25A8C"/>
    <w:rsid w:val="2FB6218E"/>
    <w:rsid w:val="2FC663CA"/>
    <w:rsid w:val="302E5445"/>
    <w:rsid w:val="30653992"/>
    <w:rsid w:val="30826642"/>
    <w:rsid w:val="30B32CC7"/>
    <w:rsid w:val="31CC5D00"/>
    <w:rsid w:val="31FC64DA"/>
    <w:rsid w:val="32450127"/>
    <w:rsid w:val="328C6503"/>
    <w:rsid w:val="32A41A99"/>
    <w:rsid w:val="32D50A2F"/>
    <w:rsid w:val="337559C4"/>
    <w:rsid w:val="33AB7B7C"/>
    <w:rsid w:val="33C95764"/>
    <w:rsid w:val="33F30AEB"/>
    <w:rsid w:val="347602F3"/>
    <w:rsid w:val="347E4D37"/>
    <w:rsid w:val="3482405C"/>
    <w:rsid w:val="34875F32"/>
    <w:rsid w:val="34F35CAC"/>
    <w:rsid w:val="34FC399A"/>
    <w:rsid w:val="35103416"/>
    <w:rsid w:val="353F2EFD"/>
    <w:rsid w:val="35495172"/>
    <w:rsid w:val="35DD3BAB"/>
    <w:rsid w:val="36D861B4"/>
    <w:rsid w:val="372C6C24"/>
    <w:rsid w:val="373B439A"/>
    <w:rsid w:val="37490BA7"/>
    <w:rsid w:val="374C6499"/>
    <w:rsid w:val="37543B31"/>
    <w:rsid w:val="375779CA"/>
    <w:rsid w:val="37D7646D"/>
    <w:rsid w:val="37F1700B"/>
    <w:rsid w:val="3812580F"/>
    <w:rsid w:val="384B50F7"/>
    <w:rsid w:val="38644E73"/>
    <w:rsid w:val="38684C62"/>
    <w:rsid w:val="39124544"/>
    <w:rsid w:val="397204C9"/>
    <w:rsid w:val="398043BA"/>
    <w:rsid w:val="39D765FD"/>
    <w:rsid w:val="39DA3FF3"/>
    <w:rsid w:val="39FD5E89"/>
    <w:rsid w:val="3A8E3939"/>
    <w:rsid w:val="3B225B25"/>
    <w:rsid w:val="3BDE758B"/>
    <w:rsid w:val="3BE20904"/>
    <w:rsid w:val="3BE911FA"/>
    <w:rsid w:val="3BF6413A"/>
    <w:rsid w:val="3C211EA0"/>
    <w:rsid w:val="3C4C06A0"/>
    <w:rsid w:val="3C616ED6"/>
    <w:rsid w:val="3C9829E3"/>
    <w:rsid w:val="3CE24231"/>
    <w:rsid w:val="3CF072E7"/>
    <w:rsid w:val="3D44509E"/>
    <w:rsid w:val="3DB42DAD"/>
    <w:rsid w:val="3E3C2FD9"/>
    <w:rsid w:val="3E672CFE"/>
    <w:rsid w:val="3F7D3390"/>
    <w:rsid w:val="3FD306DF"/>
    <w:rsid w:val="403E2540"/>
    <w:rsid w:val="4053222E"/>
    <w:rsid w:val="410C362B"/>
    <w:rsid w:val="414F453A"/>
    <w:rsid w:val="416D17FF"/>
    <w:rsid w:val="421B4ECD"/>
    <w:rsid w:val="424D4BFF"/>
    <w:rsid w:val="42A07D47"/>
    <w:rsid w:val="42E33025"/>
    <w:rsid w:val="431953C9"/>
    <w:rsid w:val="43B62BB0"/>
    <w:rsid w:val="444569C6"/>
    <w:rsid w:val="44C75831"/>
    <w:rsid w:val="45702AE2"/>
    <w:rsid w:val="45A13B9A"/>
    <w:rsid w:val="45BD65F0"/>
    <w:rsid w:val="45E16709"/>
    <w:rsid w:val="45F32357"/>
    <w:rsid w:val="46953415"/>
    <w:rsid w:val="46C42513"/>
    <w:rsid w:val="46D737B4"/>
    <w:rsid w:val="46F05B4D"/>
    <w:rsid w:val="47014F4F"/>
    <w:rsid w:val="472732CD"/>
    <w:rsid w:val="4749687E"/>
    <w:rsid w:val="4789722B"/>
    <w:rsid w:val="47E55726"/>
    <w:rsid w:val="47EA26D1"/>
    <w:rsid w:val="49535A70"/>
    <w:rsid w:val="49F42A8C"/>
    <w:rsid w:val="4A0C790C"/>
    <w:rsid w:val="4A7D5C12"/>
    <w:rsid w:val="4AB8269E"/>
    <w:rsid w:val="4AC7484F"/>
    <w:rsid w:val="4AF41C05"/>
    <w:rsid w:val="4B0956BF"/>
    <w:rsid w:val="4B5A1437"/>
    <w:rsid w:val="4B8F7B04"/>
    <w:rsid w:val="4BD27DD2"/>
    <w:rsid w:val="4C031A50"/>
    <w:rsid w:val="4C222F56"/>
    <w:rsid w:val="4C3724EA"/>
    <w:rsid w:val="4C45329B"/>
    <w:rsid w:val="4CBC582D"/>
    <w:rsid w:val="4CE4720A"/>
    <w:rsid w:val="4D4C15C3"/>
    <w:rsid w:val="4DAC668D"/>
    <w:rsid w:val="4E343C49"/>
    <w:rsid w:val="4E9B7D9D"/>
    <w:rsid w:val="4ED5658C"/>
    <w:rsid w:val="4F143108"/>
    <w:rsid w:val="4F385A21"/>
    <w:rsid w:val="50572C3E"/>
    <w:rsid w:val="50EB3846"/>
    <w:rsid w:val="515A41E2"/>
    <w:rsid w:val="524A3D7E"/>
    <w:rsid w:val="526F4876"/>
    <w:rsid w:val="52E02904"/>
    <w:rsid w:val="5325057D"/>
    <w:rsid w:val="53826CBC"/>
    <w:rsid w:val="53E252C6"/>
    <w:rsid w:val="54C6369A"/>
    <w:rsid w:val="54CB2301"/>
    <w:rsid w:val="555452DD"/>
    <w:rsid w:val="55735655"/>
    <w:rsid w:val="560E3E03"/>
    <w:rsid w:val="56CC0AB6"/>
    <w:rsid w:val="56FE536D"/>
    <w:rsid w:val="570F1328"/>
    <w:rsid w:val="573261DB"/>
    <w:rsid w:val="574C29D0"/>
    <w:rsid w:val="57FF59A9"/>
    <w:rsid w:val="581C1447"/>
    <w:rsid w:val="58485B21"/>
    <w:rsid w:val="584A1A3B"/>
    <w:rsid w:val="58D671CB"/>
    <w:rsid w:val="5916149F"/>
    <w:rsid w:val="5A2469BD"/>
    <w:rsid w:val="5A3E7FCD"/>
    <w:rsid w:val="5A691147"/>
    <w:rsid w:val="5A820063"/>
    <w:rsid w:val="5AE62D90"/>
    <w:rsid w:val="5AF51635"/>
    <w:rsid w:val="5B35151B"/>
    <w:rsid w:val="5B76105A"/>
    <w:rsid w:val="5BA3355B"/>
    <w:rsid w:val="5BA43E21"/>
    <w:rsid w:val="5BB277B2"/>
    <w:rsid w:val="5BC74C13"/>
    <w:rsid w:val="5C1004D6"/>
    <w:rsid w:val="5C156B4A"/>
    <w:rsid w:val="5CB5049B"/>
    <w:rsid w:val="5CDF5B59"/>
    <w:rsid w:val="5D211424"/>
    <w:rsid w:val="5D385E92"/>
    <w:rsid w:val="5D46277E"/>
    <w:rsid w:val="5D6067EA"/>
    <w:rsid w:val="5D754B70"/>
    <w:rsid w:val="5D8F0D5B"/>
    <w:rsid w:val="5DCA5231"/>
    <w:rsid w:val="5DDC6E31"/>
    <w:rsid w:val="5EC55BA3"/>
    <w:rsid w:val="5EC67432"/>
    <w:rsid w:val="5ED166D5"/>
    <w:rsid w:val="5F3758FE"/>
    <w:rsid w:val="5F7E0940"/>
    <w:rsid w:val="5F7E303B"/>
    <w:rsid w:val="5F8C756F"/>
    <w:rsid w:val="5FC60F66"/>
    <w:rsid w:val="5FF8050F"/>
    <w:rsid w:val="60003286"/>
    <w:rsid w:val="6008771F"/>
    <w:rsid w:val="6079648C"/>
    <w:rsid w:val="61946B3E"/>
    <w:rsid w:val="62C51434"/>
    <w:rsid w:val="63351269"/>
    <w:rsid w:val="6353562C"/>
    <w:rsid w:val="636F1DA9"/>
    <w:rsid w:val="636F2E72"/>
    <w:rsid w:val="639F57BB"/>
    <w:rsid w:val="63A73B75"/>
    <w:rsid w:val="63B84130"/>
    <w:rsid w:val="6439520B"/>
    <w:rsid w:val="645E6965"/>
    <w:rsid w:val="64776D55"/>
    <w:rsid w:val="6495468A"/>
    <w:rsid w:val="64BB698E"/>
    <w:rsid w:val="64C419F9"/>
    <w:rsid w:val="64EF6129"/>
    <w:rsid w:val="651545F7"/>
    <w:rsid w:val="653D3F7B"/>
    <w:rsid w:val="65527EE2"/>
    <w:rsid w:val="65720529"/>
    <w:rsid w:val="659E755E"/>
    <w:rsid w:val="65AB478B"/>
    <w:rsid w:val="65AE30D4"/>
    <w:rsid w:val="65F50ED0"/>
    <w:rsid w:val="660F689E"/>
    <w:rsid w:val="663A6C50"/>
    <w:rsid w:val="667927DD"/>
    <w:rsid w:val="67447782"/>
    <w:rsid w:val="674F2D70"/>
    <w:rsid w:val="67834144"/>
    <w:rsid w:val="67FB3202"/>
    <w:rsid w:val="68070101"/>
    <w:rsid w:val="68156D2F"/>
    <w:rsid w:val="682360DE"/>
    <w:rsid w:val="68391610"/>
    <w:rsid w:val="68430AED"/>
    <w:rsid w:val="684A1EA2"/>
    <w:rsid w:val="68980B8A"/>
    <w:rsid w:val="68A90136"/>
    <w:rsid w:val="68CB1027"/>
    <w:rsid w:val="69EC72A7"/>
    <w:rsid w:val="6A414B8C"/>
    <w:rsid w:val="6A6F6A31"/>
    <w:rsid w:val="6AA634AF"/>
    <w:rsid w:val="6ADD336D"/>
    <w:rsid w:val="6B335C5E"/>
    <w:rsid w:val="6BB106AA"/>
    <w:rsid w:val="6BC42BD3"/>
    <w:rsid w:val="6BEA2745"/>
    <w:rsid w:val="6C7020AA"/>
    <w:rsid w:val="6CF7239E"/>
    <w:rsid w:val="6D9168A5"/>
    <w:rsid w:val="6E0B3324"/>
    <w:rsid w:val="6E344F23"/>
    <w:rsid w:val="6E9D2026"/>
    <w:rsid w:val="6ED84526"/>
    <w:rsid w:val="6EE96614"/>
    <w:rsid w:val="6EF41474"/>
    <w:rsid w:val="6F433448"/>
    <w:rsid w:val="6FEB73FD"/>
    <w:rsid w:val="701E7516"/>
    <w:rsid w:val="705931BC"/>
    <w:rsid w:val="7096667E"/>
    <w:rsid w:val="709D665A"/>
    <w:rsid w:val="70DA6A2E"/>
    <w:rsid w:val="71802D11"/>
    <w:rsid w:val="71C263B2"/>
    <w:rsid w:val="71DE34F6"/>
    <w:rsid w:val="7211685F"/>
    <w:rsid w:val="721C79E2"/>
    <w:rsid w:val="724950AF"/>
    <w:rsid w:val="724E0E1E"/>
    <w:rsid w:val="726273B2"/>
    <w:rsid w:val="729E4A79"/>
    <w:rsid w:val="72BC3889"/>
    <w:rsid w:val="72DB1EE3"/>
    <w:rsid w:val="74F04876"/>
    <w:rsid w:val="75242F32"/>
    <w:rsid w:val="761A3592"/>
    <w:rsid w:val="763972B9"/>
    <w:rsid w:val="76760238"/>
    <w:rsid w:val="76A17270"/>
    <w:rsid w:val="773F5765"/>
    <w:rsid w:val="7837441A"/>
    <w:rsid w:val="78FE1A32"/>
    <w:rsid w:val="79CF6220"/>
    <w:rsid w:val="7A545B1C"/>
    <w:rsid w:val="7AAB11D5"/>
    <w:rsid w:val="7AC8368B"/>
    <w:rsid w:val="7AFE5E5F"/>
    <w:rsid w:val="7B23128D"/>
    <w:rsid w:val="7BB21527"/>
    <w:rsid w:val="7C0D1882"/>
    <w:rsid w:val="7C774668"/>
    <w:rsid w:val="7C8F7014"/>
    <w:rsid w:val="7DF17BC3"/>
    <w:rsid w:val="7E484C48"/>
    <w:rsid w:val="7E6D67B0"/>
    <w:rsid w:val="7E7510EA"/>
    <w:rsid w:val="7E9C7095"/>
    <w:rsid w:val="7EB06F3B"/>
    <w:rsid w:val="7EB22933"/>
    <w:rsid w:val="7EF944E8"/>
    <w:rsid w:val="7F225CBE"/>
    <w:rsid w:val="7F314B27"/>
    <w:rsid w:val="7F446008"/>
    <w:rsid w:val="7F557527"/>
    <w:rsid w:val="7F834CFE"/>
    <w:rsid w:val="7FE26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3">
    <w:name w:val="heading 1"/>
    <w:basedOn w:val="1"/>
    <w:next w:val="1"/>
    <w:link w:val="19"/>
    <w:qFormat/>
    <w:uiPriority w:val="0"/>
    <w:pPr>
      <w:keepNext/>
      <w:keepLines/>
      <w:spacing w:line="360" w:lineRule="auto"/>
      <w:outlineLvl w:val="0"/>
    </w:pPr>
    <w:rPr>
      <w:rFonts w:ascii="Times New Roman" w:hAnsi="Times New Roman" w:eastAsia="宋体"/>
      <w:b/>
      <w:bCs/>
      <w:kern w:val="44"/>
      <w:sz w:val="24"/>
      <w:szCs w:val="44"/>
    </w:rPr>
  </w:style>
  <w:style w:type="paragraph" w:styleId="4">
    <w:name w:val="heading 2"/>
    <w:basedOn w:val="1"/>
    <w:next w:val="1"/>
    <w:link w:val="18"/>
    <w:unhideWhenUsed/>
    <w:qFormat/>
    <w:uiPriority w:val="0"/>
    <w:pPr>
      <w:keepNext/>
      <w:keepLines/>
      <w:spacing w:line="360" w:lineRule="auto"/>
      <w:outlineLvl w:val="1"/>
    </w:pPr>
    <w:rPr>
      <w:rFonts w:ascii="Times New Roman" w:hAnsi="Times New Roman" w:eastAsia="宋体" w:cstheme="majorBidi"/>
      <w:b/>
      <w:bCs/>
      <w:sz w:val="24"/>
      <w:szCs w:val="32"/>
    </w:rPr>
  </w:style>
  <w:style w:type="paragraph" w:styleId="5">
    <w:name w:val="heading 3"/>
    <w:basedOn w:val="1"/>
    <w:next w:val="1"/>
    <w:link w:val="20"/>
    <w:semiHidden/>
    <w:unhideWhenUsed/>
    <w:qFormat/>
    <w:uiPriority w:val="0"/>
    <w:pPr>
      <w:keepNext/>
      <w:keepLines/>
      <w:spacing w:line="360" w:lineRule="auto"/>
      <w:outlineLvl w:val="2"/>
    </w:pPr>
    <w:rPr>
      <w:rFonts w:eastAsia="宋体"/>
      <w:b/>
      <w:bCs/>
      <w:sz w:val="24"/>
      <w:szCs w:val="32"/>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6"/>
    <w:qFormat/>
    <w:uiPriority w:val="0"/>
    <w:pPr>
      <w:spacing w:line="360" w:lineRule="auto"/>
      <w:ind w:left="113" w:right="113" w:firstLine="200" w:firstLineChars="200"/>
      <w:jc w:val="both"/>
    </w:pPr>
    <w:rPr>
      <w:rFonts w:ascii="Times New Roman" w:hAnsi="Times New Roman" w:eastAsia="宋体"/>
      <w:sz w:val="24"/>
    </w:rPr>
  </w:style>
  <w:style w:type="paragraph" w:styleId="6">
    <w:name w:val="caption"/>
    <w:basedOn w:val="1"/>
    <w:next w:val="1"/>
    <w:unhideWhenUsed/>
    <w:qFormat/>
    <w:uiPriority w:val="0"/>
    <w:pPr>
      <w:ind w:left="113" w:right="113"/>
    </w:pPr>
    <w:rPr>
      <w:rFonts w:ascii="Times New Roman" w:hAnsi="Times New Roman" w:eastAsia="黑体" w:cstheme="majorBidi"/>
      <w:szCs w:val="20"/>
    </w:rPr>
  </w:style>
  <w:style w:type="paragraph" w:styleId="7">
    <w:name w:val="Body Text Indent"/>
    <w:basedOn w:val="1"/>
    <w:link w:val="17"/>
    <w:qFormat/>
    <w:uiPriority w:val="0"/>
    <w:pPr>
      <w:spacing w:line="500" w:lineRule="exact"/>
      <w:ind w:firstLine="560" w:firstLineChars="200"/>
    </w:pPr>
    <w:rPr>
      <w:rFonts w:ascii="仿宋_GB2312" w:eastAsia="仿宋_GB2312"/>
      <w:sz w:val="28"/>
      <w:szCs w:val="24"/>
    </w:rPr>
  </w:style>
  <w:style w:type="paragraph" w:styleId="8">
    <w:name w:val="footer"/>
    <w:basedOn w:val="1"/>
    <w:qFormat/>
    <w:uiPriority w:val="0"/>
    <w:pPr>
      <w:tabs>
        <w:tab w:val="center" w:pos="4153"/>
        <w:tab w:val="right" w:pos="8306"/>
      </w:tabs>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0">
    <w:name w:val="Body Text Indent 3"/>
    <w:basedOn w:val="1"/>
    <w:qFormat/>
    <w:uiPriority w:val="0"/>
    <w:pPr>
      <w:spacing w:line="500" w:lineRule="exact"/>
      <w:ind w:firstLine="480" w:firstLineChars="200"/>
    </w:pPr>
    <w:rPr>
      <w:rFonts w:ascii="仿宋_GB2312" w:eastAsia="仿宋_GB2312"/>
      <w:sz w:val="24"/>
    </w:rPr>
  </w:style>
  <w:style w:type="paragraph" w:styleId="11">
    <w:name w:val="Title"/>
    <w:basedOn w:val="1"/>
    <w:next w:val="1"/>
    <w:link w:val="27"/>
    <w:qFormat/>
    <w:uiPriority w:val="0"/>
    <w:pPr>
      <w:spacing w:line="360" w:lineRule="auto"/>
      <w:outlineLvl w:val="0"/>
    </w:pPr>
    <w:rPr>
      <w:rFonts w:ascii="Times New Roman" w:hAnsi="Times New Roman" w:eastAsia="宋体" w:cstheme="majorBidi"/>
      <w:b/>
      <w:bCs/>
      <w:sz w:val="28"/>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Table Normal"/>
    <w:semiHidden/>
    <w:unhideWhenUsed/>
    <w:qFormat/>
    <w:uiPriority w:val="0"/>
    <w:tblPr>
      <w:tblCellMar>
        <w:top w:w="0" w:type="dxa"/>
        <w:left w:w="0" w:type="dxa"/>
        <w:bottom w:w="0" w:type="dxa"/>
        <w:right w:w="0" w:type="dxa"/>
      </w:tblCellMar>
    </w:tblPr>
  </w:style>
  <w:style w:type="character" w:customStyle="1" w:styleId="16">
    <w:name w:val="正文文本 字符"/>
    <w:basedOn w:val="14"/>
    <w:link w:val="2"/>
    <w:qFormat/>
    <w:uiPriority w:val="0"/>
    <w:rPr>
      <w:rFonts w:cs="Arial"/>
      <w:snapToGrid w:val="0"/>
      <w:color w:val="000000"/>
      <w:sz w:val="24"/>
      <w:szCs w:val="21"/>
    </w:rPr>
  </w:style>
  <w:style w:type="character" w:customStyle="1" w:styleId="17">
    <w:name w:val="正文文本缩进 字符"/>
    <w:basedOn w:val="14"/>
    <w:link w:val="7"/>
    <w:qFormat/>
    <w:uiPriority w:val="0"/>
    <w:rPr>
      <w:rFonts w:ascii="仿宋_GB2312" w:hAnsi="Arial" w:eastAsia="仿宋_GB2312" w:cs="Arial"/>
      <w:snapToGrid w:val="0"/>
      <w:color w:val="000000"/>
      <w:sz w:val="28"/>
      <w:szCs w:val="24"/>
    </w:rPr>
  </w:style>
  <w:style w:type="character" w:customStyle="1" w:styleId="18">
    <w:name w:val="标题 2 字符"/>
    <w:basedOn w:val="14"/>
    <w:link w:val="4"/>
    <w:qFormat/>
    <w:uiPriority w:val="0"/>
    <w:rPr>
      <w:rFonts w:cstheme="majorBidi"/>
      <w:b/>
      <w:bCs/>
      <w:snapToGrid w:val="0"/>
      <w:color w:val="000000"/>
      <w:sz w:val="24"/>
      <w:szCs w:val="32"/>
    </w:rPr>
  </w:style>
  <w:style w:type="character" w:customStyle="1" w:styleId="19">
    <w:name w:val="标题 1 字符"/>
    <w:basedOn w:val="14"/>
    <w:link w:val="3"/>
    <w:qFormat/>
    <w:uiPriority w:val="0"/>
    <w:rPr>
      <w:rFonts w:cs="Arial"/>
      <w:b/>
      <w:bCs/>
      <w:snapToGrid w:val="0"/>
      <w:color w:val="000000"/>
      <w:kern w:val="44"/>
      <w:sz w:val="24"/>
      <w:szCs w:val="44"/>
    </w:rPr>
  </w:style>
  <w:style w:type="character" w:customStyle="1" w:styleId="20">
    <w:name w:val="标题 3 字符"/>
    <w:basedOn w:val="14"/>
    <w:link w:val="5"/>
    <w:semiHidden/>
    <w:qFormat/>
    <w:uiPriority w:val="0"/>
    <w:rPr>
      <w:rFonts w:ascii="Arial" w:hAnsi="Arial" w:cs="Arial"/>
      <w:b/>
      <w:bCs/>
      <w:snapToGrid w:val="0"/>
      <w:color w:val="000000"/>
      <w:sz w:val="24"/>
      <w:szCs w:val="32"/>
    </w:rPr>
  </w:style>
  <w:style w:type="paragraph" w:customStyle="1" w:styleId="21">
    <w:name w:val="图、表标题"/>
    <w:basedOn w:val="2"/>
    <w:link w:val="22"/>
    <w:qFormat/>
    <w:uiPriority w:val="0"/>
    <w:pPr>
      <w:spacing w:line="240" w:lineRule="auto"/>
      <w:ind w:firstLine="0" w:firstLineChars="0"/>
      <w:jc w:val="center"/>
    </w:pPr>
    <w:rPr>
      <w:rFonts w:cs="Times New Roman"/>
      <w:b/>
      <w:bCs/>
      <w:sz w:val="21"/>
    </w:rPr>
  </w:style>
  <w:style w:type="character" w:customStyle="1" w:styleId="22">
    <w:name w:val="图、表标题 字符"/>
    <w:basedOn w:val="16"/>
    <w:link w:val="21"/>
    <w:qFormat/>
    <w:uiPriority w:val="0"/>
    <w:rPr>
      <w:rFonts w:cs="Arial"/>
      <w:b/>
      <w:bCs/>
      <w:snapToGrid w:val="0"/>
      <w:color w:val="000000"/>
      <w:sz w:val="21"/>
      <w:szCs w:val="21"/>
    </w:rPr>
  </w:style>
  <w:style w:type="paragraph" w:customStyle="1" w:styleId="23">
    <w:name w:val="图"/>
    <w:basedOn w:val="21"/>
    <w:link w:val="25"/>
    <w:qFormat/>
    <w:uiPriority w:val="0"/>
    <w:pPr>
      <w:ind w:left="0" w:right="0"/>
    </w:pPr>
  </w:style>
  <w:style w:type="paragraph" w:customStyle="1" w:styleId="24">
    <w:name w:val="表格"/>
    <w:basedOn w:val="1"/>
    <w:link w:val="26"/>
    <w:qFormat/>
    <w:uiPriority w:val="0"/>
    <w:pPr>
      <w:jc w:val="center"/>
      <w:textAlignment w:val="center"/>
    </w:pPr>
    <w:rPr>
      <w:rFonts w:ascii="Times New Roman" w:hAnsi="Times New Roman" w:eastAsia="宋体" w:cs="Times New Roman"/>
      <w:bCs/>
    </w:rPr>
  </w:style>
  <w:style w:type="character" w:customStyle="1" w:styleId="25">
    <w:name w:val="图 字符"/>
    <w:basedOn w:val="22"/>
    <w:link w:val="23"/>
    <w:qFormat/>
    <w:uiPriority w:val="0"/>
    <w:rPr>
      <w:rFonts w:cs="Arial"/>
      <w:snapToGrid w:val="0"/>
      <w:color w:val="000000"/>
      <w:sz w:val="21"/>
      <w:szCs w:val="21"/>
    </w:rPr>
  </w:style>
  <w:style w:type="character" w:customStyle="1" w:styleId="26">
    <w:name w:val="表格 字符"/>
    <w:basedOn w:val="14"/>
    <w:link w:val="24"/>
    <w:qFormat/>
    <w:uiPriority w:val="0"/>
    <w:rPr>
      <w:bCs/>
      <w:snapToGrid w:val="0"/>
      <w:color w:val="000000"/>
      <w:sz w:val="21"/>
      <w:szCs w:val="21"/>
    </w:rPr>
  </w:style>
  <w:style w:type="character" w:customStyle="1" w:styleId="27">
    <w:name w:val="标题 字符"/>
    <w:basedOn w:val="14"/>
    <w:link w:val="11"/>
    <w:qFormat/>
    <w:uiPriority w:val="0"/>
    <w:rPr>
      <w:rFonts w:cstheme="majorBidi"/>
      <w:b/>
      <w:bCs/>
      <w:snapToGrid w:val="0"/>
      <w:color w:val="000000"/>
      <w:sz w:val="28"/>
      <w:szCs w:val="32"/>
    </w:rPr>
  </w:style>
  <w:style w:type="paragraph" w:customStyle="1" w:styleId="28">
    <w:name w:val="标准、规范"/>
    <w:basedOn w:val="1"/>
    <w:link w:val="29"/>
    <w:qFormat/>
    <w:uiPriority w:val="0"/>
    <w:pPr>
      <w:spacing w:line="360" w:lineRule="auto"/>
      <w:ind w:left="113" w:right="113"/>
    </w:pPr>
    <w:rPr>
      <w:rFonts w:ascii="Times New Roman" w:hAnsi="Times New Roman" w:eastAsia="宋体" w:cs="宋体"/>
      <w:spacing w:val="2"/>
      <w:sz w:val="24"/>
      <w:szCs w:val="24"/>
    </w:rPr>
  </w:style>
  <w:style w:type="character" w:customStyle="1" w:styleId="29">
    <w:name w:val="标准、规范 字符"/>
    <w:basedOn w:val="14"/>
    <w:link w:val="28"/>
    <w:qFormat/>
    <w:uiPriority w:val="0"/>
    <w:rPr>
      <w:rFonts w:cs="宋体"/>
      <w:snapToGrid w:val="0"/>
      <w:color w:val="000000"/>
      <w:spacing w:val="2"/>
      <w:sz w:val="24"/>
      <w:szCs w:val="24"/>
    </w:rPr>
  </w:style>
  <w:style w:type="character" w:styleId="30">
    <w:name w:val="Placeholder Text"/>
    <w:basedOn w:val="14"/>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numbering" Target="numbering.xml"/><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pn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6CAB4-BE7C-4A68-A47C-49E5BF5FA99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54</Pages>
  <Words>4889</Words>
  <Characters>5528</Characters>
  <Lines>1447</Lines>
  <Paragraphs>1409</Paragraphs>
  <TotalTime>6</TotalTime>
  <ScaleCrop>false</ScaleCrop>
  <LinksUpToDate>false</LinksUpToDate>
  <CharactersWithSpaces>10121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2026-08-07T06:19:00Z</dcterms:created>
  <dc:creator>tyrion</dc:creator>
  <cp:lastModifiedBy>蓝色忧郁</cp:lastModifiedBy>
  <dcterms:modified xsi:type="dcterms:W3CDTF">2026-08-07T06:29:30Z</dcterms:modified>
  <dc:title>编号：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2022-10-14T14:24:42Z</vt:filetime>
  </property>
  <property fmtid="{D5CDD505-2E9C-101B-9397-08002B2CF9AE}" pid="4" name="KSOProductBuildVer">
    <vt:lpwstr>2052-12.1.0.26895</vt:lpwstr>
  </property>
  <property fmtid="{D5CDD505-2E9C-101B-9397-08002B2CF9AE}" pid="5" name="ICV">
    <vt:lpwstr>22E8BA6DDABE456A9019944EB1BD1078</vt:lpwstr>
  </property>
  <property fmtid="{D5CDD505-2E9C-101B-9397-08002B2CF9AE}" pid="6" name="KSOTemplateDocerSaveRecord">
    <vt:lpwstr>eyJoZGlkIjoiM2E5ZmZkYzViMDAyNDgzZjA5YTIzMWEwODZjYTIzMDgiLCJ1c2VySWQiOiIyMzY1ODcwMDEifQ==</vt:lpwstr>
  </property>
</Properties>
</file>