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5E8F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6582E28E">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p>
        </w:tc>
      </w:tr>
      <w:tr w14:paraId="533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1DE75410">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2026年度江阴市商务局部门预算公开</w:t>
            </w:r>
            <w:r>
              <w:rPr>
                <w:b w:val="on"/>
                <w:rFonts w:ascii="宋体" w:eastAsia="宋体" w:hAnsi="宋体" w:cs="宋体"/>
                <w:sz w:val="52"/>
                <w:u w:color="auto"/>
              </w:rPr>
              <w:t/>
            </w:r>
            <w:r>
              <w:rPr>
                <w:b w:val="on"/>
                <w:rFonts w:ascii="宋体" w:eastAsia="宋体" w:hAnsi="宋体" w:cs="宋体"/>
                <w:sz w:val="52"/>
                <w:u w:color="auto"/>
              </w:rPr>
              <w:t/>
            </w:r>
          </w:p>
        </w:tc>
      </w:tr>
    </w:tbl>
    <w:p w14:paraId="14897ACB">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AEB147C">
      <w:pPr>
        <w:pStyle w:val="8"/>
        <w:spacing w:before="4" w:after="0"/>
        <w:rPr>
          <w:rFonts w:ascii="华文仿宋" w:hAnsi="华文仿宋" w:eastAsia="华文仿宋" w:cs="仿宋"/>
          <w:sz w:val="10"/>
        </w:rPr>
      </w:pPr>
    </w:p>
    <w:p w14:paraId="739D6A77">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499024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63325B0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502DA453">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658D690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552D6E1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2026</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2B33D14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lang w:val="en-US" w:eastAsia="zh-CN"/>
          <w:u/>
        </w:rPr>
        <w:t>年度</w:t>
      </w:r>
      <w:r>
        <w:rPr>
          <w:b w:val="on"/>
          <w:rFonts w:ascii="仿宋" w:eastAsia="仿宋" w:hAnsi="仿宋" w:cs="仿宋"/>
          <w:u w:color="auto"/>
        </w:rPr>
        <w:t>部门</w:t>
      </w:r>
      <w:r>
        <w:rPr>
          <w:b w:val="on"/>
          <w:rFonts w:ascii="仿宋" w:eastAsia="仿宋" w:hAnsi="仿宋" w:cs="仿宋"/>
          <w:u w:color="auto"/>
        </w:rPr>
        <w:t>预算表</w:t>
      </w:r>
    </w:p>
    <w:p w14:paraId="697B2D1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21CD196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2D83067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3668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F8EC72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D300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CA016C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4387C9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79124B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1E56A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58E1B9C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5D5451F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C8D45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2B2329B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color w:val="000000"/>
          <w:sz w:val="30"/>
          <w:szCs w:val="30"/>
          <w:lang w:val="en-US" w:bidi="ar"/>
          <w:u/>
        </w:rPr>
        <w:t>年度</w:t>
      </w:r>
      <w:r>
        <w:rPr>
          <w:b w:val="on"/>
          <w:color w:val="000000"/>
          <w:rFonts w:ascii="仿宋" w:eastAsia="仿宋" w:hAnsi="仿宋" w:cs="仿宋"/>
          <w:sz w:val="30"/>
          <w:u w:color="auto"/>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7567B9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3626083D">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62BECF84">
      <w:pPr>
        <w:pStyle w:val="8"/>
        <w:spacing w:before="1" w:after="0"/>
        <w:rPr>
          <w:rFonts w:ascii="华文仿宋" w:hAnsi="华文仿宋" w:eastAsia="华文仿宋" w:cs="仿宋"/>
          <w:sz w:val="14"/>
        </w:rPr>
      </w:pPr>
    </w:p>
    <w:p w14:paraId="6E02EF27">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w:t>
      </w:r>
      <w:r>
        <w:rPr>
          <w:rFonts w:hint="eastAsia" w:ascii="仿宋" w:hAnsi="仿宋" w:eastAsia="仿宋" w:cs="仿宋"/>
          <w:b/>
          <w:bCs/>
        </w:rPr>
        <w:t>概况</w:t>
      </w:r>
    </w:p>
    <w:p w14:paraId="596E3451">
      <w:pPr>
        <w:ind w:right="504" w:rightChars="229"/>
        <w:jc w:val="both"/>
        <w:rPr>
          <w:rFonts w:hint="eastAsia"/>
        </w:rPr>
      </w:pPr>
    </w:p>
    <w:p w14:paraId="4E0400A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（1）贯彻、执行国家、省、市有关服务业、商贸、对外贸易、国际经济投资与合作的法律法规和具体政策，拟订相关地方规范性文件并组织实施。</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拟订全市商贸发展战略和中长期发展规划，编制年度目标和工作计划，提出政策建议和调控措施并组织实施；参与拟订全市服务业发展战略和中长期发展规划；调控和监测全市商贸运行状况，发布市场信息；研究经济全球化以及现代商贸发展方向，实施全市商贸市场体系、大宗产品批发市场和城市商业网点规划建设，指导城乡商贸服务业发展和社区商贸服务业规划建设，推进农村市场体系和现代流通网络工程建设；研究现代流通发展方向，推动流通标准化和连锁经营、物流配送等现代流通方式的发展，拟订电子商务发展的标准、政策、规则，并做好相应推进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承担消费品市场调控和重要生产资料流通管理，调查分析商品价格信息，进行市场预测预警和信息引导；负责建立健全生活必需品市场供应应急管理体制机制，按分工负责重要消费品储备管理和市场调控工作；牵头协调整顿和规范市场经济秩序，拟订规范市场运行、流通秩序的相关政策措施，牵头商贸行政综合执法，推动商贸领域信用建设；加强商业特许经营许可管理，按有关规定对成品油流通进行监督管理。</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负责全市进出口贸易管理，拟订促进外贸增长方式转变的政策措施，编制年度进出口目标和工作计划；负责协调、管理进出口许可证申请报批；管理加工贸易；联络协调涉外部门解决外贸出口中的有关问题；推广电子商务；负责国际市场开拓，组织参加国际、国内重要进出口贸易交易会、展销会。推进全市外贸企业国际标准的贯彻和创国际品牌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5）按照国家对外技术贸易政策，推进技术贸易发展地方规划及其政策的制定，负责技术进出口项目的转报，承担技术进出口市场开拓与协调管理工作落实技术和成套设备进出口政策，依法监督全市技术引进、设备进口、国家限制出口技术的工作；按照分工开展国际商务领域知识产权保护工作，探索和研究服务贸易领域对外开放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承担机电产品进口管理，按照国家机电产品进出口管理的方针政策和法规，拟订全市机电产品进出口规划和年度计划，拟订机电产品出口的地方规范性文件；负责机电产品进口国际招标，经营者备案登记工作，推进重要机电产品出口基地建设。</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6）负责公平贸易工作，承担协调全市反倾销、反补贴、保障措施的应对事务；建立公平贸易预警机制，组织产业损害调查，指导协调产业安全应对工作，参与开展反垄断调查，承办有关行政复议和行政应诉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7）负责指导、协调、管理全市利用外资工作，拟订和执行我市利用外资的地方规范性文件，参与拟订全市外商投资的发展战略和中长期规划；协同编制我市招商引资宣传资料，负责外商直接投资项目的审批或报批；审核、上报国家规定的限额以上、限制投资和涉及配额、许可证管理的外商投资企业的设立；审核外商投资项目的合同、章程及其变更；监督检查外商投资企业执行有关法律法规和合同、章程的情况，并协调解决有关问题；负责市利用外资管理委员会日常工作；指导和规范对外招商引资活动，指导投资促进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8）牵头拟订全市服务外包产业发展规划、措施及相关政策建议；跟踪全球服务外包产业发展信息，加强与国家商务部、省商务厅、无锡市及国内外相关组织的联系联络工作，推进服务外包示范区和集聚园区建设；协调组织服务外包产业重大招商活动，推动服务外包产业重点项目的落实；协调服务外包人才培训和协作机制推进；协助服务外包企业资格认定、考核奖励和国际认证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（9）协调、指导、服务全市各类开发区、特色产业园区建设发展工作；组织、指导、协调全市开发区的招商引资、项目推进和园区建设；负责开发区的统计分析。</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10）指导、监督和管理全市对外投资和经济合作业务；核准、报批企业在境外投资开办企业和机构（金融企业除外）；核准对外承包工程企业经营资质，初审对外劳务合作、境外就业经营资质；负责对外承包工程、劳务合作、境外就业项目审查和外派劳务招收备案；承担对外援助和接受国际援助项目的归口管理；推进对外经济合作的促进和服务体系建设。</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（11）负责全市商务团组出国（境）审核；管理全市海外经贸网络；负责局驻海外经贸代表机构队伍建设、人员选派和管理；指导全市商贸队伍加强业务建设。</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（12）协调商检、海关、质检、银行、外汇、出口信用保险与商务工作有关的事项；指导有关协会、商会、学会的工作。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（13）承办市政府交办的其他事项。</w:t>
      </w:r>
      <w:r>
        <w:rPr>
          <w:rFonts w:ascii="仿宋" w:eastAsia="仿宋" w:hAnsi="仿宋" w:cs="仿宋"/>
          <w:u w:color="auto"/>
        </w:rPr>
        <w:t/>
      </w:r>
    </w:p>
    <w:p w14:paraId="6B17DD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u/>
        </w:rPr>
        <w:t>二、</w:t>
      </w:r>
      <w:r>
        <w:rPr>
          <w:b w:val="on"/>
          <w:rFonts w:ascii="仿宋" w:eastAsia="仿宋" w:hAnsi="仿宋" w:cs="仿宋"/>
          <w:u w:color="auto"/>
        </w:rPr>
        <w:t>部门</w:t>
      </w:r>
      <w:r>
        <w:rPr>
          <w:rFonts w:hint="eastAsia" w:ascii="仿宋" w:hAnsi="仿宋" w:eastAsia="仿宋" w:cs="仿宋"/>
          <w:b/>
          <w:bCs/>
        </w:rPr>
        <w:t>机构设置及预算单位构成情况</w:t>
      </w:r>
    </w:p>
    <w:p w14:paraId="77273F3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hint="eastAsia" w:ascii="仿宋" w:hAnsi="仿宋" w:eastAsia="仿宋" w:cs="仿宋"/>
          <w:lang w:val="en-US" w:eastAsia="zh-CN"/>
          <w:u/>
        </w:rPr>
        <w:t>1.</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hint="eastAsia" w:ascii="仿宋" w:hAnsi="仿宋" w:eastAsia="仿宋" w:cs="仿宋"/>
          <w:lang w:val="en-US"/>
        </w:rPr>
        <w:t/>
      </w:r>
      <w:r>
        <w:rPr>
          <w:rFonts w:ascii="仿宋" w:eastAsia="仿宋" w:hAnsi="仿宋" w:cs="仿宋"/>
          <w:u w:color="auto"/>
        </w:rPr>
        <w:t/>
      </w:r>
      <w:r>
        <w:rPr>
          <w:rFonts w:ascii="仿宋" w:eastAsia="仿宋" w:hAnsi="仿宋" w:cs="仿宋"/>
          <w:u w:color="auto"/>
        </w:rPr>
        <w:t>本部门内设机构包括：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办公室、外国投资科、对外贸易科、外经合作科、口岸管理科、贸易市场科、电子商务科、安全生产监督管理科、组织人事科。</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本部门下属单位包括：江阴市投资促进中心，江阴市商贸管理办公室，江阴市服务业发展中心。</w:t>
      </w:r>
      <w:r>
        <w:rPr>
          <w:rFonts w:ascii="仿宋" w:eastAsia="仿宋" w:hAnsi="仿宋" w:cs="仿宋"/>
          <w:u w:color="auto"/>
        </w:rPr>
        <w:t/>
      </w:r>
      <w:r>
        <w:rPr>
          <w:rFonts w:ascii="仿宋" w:eastAsia="仿宋" w:hAnsi="仿宋" w:cs="仿宋"/>
          <w:u w:color="auto"/>
        </w:rPr>
        <w:t/>
      </w:r>
    </w:p>
    <w:p w14:paraId="4D6F6C6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2026</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4</w:t>
      </w:r>
      <w:r>
        <w:rPr>
          <w:rFonts w:ascii="仿宋" w:eastAsia="仿宋" w:hAnsi="仿宋" w:cs="仿宋"/>
          <w:u w:color="auto"/>
        </w:rPr>
        <w:t/>
      </w:r>
      <w:r>
        <w:rPr>
          <w:rFonts w:ascii="仿宋" w:eastAsia="仿宋" w:hAnsi="仿宋" w:cs="仿宋"/>
          <w:u w:color="auto"/>
        </w:rPr>
        <w:t/>
      </w:r>
      <w:r>
        <w:rPr>
          <w:rFonts w:hint="eastAsia" w:ascii="仿宋" w:hAnsi="仿宋" w:eastAsia="仿宋" w:cs="仿宋"/>
        </w:rPr>
        <w:t>家，具体包括：</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江阴市商务局（机关），江阴市投资促进中心，江阴市商贸管理办公室，江阴市服务业发展中心。</w:t>
      </w:r>
      <w:r>
        <w:rPr>
          <w:rFonts w:ascii="仿宋" w:eastAsia="仿宋" w:hAnsi="仿宋" w:cs="仿宋"/>
          <w:u w:color="auto"/>
        </w:rPr>
        <w:t/>
      </w:r>
      <w:r>
        <w:rPr>
          <w:rFonts w:ascii="仿宋" w:eastAsia="仿宋" w:hAnsi="仿宋" w:cs="仿宋"/>
          <w:u w:color="auto"/>
        </w:rPr>
        <w:t/>
      </w:r>
    </w:p>
    <w:p w14:paraId="17E355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2026</w:t>
      </w:r>
      <w:r>
        <w:rPr>
          <w:rFonts w:hint="eastAsia" w:ascii="仿宋" w:hAnsi="仿宋" w:eastAsia="仿宋" w:cs="仿宋"/>
          <w:b/>
          <w:bCs/>
          <w:u/>
        </w:rPr>
        <w:t>年度</w:t>
      </w:r>
      <w:r>
        <w:rPr>
          <w:b w:val="on"/>
          <w:rFonts w:ascii="仿宋" w:eastAsia="仿宋" w:hAnsi="仿宋" w:cs="仿宋"/>
          <w:u w:color="auto"/>
        </w:rPr>
        <w:t>部门</w:t>
      </w:r>
      <w:r>
        <w:rPr>
          <w:b w:val="on"/>
          <w:rFonts w:ascii="仿宋" w:eastAsia="仿宋" w:hAnsi="仿宋" w:cs="仿宋"/>
          <w:u w:color="auto"/>
        </w:rPr>
        <w:t>主要工作任务及目标</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是深化招商引资机制改革。优化招引机制。完善“双招双引”体制机制，设立四大驻点工作小组，常态化对接长三角、粤港澳、京津冀、西三角等创新资源。深化央企、民企、外企对接机制，锁定龙头央企与知名民企，强化高层联络，推动外资项目落地。聚焦特色园区。实施“一园一主导产业、一业一精准策略”，绘制产业链全景图谱，依托经济云平台完善项目全生命周期管理，强化项目风险预评估与落地衔接。突出链主引领。挖掘龙头企业扩大投资潜力，鼓励其开放供应链，通过“引上游、接下游”形成雁阵效应，推动以商引商。深化资本招商。加强与基金及中介机构合作，举办投融对接活动，拓展项目信息源，强化投后服务与资源匹配。</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是推动开放型经济提质增效。稳定外资基本盘。建立健全重大外资项目动态管理库，重点推进盛合晶微、利电五期等增资项目落地。全面摸排外资企业利润状况与增资意向，加大递延纳税、税收抵免等政策的宣贯落实力度，充分调动企业增资扩股积极性。培育外贸新动能。构建常态化监测预警机制，密切跟踪中美政策动态，引导帮助企业通过商业谈判、降本增效、拓展多元市场等方式，化解贸易壁垒与制裁压力。用足用好出口信用保险政策，扩大中小微企业统保平台覆盖面，支持企业开展个性化投保。推动跨境电商“3+50+N”矩阵建设，培育重点产业和骨干企业进入跨境电商新赛道，加快外贸数字化转型。创新外经合作模式。支持企业开展国际产能合作，助力创新内保外贷、境外项目融资等跨境金融产品，为企业“走出去”提供全链条支持。建立境外投资风险防控体系，指导企业健全内部风险防控机制，保障境外资产和人员安全。</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是促进消费市场繁荣稳定。强化运行监测。紧盯重点板块与负向拉动企业，加强部门协同与政策兑现，拓展达标企业入库与总部型企业引进，做大增量。优化消费供给。统筹全市商业布局，推动核心商圈连片提升，加快山姆超市、奥乐齐等重点项目落地。做亮夜间经济，培育消费新地标，推动商文旅体融合，提升夜间消费集聚力。完善便民服务。推进县域商业体系建设与城市一刻钟便民生活圈建设，加强成品油市场与预付卡管理，提升消费品质与体验。擦亮电商品牌。推进新桥电商小镇规模化发展，优化政策扶持与平台对接。实施主播梯队培养计划，加强校企合作与人才储备。发展区域电商供应链，推动产业链品牌化与供应链金融创新。</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是加快发展根基筑稳筑深。推进生产性服务业集聚。梳理企业名录，编制专项方案，明确发展目标与重点任务。加强服务业招商，突出研发设计、科技信息等领域项目引进与闭环管理。优化口岸服务效能。推广“分运集检”“两仓合一”等监管创新，深化智慧口岸建设，提升通关效率与物流便利。推进码头扩建升等与资源整合，提升港口吞吐量与综合竞争力。筑牢安全生产防线。聚焦电动自行车、动火作业等重点领域，深化治本攻坚行动。用好“澄商安全”数字平台，实现重点场所“一企一档”与分级管理。加强培训演练与应急能力建设，维护商贸领域安全稳定。</w:t>
      </w:r>
      <w:r>
        <w:rPr>
          <w:rFonts w:ascii="仿宋" w:eastAsia="仿宋" w:hAnsi="仿宋" w:cs="仿宋"/>
          <w:u w:color="auto"/>
        </w:rPr>
        <w:t/>
      </w:r>
    </w:p>
    <w:p w14:paraId="60B181B9">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ACF4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272DDB3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D8EBC2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6F080D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9DBE68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341A01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DCEEF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D7F2C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2C05E6B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2026</w:t>
      </w:r>
      <w:r>
        <w:rPr>
          <w:rFonts w:hint="eastAsia" w:ascii="仿宋" w:hAnsi="仿宋" w:eastAsia="仿宋" w:cs="仿宋"/>
          <w:b/>
          <w:bCs/>
          <w:sz w:val="44"/>
          <w:szCs w:val="44"/>
        </w:rPr>
        <w:t>年度</w:t>
      </w:r>
    </w:p>
    <w:p w14:paraId="199236A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江阴市商务局</w:t>
      </w:r>
    </w:p>
    <w:p w14:paraId="341EDBD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u/>
        </w:rPr>
        <w:t>部门</w:t>
      </w:r>
      <w:r>
        <w:rPr>
          <w:b w:val="on"/>
          <w:rFonts w:ascii="仿宋" w:eastAsia="仿宋" w:hAnsi="仿宋" w:cs="仿宋"/>
          <w:sz w:val="44"/>
          <w:u w:color="auto"/>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6B843739">
        <w:tblPrEx>
          <w:tblCellMar>
            <w:top w:w="0" w:type="dxa"/>
            <w:left w:w="108" w:type="dxa"/>
            <w:bottom w:w="0" w:type="dxa"/>
            <w:right w:w="108" w:type="dxa"/>
          </w:tblCellMar>
        </w:tblPrEx>
        <w:trPr>
          <w:trHeight w:val="116" w:hRule="atLeast"/>
          <w:jc w:val="center"/>
        </w:trPr>
        <w:tc>
          <w:tcPr>
            <w:tcW w:w="11329" w:type="dxa"/>
            <w:gridSpan w:val="5"/>
            <w:vAlign w:val="center"/>
          </w:tcPr>
          <w:p w14:paraId="702297EC">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764F984">
        <w:tblPrEx>
          <w:tblCellMar>
            <w:top w:w="0" w:type="dxa"/>
            <w:left w:w="108" w:type="dxa"/>
            <w:bottom w:w="0" w:type="dxa"/>
            <w:right w:w="108" w:type="dxa"/>
          </w:tblCellMar>
        </w:tblPrEx>
        <w:trPr>
          <w:trHeight w:val="348" w:hRule="atLeast"/>
          <w:jc w:val="center"/>
        </w:trPr>
        <w:tc>
          <w:tcPr>
            <w:tcW w:w="11329" w:type="dxa"/>
            <w:gridSpan w:val="5"/>
          </w:tcPr>
          <w:p w14:paraId="5C8D19C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24120ED6">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0821509B">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color w:val="000000"/>
                <w:sz w:val="22"/>
                <w:szCs w:val="22"/>
                <w:lang w:eastAsia="ar-SA"/>
              </w:rPr>
              <w:t>江阴市商务局</w:t>
            </w:r>
          </w:p>
        </w:tc>
        <w:tc>
          <w:tcPr>
            <w:tcW w:w="1848" w:type="dxa"/>
            <w:gridSpan w:val="2"/>
            <w:tcBorders>
              <w:bottom w:val="single" w:color="000000" w:sz="4" w:space="0"/>
            </w:tcBorders>
            <w:vAlign w:val="center"/>
          </w:tcPr>
          <w:p w14:paraId="23651FFA">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3702B088">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3FD8F87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4A7E373">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1F1A563E">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54410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A579FD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F373DD">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6220095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6,792.99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5,353.86</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299.04</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112.48</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315.67</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711.94</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1F33EBB7">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17926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DEB73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6,792.99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DD57B8">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382C9F7">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6,792.99</w:t>
            </w:r>
          </w:p>
        </w:tc>
      </w:tr>
      <w:tr w14:paraId="329AFA72">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C8D4B2">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3E159CD5">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FC60096">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4249E">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14:paraId="76EB94B8">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22224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A5632">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6,792.99</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7845E3">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365208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6,792.99</w:t>
            </w:r>
          </w:p>
        </w:tc>
      </w:tr>
    </w:tbl>
    <w:p w14:paraId="6C3B3BB7">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38C4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6B2E0BE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F2C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1E7DD5A7">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331B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E442F95">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64D72F53">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835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4B3A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E94B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97B8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9015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BFD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52C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9B3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24EB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72CFE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5D3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9D19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F7B0A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7D3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CBF6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C8E72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15E0551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43B4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F201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DF3CD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5206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B512B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B67E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FAA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A0283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79A7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A4F5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8089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760D3E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B81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12FF8">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F33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6,792.99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495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6,792.99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EBD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6,792.99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D33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32720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C9D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219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BB5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091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9507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676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17D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0118D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73A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670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9FE4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CAE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322</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江阴市商务局</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6,792.99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6,792.99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6,792.99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322002</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江阴市商务局（机关）</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5,388.97</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5,388.97</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5,388.97</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322003</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江阴市投资促进中心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726.16</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726.16</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726.16</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322006</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江阴市商贸管理办公室</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75.37</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75.37</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75.37</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322009</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江阴市服务业发展中心</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602.49</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602.49</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602.49</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14:paraId="05EA3505">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44611C65">
        <w:tblPrEx>
          <w:tblCellMar>
            <w:top w:w="55" w:type="dxa"/>
            <w:left w:w="55" w:type="dxa"/>
            <w:bottom w:w="55" w:type="dxa"/>
            <w:right w:w="55" w:type="dxa"/>
          </w:tblCellMar>
        </w:tblPrEx>
        <w:trPr>
          <w:trHeight w:val="341" w:hRule="atLeast"/>
        </w:trPr>
        <w:tc>
          <w:tcPr>
            <w:tcW w:w="15347" w:type="dxa"/>
            <w:gridSpan w:val="8"/>
            <w:vAlign w:val="center"/>
          </w:tcPr>
          <w:p w14:paraId="7061346E">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30701D2B">
        <w:tblPrEx>
          <w:tblCellMar>
            <w:top w:w="55" w:type="dxa"/>
            <w:left w:w="55" w:type="dxa"/>
            <w:bottom w:w="55" w:type="dxa"/>
            <w:right w:w="55" w:type="dxa"/>
          </w:tblCellMar>
        </w:tblPrEx>
        <w:trPr>
          <w:trHeight w:val="321" w:hRule="atLeast"/>
        </w:trPr>
        <w:tc>
          <w:tcPr>
            <w:tcW w:w="15347" w:type="dxa"/>
            <w:gridSpan w:val="8"/>
            <w:vAlign w:val="center"/>
          </w:tcPr>
          <w:p w14:paraId="314D5A4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51B21317">
        <w:tblPrEx>
          <w:tblCellMar>
            <w:top w:w="55" w:type="dxa"/>
            <w:left w:w="55" w:type="dxa"/>
            <w:bottom w:w="55" w:type="dxa"/>
            <w:right w:w="55" w:type="dxa"/>
          </w:tblCellMar>
        </w:tblPrEx>
        <w:trPr>
          <w:trHeight w:val="218" w:hRule="atLeast"/>
        </w:trPr>
        <w:tc>
          <w:tcPr>
            <w:tcW w:w="12030" w:type="dxa"/>
            <w:gridSpan w:val="6"/>
            <w:vAlign w:val="center"/>
          </w:tcPr>
          <w:p w14:paraId="73FF80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3317" w:type="dxa"/>
            <w:gridSpan w:val="2"/>
            <w:vAlign w:val="center"/>
          </w:tcPr>
          <w:p w14:paraId="232D1AB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7A36CF1">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4A31811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0470B4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4035FCF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DEB6C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5D483D2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C083FE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2282AC7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4EC4AC4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27528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2436251E">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6D30828">
            <w:pPr>
              <w:pStyle w:val="22"/>
              <w:widowControl w:val="0"/>
              <w:jc w:val="center"/>
              <w:rPr>
                <w:rFonts w:hint="eastAsia" w:ascii="仿宋" w:hAnsi="仿宋" w:eastAsia="仿宋" w:cs="仿宋"/>
                <w:sz w:val="22"/>
                <w:szCs w:val="22"/>
              </w:rPr>
            </w:pPr>
            <w:r>
              <w:rPr>
                <w:rFonts w:hint="eastAsia" w:ascii="仿宋" w:hAnsi="仿宋" w:eastAsia="仿宋" w:cs="仿宋"/>
                <w:sz w:val="22"/>
                <w:szCs w:val="22"/>
                <w:u/>
              </w:rPr>
              <w:t/>
            </w:r>
            <w:r>
              <w:rPr>
                <w:rFonts w:ascii="仿宋" w:eastAsia="仿宋" w:hAnsi="仿宋" w:cs="仿宋"/>
                <w:sz w:val="22"/>
                <w:u w:color="auto"/>
              </w:rPr>
              <w:t>合计</w:t>
            </w:r>
          </w:p>
        </w:tc>
        <w:tc>
          <w:tcPr>
            <w:tcW w:w="1920" w:type="dxa"/>
            <w:tcBorders>
              <w:left w:val="single" w:color="000000" w:sz="4" w:space="0"/>
              <w:bottom w:val="single" w:color="000000" w:sz="4" w:space="0"/>
            </w:tcBorders>
            <w:vAlign w:val="center"/>
          </w:tcPr>
          <w:p w14:paraId="0B56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c>
          <w:tcPr>
            <w:tcW w:w="1714" w:type="dxa"/>
            <w:tcBorders>
              <w:left w:val="single" w:color="000000" w:sz="4" w:space="0"/>
              <w:bottom w:val="single" w:color="000000" w:sz="4" w:space="0"/>
            </w:tcBorders>
            <w:vAlign w:val="center"/>
          </w:tcPr>
          <w:p w14:paraId="7AC1DC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2,820.62</w:t>
            </w:r>
          </w:p>
        </w:tc>
        <w:tc>
          <w:tcPr>
            <w:tcW w:w="1749" w:type="dxa"/>
            <w:tcBorders>
              <w:left w:val="single" w:color="000000" w:sz="4" w:space="0"/>
              <w:bottom w:val="single" w:color="000000" w:sz="4" w:space="0"/>
            </w:tcBorders>
            <w:vAlign w:val="center"/>
          </w:tcPr>
          <w:p w14:paraId="3D172D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3,972.37</w:t>
            </w:r>
          </w:p>
        </w:tc>
        <w:tc>
          <w:tcPr>
            <w:tcW w:w="1868" w:type="dxa"/>
            <w:tcBorders>
              <w:left w:val="single" w:color="000000" w:sz="4" w:space="0"/>
              <w:bottom w:val="single" w:color="000000" w:sz="4" w:space="0"/>
            </w:tcBorders>
            <w:vAlign w:val="center"/>
          </w:tcPr>
          <w:p w14:paraId="2CBEB3F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14:paraId="0456E32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14:paraId="725A00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5,353.86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1,697.16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商贸事务</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5,353.86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1,697.16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828.49</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828.49</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事业运行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868.67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868.67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299.04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299.04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284.15</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284.15</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189.43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189.43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94.72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94.72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210</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卫生健康支出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事业单位医疗</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165.29</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165.29</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328.08</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328.08</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6F47FE99">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76E67744">
        <w:tblPrEx>
          <w:tblCellMar>
            <w:top w:w="55" w:type="dxa"/>
            <w:left w:w="55" w:type="dxa"/>
            <w:bottom w:w="55" w:type="dxa"/>
            <w:right w:w="55" w:type="dxa"/>
          </w:tblCellMar>
        </w:tblPrEx>
        <w:trPr>
          <w:trHeight w:val="319" w:hRule="atLeast"/>
        </w:trPr>
        <w:tc>
          <w:tcPr>
            <w:tcW w:w="15789" w:type="dxa"/>
            <w:gridSpan w:val="4"/>
          </w:tcPr>
          <w:p w14:paraId="62E867CC">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1820DDA8">
        <w:tblPrEx>
          <w:tblCellMar>
            <w:top w:w="55" w:type="dxa"/>
            <w:left w:w="55" w:type="dxa"/>
            <w:bottom w:w="55" w:type="dxa"/>
            <w:right w:w="55" w:type="dxa"/>
          </w:tblCellMar>
        </w:tblPrEx>
        <w:trPr>
          <w:trHeight w:val="319" w:hRule="atLeast"/>
        </w:trPr>
        <w:tc>
          <w:tcPr>
            <w:tcW w:w="15789" w:type="dxa"/>
            <w:gridSpan w:val="4"/>
          </w:tcPr>
          <w:p w14:paraId="3FB28F56">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00B5EFFF">
        <w:tblPrEx>
          <w:tblCellMar>
            <w:top w:w="55" w:type="dxa"/>
            <w:left w:w="55" w:type="dxa"/>
            <w:bottom w:w="55" w:type="dxa"/>
            <w:right w:w="55" w:type="dxa"/>
          </w:tblCellMar>
        </w:tblPrEx>
        <w:trPr>
          <w:trHeight w:val="319" w:hRule="atLeast"/>
        </w:trPr>
        <w:tc>
          <w:tcPr>
            <w:tcW w:w="11890" w:type="dxa"/>
            <w:gridSpan w:val="3"/>
          </w:tcPr>
          <w:p w14:paraId="397DE508">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江阴市商务局</w:t>
            </w:r>
          </w:p>
        </w:tc>
        <w:tc>
          <w:tcPr>
            <w:tcW w:w="3899" w:type="dxa"/>
            <w:vAlign w:val="center"/>
          </w:tcPr>
          <w:p w14:paraId="53F407E4">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8DBC8FC">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627C4B5">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4ABF517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B93835E">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3B46D60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u/>
              </w:rPr>
              <w:t/>
            </w:r>
            <w:r>
              <w:rPr>
                <w:b w:val="on"/>
                <w:rFonts w:ascii="仿宋" w:eastAsia="仿宋" w:hAnsi="仿宋" w:cs="仿宋"/>
                <w:sz w:val="22"/>
                <w:u w:color="auto"/>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9117F34">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60C3CE6">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0A0EBC85">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6,792.99</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5,353.86</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299.04</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112.48</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315.67</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711.94</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3F2BB7B5">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52476F76">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50DBCC23">
            <w:pPr>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c>
          <w:tcPr>
            <w:tcW w:w="3943" w:type="dxa"/>
            <w:tcBorders>
              <w:left w:val="single" w:color="000000" w:sz="4" w:space="0"/>
              <w:bottom w:val="single" w:color="000000" w:sz="4" w:space="0"/>
            </w:tcBorders>
            <w:vAlign w:val="center"/>
          </w:tcPr>
          <w:p w14:paraId="72FA9CBD">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A3CBB07">
            <w:pPr>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r>
    </w:tbl>
    <w:p w14:paraId="18BF5FBD">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81504FE">
        <w:tblPrEx>
          <w:tblCellMar>
            <w:top w:w="55" w:type="dxa"/>
            <w:left w:w="55" w:type="dxa"/>
            <w:bottom w:w="55" w:type="dxa"/>
            <w:right w:w="55" w:type="dxa"/>
          </w:tblCellMar>
        </w:tblPrEx>
        <w:trPr>
          <w:trHeight w:val="321" w:hRule="atLeast"/>
        </w:trPr>
        <w:tc>
          <w:tcPr>
            <w:tcW w:w="15216" w:type="dxa"/>
            <w:gridSpan w:val="7"/>
            <w:vAlign w:val="center"/>
          </w:tcPr>
          <w:p w14:paraId="344B416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0DD1905D">
        <w:tblPrEx>
          <w:tblCellMar>
            <w:top w:w="55" w:type="dxa"/>
            <w:left w:w="55" w:type="dxa"/>
            <w:bottom w:w="55" w:type="dxa"/>
            <w:right w:w="55" w:type="dxa"/>
          </w:tblCellMar>
        </w:tblPrEx>
        <w:trPr>
          <w:trHeight w:val="321" w:hRule="atLeast"/>
        </w:trPr>
        <w:tc>
          <w:tcPr>
            <w:tcW w:w="15216" w:type="dxa"/>
            <w:gridSpan w:val="7"/>
          </w:tcPr>
          <w:p w14:paraId="3979B85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597F73CC">
        <w:tblPrEx>
          <w:tblCellMar>
            <w:top w:w="55" w:type="dxa"/>
            <w:left w:w="55" w:type="dxa"/>
            <w:bottom w:w="55" w:type="dxa"/>
            <w:right w:w="55" w:type="dxa"/>
          </w:tblCellMar>
        </w:tblPrEx>
        <w:trPr>
          <w:trHeight w:val="309" w:hRule="atLeast"/>
        </w:trPr>
        <w:tc>
          <w:tcPr>
            <w:tcW w:w="13552" w:type="dxa"/>
            <w:gridSpan w:val="6"/>
          </w:tcPr>
          <w:p w14:paraId="4FF30C2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1664" w:type="dxa"/>
            <w:vAlign w:val="center"/>
          </w:tcPr>
          <w:p w14:paraId="3A0AD5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2EB53EE">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B53EB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96BB3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73098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58079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045615D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01EF94C3">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154AA0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69000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FA268C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5B38143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4C4F172F">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F61941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9AA244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0F8EE40">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02733D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04A503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6,792.99</w:t>
            </w:r>
          </w:p>
        </w:tc>
        <w:tc>
          <w:tcPr>
            <w:tcW w:w="1827" w:type="dxa"/>
            <w:tcBorders>
              <w:left w:val="single" w:color="000000" w:sz="6" w:space="0"/>
              <w:bottom w:val="single" w:color="000000" w:sz="6" w:space="0"/>
            </w:tcBorders>
          </w:tcPr>
          <w:p w14:paraId="721253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2,820.62</w:t>
            </w:r>
          </w:p>
        </w:tc>
        <w:tc>
          <w:tcPr>
            <w:tcW w:w="1813" w:type="dxa"/>
            <w:tcBorders>
              <w:left w:val="single" w:color="000000" w:sz="6" w:space="0"/>
              <w:bottom w:val="single" w:color="000000" w:sz="6" w:space="0"/>
            </w:tcBorders>
          </w:tcPr>
          <w:p w14:paraId="214687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2,692.19</w:t>
            </w:r>
          </w:p>
        </w:tc>
        <w:tc>
          <w:tcPr>
            <w:tcW w:w="1813" w:type="dxa"/>
            <w:tcBorders>
              <w:left w:val="single" w:color="000000" w:sz="6" w:space="0"/>
              <w:bottom w:val="single" w:color="000000" w:sz="6" w:space="0"/>
            </w:tcBorders>
          </w:tcPr>
          <w:p w14:paraId="325352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128.43</w:t>
            </w:r>
          </w:p>
        </w:tc>
        <w:tc>
          <w:tcPr>
            <w:tcW w:w="1664" w:type="dxa"/>
            <w:tcBorders>
              <w:left w:val="single" w:color="000000" w:sz="6" w:space="0"/>
              <w:bottom w:val="single" w:color="000000" w:sz="6" w:space="0"/>
              <w:right w:val="single" w:color="000000" w:sz="6" w:space="0"/>
            </w:tcBorders>
          </w:tcPr>
          <w:p w14:paraId="1DC734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3,972.37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5,353.86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1,697.16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1,568.73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128.43</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3,656.70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商贸事务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5,353.86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1,697.16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1,568.73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128.43</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3,656.70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828.49</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828.49</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762.66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65.83</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868.67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868.67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806.07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62.60</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3,656.70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3,656.70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299.04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299.04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299.04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284.15</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284.15</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284.15</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189.43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189.43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189.43</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94.72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94.72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94.72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14.89</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210</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卫生健康支出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112.48</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55.48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55.48</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55.48</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事业单位医疗</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57.00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57.00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315.67</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711.94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165.29</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165.29</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165.29</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328.08</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328.08</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328.08</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218.57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218.57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218.57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bl>
    <w:p w14:paraId="6144A040">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669AC6">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6C9496A1">
        <w:tblPrEx>
          <w:tblCellMar>
            <w:top w:w="55" w:type="dxa"/>
            <w:left w:w="55" w:type="dxa"/>
            <w:bottom w:w="55" w:type="dxa"/>
            <w:right w:w="55" w:type="dxa"/>
          </w:tblCellMar>
        </w:tblPrEx>
        <w:trPr>
          <w:trHeight w:val="319" w:hRule="atLeast"/>
        </w:trPr>
        <w:tc>
          <w:tcPr>
            <w:tcW w:w="10817" w:type="dxa"/>
            <w:gridSpan w:val="5"/>
            <w:vAlign w:val="center"/>
          </w:tcPr>
          <w:p w14:paraId="5B4201F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16CF153D">
        <w:tblPrEx>
          <w:tblCellMar>
            <w:top w:w="55" w:type="dxa"/>
            <w:left w:w="55" w:type="dxa"/>
            <w:bottom w:w="55" w:type="dxa"/>
            <w:right w:w="55" w:type="dxa"/>
          </w:tblCellMar>
        </w:tblPrEx>
        <w:trPr>
          <w:trHeight w:val="319" w:hRule="atLeast"/>
        </w:trPr>
        <w:tc>
          <w:tcPr>
            <w:tcW w:w="10817" w:type="dxa"/>
            <w:gridSpan w:val="5"/>
          </w:tcPr>
          <w:p w14:paraId="2DF9A6D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61428C1F">
        <w:tblPrEx>
          <w:tblCellMar>
            <w:top w:w="55" w:type="dxa"/>
            <w:left w:w="55" w:type="dxa"/>
            <w:bottom w:w="55" w:type="dxa"/>
            <w:right w:w="55" w:type="dxa"/>
          </w:tblCellMar>
        </w:tblPrEx>
        <w:trPr>
          <w:trHeight w:val="319" w:hRule="atLeast"/>
        </w:trPr>
        <w:tc>
          <w:tcPr>
            <w:tcW w:w="8760" w:type="dxa"/>
            <w:gridSpan w:val="4"/>
          </w:tcPr>
          <w:p w14:paraId="5F7506DC">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江阴市商务局</w:t>
            </w:r>
          </w:p>
        </w:tc>
        <w:tc>
          <w:tcPr>
            <w:tcW w:w="2057" w:type="dxa"/>
            <w:vAlign w:val="center"/>
          </w:tcPr>
          <w:p w14:paraId="6C4E20D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2FFB9C6">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02A4A69D">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A654AB3">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3135FA81">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0B4517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0810D023">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B983408">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5CA38C0">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1888E2CD">
            <w:pPr>
              <w:pStyle w:val="22"/>
              <w:widowControl w:val="0"/>
              <w:jc w:val="center"/>
              <w:rPr>
                <w:rFonts w:hint="eastAsia" w:ascii="仿宋" w:hAnsi="仿宋" w:eastAsia="仿宋" w:cs="仿宋"/>
              </w:rPr>
            </w:pPr>
            <w:r>
              <w:rPr>
                <w:rFonts w:hint="eastAsia" w:ascii="仿宋" w:hAnsi="仿宋" w:eastAsia="仿宋" w:cs="仿宋"/>
              </w:rPr>
              <w:t>公用经费</w:t>
            </w:r>
          </w:p>
        </w:tc>
      </w:tr>
      <w:tr w14:paraId="39E08D31">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2046E541">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0DAA66E4">
            <w:pPr>
              <w:pStyle w:val="22"/>
              <w:widowControl w:val="0"/>
              <w:jc w:val="right"/>
              <w:rPr>
                <w:rFonts w:hint="eastAsia" w:ascii="仿宋" w:hAnsi="仿宋" w:eastAsia="仿宋" w:cs="仿宋"/>
              </w:rPr>
            </w:pPr>
            <w:r>
              <w:rPr>
                <w:rFonts w:hint="eastAsia" w:ascii="仿宋" w:hAnsi="仿宋" w:eastAsia="仿宋" w:cs="仿宋"/>
              </w:rPr>
              <w:t>2,820.62</w:t>
            </w:r>
          </w:p>
        </w:tc>
        <w:tc>
          <w:tcPr>
            <w:tcW w:w="2040" w:type="dxa"/>
            <w:tcBorders>
              <w:left w:val="single" w:color="000000" w:sz="4" w:space="0"/>
              <w:bottom w:val="single" w:color="000000" w:sz="4" w:space="0"/>
            </w:tcBorders>
            <w:vAlign w:val="center"/>
          </w:tcPr>
          <w:p w14:paraId="544608F4">
            <w:pPr>
              <w:pStyle w:val="22"/>
              <w:widowControl w:val="0"/>
              <w:jc w:val="right"/>
              <w:rPr>
                <w:rFonts w:hint="eastAsia" w:ascii="仿宋" w:hAnsi="仿宋" w:eastAsia="仿宋" w:cs="仿宋"/>
              </w:rPr>
            </w:pPr>
            <w:r>
              <w:rPr>
                <w:rFonts w:hint="eastAsia" w:ascii="仿宋" w:hAnsi="仿宋" w:eastAsia="仿宋" w:cs="仿宋"/>
              </w:rPr>
              <w:t>2,692.19</w:t>
            </w:r>
          </w:p>
        </w:tc>
        <w:tc>
          <w:tcPr>
            <w:tcW w:w="2057" w:type="dxa"/>
            <w:tcBorders>
              <w:left w:val="single" w:color="000000" w:sz="4" w:space="0"/>
              <w:bottom w:val="single" w:color="000000" w:sz="4" w:space="0"/>
              <w:right w:val="single" w:color="000000" w:sz="4" w:space="0"/>
            </w:tcBorders>
            <w:vAlign w:val="center"/>
          </w:tcPr>
          <w:p w14:paraId="4F5B871A">
            <w:pPr>
              <w:pStyle w:val="22"/>
              <w:widowControl w:val="0"/>
              <w:jc w:val="right"/>
              <w:rPr>
                <w:rFonts w:hint="eastAsia" w:ascii="仿宋" w:hAnsi="仿宋" w:eastAsia="仿宋" w:cs="仿宋"/>
              </w:rPr>
            </w:pPr>
            <w:r>
              <w:rPr>
                <w:rFonts w:hint="eastAsia" w:ascii="仿宋" w:hAnsi="仿宋" w:eastAsia="仿宋" w:cs="仿宋"/>
              </w:rPr>
              <w:t>128.43</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2,452.87</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2,452.87</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329.01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329.01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636.88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636.88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630.83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630.83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263.10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263.10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189.43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189.43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94.72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94.72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112.48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112.48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14.89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14.89</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165.29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165.29</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医疗费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8.04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8.04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8.20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8.20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128.25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128.25</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26.35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26.35</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4.50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12.10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12.10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4.86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4.86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4.15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4.15</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4.79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4.79</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14.74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14.74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2.50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10.10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10.10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44.16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44.16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239.32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239.32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235.76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235.76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0.75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0.75</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2.81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2.81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0.18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0.18</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0.18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0.18</w:t>
            </w:r>
          </w:p>
        </w:tc>
      </w:tr>
    </w:tbl>
    <w:p w14:paraId="69219CD5">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494EE97C">
        <w:tblPrEx>
          <w:tblCellMar>
            <w:top w:w="55" w:type="dxa"/>
            <w:left w:w="55" w:type="dxa"/>
            <w:bottom w:w="55" w:type="dxa"/>
            <w:right w:w="55" w:type="dxa"/>
          </w:tblCellMar>
        </w:tblPrEx>
        <w:trPr>
          <w:trHeight w:val="321" w:hRule="atLeast"/>
        </w:trPr>
        <w:tc>
          <w:tcPr>
            <w:tcW w:w="15216" w:type="dxa"/>
            <w:gridSpan w:val="7"/>
            <w:vAlign w:val="center"/>
          </w:tcPr>
          <w:p w14:paraId="51EC2F5C">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FDF7549">
        <w:tblPrEx>
          <w:tblCellMar>
            <w:top w:w="55" w:type="dxa"/>
            <w:left w:w="55" w:type="dxa"/>
            <w:bottom w:w="55" w:type="dxa"/>
            <w:right w:w="55" w:type="dxa"/>
          </w:tblCellMar>
        </w:tblPrEx>
        <w:trPr>
          <w:trHeight w:val="321" w:hRule="atLeast"/>
        </w:trPr>
        <w:tc>
          <w:tcPr>
            <w:tcW w:w="15216" w:type="dxa"/>
            <w:gridSpan w:val="7"/>
          </w:tcPr>
          <w:p w14:paraId="7282827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586FA423">
        <w:tblPrEx>
          <w:tblCellMar>
            <w:top w:w="55" w:type="dxa"/>
            <w:left w:w="55" w:type="dxa"/>
            <w:bottom w:w="55" w:type="dxa"/>
            <w:right w:w="55" w:type="dxa"/>
          </w:tblCellMar>
        </w:tblPrEx>
        <w:trPr>
          <w:trHeight w:val="288" w:hRule="atLeast"/>
        </w:trPr>
        <w:tc>
          <w:tcPr>
            <w:tcW w:w="13566" w:type="dxa"/>
            <w:gridSpan w:val="6"/>
          </w:tcPr>
          <w:p w14:paraId="5561AF88">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1650" w:type="dxa"/>
            <w:vAlign w:val="center"/>
          </w:tcPr>
          <w:p w14:paraId="704B056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99C2DA8">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E3D23C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6BBC9BF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4E56B37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166324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05D3C45D">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1087D9D">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2A2EB686">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7B9A2FE2">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1F65438A">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678B5745">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4B7F20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140B1B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00D137D4">
            <w:pPr>
              <w:widowControl w:val="0"/>
              <w:jc w:val="left"/>
              <w:rPr>
                <w:rFonts w:hint="eastAsia" w:ascii="仿宋" w:hAnsi="仿宋" w:eastAsia="仿宋" w:cs="仿宋"/>
                <w:sz w:val="22"/>
                <w:szCs w:val="22"/>
              </w:rPr>
            </w:pPr>
          </w:p>
        </w:tc>
      </w:tr>
      <w:tr w14:paraId="2919B456">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4007DAB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E2CD9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6,792.99</w:t>
            </w:r>
          </w:p>
        </w:tc>
        <w:tc>
          <w:tcPr>
            <w:tcW w:w="1693" w:type="dxa"/>
            <w:tcBorders>
              <w:left w:val="single" w:color="000000" w:sz="6" w:space="0"/>
              <w:bottom w:val="single" w:color="000000" w:sz="6" w:space="0"/>
            </w:tcBorders>
          </w:tcPr>
          <w:p w14:paraId="772ED1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2,820.62</w:t>
            </w:r>
          </w:p>
        </w:tc>
        <w:tc>
          <w:tcPr>
            <w:tcW w:w="1987" w:type="dxa"/>
            <w:tcBorders>
              <w:left w:val="single" w:color="000000" w:sz="6" w:space="0"/>
              <w:bottom w:val="single" w:color="000000" w:sz="6" w:space="0"/>
            </w:tcBorders>
          </w:tcPr>
          <w:p w14:paraId="5BD8E2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2,692.19</w:t>
            </w:r>
          </w:p>
        </w:tc>
        <w:tc>
          <w:tcPr>
            <w:tcW w:w="1827" w:type="dxa"/>
            <w:tcBorders>
              <w:left w:val="single" w:color="000000" w:sz="6" w:space="0"/>
              <w:bottom w:val="single" w:color="000000" w:sz="6" w:space="0"/>
            </w:tcBorders>
          </w:tcPr>
          <w:p w14:paraId="2831BE4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128.43</w:t>
            </w:r>
          </w:p>
        </w:tc>
        <w:tc>
          <w:tcPr>
            <w:tcW w:w="1650" w:type="dxa"/>
            <w:tcBorders>
              <w:left w:val="single" w:color="000000" w:sz="6" w:space="0"/>
              <w:bottom w:val="single" w:color="000000" w:sz="6" w:space="0"/>
              <w:right w:val="single" w:color="000000" w:sz="6" w:space="0"/>
            </w:tcBorders>
          </w:tcPr>
          <w:p w14:paraId="2A55F1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3,972.37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5,353.86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1,697.16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1,568.73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128.43</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商贸事务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5,353.86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1,697.16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1,568.73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128.43</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828.49</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828.49</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762.66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65.83</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2011350</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868.67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868.67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806.07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62.60</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2011399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其他商贸事务支出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3,656.70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299.04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299.04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299.04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284.15</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284.15</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284.15</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189.43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189.43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189.43</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94.72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94.72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94.72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14.89</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210</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卫生健康支出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112.48</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55.48</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2101102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事业单位医疗</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57.00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315.67</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711.94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165.29</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165.29</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165.29</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328.08</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328.08</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328.08</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218.57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5914C3F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484721E5">
        <w:tblPrEx>
          <w:tblCellMar>
            <w:top w:w="55" w:type="dxa"/>
            <w:left w:w="55" w:type="dxa"/>
            <w:bottom w:w="55" w:type="dxa"/>
            <w:right w:w="55" w:type="dxa"/>
          </w:tblCellMar>
        </w:tblPrEx>
        <w:trPr>
          <w:trHeight w:val="319" w:hRule="atLeast"/>
        </w:trPr>
        <w:tc>
          <w:tcPr>
            <w:tcW w:w="10954" w:type="dxa"/>
            <w:gridSpan w:val="5"/>
          </w:tcPr>
          <w:p w14:paraId="16647F55">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002F78A7">
        <w:tblPrEx>
          <w:tblCellMar>
            <w:top w:w="55" w:type="dxa"/>
            <w:left w:w="55" w:type="dxa"/>
            <w:bottom w:w="55" w:type="dxa"/>
            <w:right w:w="55" w:type="dxa"/>
          </w:tblCellMar>
        </w:tblPrEx>
        <w:trPr>
          <w:trHeight w:val="189" w:hRule="atLeast"/>
        </w:trPr>
        <w:tc>
          <w:tcPr>
            <w:tcW w:w="10954" w:type="dxa"/>
            <w:gridSpan w:val="5"/>
          </w:tcPr>
          <w:p w14:paraId="2FCCAE70">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162EBB8">
        <w:tblPrEx>
          <w:tblCellMar>
            <w:top w:w="55" w:type="dxa"/>
            <w:left w:w="55" w:type="dxa"/>
            <w:bottom w:w="55" w:type="dxa"/>
            <w:right w:w="55" w:type="dxa"/>
          </w:tblCellMar>
        </w:tblPrEx>
        <w:trPr>
          <w:trHeight w:val="138" w:hRule="atLeast"/>
        </w:trPr>
        <w:tc>
          <w:tcPr>
            <w:tcW w:w="9281" w:type="dxa"/>
            <w:gridSpan w:val="4"/>
            <w:vAlign w:val="center"/>
          </w:tcPr>
          <w:p w14:paraId="17C5FA13">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1673" w:type="dxa"/>
            <w:vAlign w:val="center"/>
          </w:tcPr>
          <w:p w14:paraId="2960F62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31596070">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5445754">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92CB882">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634ABDFF">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059ADFB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35A783E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11A39AD5">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319D78B">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38FEFFB9">
            <w:pPr>
              <w:pStyle w:val="22"/>
              <w:widowControl w:val="0"/>
              <w:jc w:val="center"/>
              <w:rPr>
                <w:rFonts w:hint="eastAsia" w:ascii="仿宋" w:hAnsi="仿宋" w:eastAsia="仿宋" w:cs="仿宋"/>
              </w:rPr>
            </w:pPr>
            <w:r>
              <w:rPr>
                <w:rFonts w:hint="eastAsia" w:ascii="仿宋" w:hAnsi="仿宋" w:eastAsia="仿宋" w:cs="仿宋"/>
              </w:rPr>
              <w:t>公用经费</w:t>
            </w:r>
          </w:p>
        </w:tc>
      </w:tr>
      <w:tr w14:paraId="23A107E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9BF1B54">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056B7E8D">
            <w:pPr>
              <w:pStyle w:val="22"/>
              <w:widowControl w:val="0"/>
              <w:jc w:val="right"/>
              <w:rPr>
                <w:rFonts w:hint="eastAsia" w:ascii="仿宋" w:hAnsi="仿宋" w:eastAsia="仿宋" w:cs="仿宋"/>
              </w:rPr>
            </w:pPr>
            <w:r>
              <w:rPr>
                <w:rFonts w:hint="eastAsia" w:ascii="仿宋" w:hAnsi="仿宋" w:eastAsia="仿宋" w:cs="仿宋"/>
              </w:rPr>
              <w:t>2,820.62</w:t>
            </w:r>
          </w:p>
        </w:tc>
        <w:tc>
          <w:tcPr>
            <w:tcW w:w="1974" w:type="dxa"/>
            <w:tcBorders>
              <w:left w:val="single" w:color="000000" w:sz="4" w:space="0"/>
              <w:bottom w:val="single" w:color="000000" w:sz="4" w:space="0"/>
            </w:tcBorders>
            <w:vAlign w:val="center"/>
          </w:tcPr>
          <w:p w14:paraId="386099AD">
            <w:pPr>
              <w:pStyle w:val="22"/>
              <w:widowControl w:val="0"/>
              <w:jc w:val="right"/>
              <w:rPr>
                <w:rFonts w:hint="eastAsia" w:ascii="仿宋" w:hAnsi="仿宋" w:eastAsia="仿宋" w:cs="仿宋"/>
              </w:rPr>
            </w:pPr>
            <w:r>
              <w:rPr>
                <w:rFonts w:hint="eastAsia" w:ascii="仿宋" w:hAnsi="仿宋" w:eastAsia="仿宋" w:cs="仿宋"/>
              </w:rPr>
              <w:t>2,692.19</w:t>
            </w:r>
          </w:p>
        </w:tc>
        <w:tc>
          <w:tcPr>
            <w:tcW w:w="1673" w:type="dxa"/>
            <w:tcBorders>
              <w:left w:val="single" w:color="000000" w:sz="4" w:space="0"/>
              <w:bottom w:val="single" w:color="000000" w:sz="4" w:space="0"/>
              <w:right w:val="single" w:color="000000" w:sz="4" w:space="0"/>
            </w:tcBorders>
            <w:vAlign w:val="center"/>
          </w:tcPr>
          <w:p w14:paraId="01C226C0">
            <w:pPr>
              <w:pStyle w:val="22"/>
              <w:widowControl w:val="0"/>
              <w:jc w:val="right"/>
              <w:rPr>
                <w:rFonts w:hint="eastAsia" w:ascii="仿宋" w:hAnsi="仿宋" w:eastAsia="仿宋" w:cs="仿宋"/>
              </w:rPr>
            </w:pPr>
            <w:r>
              <w:rPr>
                <w:rFonts w:hint="eastAsia" w:ascii="仿宋" w:hAnsi="仿宋" w:eastAsia="仿宋" w:cs="仿宋"/>
              </w:rPr>
              <w:t>128.43</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2,452.87</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2,452.87</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329.01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329.01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636.88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636.88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630.83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630.83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263.10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263.10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189.43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189.43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94.72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94.72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112.48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112.48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14.89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14.89</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165.29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165.29</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医疗费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8.04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8.04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8.20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8.20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128.25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128.25</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26.35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26.35</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4.50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12.10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12.10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4.86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4.86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4.15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4.15</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4.79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4.79</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14.74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14.74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2.50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10.10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10.10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44.16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44.16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239.32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239.32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235.76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235.76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生活补助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0.75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0.75</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2.81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2.81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0.18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0.18</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0.18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0.18</w:t>
            </w:r>
          </w:p>
        </w:tc>
      </w:tr>
    </w:tbl>
    <w:p w14:paraId="5ADFF928">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38FA862D">
        <w:tblPrEx>
          <w:tblCellMar>
            <w:top w:w="55" w:type="dxa"/>
            <w:left w:w="55" w:type="dxa"/>
            <w:bottom w:w="55" w:type="dxa"/>
            <w:right w:w="55" w:type="dxa"/>
          </w:tblCellMar>
        </w:tblPrEx>
        <w:trPr>
          <w:trHeight w:val="321" w:hRule="atLeast"/>
        </w:trPr>
        <w:tc>
          <w:tcPr>
            <w:tcW w:w="15909" w:type="dxa"/>
            <w:gridSpan w:val="8"/>
          </w:tcPr>
          <w:p w14:paraId="11F1E16B">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73844359">
        <w:tblPrEx>
          <w:tblCellMar>
            <w:top w:w="55" w:type="dxa"/>
            <w:left w:w="55" w:type="dxa"/>
            <w:bottom w:w="55" w:type="dxa"/>
            <w:right w:w="55" w:type="dxa"/>
          </w:tblCellMar>
        </w:tblPrEx>
        <w:trPr>
          <w:trHeight w:val="207" w:hRule="atLeast"/>
        </w:trPr>
        <w:tc>
          <w:tcPr>
            <w:tcW w:w="15909" w:type="dxa"/>
            <w:gridSpan w:val="8"/>
          </w:tcPr>
          <w:p w14:paraId="22B22F3F">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2F8DA7EF">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6A83A7CB">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3840" w:type="dxa"/>
            <w:gridSpan w:val="2"/>
            <w:tcBorders>
              <w:bottom w:val="single" w:color="auto" w:sz="4" w:space="0"/>
            </w:tcBorders>
            <w:vAlign w:val="center"/>
          </w:tcPr>
          <w:p w14:paraId="362828F0">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1E8B6C9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7EF7365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7191D0E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237531A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A1094E9">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97F2909">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414C9174">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D589B7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1BFDF809">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6170C8C2">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DAB6B6B">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6D34F0AB">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6F0F2BAC">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48B4809D">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097DD0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A5FCFD1">
            <w:pPr>
              <w:widowControl w:val="0"/>
              <w:jc w:val="left"/>
              <w:rPr>
                <w:rFonts w:hint="eastAsia" w:ascii="仿宋" w:hAnsi="仿宋" w:eastAsia="仿宋" w:cs="仿宋"/>
                <w:sz w:val="2"/>
                <w:szCs w:val="2"/>
              </w:rPr>
            </w:pPr>
          </w:p>
        </w:tc>
      </w:tr>
      <w:tr w14:paraId="1E0DC4E9">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5FAC3463">
            <w:pPr>
              <w:pStyle w:val="22"/>
              <w:widowControl w:val="0"/>
              <w:jc w:val="right"/>
              <w:rPr>
                <w:rFonts w:hint="eastAsia" w:ascii="仿宋" w:hAnsi="仿宋" w:eastAsia="仿宋" w:cs="仿宋"/>
              </w:rPr>
            </w:pPr>
            <w:r>
              <w:rPr>
                <w:rFonts w:hint="eastAsia" w:ascii="仿宋" w:hAnsi="仿宋" w:eastAsia="仿宋" w:cs="仿宋"/>
              </w:rPr>
              <w:t>20.34</w:t>
            </w:r>
          </w:p>
        </w:tc>
        <w:tc>
          <w:tcPr>
            <w:tcW w:w="2332" w:type="dxa"/>
            <w:tcBorders>
              <w:top w:val="single" w:color="auto" w:sz="4" w:space="0"/>
              <w:left w:val="single" w:color="auto" w:sz="4" w:space="0"/>
              <w:bottom w:val="single" w:color="auto" w:sz="4" w:space="0"/>
              <w:right w:val="single" w:color="auto" w:sz="4" w:space="0"/>
            </w:tcBorders>
            <w:vAlign w:val="center"/>
          </w:tcPr>
          <w:p w14:paraId="70149B39">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C502E0">
            <w:pPr>
              <w:pStyle w:val="22"/>
              <w:widowControl w:val="0"/>
              <w:jc w:val="right"/>
              <w:rPr>
                <w:rFonts w:hint="eastAsia" w:ascii="仿宋" w:hAnsi="仿宋" w:eastAsia="仿宋" w:cs="仿宋"/>
              </w:rPr>
            </w:pPr>
            <w:r>
              <w:rPr>
                <w:rFonts w:hint="eastAsia" w:ascii="仿宋" w:hAnsi="仿宋" w:eastAsia="仿宋" w:cs="仿宋"/>
              </w:rPr>
              <w:t>2.50</w:t>
            </w:r>
          </w:p>
        </w:tc>
        <w:tc>
          <w:tcPr>
            <w:tcW w:w="1697" w:type="dxa"/>
            <w:tcBorders>
              <w:top w:val="single" w:color="auto" w:sz="4" w:space="0"/>
              <w:left w:val="single" w:color="auto" w:sz="4" w:space="0"/>
              <w:bottom w:val="single" w:color="auto" w:sz="4" w:space="0"/>
              <w:right w:val="single" w:color="auto" w:sz="4" w:space="0"/>
            </w:tcBorders>
            <w:vAlign w:val="center"/>
          </w:tcPr>
          <w:p w14:paraId="10F36C48">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021B69C0">
            <w:pPr>
              <w:pStyle w:val="22"/>
              <w:widowControl w:val="0"/>
              <w:jc w:val="right"/>
              <w:rPr>
                <w:rFonts w:hint="eastAsia" w:ascii="仿宋" w:hAnsi="仿宋" w:eastAsia="仿宋" w:cs="仿宋"/>
              </w:rPr>
            </w:pPr>
            <w:r>
              <w:rPr>
                <w:rFonts w:hint="eastAsia" w:ascii="仿宋" w:hAnsi="仿宋" w:eastAsia="仿宋" w:cs="仿宋"/>
              </w:rPr>
              <w:t>2.50</w:t>
            </w:r>
          </w:p>
        </w:tc>
        <w:tc>
          <w:tcPr>
            <w:tcW w:w="1852" w:type="dxa"/>
            <w:tcBorders>
              <w:top w:val="single" w:color="auto" w:sz="4" w:space="0"/>
              <w:left w:val="single" w:color="auto" w:sz="4" w:space="0"/>
              <w:bottom w:val="single" w:color="auto" w:sz="4" w:space="0"/>
              <w:right w:val="single" w:color="auto" w:sz="4" w:space="0"/>
            </w:tcBorders>
            <w:vAlign w:val="center"/>
          </w:tcPr>
          <w:p w14:paraId="2A253F9B">
            <w:pPr>
              <w:pStyle w:val="22"/>
              <w:widowControl w:val="0"/>
              <w:jc w:val="right"/>
              <w:rPr>
                <w:rFonts w:hint="eastAsia" w:ascii="仿宋" w:hAnsi="仿宋" w:eastAsia="仿宋" w:cs="仿宋"/>
              </w:rPr>
            </w:pPr>
            <w:r>
              <w:rPr>
                <w:rFonts w:hint="eastAsia" w:ascii="仿宋" w:hAnsi="仿宋" w:eastAsia="仿宋" w:cs="仿宋"/>
              </w:rPr>
              <w:t>17.84</w:t>
            </w:r>
          </w:p>
        </w:tc>
        <w:tc>
          <w:tcPr>
            <w:tcW w:w="2057" w:type="dxa"/>
            <w:tcBorders>
              <w:top w:val="single" w:color="auto" w:sz="4" w:space="0"/>
              <w:left w:val="single" w:color="auto" w:sz="4" w:space="0"/>
              <w:bottom w:val="single" w:color="auto" w:sz="4" w:space="0"/>
              <w:right w:val="single" w:color="auto" w:sz="4" w:space="0"/>
            </w:tcBorders>
            <w:vAlign w:val="center"/>
          </w:tcPr>
          <w:p w14:paraId="209A7A6A">
            <w:pPr>
              <w:pStyle w:val="22"/>
              <w:widowControl w:val="0"/>
              <w:jc w:val="right"/>
              <w:rPr>
                <w:rFonts w:hint="eastAsia" w:ascii="仿宋" w:hAnsi="仿宋" w:eastAsia="仿宋" w:cs="仿宋"/>
              </w:rPr>
            </w:pPr>
            <w:r>
              <w:rPr>
                <w:rFonts w:hint="eastAsia" w:ascii="仿宋" w:hAnsi="仿宋" w:eastAsia="仿宋" w:cs="仿宋"/>
              </w:rPr>
              <w:t>14.13</w:t>
            </w:r>
          </w:p>
        </w:tc>
        <w:tc>
          <w:tcPr>
            <w:tcW w:w="1783" w:type="dxa"/>
            <w:tcBorders>
              <w:top w:val="single" w:color="auto" w:sz="4" w:space="0"/>
              <w:left w:val="single" w:color="auto" w:sz="4" w:space="0"/>
              <w:bottom w:val="single" w:color="auto" w:sz="4" w:space="0"/>
              <w:right w:val="single" w:color="auto" w:sz="4" w:space="0"/>
            </w:tcBorders>
            <w:vAlign w:val="center"/>
          </w:tcPr>
          <w:p w14:paraId="0455D567">
            <w:pPr>
              <w:pStyle w:val="22"/>
              <w:widowControl w:val="0"/>
              <w:jc w:val="right"/>
              <w:rPr>
                <w:rFonts w:hint="eastAsia" w:ascii="仿宋" w:hAnsi="仿宋" w:eastAsia="仿宋" w:cs="仿宋"/>
              </w:rPr>
            </w:pPr>
            <w:r>
              <w:rPr>
                <w:rFonts w:hint="eastAsia" w:ascii="仿宋" w:hAnsi="仿宋" w:eastAsia="仿宋" w:cs="仿宋"/>
              </w:rPr>
              <w:t>7.82</w:t>
            </w:r>
          </w:p>
        </w:tc>
      </w:tr>
    </w:tbl>
    <w:p w14:paraId="633D90C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2805DB4">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5636E86">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EED4EA3">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C7C957B">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1688803">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7A598C4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2485" w:type="dxa"/>
            <w:tcBorders>
              <w:top w:val="nil"/>
              <w:left w:val="nil"/>
              <w:bottom w:val="single" w:color="auto" w:sz="4" w:space="0"/>
              <w:right w:val="nil"/>
            </w:tcBorders>
            <w:vAlign w:val="center"/>
          </w:tcPr>
          <w:p w14:paraId="3147BBD4">
            <w:pPr>
              <w:pStyle w:val="22"/>
              <w:widowControl w:val="0"/>
              <w:jc w:val="right"/>
              <w:rPr>
                <w:rFonts w:hint="eastAsia" w:ascii="仿宋" w:hAnsi="仿宋" w:eastAsia="仿宋" w:cs="仿宋"/>
              </w:rPr>
            </w:pPr>
            <w:r>
              <w:rPr>
                <w:rFonts w:hint="eastAsia" w:ascii="仿宋" w:hAnsi="仿宋" w:eastAsia="仿宋" w:cs="仿宋"/>
              </w:rPr>
              <w:t>单位：万元</w:t>
            </w:r>
          </w:p>
        </w:tc>
      </w:tr>
      <w:tr w14:paraId="36644733">
        <w:trPr>
          <w:trHeight w:val="187" w:hRule="atLeast"/>
        </w:trPr>
        <w:tc>
          <w:tcPr>
            <w:tcW w:w="1618" w:type="dxa"/>
            <w:vMerge w:val="restart"/>
            <w:tcBorders>
              <w:top w:val="single" w:color="auto" w:sz="4" w:space="0"/>
              <w:left w:val="single" w:color="auto" w:sz="4" w:space="0"/>
              <w:right w:val="single" w:color="auto" w:sz="4" w:space="0"/>
            </w:tcBorders>
            <w:vAlign w:val="center"/>
          </w:tcPr>
          <w:p w14:paraId="139A3874">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699CEF7D">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696DDF51">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2A031337">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291B8E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0D2FDA2">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7625D4FC">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09FCBF0">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7EAB88D3">
            <w:pPr>
              <w:pStyle w:val="22"/>
              <w:widowControl w:val="0"/>
              <w:jc w:val="center"/>
              <w:rPr>
                <w:rFonts w:hint="eastAsia" w:ascii="仿宋" w:hAnsi="仿宋" w:eastAsia="仿宋" w:cs="仿宋"/>
              </w:rPr>
            </w:pPr>
            <w:r>
              <w:rPr>
                <w:rFonts w:hint="eastAsia" w:ascii="仿宋" w:hAnsi="仿宋" w:eastAsia="仿宋" w:cs="仿宋"/>
              </w:rPr>
              <w:t>项目支出</w:t>
            </w:r>
          </w:p>
        </w:tc>
      </w:tr>
      <w:tr w14:paraId="5A7DB80A">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4C9CFFF">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14:paraId="215C307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430CBA39">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E533D5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755F292C">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6E6DB1B1">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u/>
        </w:rPr>
        <w:t>本</w:t>
      </w:r>
      <w:r>
        <w:rPr>
          <w:b w:val="on"/>
          <w:rFonts w:ascii="仿宋" w:eastAsia="仿宋" w:hAnsi="仿宋" w:cs="仿宋"/>
          <w:sz w:val="22"/>
          <w:u w:color="auto"/>
        </w:rPr>
        <w:t>部门</w:t>
      </w:r>
      <w:r>
        <w:rPr>
          <w:b w:val="on"/>
          <w:rFonts w:ascii="仿宋" w:eastAsia="仿宋" w:hAnsi="仿宋" w:cs="仿宋"/>
          <w:sz w:val="22"/>
          <w:u w:color="auto"/>
        </w:rPr>
        <w:t>无政府性基金预算，也没有使用政府性基金安排的支出，故本表无数据。</w:t>
      </w:r>
      <w:r>
        <w:rPr>
          <w:b w:val="on"/>
          <w:rFonts w:ascii="仿宋" w:eastAsia="仿宋" w:hAnsi="仿宋" w:cs="仿宋"/>
          <w:sz w:val="22"/>
          <w:u w:color="auto"/>
        </w:rPr>
        <w:t/>
      </w:r>
    </w:p>
    <w:p w14:paraId="6A70A19F">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774AA8D">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156F4BF">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4EF98964">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0D2A9578">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1AADF766">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62AC01C">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3091" w:type="dxa"/>
            <w:tcBorders>
              <w:top w:val="nil"/>
              <w:left w:val="nil"/>
              <w:bottom w:val="nil"/>
              <w:right w:val="nil"/>
            </w:tcBorders>
            <w:shd w:val="clear" w:color="auto" w:fill="auto"/>
            <w:noWrap/>
            <w:vAlign w:val="center"/>
          </w:tcPr>
          <w:p w14:paraId="4B5E2371">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404FBD4">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A26E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671D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8BADF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C96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432E279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441FA9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10A31B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0C0CD1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658BEE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503CA6E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00D98D5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138F447">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2B31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4F0764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9518AF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C53BB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23E635B9">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080F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81143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3DCC2D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4D26D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7AA8870D">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u/>
        </w:rPr>
        <w:t/>
      </w:r>
      <w:r>
        <w:rPr>
          <w:b w:val="on"/>
          <w:rFonts w:ascii="仿宋" w:eastAsia="仿宋" w:hAnsi="仿宋" w:cs="仿宋"/>
          <w:sz w:val="22"/>
          <w:u w:color="auto"/>
        </w:rPr>
        <w:t>注：本</w:t>
      </w:r>
      <w:r>
        <w:rPr>
          <w:b w:val="on"/>
          <w:rFonts w:ascii="仿宋" w:eastAsia="仿宋" w:hAnsi="仿宋" w:cs="仿宋"/>
          <w:sz w:val="22"/>
          <w:u w:color="auto"/>
        </w:rPr>
        <w:t>部门</w:t>
      </w:r>
      <w:r>
        <w:rPr>
          <w:b w:val="on"/>
          <w:rFonts w:ascii="仿宋" w:eastAsia="仿宋" w:hAnsi="仿宋" w:cs="仿宋"/>
          <w:sz w:val="22"/>
          <w:u w:color="auto"/>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u/>
        </w:rPr>
        <w:t>，故本表无数据。</w:t>
      </w:r>
      <w:r>
        <w:rPr>
          <w:b w:val="on"/>
          <w:rFonts w:ascii="仿宋" w:eastAsia="仿宋" w:hAnsi="仿宋" w:cs="仿宋"/>
          <w:sz w:val="22"/>
          <w:u w:color="auto"/>
        </w:rPr>
        <w:t/>
      </w:r>
    </w:p>
    <w:p w14:paraId="4F525B1A">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081ECABF">
        <w:tblPrEx>
          <w:tblCellMar>
            <w:top w:w="55" w:type="dxa"/>
            <w:left w:w="55" w:type="dxa"/>
            <w:bottom w:w="55" w:type="dxa"/>
            <w:right w:w="55" w:type="dxa"/>
          </w:tblCellMar>
        </w:tblPrEx>
        <w:trPr>
          <w:trHeight w:val="319" w:hRule="atLeast"/>
        </w:trPr>
        <w:tc>
          <w:tcPr>
            <w:tcW w:w="10235" w:type="dxa"/>
            <w:gridSpan w:val="4"/>
          </w:tcPr>
          <w:p w14:paraId="3FDF9E28">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91E3CF1">
        <w:tblPrEx>
          <w:tblCellMar>
            <w:top w:w="55" w:type="dxa"/>
            <w:left w:w="55" w:type="dxa"/>
            <w:bottom w:w="55" w:type="dxa"/>
            <w:right w:w="55" w:type="dxa"/>
          </w:tblCellMar>
        </w:tblPrEx>
        <w:trPr>
          <w:trHeight w:val="90" w:hRule="atLeast"/>
        </w:trPr>
        <w:tc>
          <w:tcPr>
            <w:tcW w:w="10235" w:type="dxa"/>
            <w:gridSpan w:val="4"/>
          </w:tcPr>
          <w:p w14:paraId="231D138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04B652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3549692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2351" w:type="dxa"/>
            <w:tcBorders>
              <w:bottom w:val="single" w:color="auto" w:sz="4" w:space="0"/>
            </w:tcBorders>
            <w:vAlign w:val="center"/>
          </w:tcPr>
          <w:p w14:paraId="14A254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1FC7058">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F6FED5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0F83CC2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6EFE394A">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68F893FF">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06E7A0CE">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DF58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65.65</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65.65</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17.60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印刷费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会议费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3.29</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5.94</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22.22</w:t>
            </w:r>
          </w:p>
        </w:tc>
      </w:tr>
    </w:tbl>
    <w:p w14:paraId="28F6C040">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19881AC">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479"/>
        <w:gridCol w:w="1109"/>
        <w:gridCol w:w="1173"/>
        <w:gridCol w:w="1188"/>
        <w:gridCol w:w="1169"/>
        <w:gridCol w:w="1421"/>
      </w:tblGrid>
      <w:tr w14:paraId="17AE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25ABA2C5">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610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C23C5B6">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2D4D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3"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2DB53ADF">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江阴市商务局</w:t>
            </w:r>
          </w:p>
        </w:tc>
        <w:tc>
          <w:tcPr>
            <w:tcW w:w="4639"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35DB9A2">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3948C0E">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1094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FC7E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F93C9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9AB60">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63A4C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479"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822C9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39"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9C219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AEF8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D92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1EE03">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12B64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F386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B5BF5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A18F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F113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BF9C2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76F5A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F30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F2CF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AAA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FE2A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522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85776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9CEC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86FA5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DC751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2.98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0F21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2F43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450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1AB6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2.98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0.98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0.98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江阴市商务局（机关）</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其他资本性支出</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碎纸机</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0.18</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xml:space="preserve">      江阴市投资促进中心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江阴市服务业发展中心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非义务教育商品服务支出定额（含定额补助）</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服务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xml:space="preserve">      江阴市投资促进中心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财产保险服务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0.21</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0.21</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车辆维修和保养服务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车辆加油、添加燃料服务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1.29</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1.29</w:t>
            </w:r>
          </w:p>
        </w:tc>
      </w:tr>
    </w:tbl>
    <w:p w14:paraId="51FF3C07">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3ED135E2">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2026</w:t>
      </w:r>
      <w:r>
        <w:rPr>
          <w:rFonts w:hint="eastAsia" w:ascii="仿宋" w:hAnsi="仿宋" w:eastAsia="仿宋" w:cs="仿宋"/>
          <w:b/>
          <w:bCs/>
          <w:sz w:val="44"/>
          <w:szCs w:val="44"/>
          <w:u/>
        </w:rPr>
        <w:t>年度</w:t>
      </w:r>
      <w:r>
        <w:rPr>
          <w:b w:val="on"/>
          <w:rFonts w:ascii="仿宋" w:eastAsia="仿宋" w:hAnsi="仿宋" w:cs="仿宋"/>
          <w:sz w:val="44"/>
          <w:u w:color="auto"/>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1540B49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江阴市商务局2026年度收入、支出预算总计6,792.99万元，与上年相比收、支预算总计各增加1,692.58万元，增长33.19%。其中：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（一）收入预算总计6,792.99万元。包括：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1．本年收入合计6,792.99万元。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（1）一般公共预算拨款收入6,792.99万元，与上年相比增加1,692.58万元，增长33.19%。主要原因是增加涉美贴息等专项资金。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（2）政府性基金预算拨款收入0万元，与上年预算数相同。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（3）国有资本经营预算拨款收入0万元，与上年预算数相同。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（4）财政专户管理资金收入0万元，与上年预算数相同。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（5）事业收入0万元，与上年预算数相同。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（6）事业单位经营收入0万元，与上年预算数相同。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（7）上级补助收入0万元，与上年预算数相同。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（8）附属单位上缴收入0万元，与上年预算数相同。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（9）其他收入0万元，与上年预算数相同。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2．上年结转结余为0万元。与上年预算数相同。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（二）支出预算总计6,792.99万元。包括：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1．本年支出合计6,792.99万元。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（1）一般公共服务支出（类）支出5,353.86万元，主要用于人员经费、机关运行经费以及口岸单位能耗补贴、商务发展专项等支出。与上年相比增加1,613.23万元，增长43.13%。主要原因是增加涉美贴息等专项资金。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（2）社会保障和就业支出（类）支出299.04万元，主要用于人员养老保险、职业年金、医疗保险基数等。与上年相比增加6.68万元，增长2.28%。主要原因是人员增加、基数增加。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（3）卫生健康支出（类）支出112.48万元，主要用于医疗保险。与上年相比增加33.56万元，增长42.52%。主要原因是本年度医疗保险支出功能分类由原社会保障和就业支出调整至卫生健康支出。</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（4）城乡社区支出（类）支出315.67万元，主要用于口岸办公区域物业经费。与上年预算数相同。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（5）住房保障支出（类）支出711.94万元，主要用于住房公积金、提租补贴及购房补贴。与上年相比增加39.11万元，增长5.81%。主要原因是住房公积金基数增加。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2．年终结转结余为0万元。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二、收入预算情况说明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江阴市商务局2026年收入预算合计6,792.99万元，包括本年收入6,792.99万元，上年结转结余0万元。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本年一般公共预算收入6,792.99万元，占100%；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本年事业单位经营收入0万元，占0%；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本年上级补助收入0万元，占0%；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本年附属单位上缴收入0万元，占0%；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本年其他收入0万元，占0%；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上年结转结余的一般公共预算收入0万元，占0%；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上年结转结余的单位资金0万元，占0%。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三、支出预算情况说明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江阴市商务局2026年支出预算合计6,792.99万元，其中：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基本支出2,820.62万元，占41.52%；</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项目支出3,972.37万元，占58.48%；</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事业单位经营支出0万元，占0%；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上缴上级支出0万元，占0%；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对附属单位补助支出0万元，占0%。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四、财政拨款收支预算总体情况说明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江阴市商务局2026年度财政拨款收、支总预算6,792.99万元。与上年相比，财政拨款收、支总计各增加1,692.58万元，增长33.19%。主要原因是增加涉美贴息等专项资金。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五、财政拨款支出预算情况说明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江阴市商务局2026年财政拨款预算支出6,792.99万元，占本年支出合计的100%。与上年相比，财政拨款支出增加1,692.58万元，增长33.19%。主要原因是增加涉美贴息等专项资金。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（一）一般公共服务支出（类）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1.商贸事务（款）行政运行（项）支出828.49万元，与上年相比减少22.34万元，减少2.63%。主要原因是根据市委市政府要求，压减经费。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2.商贸事务（款）事业运行（项）支出868.67万元，与上年相比增加19.25万元，增长2.27%。主要原因是事业人员增加，支出增加。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3.商贸事务（款）其他商贸事务支出（项）支出3,656.7万元，与上年相比增加1,616.32万元，增长79.22%。主要原因是增加涉美贴息等专项资金。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（二）社会保障和就业支出（类）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1.行政事业单位养老支出（款）机关事业单位基本养老保险缴费支出（项）支出189.43万元，与上年相比增加1.53万元，增长0.81%。主要原因是人员增加、养老保险基数增加。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2.行政事业单位养老支出（款）机关事业单位职业年金缴费支出（项）支出94.72万元，与上年相比增加0.76万元，增长0.81%。主要原因是人员增加、职业年金基数增加。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3.其他社会保障和就业支出（款）其他社会保障和就业支出（项）支出14.89万元，与上年相比增加4.39万元，增长41.81%。主要原因是人员增加、其他社保基数增加。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（三）卫生健康支出（类）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1.行政事业单位医疗（款）行政单位医疗（项）支出55.48万元，与上年相比增加17.39万元，增长45.66%。主要原因是人员增加、医疗保险基数增加。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2.行政事业单位医疗（款）事业单位医疗（项）支出57万元，与上年相比增加16.17万元，增长39.6%。主要原因是人员增加、医疗保险基数增加。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（四）城乡社区支出（类）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其他城乡社区支出（款）其他城乡社区支出（项）支出315.67万元，与上年预算数相同。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（五）住房保障支出（类）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1.住房改革支出（款）住房公积金（项）支出165.29万元，与上年相比增加20.88万元，增长14.46%。主要原因是人员增加、公积金基数增加。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2.住房改革支出（款）提租补贴（项）支出328.08万元，与上年相比减少5.24万元，减少1.57%。主要原因是退休人员减少、提租补贴减少。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3.住房改革支出（款）购房补贴（项）支出218.57万元，与上年相比增加23.47万元，增长12.03%。主要原因是人员增加、购房补贴基数增加。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六、财政拨款基本支出预算情况说明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江阴市商务局2026年度财政拨款基本支出预算2,820.62万元，其中：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2,692.19万元。主要包括：基本工资、津贴补贴、奖金、绩效工资、机关事业单位基本养老保险缴费、职业年金缴费、职工基本医疗保险缴费、其他社会保障缴费、住房公积金、医疗费、其他工资福利支出、退休费、生活补助、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（二）公用经费128.43万元。主要包括：办公费、印刷费、差旅费、会议费、培训费、公务接待费、工会经费、公务用车运行维护费、其他交通费用、其他商品和服务支出、其他资本性支出。</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七、一般公共预算支出预算情况说明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江阴市商务局2026年一般公共预算财政拨款支出预算6,792.99万元，与上年相比增加1,692.58万元，增长33.19%。主要原因是增加涉美贴息等专项资金。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八、一般公共预算基本支出预算情况说明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江阴市商务局2026年度一般公共预算财政拨款基本支出预算2,820.62万元，其中：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2,692.19万元。主要包括：基本工资、津贴补贴、奖金、绩效工资、机关事业单位基本养老保险缴费、职业年金缴费、职工基本医疗保险缴费、其他社会保障缴费、住房公积金、医疗费、其他工资福利支出、退休费、生活补助、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（二）公用经费128.43万元。主要包括：办公费、印刷费、差旅费、会议费、培训费、公务接待费、工会经费、公务用车运行维护费、其他交通费用、其他商品和服务支出、其他资本性支出。</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九、一般公共预算“三公”经费、会议费、培训费支出预算情况说明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一般公共预算拨款安排的“三公”经费支出预算20.34万元，比上年预算减少0.96万元，变动原因根据财政要求压减三公经费。其中，因公出国（境）费支出0万元，占“三公”经费的0%；公务用车购置及运行维护费支出2.5万元，占“三公”经费的12.29%；公务接待费支出17.84万元，占“三公”经费的87.71%。具体情况如下：</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1．因公出国（境）费预算支出0万元，与上年预算数相同。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2．公务用车购置及运行维护费预算支出2.5万元。其中：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（1）公务用车购置预算支出0万元，与上年预算数相同。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（2）公务用车运行维护费预算支出2.5万元，与上年预算数相同。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3．公务接待费预算支出17.84万元，比上年预算减少0.96万元，主要原因是根据财政要求压减三公经费。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江阴市商务局2026年度一般公共预算拨款安排的会议费预算支出14.13万元，比上年预算减少1.04万元，主要原因是根据财政要求压减会议费。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江阴市商务局2026年度一般公共预算拨款安排的培训费预算支出7.82万元，比上年预算减少0.41万元，主要原因是根据财政要求压减培训费。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十、政府性基金预算支出预算情况说明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江阴市商务局2026年政府性基金支出预算支出0万元。与上年预算数相同。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十一、国有资本经营预算支出预算情况说明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江阴市商务局2026年国有资本经营预算支出0万元。与上年预算数相同。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十二、一般公共预算机关运行经费支出预算情况说明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2026年本部门一般公共预算机关运行经费预算支出65.65万元，与上年相比增加10.17万元，增长18.33%。主要原因是本年度人员增加对应的办公费等公用支出增加。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十三、政府采购支出预算情况说明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2026年度政府采购支出预算总额2.98万元，其中：拟采购货物支出0.98万元、拟采购工程支出0万元、拟采购服务支出2万元。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十四、国有资产占用情况说明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部门共有车辆1辆，其中，副部（省）级及以上领导用车0辆、主要负责人用车0辆、机要通信用车0辆、应急保障用车0辆、执法执勤用车0辆、特种专业技术用车0辆、离退休干部用车0辆，其他用车1辆；单价100万元（含）以上的设备1台（套）。</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十五、预算绩效目标设置情况说明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本部门整体支出纳入绩效目标管理，涉及财政性资金6,792.99万元；本部门共6个项目纳入绩效目标管理，涉及财政性资金合计3,972.37万元，占财政性资金(人员类和运转类中的公用经费项目支出除外)总额的比例为100%。</w:t>
      </w:r>
      <w:r>
        <w:rPr>
          <w:rFonts w:ascii="仿宋" w:eastAsia="仿宋" w:hAnsi="仿宋" w:cs="仿宋"/>
          <w:u w:color="auto"/>
        </w:rPr>
        <w:t/>
      </w:r>
    </w:p>
    <w:p w14:paraId="60A71CD5">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63293F3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一、财政拨款</w:t>
      </w:r>
      <w:r>
        <w:rPr>
          <w:b w:val="on"/>
          <w:rFonts w:ascii="仿宋" w:eastAsia="仿宋" w:hAnsi="仿宋" w:cs="仿宋"/>
          <w:u w:color="auto"/>
        </w:rPr>
        <w:t>：</w:t>
      </w:r>
      <w:r>
        <w:rPr>
          <w:rFonts w:hint="eastAsia" w:ascii="仿宋" w:hAnsi="仿宋" w:eastAsia="仿宋" w:cs="仿宋"/>
        </w:rPr>
        <w:t>单位从同级财政部门取得的各类财政拨款，包括一般公共预算拨款、政府性基金预算拨款、国有资本经营预算拨款。</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二、财政专户管理资金</w:t>
      </w:r>
      <w:r>
        <w:rPr>
          <w:b w:val="on"/>
          <w:rFonts w:ascii="仿宋" w:eastAsia="仿宋" w:hAnsi="仿宋" w:cs="仿宋"/>
          <w:u w:color="auto"/>
        </w:rPr>
        <w:t>：</w:t>
      </w:r>
      <w:r>
        <w:rPr>
          <w:rFonts w:hint="eastAsia" w:ascii="仿宋" w:hAnsi="仿宋" w:eastAsia="仿宋" w:cs="仿宋"/>
        </w:rPr>
        <w:t>缴入财政专户、实行专项管理的高中以上学费、住宿费、高校委托培养费、函大、电大、夜大及短训班培训费等教育收费。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三、单位资金</w:t>
      </w:r>
      <w:r>
        <w:rPr>
          <w:b w:val="on"/>
          <w:rFonts w:ascii="仿宋" w:eastAsia="仿宋" w:hAnsi="仿宋" w:cs="仿宋"/>
          <w:u w:color="auto"/>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四、基本支出</w:t>
      </w:r>
      <w:r>
        <w:rPr>
          <w:b w:val="on"/>
          <w:rFonts w:ascii="仿宋" w:eastAsia="仿宋" w:hAnsi="仿宋" w:cs="仿宋"/>
          <w:u w:color="auto"/>
        </w:rPr>
        <w:t>：</w:t>
      </w:r>
      <w:r>
        <w:rPr>
          <w:rFonts w:hint="eastAsia" w:ascii="仿宋" w:hAnsi="仿宋" w:eastAsia="仿宋" w:cs="仿宋"/>
        </w:rPr>
        <w:t>指为保障机构正常运转、完成工作任务而发生的人员支出和公用支出。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五、项目支出</w:t>
      </w:r>
      <w:r>
        <w:rPr>
          <w:b w:val="on"/>
          <w:rFonts w:ascii="仿宋" w:eastAsia="仿宋" w:hAnsi="仿宋" w:cs="仿宋"/>
          <w:u w:color="auto"/>
        </w:rPr>
        <w:t>：</w:t>
      </w:r>
      <w:r>
        <w:rPr>
          <w:rFonts w:hint="eastAsia" w:ascii="仿宋" w:hAnsi="仿宋" w:eastAsia="仿宋" w:cs="仿宋"/>
        </w:rPr>
        <w:t>指在基本支出之外为完成特定工作任务和事业发展目标所发生的支出。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六、“三公”经费</w:t>
      </w:r>
      <w:r>
        <w:rPr>
          <w:b w:val="on"/>
          <w:rFonts w:ascii="仿宋" w:eastAsia="仿宋" w:hAnsi="仿宋" w:cs="仿宋"/>
          <w:u w:color="auto"/>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七、机关运行经费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八、一般公共服务支出(类)商贸事务(款)行政运行(项)</w:t>
      </w:r>
      <w:r>
        <w:rPr>
          <w:b w:val="on"/>
          <w:rFonts w:ascii="仿宋" w:eastAsia="仿宋" w:hAnsi="仿宋" w:cs="仿宋"/>
          <w:u w:color="auto"/>
        </w:rPr>
        <w:t>：</w:t>
      </w:r>
      <w:r>
        <w:rPr>
          <w:rFonts w:hint="eastAsia" w:ascii="仿宋" w:hAnsi="仿宋" w:eastAsia="仿宋" w:cs="仿宋"/>
        </w:rPr>
        <w:t>反映行政单位（包括实行公务员管理的事业单位）的基本支出。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九、一般公共服务支出(类)商贸事务(款)事业运行(项)</w:t>
      </w:r>
      <w:r>
        <w:rPr>
          <w:b w:val="on"/>
          <w:rFonts w:ascii="仿宋" w:eastAsia="仿宋" w:hAnsi="仿宋" w:cs="仿宋"/>
          <w:u w:color="auto"/>
        </w:rPr>
        <w:t>：</w:t>
      </w:r>
      <w:r>
        <w:rPr>
          <w:rFonts w:hint="eastAsia" w:ascii="仿宋" w:hAnsi="仿宋" w:eastAsia="仿宋" w:cs="仿宋"/>
        </w:rPr>
        <w:t>反映事业单位的基本支出，不包括行政单位（包括实行公务员管理的事业单位）后勤服务中心、医务室等附属事业单位。</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十、一般公共服务支出(类)商贸事务(款)其他商贸事务支出(项)</w:t>
      </w:r>
      <w:r>
        <w:rPr>
          <w:b w:val="on"/>
          <w:rFonts w:ascii="仿宋" w:eastAsia="仿宋" w:hAnsi="仿宋" w:cs="仿宋"/>
          <w:u w:color="auto"/>
        </w:rPr>
        <w:t>：</w:t>
      </w:r>
      <w:r>
        <w:rPr>
          <w:rFonts w:hint="eastAsia" w:ascii="仿宋" w:hAnsi="仿宋" w:eastAsia="仿宋" w:cs="仿宋"/>
        </w:rPr>
        <w:t>反映除上述项目以外其他用于商贸事务方面的支出。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十一、社会保障和就业支出(类)行政事业单位养老支出(款)机关事业单位基本养老保险缴费支出(项)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十二、社会保障和就业支出(类)行政事业单位养老支出(款)机关事业单位职业年金缴费支出(项)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十三、社会保障和就业支出(类)其他社会保障和就业支出(款)其他社会保障和就业支出(项)</w:t>
      </w:r>
      <w:r>
        <w:rPr>
          <w:b w:val="on"/>
          <w:rFonts w:ascii="仿宋" w:eastAsia="仿宋" w:hAnsi="仿宋" w:cs="仿宋"/>
          <w:u w:color="auto"/>
        </w:rPr>
        <w:t>：</w:t>
      </w:r>
      <w:r>
        <w:rPr>
          <w:rFonts w:hint="eastAsia" w:ascii="仿宋" w:hAnsi="仿宋" w:eastAsia="仿宋" w:cs="仿宋"/>
        </w:rPr>
        <w:t>反映除上述项目以外其他用于社会保障和就业方面的支出。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十四、卫生健康支出(类)行政事业单位医疗(款)行政单位医疗(项)</w:t>
      </w:r>
      <w:r>
        <w:rPr>
          <w:b w:val="on"/>
          <w:rFonts w:ascii="仿宋" w:eastAsia="仿宋" w:hAnsi="仿宋" w:cs="仿宋"/>
          <w:u w:color="auto"/>
        </w:rPr>
        <w:t>：</w:t>
      </w:r>
      <w:r>
        <w:rPr>
          <w:rFonts w:hint="eastAsia" w:ascii="仿宋" w:hAnsi="仿宋" w:eastAsia="仿宋" w:cs="仿宋"/>
        </w:rPr>
        <w:t>反映财政部门安排的行政单位（包括实行公务员管理的事业单位，下同）基本医疗保险缴费经费，未参加医疗保险的行政单位的公费医疗经费，按国家规定享受离休人员、红军老战士待遇人员的医疗经费。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十五、卫生健康支出(类)行政事业单位医疗(款)事业单位医疗(项)</w:t>
      </w:r>
      <w:r>
        <w:rPr>
          <w:b w:val="on"/>
          <w:rFonts w:ascii="仿宋" w:eastAsia="仿宋" w:hAnsi="仿宋" w:cs="仿宋"/>
          <w:u w:color="auto"/>
        </w:rPr>
        <w:t>：</w:t>
      </w:r>
      <w:r>
        <w:rPr>
          <w:rFonts w:hint="eastAsia" w:ascii="仿宋" w:hAnsi="仿宋" w:eastAsia="仿宋" w:cs="仿宋"/>
        </w:rPr>
        <w:t>反映财政部门安排的事业单位基本医疗保险缴费经费，未参加医疗保险的事业单位的公费医疗经费，按国家规定享受离休人员待遇的医疗经费。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十六、城乡社区支出(类)其他城乡社区支出(款)其他城乡社区支出(项)</w:t>
      </w:r>
      <w:r>
        <w:rPr>
          <w:b w:val="on"/>
          <w:rFonts w:ascii="仿宋" w:eastAsia="仿宋" w:hAnsi="仿宋" w:cs="仿宋"/>
          <w:u w:color="auto"/>
        </w:rPr>
        <w:t>：</w:t>
      </w:r>
      <w:r>
        <w:rPr>
          <w:rFonts w:hint="eastAsia" w:ascii="仿宋" w:hAnsi="仿宋" w:eastAsia="仿宋" w:cs="仿宋"/>
        </w:rPr>
        <w:t>反映除上述项目以外其他用于城乡社区方面的支出。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十七、住房保障支出(类)住房改革支出(款)住房公积金(项)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十八、住房保障支出(类)住房改革支出(款)提租补贴(项)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十九、住房保障支出(类)住房改革支出(款)购房补贴(项)</w:t>
      </w:r>
      <w:r>
        <w:rPr>
          <w:b w:val="on"/>
          <w:rFonts w:ascii="仿宋" w:eastAsia="仿宋" w:hAnsi="仿宋" w:cs="仿宋"/>
          <w:u w:color="auto"/>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roman"/>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D44A">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24A0">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B55A">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81FA">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E973">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F68D">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0F64">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405305FE">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5044">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B4F1">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6B37">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7DF2">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2DD7">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3712">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4045">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38EE">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B7F">
    <w:pPr>
      <w:pStyle w:val="10"/>
      <w:pBdr>
        <w:bottom w:val="single" w:color="000000" w:sz="4" w:space="1"/>
      </w:pBdr>
      <w:jc w:val="both"/>
      <w:rPr>
        <w:rFonts w:hint="default" w:eastAsia="Arial Unicode MS"/>
        <w:lang w:val="en-US" w:eastAsia="zh-CN"/>
      </w:rPr>
    </w:pPr>
    <w:r>
      <w:rPr>
        <w:rFonts w:hint="eastAsia"/>
        <w:lang w:val="en-US" w:eastAsia="zh-CN"/>
        <w:u/>
      </w:rPr>
      <w:t>江阴市商务局</w:t>
    </w:r>
    <w:r>
      <w:rPr>
        <w:u w:color="auto"/>
      </w:rPr>
      <w:t>2026</w:t>
    </w:r>
    <w:r>
      <w:rPr>
        <w:u w:color="auto"/>
      </w:rPr>
      <w:t>年度</w:t>
    </w:r>
    <w:r>
      <w:rPr>
        <w:u w:color="auto"/>
      </w:rPr>
      <w:t>部门</w:t>
    </w:r>
    <w:r>
      <w:rPr>
        <w:u w:color="auto"/>
      </w:rP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B3B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11C07"/>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0623A"/>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6CDC"/>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CC4FA5"/>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07AD9"/>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7313B"/>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9C3A6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537E16"/>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05098"/>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1911</Words>
  <Characters>6537</Characters>
  <Paragraphs>501</Paragraphs>
  <TotalTime>0</TotalTime>
  <ScaleCrop>false</ScaleCrop>
  <LinksUpToDate>false</LinksUpToDate>
  <CharactersWithSpaces>6554</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细雨</cp:lastModifiedBy>
  <dcterms:modified xsi:type="dcterms:W3CDTF">2025-05-21T07:38:56Z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2052-12.1.0.21171</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