
<file path=[Content_Types].xml><?xml version="1.0" encoding="utf-8"?>
<Types xmlns="http://schemas.openxmlformats.org/package/2006/content-types">
  <Default ContentType="image/jpeg" Extension="jpe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2.xml"/>
  <Override ContentType="application/vnd.openxmlformats-officedocument.wordprocessingml.footer+xml" PartName="/word/footer13.xml"/>
  <Override ContentType="application/vnd.openxmlformats-officedocument.wordprocessingml.footer+xml" PartName="/word/footer14.xml"/>
  <Override ContentType="application/vnd.openxmlformats-officedocument.wordprocessingml.footer+xml" PartName="/word/footer15.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2"/>
      </w:tblGrid>
      <w:tr w14:paraId="5E8FF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54" w:hRule="atLeast"/>
        </w:trPr>
        <w:tc>
          <w:tcPr>
            <w:tcW w:w="10402" w:type="dxa"/>
            <w:tcBorders>
              <w:top w:val="nil"/>
              <w:left w:val="nil"/>
              <w:bottom w:val="nil"/>
              <w:right w:val="nil"/>
            </w:tcBorders>
          </w:tcPr>
          <w:p w14:paraId="6582E28E">
            <w:pPr>
              <w:pStyle w:val="8"/>
              <w:spacing w:line="550" w:lineRule="exact"/>
              <w:rPr>
                <w:rFonts w:hint="eastAsia" w:ascii="仿宋" w:hAnsi="仿宋" w:eastAsia="仿宋" w:cs="仿宋"/>
                <w:b/>
                <w:bCs/>
                <w:color w:val="FF0000"/>
                <w:sz w:val="22"/>
                <w:szCs w:val="22"/>
                <w:vertAlign w:val="baseline"/>
              </w:rPr>
            </w:pPr>
            <w:r>
              <w:rPr>
                <w:rFonts w:hint="eastAsia" w:ascii="仿宋" w:hAnsi="仿宋" w:eastAsia="仿宋" w:cs="仿宋"/>
                <w:b/>
                <w:bCs/>
                <w:color w:val="FF0000"/>
                <w:sz w:val="22"/>
                <w:szCs w:val="22"/>
              </w:rPr>
              <w:t/>
            </w:r>
          </w:p>
        </w:tc>
      </w:tr>
      <w:tr w14:paraId="53321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5" w:hRule="atLeast"/>
        </w:trPr>
        <w:tc>
          <w:tcPr>
            <w:tcW w:w="10402" w:type="dxa"/>
            <w:tcBorders>
              <w:top w:val="nil"/>
              <w:left w:val="nil"/>
              <w:bottom w:val="nil"/>
              <w:right w:val="nil"/>
            </w:tcBorders>
            <w:vAlign w:val="center"/>
          </w:tcPr>
          <w:p w14:paraId="1DE75410">
            <w:pPr>
              <w:ind w:right="284" w:rightChars="129"/>
              <w:jc w:val="center"/>
              <w:rPr>
                <w:rFonts w:hint="eastAsia" w:ascii="仿宋" w:hAnsi="仿宋" w:eastAsia="仿宋" w:cs="仿宋"/>
                <w:b/>
                <w:bCs/>
                <w:color w:val="FF0000"/>
                <w:sz w:val="22"/>
                <w:szCs w:val="22"/>
                <w:vertAlign w:val="baseline"/>
              </w:rPr>
            </w:pPr>
            <w:r>
              <w:rPr>
                <w:rFonts w:hint="eastAsia" w:ascii="宋体" w:hAnsi="宋体" w:eastAsia="宋体" w:cs="宋体"/>
                <w:b/>
                <w:bCs/>
                <w:sz w:val="52"/>
                <w:szCs w:val="52"/>
                <w:lang w:val="en-US" w:eastAsia="zh-CN"/>
              </w:rPr>
              <w:t/>
            </w:r>
            <w:r>
              <w:rPr>
                <w:rFonts w:ascii="宋体" w:hAnsi="宋体" w:cs="宋体" w:eastAsia="宋体"/>
                <w:b w:val="true"/>
                <w:sz w:val="52"/>
              </w:rPr>
              <w:t/>
            </w:r>
            <w:r>
              <w:rPr>
                <w:rFonts w:ascii="宋体" w:hAnsi="宋体" w:cs="宋体" w:eastAsia="宋体"/>
                <w:b w:val="true"/>
                <w:sz w:val="52"/>
              </w:rPr>
              <w:t/>
            </w:r>
            <w:r>
              <w:rPr>
                <w:rFonts w:ascii="宋体" w:hAnsi="宋体" w:cs="宋体" w:eastAsia="宋体"/>
                <w:b w:val="true"/>
                <w:sz w:val="52"/>
              </w:rPr>
              <w:t/>
            </w:r>
            <w:r>
              <w:rPr>
                <w:rFonts w:ascii="宋体" w:hAnsi="宋体" w:cs="宋体" w:eastAsia="宋体"/>
                <w:b w:val="true"/>
                <w:sz w:val="52"/>
              </w:rPr>
              <w:t>2025年度江阴市商务局部门预算公开</w:t>
            </w:r>
            <w:r>
              <w:rPr>
                <w:rFonts w:ascii="宋体" w:hAnsi="宋体" w:cs="宋体" w:eastAsia="宋体"/>
                <w:b w:val="true"/>
                <w:sz w:val="52"/>
              </w:rPr>
              <w:t/>
            </w:r>
            <w:r>
              <w:rPr>
                <w:rFonts w:ascii="宋体" w:hAnsi="宋体" w:cs="宋体" w:eastAsia="宋体"/>
                <w:b w:val="true"/>
                <w:sz w:val="52"/>
              </w:rPr>
              <w:t/>
            </w:r>
          </w:p>
        </w:tc>
      </w:tr>
    </w:tbl>
    <w:p w14:paraId="14897ACB">
      <w:pPr>
        <w:ind w:right="284" w:rightChars="129"/>
        <w:jc w:val="both"/>
        <w:rPr>
          <w:rFonts w:hint="eastAsia" w:ascii="宋体" w:hAnsi="宋体" w:eastAsia="宋体" w:cs="宋体"/>
          <w:b/>
          <w:bCs/>
          <w:sz w:val="52"/>
          <w:szCs w:val="52"/>
        </w:rPr>
        <w:sectPr>
          <w:headerReference r:id="rId5" w:type="first"/>
          <w:headerReference r:id="rId4" w:type="default"/>
          <w:pgSz w:w="11906" w:h="16838"/>
          <w:pgMar w:top="1580" w:right="1020" w:bottom="770" w:left="1020" w:header="170" w:footer="280" w:gutter="0"/>
          <w:pgBorders>
            <w:top w:val="none" w:sz="0" w:space="0"/>
            <w:left w:val="none" w:sz="0" w:space="0"/>
            <w:bottom w:val="none" w:sz="0" w:space="0"/>
            <w:right w:val="none" w:sz="0" w:space="0"/>
          </w:pgBorders>
          <w:pgNumType w:fmt="decimal"/>
          <w:cols w:space="720" w:num="1"/>
          <w:formProt w:val="0"/>
          <w:titlePg/>
          <w:docGrid w:linePitch="100" w:charSpace="0"/>
        </w:sectPr>
      </w:pPr>
    </w:p>
    <w:p w14:paraId="6AEB147C">
      <w:pPr>
        <w:pStyle w:val="8"/>
        <w:spacing w:before="4" w:after="0"/>
        <w:rPr>
          <w:rFonts w:ascii="华文仿宋" w:hAnsi="华文仿宋" w:eastAsia="华文仿宋" w:cs="仿宋"/>
          <w:sz w:val="10"/>
        </w:rPr>
      </w:pPr>
    </w:p>
    <w:p w14:paraId="739D6A77">
      <w:pPr>
        <w:pStyle w:val="3"/>
        <w:keepNext w:val="0"/>
        <w:keepLines w:val="0"/>
        <w:pageBreakBefore w:val="0"/>
        <w:widowControl w:val="0"/>
        <w:tabs>
          <w:tab w:val="left" w:pos="880"/>
        </w:tabs>
        <w:kinsoku/>
        <w:wordWrap/>
        <w:overflowPunct/>
        <w:topLinePunct w:val="0"/>
        <w:autoSpaceDE/>
        <w:autoSpaceDN/>
        <w:bidi w:val="0"/>
        <w:adjustRightInd/>
        <w:snapToGrid w:val="0"/>
        <w:spacing w:after="0" w:line="240" w:lineRule="auto"/>
        <w:ind w:right="313" w:firstLine="0"/>
        <w:textAlignment w:val="auto"/>
        <w:rPr>
          <w:rFonts w:hint="eastAsia" w:ascii="仿宋" w:hAnsi="仿宋" w:eastAsia="仿宋" w:cs="仿宋"/>
        </w:rPr>
      </w:pPr>
      <w:r>
        <w:rPr>
          <w:rFonts w:hint="eastAsia" w:ascii="仿宋" w:hAnsi="仿宋" w:eastAsia="仿宋" w:cs="仿宋"/>
          <w:b/>
          <w:bCs/>
        </w:rPr>
        <w:t>目</w:t>
      </w:r>
      <w:r>
        <w:rPr>
          <w:rFonts w:hint="eastAsia" w:ascii="仿宋" w:hAnsi="仿宋" w:eastAsia="仿宋" w:cs="仿宋"/>
          <w:b/>
          <w:bCs/>
        </w:rPr>
        <w:tab/>
      </w:r>
      <w:r>
        <w:rPr>
          <w:rFonts w:hint="eastAsia" w:ascii="仿宋" w:hAnsi="仿宋" w:eastAsia="仿宋" w:cs="仿宋"/>
          <w:b/>
          <w:bCs/>
        </w:rPr>
        <w:t>录</w:t>
      </w:r>
    </w:p>
    <w:p w14:paraId="5499024E">
      <w:pPr>
        <w:pStyle w:val="8"/>
        <w:keepNext w:val="0"/>
        <w:keepLines w:val="0"/>
        <w:pageBreakBefore w:val="0"/>
        <w:widowControl w:val="0"/>
        <w:kinsoku/>
        <w:wordWrap/>
        <w:overflowPunct/>
        <w:topLinePunct w:val="0"/>
        <w:autoSpaceDE/>
        <w:autoSpaceDN/>
        <w:bidi w:val="0"/>
        <w:adjustRightInd/>
        <w:snapToGrid w:val="0"/>
        <w:spacing w:before="7" w:after="0" w:line="240" w:lineRule="auto"/>
        <w:textAlignment w:val="auto"/>
        <w:rPr>
          <w:rFonts w:hint="eastAsia" w:ascii="仿宋" w:hAnsi="仿宋" w:eastAsia="仿宋" w:cs="仿宋"/>
          <w:sz w:val="27"/>
        </w:rPr>
      </w:pPr>
    </w:p>
    <w:p w14:paraId="63325B0C">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b/>
          <w:bCs/>
        </w:rPr>
        <w:t xml:space="preserve">第一部分 </w:t>
      </w:r>
      <w:r>
        <w:rPr>
          <w:rFonts w:hint="eastAsia" w:ascii="仿宋" w:hAnsi="仿宋" w:eastAsia="仿宋" w:cs="仿宋"/>
          <w:b/>
          <w:bCs/>
          <w:lang w:val="en-US" w:eastAsia="zh-CN"/>
        </w:rPr>
        <w:t>部门</w:t>
      </w:r>
      <w:r>
        <w:rPr>
          <w:rFonts w:hint="eastAsia" w:ascii="仿宋" w:hAnsi="仿宋" w:eastAsia="仿宋" w:cs="仿宋"/>
          <w:b/>
          <w:bCs/>
        </w:rPr>
        <w:t>概况</w:t>
      </w:r>
    </w:p>
    <w:p w14:paraId="502DA453">
      <w:pPr>
        <w:pStyle w:val="8"/>
        <w:keepNext w:val="0"/>
        <w:keepLines w:val="0"/>
        <w:pageBreakBefore w:val="0"/>
        <w:widowControl w:val="0"/>
        <w:tabs>
          <w:tab w:val="left" w:pos="2249"/>
        </w:tabs>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一、主要职能</w:t>
      </w:r>
    </w:p>
    <w:p w14:paraId="658D6902">
      <w:pPr>
        <w:pStyle w:val="8"/>
        <w:keepNext w:val="0"/>
        <w:keepLines w:val="0"/>
        <w:pageBreakBefore w:val="0"/>
        <w:widowControl w:val="0"/>
        <w:tabs>
          <w:tab w:val="left" w:pos="2249"/>
        </w:tabs>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二、</w:t>
      </w:r>
      <w:r>
        <w:rPr>
          <w:rFonts w:hint="eastAsia" w:ascii="仿宋" w:hAnsi="仿宋" w:eastAsia="仿宋" w:cs="仿宋"/>
          <w:lang w:val="en-US" w:eastAsia="zh-CN"/>
        </w:rPr>
        <w:t>部门</w:t>
      </w:r>
      <w:r>
        <w:rPr>
          <w:rFonts w:hint="eastAsia" w:ascii="仿宋" w:hAnsi="仿宋" w:eastAsia="仿宋" w:cs="仿宋"/>
        </w:rPr>
        <w:t>机构设置及预算单位构成情况</w:t>
      </w:r>
    </w:p>
    <w:p w14:paraId="552D6E10">
      <w:pPr>
        <w:pStyle w:val="8"/>
        <w:keepNext w:val="0"/>
        <w:keepLines w:val="0"/>
        <w:pageBreakBefore w:val="0"/>
        <w:widowControl w:val="0"/>
        <w:tabs>
          <w:tab w:val="left" w:pos="2249"/>
        </w:tabs>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三、</w:t>
      </w:r>
      <w:r>
        <w:rPr>
          <w:rFonts w:hint="eastAsia" w:ascii="仿宋" w:hAnsi="仿宋" w:eastAsia="仿宋" w:cs="仿宋"/>
          <w:lang w:eastAsia="zh-CN"/>
        </w:rPr>
        <w:t>2025</w:t>
      </w:r>
      <w:r>
        <w:rPr>
          <w:rFonts w:hint="eastAsia" w:ascii="仿宋" w:hAnsi="仿宋" w:eastAsia="仿宋" w:cs="仿宋"/>
        </w:rPr>
        <w:t>年度</w:t>
      </w:r>
      <w:r>
        <w:rPr>
          <w:rFonts w:hint="eastAsia" w:ascii="仿宋" w:hAnsi="仿宋" w:eastAsia="仿宋" w:cs="仿宋"/>
          <w:lang w:val="en-US" w:eastAsia="zh-CN"/>
        </w:rPr>
        <w:t>部门</w:t>
      </w:r>
      <w:r>
        <w:rPr>
          <w:rFonts w:hint="eastAsia" w:ascii="仿宋" w:hAnsi="仿宋" w:eastAsia="仿宋" w:cs="仿宋"/>
        </w:rPr>
        <w:t>主要工作任务及目标</w:t>
      </w:r>
    </w:p>
    <w:p w14:paraId="2B33D14A">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b/>
          <w:bCs/>
        </w:rPr>
      </w:pPr>
      <w:r>
        <w:rPr>
          <w:rFonts w:hint="eastAsia" w:ascii="仿宋" w:hAnsi="仿宋" w:eastAsia="仿宋" w:cs="仿宋"/>
          <w:b/>
          <w:bCs/>
          <w:lang w:val="en-US" w:eastAsia="zh-CN"/>
        </w:rPr>
        <w:t xml:space="preserve">第二部分 </w:t>
      </w:r>
      <w:r>
        <w:rPr>
          <w:rFonts w:hint="eastAsia" w:ascii="仿宋" w:hAnsi="仿宋" w:eastAsia="仿宋" w:cs="仿宋"/>
          <w:b/>
          <w:bCs/>
          <w:color w:val="000000"/>
          <w:sz w:val="30"/>
          <w:szCs w:val="30"/>
          <w:lang w:val="en-US" w:eastAsia="zh-CN" w:bidi="ar"/>
        </w:rPr>
        <w:t>2025</w:t>
      </w:r>
      <w:r>
        <w:rPr>
          <w:rFonts w:hint="eastAsia" w:ascii="仿宋" w:hAnsi="仿宋" w:eastAsia="仿宋" w:cs="仿宋"/>
          <w:b/>
          <w:bCs/>
          <w:lang w:val="en-US" w:eastAsia="zh-CN"/>
        </w:rPr>
        <w:t>年度</w:t>
      </w:r>
      <w:r>
        <w:rPr>
          <w:rFonts w:ascii="仿宋" w:hAnsi="仿宋" w:cs="仿宋" w:eastAsia="仿宋"/>
          <w:b w:val="true"/>
        </w:rPr>
        <w:t>部门</w:t>
      </w:r>
      <w:r>
        <w:rPr>
          <w:rFonts w:ascii="仿宋" w:hAnsi="仿宋" w:cs="仿宋" w:eastAsia="仿宋"/>
          <w:b w:val="true"/>
        </w:rPr>
        <w:t>预算表</w:t>
      </w:r>
    </w:p>
    <w:p w14:paraId="697B2D16">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一、收支总表</w:t>
      </w:r>
    </w:p>
    <w:p w14:paraId="21CD1960">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二、收入总表</w:t>
      </w:r>
    </w:p>
    <w:p w14:paraId="2D83067C">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三、支出总表</w:t>
      </w:r>
    </w:p>
    <w:p w14:paraId="4366880D">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四、财政拨款收支总表</w:t>
      </w:r>
    </w:p>
    <w:p w14:paraId="5F8EC728">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五、财政拨款支出表（功能科目）</w:t>
      </w:r>
    </w:p>
    <w:p w14:paraId="60D3009B">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六、财政拨款基本支出表（经济科目）</w:t>
      </w:r>
    </w:p>
    <w:p w14:paraId="6CA016C6">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七、一般公共预算支出表</w:t>
      </w:r>
    </w:p>
    <w:p w14:paraId="54387C98">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八、一般公共预算基本支出表</w:t>
      </w:r>
    </w:p>
    <w:p w14:paraId="79124BC0">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九、一般公共预算“三公”经费、会议费、培训费支出表</w:t>
      </w:r>
    </w:p>
    <w:p w14:paraId="31E56A9B">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十、政府性基金预算支出表</w:t>
      </w:r>
    </w:p>
    <w:p w14:paraId="58E1B9C8">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w:t>
      </w:r>
      <w:r>
        <w:rPr>
          <w:rFonts w:hint="eastAsia" w:ascii="仿宋" w:hAnsi="仿宋" w:eastAsia="仿宋" w:cs="仿宋"/>
          <w:lang w:val="en-US" w:eastAsia="zh-CN"/>
        </w:rPr>
        <w:t>一</w:t>
      </w:r>
      <w:r>
        <w:rPr>
          <w:rFonts w:hint="eastAsia" w:ascii="仿宋" w:hAnsi="仿宋" w:eastAsia="仿宋" w:cs="仿宋"/>
        </w:rPr>
        <w:t>、国有资本经营预算支出预算表</w:t>
      </w:r>
    </w:p>
    <w:p w14:paraId="5D5451FF">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w:t>
      </w:r>
      <w:r>
        <w:rPr>
          <w:rFonts w:hint="eastAsia" w:ascii="仿宋" w:hAnsi="仿宋" w:eastAsia="仿宋" w:cs="仿宋"/>
          <w:lang w:val="en-US" w:eastAsia="zh-CN"/>
        </w:rPr>
        <w:t>二</w:t>
      </w:r>
      <w:r>
        <w:rPr>
          <w:rFonts w:hint="eastAsia" w:ascii="仿宋" w:hAnsi="仿宋" w:eastAsia="仿宋" w:cs="仿宋"/>
        </w:rPr>
        <w:t>、一般公共预算机关运行经费支出预算表</w:t>
      </w:r>
    </w:p>
    <w:p w14:paraId="0C8D450D">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w:t>
      </w:r>
      <w:r>
        <w:rPr>
          <w:rFonts w:hint="eastAsia" w:ascii="仿宋" w:hAnsi="仿宋" w:eastAsia="仿宋" w:cs="仿宋"/>
          <w:lang w:val="en-US" w:eastAsia="zh-CN"/>
        </w:rPr>
        <w:t>三</w:t>
      </w:r>
      <w:r>
        <w:rPr>
          <w:rFonts w:hint="eastAsia" w:ascii="仿宋" w:hAnsi="仿宋" w:eastAsia="仿宋" w:cs="仿宋"/>
        </w:rPr>
        <w:t>、政府采购支出表</w:t>
      </w:r>
    </w:p>
    <w:p w14:paraId="2B2329B3">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right="506" w:rightChars="0" w:hanging="11" w:firstLineChars="0"/>
        <w:jc w:val="both"/>
        <w:textAlignment w:val="auto"/>
        <w:rPr>
          <w:rFonts w:hint="eastAsia" w:ascii="仿宋" w:hAnsi="仿宋" w:eastAsia="仿宋" w:cs="仿宋"/>
          <w:b/>
          <w:bCs/>
          <w:color w:val="000000"/>
          <w:sz w:val="30"/>
          <w:szCs w:val="30"/>
          <w:lang w:val="en-US" w:bidi="ar"/>
        </w:rPr>
      </w:pPr>
      <w:r>
        <w:rPr>
          <w:rFonts w:hint="eastAsia" w:ascii="仿宋" w:hAnsi="仿宋" w:eastAsia="仿宋" w:cs="仿宋"/>
          <w:b/>
          <w:bCs/>
          <w:lang w:val="en-US"/>
        </w:rPr>
        <w:t xml:space="preserve">第三部分 </w:t>
      </w:r>
      <w:r>
        <w:rPr>
          <w:rFonts w:hint="eastAsia" w:ascii="仿宋" w:hAnsi="仿宋" w:eastAsia="仿宋" w:cs="仿宋"/>
          <w:b/>
          <w:bCs/>
          <w:color w:val="000000"/>
          <w:sz w:val="30"/>
          <w:szCs w:val="30"/>
          <w:lang w:val="en-US" w:eastAsia="zh-CN" w:bidi="ar"/>
        </w:rPr>
        <w:t>2025</w:t>
      </w:r>
      <w:r>
        <w:rPr>
          <w:rFonts w:hint="eastAsia" w:ascii="仿宋" w:hAnsi="仿宋" w:eastAsia="仿宋" w:cs="仿宋"/>
          <w:b/>
          <w:bCs/>
          <w:color w:val="000000"/>
          <w:sz w:val="30"/>
          <w:szCs w:val="30"/>
          <w:lang w:val="en-US" w:bidi="ar"/>
        </w:rPr>
        <w:t>年度</w:t>
      </w:r>
      <w:r>
        <w:rPr>
          <w:rFonts w:ascii="仿宋" w:hAnsi="仿宋" w:cs="仿宋" w:eastAsia="仿宋"/>
          <w:b w:val="true"/>
          <w:color w:val="000000"/>
          <w:sz w:val="30"/>
        </w:rPr>
        <w:t>部门</w:t>
      </w:r>
      <w:r>
        <w:rPr>
          <w:rFonts w:hint="eastAsia" w:ascii="仿宋" w:hAnsi="仿宋" w:eastAsia="仿宋" w:cs="仿宋"/>
          <w:b/>
          <w:bCs/>
          <w:color w:val="000000"/>
          <w:sz w:val="30"/>
          <w:szCs w:val="30"/>
          <w:lang w:val="en-US" w:eastAsia="zh-CN" w:bidi="ar"/>
        </w:rPr>
        <w:t>预算</w:t>
      </w:r>
      <w:r>
        <w:rPr>
          <w:rFonts w:hint="eastAsia" w:ascii="仿宋" w:hAnsi="仿宋" w:eastAsia="仿宋" w:cs="仿宋"/>
          <w:b/>
          <w:bCs/>
          <w:color w:val="000000"/>
          <w:sz w:val="30"/>
          <w:szCs w:val="30"/>
          <w:lang w:val="en-US" w:bidi="ar"/>
        </w:rPr>
        <w:t>情况说明</w:t>
      </w:r>
    </w:p>
    <w:p w14:paraId="17567B92">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right="2575" w:hanging="11" w:firstLineChars="0"/>
        <w:jc w:val="both"/>
        <w:textAlignment w:val="auto"/>
        <w:rPr>
          <w:rFonts w:hint="default" w:ascii="仿宋" w:hAnsi="仿宋" w:eastAsia="仿宋" w:cs="仿宋"/>
          <w:b/>
          <w:bCs/>
          <w:color w:val="000000"/>
          <w:sz w:val="30"/>
          <w:szCs w:val="30"/>
          <w:lang w:val="en-US" w:eastAsia="zh-CN" w:bidi="ar"/>
        </w:rPr>
      </w:pPr>
      <w:r>
        <w:rPr>
          <w:rFonts w:hint="eastAsia" w:ascii="仿宋" w:hAnsi="仿宋" w:eastAsia="仿宋" w:cs="仿宋"/>
          <w:b/>
          <w:bCs/>
          <w:lang w:val="en-US"/>
        </w:rPr>
        <w:t>第</w:t>
      </w:r>
      <w:r>
        <w:rPr>
          <w:rFonts w:hint="eastAsia" w:ascii="仿宋" w:hAnsi="仿宋" w:eastAsia="仿宋" w:cs="仿宋"/>
          <w:b/>
          <w:bCs/>
          <w:lang w:val="en-US" w:eastAsia="zh-CN"/>
        </w:rPr>
        <w:t>四</w:t>
      </w:r>
      <w:r>
        <w:rPr>
          <w:rFonts w:hint="eastAsia" w:ascii="仿宋" w:hAnsi="仿宋" w:eastAsia="仿宋" w:cs="仿宋"/>
          <w:b/>
          <w:bCs/>
          <w:lang w:val="en-US"/>
        </w:rPr>
        <w:t xml:space="preserve">部分 </w:t>
      </w:r>
      <w:r>
        <w:rPr>
          <w:rFonts w:hint="eastAsia" w:ascii="仿宋" w:hAnsi="仿宋" w:eastAsia="仿宋" w:cs="仿宋"/>
          <w:b/>
          <w:bCs/>
          <w:lang w:val="en-US" w:eastAsia="zh-CN"/>
        </w:rPr>
        <w:t>名词解释</w:t>
      </w:r>
    </w:p>
    <w:p w14:paraId="3626083D">
      <w:pPr>
        <w:pStyle w:val="8"/>
        <w:keepNext w:val="0"/>
        <w:keepLines w:val="0"/>
        <w:pageBreakBefore w:val="0"/>
        <w:widowControl w:val="0"/>
        <w:kinsoku/>
        <w:wordWrap/>
        <w:overflowPunct/>
        <w:topLinePunct w:val="0"/>
        <w:autoSpaceDE/>
        <w:autoSpaceDN/>
        <w:bidi w:val="0"/>
        <w:adjustRightInd/>
        <w:snapToGrid w:val="0"/>
        <w:spacing w:after="0" w:line="312" w:lineRule="auto"/>
        <w:ind w:left="669" w:leftChars="300" w:right="2414" w:hanging="9" w:firstLineChars="0"/>
        <w:jc w:val="both"/>
        <w:textAlignment w:val="auto"/>
        <w:rPr>
          <w:rFonts w:hint="eastAsia" w:ascii="仿宋" w:hAnsi="仿宋" w:eastAsia="仿宋" w:cs="仿宋"/>
        </w:rPr>
        <w:sectPr>
          <w:footerReference r:id="rId6" w:type="default"/>
          <w:pgSz w:w="11906" w:h="16838"/>
          <w:pgMar w:top="1580" w:right="1020" w:bottom="770" w:left="1020" w:header="170" w:footer="280" w:gutter="0"/>
          <w:pgBorders>
            <w:top w:val="none" w:sz="0" w:space="0"/>
            <w:left w:val="none" w:sz="0" w:space="0"/>
            <w:bottom w:val="none" w:sz="0" w:space="0"/>
            <w:right w:val="none" w:sz="0" w:space="0"/>
          </w:pgBorders>
          <w:pgNumType w:fmt="numberInDash" w:start="1"/>
          <w:cols w:space="720" w:num="1"/>
          <w:formProt w:val="0"/>
          <w:docGrid w:linePitch="100" w:charSpace="0"/>
        </w:sectPr>
      </w:pPr>
    </w:p>
    <w:p w14:paraId="62BECF84">
      <w:pPr>
        <w:pStyle w:val="8"/>
        <w:spacing w:before="1" w:after="0"/>
        <w:rPr>
          <w:rFonts w:ascii="华文仿宋" w:hAnsi="华文仿宋" w:eastAsia="华文仿宋" w:cs="仿宋"/>
          <w:sz w:val="14"/>
        </w:rPr>
      </w:pPr>
    </w:p>
    <w:p w14:paraId="6E02EF27">
      <w:pPr>
        <w:pStyle w:val="5"/>
        <w:tabs>
          <w:tab w:val="left" w:pos="4395"/>
        </w:tabs>
        <w:spacing w:line="606" w:lineRule="exact"/>
        <w:ind w:right="504" w:rightChars="229"/>
        <w:jc w:val="center"/>
        <w:rPr>
          <w:rFonts w:hint="eastAsia" w:ascii="仿宋" w:hAnsi="仿宋" w:eastAsia="仿宋" w:cs="仿宋"/>
          <w:b/>
          <w:bCs/>
        </w:rPr>
      </w:pPr>
      <w:r>
        <w:rPr>
          <w:rFonts w:hint="eastAsia" w:ascii="仿宋" w:hAnsi="仿宋" w:eastAsia="仿宋" w:cs="仿宋"/>
          <w:b/>
          <w:bCs/>
        </w:rPr>
        <w:t>第一部分</w:t>
      </w:r>
      <w:r>
        <w:rPr>
          <w:rFonts w:hint="eastAsia" w:ascii="仿宋" w:hAnsi="仿宋" w:eastAsia="仿宋" w:cs="仿宋"/>
          <w:b/>
          <w:bCs/>
          <w:lang w:val="en-US" w:eastAsia="zh-CN"/>
        </w:rPr>
        <w:t xml:space="preserve"> </w:t>
      </w:r>
      <w:r>
        <w:rPr>
          <w:rFonts w:hint="eastAsia" w:ascii="仿宋" w:hAnsi="仿宋" w:eastAsia="仿宋" w:cs="仿宋"/>
          <w:b/>
          <w:bCs/>
        </w:rPr>
        <w:t>部门</w:t>
      </w:r>
      <w:r>
        <w:rPr>
          <w:rFonts w:hint="eastAsia" w:ascii="仿宋" w:hAnsi="仿宋" w:eastAsia="仿宋" w:cs="仿宋"/>
          <w:b/>
          <w:bCs/>
        </w:rPr>
        <w:t>概况</w:t>
      </w:r>
    </w:p>
    <w:p w14:paraId="596E3451">
      <w:pPr>
        <w:ind w:right="504" w:rightChars="229"/>
        <w:jc w:val="both"/>
        <w:rPr>
          <w:rFonts w:hint="eastAsia"/>
        </w:rPr>
      </w:pPr>
    </w:p>
    <w:p w14:paraId="4E0400AE">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一、主要职能</w:t>
      </w:r>
    </w:p>
    <w:p w14:paraId="7751453F">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（1）贯彻、执行国家、省、市有关服务业、商贸、对外贸易、国际经济投资与合作的法律法规和具体政策，拟订相关地方规范性文件并组织实施。</w:t>
      </w:r>
      <w:r>
        <w:rPr>
          <w:rFonts w:ascii="仿宋" w:hAnsi="仿宋" w:cs="仿宋" w:eastAsia="仿宋"/>
        </w:rPr>
        <w:t/>
      </w:r>
    </w:p>
    <w:p w14:paraId="7751453F">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2）拟订全市商贸发展战略和中长期发展规划，编制年度目标和工作计划，提出政策建议和调控措施并组织实施；参与拟订全市服务业发展战略和中长期发展规划；调控和监测全市商贸运行状况，发布市场信息；研究经济全球化以及现代商贸发展方向，实施全市商贸市场体系、大宗产品批发市场和城市商业网点规划建设，指导城乡商贸服务业发展和社区商贸服务业规划建设，推进农村市场体系和现代流通网络工程建设；研究现代流通发展方向，推动流通标准化和连锁经营、物流配送等现代流通方式的发展，拟订电子商务发展的标准、政策、规则，并做好相应推进工作。</w:t>
      </w:r>
      <w:r>
        <w:rPr>
          <w:rFonts w:ascii="仿宋" w:hAnsi="仿宋" w:cs="仿宋" w:eastAsia="仿宋"/>
        </w:rPr>
        <w:t/>
      </w:r>
    </w:p>
    <w:p w14:paraId="7751453F">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3）承担消费品市场调控和重要生产资料流通管理，调查分析商品价格信息，进行市场预测预警和信息引导；负责建立健全生活必需品市场供应应急管理体制机制，按分工负责重要消费品储备管理和市场调控工作；牵头协调整顿和规范市场经济秩序，拟订规范市场运行、流通秩序的相关政策措施，牵头商贸行政综合执法，推动商贸领域信用建设；加强商业特许经营许可管理，按有关规定对成品油流通进行监督管理。</w:t>
      </w:r>
      <w:r>
        <w:rPr>
          <w:rFonts w:ascii="仿宋" w:hAnsi="仿宋" w:cs="仿宋" w:eastAsia="仿宋"/>
        </w:rPr>
        <w:t/>
      </w:r>
    </w:p>
    <w:p w14:paraId="7751453F">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4）负责全市进出口贸易管理，拟订促进外贸增长方式转变的政策措施，编制年度进出口目标和工作计划；负责协调、管理进出口许可证申请报批；管理加工贸易；联络协调涉外部门解决外贸出口中的有关问题；推广电子商务；负责国际市场开拓，组织参加国际、国内重要进出口贸易交易会、展销会。推进全市外贸企业国际标准的贯彻和创国际品牌工作。</w:t>
      </w:r>
      <w:r>
        <w:rPr>
          <w:rFonts w:ascii="仿宋" w:hAnsi="仿宋" w:cs="仿宋" w:eastAsia="仿宋"/>
        </w:rPr>
        <w:t/>
      </w:r>
    </w:p>
    <w:p w14:paraId="7751453F">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5）按照国家对外技术贸易政策，推进技术贸易发展地方规划及其政策的制定，负责技术进出口项目的转报，承担技术进出口市场开拓与协调管理工作落实技术和成套设备进出口政策，依法监督全市技术引进、设备进口、国家限制出口技术的工作；按照分工开展国际商务领域知识产权保护工作，探索和研究服务贸易领域对外开放工作。</w:t>
      </w:r>
      <w:r>
        <w:rPr>
          <w:rFonts w:ascii="仿宋" w:hAnsi="仿宋" w:cs="仿宋" w:eastAsia="仿宋"/>
        </w:rPr>
        <w:t/>
      </w:r>
    </w:p>
    <w:p w14:paraId="7751453F">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承担机电产品进口管理，按照国家机电产品进出口管理的方针政策和法规，拟订全市机电产品进出口规划和年度计划，拟订机电产品出口的地方规范性文件；负责机电产品进口国际招标，经营者备案登记工作，推进重要机电产品出口基地建设。</w:t>
      </w:r>
      <w:r>
        <w:rPr>
          <w:rFonts w:ascii="仿宋" w:hAnsi="仿宋" w:cs="仿宋" w:eastAsia="仿宋"/>
        </w:rPr>
        <w:t/>
      </w:r>
    </w:p>
    <w:p w14:paraId="7751453F">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6）负责公平贸易工作，承担协调全市反倾销、反补贴、保障措施的应对事务；建立公平贸易预警机制，组织产业损害调查，指导协调产业安全应对工作，参与开展反垄断调查，承办有关行政复议和行政应诉工作。</w:t>
      </w:r>
      <w:r>
        <w:rPr>
          <w:rFonts w:ascii="仿宋" w:hAnsi="仿宋" w:cs="仿宋" w:eastAsia="仿宋"/>
        </w:rPr>
        <w:t/>
      </w:r>
    </w:p>
    <w:p w14:paraId="7751453F">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7）负责指导、协调、管理全市利用外资工作，拟订和执行我市利用外资的地方规范性文件，参与拟订全市外商投资的发展战略和中长期规划；协同编制我市招商引资宣传资料，负责外商直接投资项目的审批或报批；审核、上报国家规定的限额以上、限制投资和涉及配额、许可证管理的外商投资企业的设立；审核外商投资项目的合同、章程及其变更；监督检查外商投资企业执行有关法律法规和合同、章程的情况，并协调解决有关问题；负责市利用外资管理委员会日常工作；指导和规范对外招商引资活动，指导投资促进工作。</w:t>
      </w:r>
      <w:r>
        <w:rPr>
          <w:rFonts w:ascii="仿宋" w:hAnsi="仿宋" w:cs="仿宋" w:eastAsia="仿宋"/>
        </w:rPr>
        <w:t/>
      </w:r>
    </w:p>
    <w:p w14:paraId="7751453F">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8）牵头拟订全市服务外包产业发展规划、措施及相关政策建议；跟踪全球服务外包产业发展信息，加强与国家商务部、省商务厅、无锡市及国内外相关组织的联系联络工作，推进服务外包示范区和集聚园区建设；协调组织服务外包产业重大招商活动，推动服务外包产业重点项目的落实；协调服务外包人才培训和协作机制推进；协助服务外包企业资格认定、考核奖励和国际认证工作。</w:t>
      </w:r>
      <w:r>
        <w:rPr>
          <w:rFonts w:ascii="仿宋" w:hAnsi="仿宋" w:cs="仿宋" w:eastAsia="仿宋"/>
        </w:rPr>
        <w:t/>
      </w:r>
    </w:p>
    <w:p w14:paraId="7751453F">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（9）协调、指导、服务全市各类开发区、特色产业园区建设发展工作；组织、指导、协调全市开发区的招商引资、项目推进和园区建设；负责开发区的统计分析。</w:t>
      </w:r>
      <w:r>
        <w:rPr>
          <w:rFonts w:ascii="仿宋" w:hAnsi="仿宋" w:cs="仿宋" w:eastAsia="仿宋"/>
        </w:rPr>
        <w:t/>
      </w:r>
    </w:p>
    <w:p w14:paraId="7751453F">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10）指导、监督和管理全市对外投资和经济合作业务；核准、报批企业在境外投资开办企业和机构（金融企业除外）；核准对外承包工程企业经营资质，初审对外劳务合作、境外就业经营资质；负责对外承包工程、劳务合作、境外就业项目审查和外派劳务招收备案；承担对外援助和接受国际援助项目的归口管理；推进对外经济合作的促进和服务体系建设。</w:t>
      </w:r>
      <w:r>
        <w:rPr>
          <w:rFonts w:ascii="仿宋" w:hAnsi="仿宋" w:cs="仿宋" w:eastAsia="仿宋"/>
        </w:rPr>
        <w:t/>
      </w:r>
    </w:p>
    <w:p w14:paraId="7751453F">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（11）负责全市商务团组出国（境）审核；管理全市海外经贸网络；负责局驻海外经贸代表机构队伍建设、人员选派和管理；指导全市商贸队伍加强业务建设。</w:t>
      </w:r>
      <w:r>
        <w:rPr>
          <w:rFonts w:ascii="仿宋" w:hAnsi="仿宋" w:cs="仿宋" w:eastAsia="仿宋"/>
        </w:rPr>
        <w:t/>
      </w:r>
    </w:p>
    <w:p w14:paraId="7751453F">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（12）协调商检、海关、质检、银行、外汇、出口信用保险与商务工作有关的事项；指导有关协会、商会、学会的工作。</w:t>
      </w:r>
      <w:r>
        <w:rPr>
          <w:rFonts w:ascii="仿宋" w:hAnsi="仿宋" w:cs="仿宋" w:eastAsia="仿宋"/>
        </w:rPr>
        <w:t/>
      </w:r>
    </w:p>
    <w:p w14:paraId="7751453F">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（13）承办市政府交办的其他事项。</w:t>
      </w:r>
      <w:r>
        <w:rPr>
          <w:rFonts w:ascii="仿宋" w:hAnsi="仿宋" w:cs="仿宋" w:eastAsia="仿宋"/>
        </w:rPr>
        <w:t/>
      </w:r>
    </w:p>
    <w:p w14:paraId="6B17DDCD">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二、</w:t>
      </w:r>
      <w:r>
        <w:rPr>
          <w:rFonts w:ascii="仿宋" w:hAnsi="仿宋" w:cs="仿宋" w:eastAsia="仿宋"/>
          <w:b w:val="true"/>
        </w:rPr>
        <w:t>部门</w:t>
      </w:r>
      <w:r>
        <w:rPr>
          <w:rFonts w:hint="eastAsia" w:ascii="仿宋" w:hAnsi="仿宋" w:eastAsia="仿宋" w:cs="仿宋"/>
          <w:b/>
          <w:bCs/>
        </w:rPr>
        <w:t>机构设置及预算单位构成情况</w:t>
      </w:r>
    </w:p>
    <w:p w14:paraId="77273F30">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eastAsia="zh-CN"/>
        </w:rPr>
        <w:t/>
      </w:r>
      <w:r>
        <w:rPr>
          <w:rFonts w:hint="eastAsia" w:ascii="仿宋" w:hAnsi="仿宋" w:eastAsia="仿宋" w:cs="仿宋"/>
          <w:lang w:val="en-US" w:eastAsia="zh-CN"/>
        </w:rPr>
        <w:t>1.</w:t>
      </w:r>
      <w:r>
        <w:rPr>
          <w:rFonts w:ascii="仿宋" w:hAnsi="仿宋" w:cs="仿宋" w:eastAsia="仿宋"/>
        </w:rPr>
        <w:t/>
      </w:r>
      <w:r>
        <w:rPr>
          <w:rFonts w:hint="eastAsia" w:ascii="仿宋" w:hAnsi="仿宋" w:eastAsia="仿宋" w:cs="仿宋"/>
        </w:rPr>
        <w:t>根据</w:t>
      </w:r>
      <w:r>
        <w:rPr>
          <w:rFonts w:hint="eastAsia" w:ascii="仿宋" w:hAnsi="仿宋" w:eastAsia="仿宋" w:cs="仿宋"/>
          <w:lang w:val="en-US" w:eastAsia="zh-CN"/>
        </w:rPr>
        <w:t>部门</w:t>
      </w:r>
      <w:r>
        <w:rPr>
          <w:rFonts w:hint="eastAsia" w:ascii="仿宋" w:hAnsi="仿宋" w:eastAsia="仿宋" w:cs="仿宋"/>
        </w:rPr>
        <w:t>职责分工，</w:t>
      </w:r>
      <w:r>
        <w:rPr>
          <w:rFonts w:hint="eastAsia" w:ascii="仿宋" w:hAnsi="仿宋" w:eastAsia="仿宋" w:cs="仿宋"/>
          <w:lang w:val="en-US"/>
        </w:rPr>
        <w:t/>
      </w:r>
      <w:r>
        <w:rPr>
          <w:rFonts w:ascii="仿宋" w:hAnsi="仿宋" w:cs="仿宋" w:eastAsia="仿宋"/>
        </w:rPr>
        <w:t/>
      </w:r>
      <w:r>
        <w:rPr>
          <w:rFonts w:ascii="仿宋" w:hAnsi="仿宋" w:cs="仿宋" w:eastAsia="仿宋"/>
        </w:rPr>
        <w:t>本部门内设机构包括：</w:t>
      </w:r>
      <w:r>
        <w:rPr>
          <w:rFonts w:ascii="仿宋" w:hAnsi="仿宋" w:cs="仿宋" w:eastAsia="仿宋"/>
        </w:rPr>
        <w:t/>
      </w:r>
      <w:r>
        <w:rPr>
          <w:rFonts w:ascii="仿宋" w:hAnsi="仿宋" w:cs="仿宋" w:eastAsia="仿宋"/>
        </w:rPr>
        <w:t/>
      </w:r>
      <w:r>
        <w:rPr>
          <w:rFonts w:ascii="仿宋" w:hAnsi="仿宋" w:cs="仿宋" w:eastAsia="仿宋"/>
        </w:rPr>
        <w:t>办公室、外国投资科、对外贸易科、外经合作科、口岸管理科、贸易市场科、电子商务科、安全生产监督管理科、组织人事科。</w:t>
      </w:r>
      <w:r>
        <w:rPr>
          <w:rFonts w:ascii="仿宋" w:hAnsi="仿宋" w:cs="仿宋" w:eastAsia="仿宋"/>
        </w:rPr>
        <w:t/>
      </w:r>
      <w:r>
        <w:rPr>
          <w:rFonts w:ascii="仿宋" w:hAnsi="仿宋" w:cs="仿宋" w:eastAsia="仿宋"/>
        </w:rPr>
        <w:t/>
      </w:r>
      <w:r>
        <w:rPr>
          <w:rFonts w:ascii="仿宋" w:hAnsi="仿宋" w:cs="仿宋" w:eastAsia="仿宋"/>
        </w:rPr>
        <w:t/>
      </w:r>
      <w:r>
        <w:rPr>
          <w:rFonts w:ascii="仿宋" w:hAnsi="仿宋" w:cs="仿宋" w:eastAsia="仿宋"/>
        </w:rPr>
        <w:t/>
      </w:r>
      <w:r>
        <w:rPr>
          <w:rFonts w:ascii="仿宋" w:hAnsi="仿宋" w:cs="仿宋" w:eastAsia="仿宋"/>
        </w:rPr>
        <w:t>本部门下属单位包括：江阴市投资促进中心，江阴市商贸管理办公室，江阴市服务业发展中心。</w:t>
      </w:r>
      <w:r>
        <w:rPr>
          <w:rFonts w:ascii="仿宋" w:hAnsi="仿宋" w:cs="仿宋" w:eastAsia="仿宋"/>
        </w:rPr>
        <w:t/>
      </w:r>
      <w:r>
        <w:rPr>
          <w:rFonts w:ascii="仿宋" w:hAnsi="仿宋" w:cs="仿宋" w:eastAsia="仿宋"/>
        </w:rPr>
        <w:t/>
      </w:r>
    </w:p>
    <w:p w14:paraId="4D6F6C6A">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eastAsia="zh-CN"/>
        </w:rPr>
        <w:t>2.</w:t>
      </w:r>
      <w:r>
        <w:rPr>
          <w:rFonts w:hint="eastAsia" w:ascii="仿宋" w:hAnsi="仿宋" w:eastAsia="仿宋" w:cs="仿宋"/>
        </w:rPr>
        <w:t>从</w:t>
      </w:r>
      <w:r>
        <w:rPr>
          <w:rFonts w:hint="eastAsia" w:ascii="仿宋" w:hAnsi="仿宋" w:eastAsia="仿宋" w:cs="仿宋"/>
          <w:lang w:eastAsia="zh-CN"/>
        </w:rPr>
        <w:t>预算</w:t>
      </w:r>
      <w:r>
        <w:rPr>
          <w:rFonts w:hint="eastAsia" w:ascii="仿宋" w:hAnsi="仿宋" w:eastAsia="仿宋" w:cs="仿宋"/>
        </w:rPr>
        <w:t>单位构成看，纳入本</w:t>
      </w:r>
      <w:r>
        <w:rPr>
          <w:rFonts w:hint="eastAsia" w:ascii="仿宋" w:hAnsi="仿宋" w:eastAsia="仿宋" w:cs="仿宋"/>
          <w:lang w:val="en-US" w:eastAsia="zh-CN"/>
        </w:rPr>
        <w:t>部门</w:t>
      </w:r>
      <w:r>
        <w:rPr>
          <w:rFonts w:hint="eastAsia" w:ascii="仿宋" w:hAnsi="仿宋" w:eastAsia="仿宋" w:cs="仿宋"/>
          <w:lang w:eastAsia="zh-CN"/>
        </w:rPr>
        <w:t>2025</w:t>
      </w:r>
      <w:r>
        <w:rPr>
          <w:rFonts w:hint="eastAsia" w:ascii="仿宋" w:hAnsi="仿宋" w:eastAsia="仿宋" w:cs="仿宋"/>
        </w:rPr>
        <w:t>年</w:t>
      </w:r>
      <w:r>
        <w:rPr>
          <w:rFonts w:hint="eastAsia" w:ascii="仿宋" w:hAnsi="仿宋" w:eastAsia="仿宋" w:cs="仿宋"/>
          <w:lang w:val="en-US" w:eastAsia="zh-CN"/>
        </w:rPr>
        <w:t>部门</w:t>
      </w:r>
      <w:r>
        <w:rPr>
          <w:rFonts w:hint="eastAsia" w:ascii="仿宋" w:hAnsi="仿宋" w:eastAsia="仿宋" w:cs="仿宋"/>
        </w:rPr>
        <w:t>汇总</w:t>
      </w:r>
      <w:r>
        <w:rPr>
          <w:rFonts w:hint="eastAsia" w:ascii="仿宋" w:hAnsi="仿宋" w:eastAsia="仿宋" w:cs="仿宋"/>
          <w:lang w:eastAsia="zh-CN"/>
        </w:rPr>
        <w:t>预算</w:t>
      </w:r>
      <w:r>
        <w:rPr>
          <w:rFonts w:hint="eastAsia" w:ascii="仿宋" w:hAnsi="仿宋" w:eastAsia="仿宋" w:cs="仿宋"/>
        </w:rPr>
        <w:t>编制范围的预算单位共计</w:t>
      </w:r>
      <w:r>
        <w:rPr>
          <w:rFonts w:hint="eastAsia" w:ascii="仿宋" w:hAnsi="仿宋" w:eastAsia="仿宋" w:cs="仿宋"/>
          <w:lang w:val="en-US"/>
        </w:rPr>
        <w:t/>
      </w:r>
      <w:r>
        <w:rPr>
          <w:rFonts w:ascii="仿宋" w:hAnsi="仿宋" w:cs="仿宋" w:eastAsia="仿宋"/>
        </w:rPr>
        <w:t/>
      </w:r>
      <w:r>
        <w:rPr>
          <w:rFonts w:ascii="仿宋" w:hAnsi="仿宋" w:cs="仿宋" w:eastAsia="仿宋"/>
        </w:rPr>
        <w:t>4</w:t>
      </w:r>
      <w:r>
        <w:rPr>
          <w:rFonts w:ascii="仿宋" w:hAnsi="仿宋" w:cs="仿宋" w:eastAsia="仿宋"/>
        </w:rPr>
        <w:t/>
      </w:r>
      <w:r>
        <w:rPr>
          <w:rFonts w:ascii="仿宋" w:hAnsi="仿宋" w:cs="仿宋" w:eastAsia="仿宋"/>
        </w:rPr>
        <w:t/>
      </w:r>
      <w:r>
        <w:rPr>
          <w:rFonts w:hint="eastAsia" w:ascii="仿宋" w:hAnsi="仿宋" w:eastAsia="仿宋" w:cs="仿宋"/>
        </w:rPr>
        <w:t>家，具体包括：</w:t>
      </w:r>
      <w:r>
        <w:rPr>
          <w:rFonts w:hint="eastAsia" w:ascii="仿宋" w:hAnsi="仿宋" w:eastAsia="仿宋" w:cs="仿宋"/>
          <w:lang w:val="en-US"/>
        </w:rPr>
        <w:t/>
      </w:r>
      <w:r>
        <w:rPr>
          <w:rFonts w:ascii="仿宋" w:hAnsi="仿宋" w:cs="仿宋" w:eastAsia="仿宋"/>
        </w:rPr>
        <w:t/>
      </w:r>
      <w:r>
        <w:rPr>
          <w:rFonts w:ascii="仿宋" w:hAnsi="仿宋" w:cs="仿宋" w:eastAsia="仿宋"/>
        </w:rPr>
        <w:t>江阴市商务局（机关），江阴市投资促进中心，江阴市商贸管理办公室，江阴市服务业发展中心。</w:t>
      </w:r>
      <w:r>
        <w:rPr>
          <w:rFonts w:ascii="仿宋" w:hAnsi="仿宋" w:cs="仿宋" w:eastAsia="仿宋"/>
        </w:rPr>
        <w:t/>
      </w:r>
      <w:r>
        <w:rPr>
          <w:rFonts w:ascii="仿宋" w:hAnsi="仿宋" w:cs="仿宋" w:eastAsia="仿宋"/>
        </w:rPr>
        <w:t/>
      </w:r>
    </w:p>
    <w:p w14:paraId="17E355E1">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三、</w:t>
      </w:r>
      <w:r>
        <w:rPr>
          <w:rFonts w:hint="eastAsia" w:ascii="仿宋" w:hAnsi="仿宋" w:eastAsia="仿宋" w:cs="仿宋"/>
          <w:b/>
          <w:bCs/>
          <w:lang w:eastAsia="zh-CN"/>
        </w:rPr>
        <w:t>2025</w:t>
      </w:r>
      <w:r>
        <w:rPr>
          <w:rFonts w:hint="eastAsia" w:ascii="仿宋" w:hAnsi="仿宋" w:eastAsia="仿宋" w:cs="仿宋"/>
          <w:b/>
          <w:bCs/>
        </w:rPr>
        <w:t>年度</w:t>
      </w:r>
      <w:r>
        <w:rPr>
          <w:rFonts w:ascii="仿宋" w:hAnsi="仿宋" w:cs="仿宋" w:eastAsia="仿宋"/>
          <w:b w:val="true"/>
        </w:rPr>
        <w:t>部门</w:t>
      </w:r>
      <w:r>
        <w:rPr>
          <w:rFonts w:ascii="仿宋" w:hAnsi="仿宋" w:cs="仿宋" w:eastAsia="仿宋"/>
          <w:b w:val="true"/>
        </w:rPr>
        <w:t>主要工作任务及目标</w:t>
      </w:r>
    </w:p>
    <w:p w14:paraId="62EF1CDE">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一）深化招商引资体制改革。一是提升决策效率。加强招商人员标准化培训，提升投促产业研究、项目研判能力，规范招商流程，优化《江阴市重点重大项目风险预评估操作办法》，新增科技创新、财税贡献的风险项，简化对尽调审查材料的要求，优化我市重点重大项目决策流程。二是优化资本招商。结合《江阴投资环境白皮书》，发挥基金对产业项目招引的推动作用，加快招商项目产业引导基金的设立，积极对上争取省、市级产业基金支持，精心挖掘民间资本，抱团投资重大产业落地。三是开展链式招商。进一步加强与本地龙头企业的交流合作，详细分析其产业链上下游需求，寻找与之匹配的原材料供应商、零部件制造商等。</w:t>
      </w:r>
      <w:r>
        <w:rPr>
          <w:rFonts w:ascii="仿宋" w:hAnsi="仿宋" w:cs="仿宋" w:eastAsia="仿宋"/>
        </w:rPr>
        <w:t/>
      </w:r>
    </w:p>
    <w:p w14:paraId="62EF1CDE">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二）推动开放型经济高质量发展。一是培育外贸新动力。持续做大外贸新产业，支持二手车出口业务做大增量，加大“产品和资金出海”步伐，支持在白俄罗斯明斯克、澳门等设立分公司。以扬子江船业集团成功获批商务部第三批外经贸提质增效链主示范企业为契机，推动船舶产业企业向上下游产业链延伸。培育一批与国际市场需求吻合的中间品行业，全方位支持其“出海”。二是创新利用外资形式。积极拓展私募基金、创业投资、股权投资等利用外资新方式，引导境外机构与境内相关机构、政府引导基金等加强合作，推动更多优质资金通过QFLP基金支持实体经济。梳理全市未分配利润超5000万元的外资企业，动员其进行利润再投资，加强递延纳税政策宣传和执行，提高外资企业增资扩股的积极性，重点推进扬船、光大等增资项目的落实。三是助力外经提资增效。支持企业加快对重点战略性新兴产业的国际并购，推动振江新能源德国并购项目，提升我市企业国际化经营能力和全球资源配置能力。推动本土跨国企业参与国际竞争和全球产业链分工，支持本土龙头企业加快全球产业链和创新链布局，加强自主研发。</w:t>
      </w:r>
      <w:r>
        <w:rPr>
          <w:rFonts w:ascii="仿宋" w:hAnsi="仿宋" w:cs="仿宋" w:eastAsia="仿宋"/>
        </w:rPr>
        <w:t/>
      </w:r>
    </w:p>
    <w:p w14:paraId="62EF1CDE">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三）保障经济平稳运行。一是深入挖潜，力促消费。围绕汽车、家电、两轮电动车等重点领域，推出形式多样的以旧换新专项活动，全力稳住大宗消费存量、扩大增量。以京东奥莱全国首店落地启用为契机，鼓励主要商业综合体加大力度招引各类高品质首店品牌，丰富消费供给。积极联动文旅部门及板块，创新消费场景，带动商业消费繁荣。二是服务惠企，激活动能。重点建设一批跨区联动、资源共享、供给丰富的生产性公共服务平台，促进制造业与服务业有机融合、互动发展。依托江阴产业基础，加快发展先进制造业、现代服务业、战略新兴产业等领域的总部经济，依托现有开发区、产业园区和现代化服务集聚区等载体，盘活存量楼宇，提升产业集聚功能。</w:t>
      </w:r>
      <w:r>
        <w:rPr>
          <w:rFonts w:ascii="仿宋" w:hAnsi="仿宋" w:cs="仿宋" w:eastAsia="仿宋"/>
        </w:rPr>
        <w:t/>
      </w:r>
    </w:p>
    <w:p w14:paraId="62EF1CDE">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四）营造稳固安全发展环境。一是提升数字化监管水平。按照分级分类原则，一方面用好“澄商安全”监管平台，重点商业场所建立一企一档，实现商贸企业全覆盖；另一方面完善“澄商安全”监管功能，设置自查模块。二是持续加大监管力度。商超综合体安全方面，针对封闭安全出口、占堵消防通道等突出问题，逐个整治，并定期开展消防演练。餐饮场所安全方面，协助市燃安办做好餐饮场所燃气“改电、改管”的长效管理和动态清零工作，防止餐饮燃气问题反弹。三是推动口岸规范化运营。将全市22个开放码头企业统一纳入运营管理绩效评价系统，落实口岸查验单位联合检查机制，科学评价码头企业在对外开放运营发展、效能水平、绿色安全等方面的综合表现。</w:t>
      </w:r>
      <w:r>
        <w:rPr>
          <w:rFonts w:ascii="仿宋" w:hAnsi="仿宋" w:cs="仿宋" w:eastAsia="仿宋"/>
        </w:rPr>
        <w:t/>
      </w:r>
    </w:p>
    <w:p w14:paraId="60B181B9">
      <w:pPr>
        <w:pStyle w:val="8"/>
        <w:spacing w:line="235" w:lineRule="auto"/>
        <w:ind w:left="669" w:leftChars="300" w:right="2414" w:hanging="9" w:firstLineChars="0"/>
        <w:jc w:val="both"/>
        <w:rPr>
          <w:rFonts w:hint="eastAsia" w:ascii="仿宋" w:hAnsi="仿宋" w:eastAsia="仿宋" w:cs="仿宋"/>
        </w:rPr>
        <w:sectPr>
          <w:footerReference r:id="rId7" w:type="default"/>
          <w:pgSz w:w="11906" w:h="16838"/>
          <w:pgMar w:top="1580" w:right="1020" w:bottom="770" w:left="10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p w14:paraId="22ACF442">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p>
    <w:p w14:paraId="272DDB38">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14:paraId="2D8EBC20">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14:paraId="76F080D4">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14:paraId="79DBE682">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14:paraId="4341A017">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14:paraId="61DCEEF8">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14:paraId="67D7F2C8">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rPr>
        <w:t>第二部分</w:t>
      </w:r>
    </w:p>
    <w:p w14:paraId="2C05E6B0">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lang w:eastAsia="zh-CN"/>
        </w:rPr>
        <w:t>2025</w:t>
      </w:r>
      <w:r>
        <w:rPr>
          <w:rFonts w:hint="eastAsia" w:ascii="仿宋" w:hAnsi="仿宋" w:eastAsia="仿宋" w:cs="仿宋"/>
          <w:b/>
          <w:bCs/>
          <w:sz w:val="44"/>
          <w:szCs w:val="44"/>
        </w:rPr>
        <w:t>年度</w:t>
      </w:r>
    </w:p>
    <w:p w14:paraId="199236A4">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u w:val="none"/>
        </w:rPr>
        <w:t>江阴市商务局</w:t>
      </w:r>
    </w:p>
    <w:p w14:paraId="341EDBD7">
      <w:pPr>
        <w:pStyle w:val="21"/>
        <w:widowControl w:val="0"/>
        <w:tabs>
          <w:tab w:val="left" w:pos="1609"/>
        </w:tabs>
        <w:suppressAutoHyphens/>
        <w:bidi w:val="0"/>
        <w:spacing w:before="12" w:after="0" w:line="300" w:lineRule="auto"/>
        <w:ind w:left="340" w:right="567" w:firstLine="0"/>
        <w:jc w:val="center"/>
        <w:rPr>
          <w:rFonts w:ascii="宋体" w:hAnsi="宋体" w:eastAsia="宋体" w:cs="仿宋"/>
          <w:b/>
          <w:bCs/>
          <w:sz w:val="44"/>
          <w:szCs w:val="44"/>
        </w:rPr>
      </w:pPr>
      <w:r>
        <w:rPr>
          <w:rFonts w:hint="eastAsia" w:ascii="仿宋" w:hAnsi="仿宋" w:eastAsia="仿宋" w:cs="仿宋"/>
          <w:b/>
          <w:bCs/>
          <w:sz w:val="44"/>
          <w:szCs w:val="44"/>
          <w:lang w:val="en-US" w:eastAsia="zh-CN"/>
        </w:rPr>
        <w:t>部门</w:t>
      </w:r>
      <w:r>
        <w:rPr>
          <w:rFonts w:ascii="仿宋" w:hAnsi="仿宋" w:cs="仿宋" w:eastAsia="仿宋"/>
          <w:b w:val="true"/>
          <w:sz w:val="44"/>
        </w:rPr>
        <w:t>预算表</w:t>
      </w:r>
    </w:p>
    <w:tbl>
      <w:tblPr>
        <w:tblStyle w:val="12"/>
        <w:tblW w:w="11329" w:type="dxa"/>
        <w:jc w:val="center"/>
        <w:tblLayout w:type="fixed"/>
        <w:tblCellMar>
          <w:top w:w="0" w:type="dxa"/>
          <w:left w:w="108" w:type="dxa"/>
          <w:bottom w:w="0" w:type="dxa"/>
          <w:right w:w="108" w:type="dxa"/>
        </w:tblCellMar>
      </w:tblPr>
      <w:tblGrid>
        <w:gridCol w:w="3908"/>
        <w:gridCol w:w="1869"/>
        <w:gridCol w:w="3704"/>
        <w:gridCol w:w="67"/>
        <w:gridCol w:w="1781"/>
      </w:tblGrid>
      <w:tr w14:paraId="6B843739">
        <w:tblPrEx>
          <w:tblCellMar>
            <w:top w:w="0" w:type="dxa"/>
            <w:left w:w="108" w:type="dxa"/>
            <w:bottom w:w="0" w:type="dxa"/>
            <w:right w:w="108" w:type="dxa"/>
          </w:tblCellMar>
        </w:tblPrEx>
        <w:trPr>
          <w:trHeight w:val="116" w:hRule="atLeast"/>
          <w:jc w:val="center"/>
        </w:trPr>
        <w:tc>
          <w:tcPr>
            <w:tcW w:w="11329" w:type="dxa"/>
            <w:gridSpan w:val="5"/>
            <w:vAlign w:val="center"/>
          </w:tcPr>
          <w:p w14:paraId="702297EC">
            <w:pPr>
              <w:pageBreakBefore/>
              <w:widowControl w:val="0"/>
              <w:ind w:left="0" w:right="0" w:firstLine="0"/>
              <w:jc w:val="both"/>
              <w:textAlignment w:val="auto"/>
              <w:rPr>
                <w:rFonts w:hint="eastAsia" w:ascii="仿宋" w:hAnsi="仿宋" w:eastAsia="仿宋" w:cs="仿宋"/>
                <w:color w:val="000000"/>
                <w:sz w:val="22"/>
                <w:szCs w:val="22"/>
                <w:lang w:eastAsia="ar-SA"/>
              </w:rPr>
            </w:pPr>
            <w:r>
              <w:rPr>
                <w:rFonts w:hint="eastAsia" w:ascii="仿宋" w:hAnsi="仿宋" w:eastAsia="仿宋" w:cs="仿宋"/>
                <w:color w:val="000000"/>
                <w:sz w:val="22"/>
                <w:szCs w:val="22"/>
                <w:lang w:eastAsia="ar-SA"/>
              </w:rPr>
              <w:t>公开01表</w:t>
            </w:r>
          </w:p>
        </w:tc>
      </w:tr>
      <w:tr w14:paraId="1764F984">
        <w:tblPrEx>
          <w:tblCellMar>
            <w:top w:w="0" w:type="dxa"/>
            <w:left w:w="108" w:type="dxa"/>
            <w:bottom w:w="0" w:type="dxa"/>
            <w:right w:w="108" w:type="dxa"/>
          </w:tblCellMar>
        </w:tblPrEx>
        <w:trPr>
          <w:trHeight w:val="348" w:hRule="atLeast"/>
          <w:jc w:val="center"/>
        </w:trPr>
        <w:tc>
          <w:tcPr>
            <w:tcW w:w="11329" w:type="dxa"/>
            <w:gridSpan w:val="5"/>
          </w:tcPr>
          <w:p w14:paraId="5C8D19CF">
            <w:pPr>
              <w:widowControl w:val="0"/>
              <w:ind w:left="0" w:right="0" w:firstLine="0"/>
              <w:jc w:val="center"/>
              <w:textAlignment w:val="auto"/>
              <w:rPr>
                <w:rFonts w:hint="eastAsia" w:ascii="仿宋" w:hAnsi="仿宋" w:eastAsia="仿宋" w:cs="仿宋"/>
                <w:color w:val="000000"/>
                <w:sz w:val="22"/>
              </w:rPr>
            </w:pPr>
            <w:r>
              <w:rPr>
                <w:rFonts w:hint="eastAsia" w:ascii="仿宋" w:hAnsi="仿宋" w:eastAsia="仿宋" w:cs="仿宋"/>
                <w:b/>
                <w:bCs/>
                <w:color w:val="000000"/>
                <w:sz w:val="44"/>
                <w:szCs w:val="44"/>
                <w:lang w:eastAsia="ar-SA"/>
              </w:rPr>
              <w:t>收支总表</w:t>
            </w:r>
          </w:p>
        </w:tc>
      </w:tr>
      <w:tr w14:paraId="24120ED6">
        <w:tblPrEx>
          <w:tblCellMar>
            <w:top w:w="0" w:type="dxa"/>
            <w:left w:w="108" w:type="dxa"/>
            <w:bottom w:w="0" w:type="dxa"/>
            <w:right w:w="108" w:type="dxa"/>
          </w:tblCellMar>
        </w:tblPrEx>
        <w:trPr>
          <w:trHeight w:val="333" w:hRule="atLeast"/>
          <w:jc w:val="center"/>
        </w:trPr>
        <w:tc>
          <w:tcPr>
            <w:tcW w:w="9481" w:type="dxa"/>
            <w:gridSpan w:val="3"/>
            <w:tcBorders>
              <w:bottom w:val="single" w:color="000000" w:sz="4" w:space="0"/>
            </w:tcBorders>
            <w:vAlign w:val="center"/>
          </w:tcPr>
          <w:p w14:paraId="0821509B">
            <w:pPr>
              <w:widowControl w:val="0"/>
              <w:ind w:left="0" w:right="0" w:firstLine="0"/>
              <w:jc w:val="left"/>
              <w:textAlignment w:val="auto"/>
              <w:rPr>
                <w:rFonts w:hint="eastAsia" w:ascii="仿宋" w:hAnsi="仿宋" w:eastAsia="仿宋" w:cs="仿宋"/>
                <w:color w:val="000000"/>
                <w:sz w:val="22"/>
              </w:rPr>
            </w:pPr>
            <w:r>
              <w:rPr>
                <w:rFonts w:hint="eastAsia" w:ascii="仿宋" w:hAnsi="仿宋" w:eastAsia="仿宋" w:cs="仿宋"/>
                <w:color w:val="000000"/>
                <w:sz w:val="22"/>
                <w:szCs w:val="22"/>
                <w:lang w:eastAsia="zh-CN"/>
              </w:rPr>
              <w:t>部门</w:t>
            </w:r>
            <w:r>
              <w:rPr>
                <w:rFonts w:ascii="仿宋" w:hAnsi="仿宋" w:cs="仿宋" w:eastAsia="仿宋"/>
                <w:color w:val="000000"/>
                <w:sz w:val="22"/>
              </w:rPr>
              <w:t>：</w:t>
            </w:r>
            <w:r>
              <w:rPr>
                <w:rFonts w:hint="eastAsia" w:ascii="仿宋" w:hAnsi="仿宋" w:eastAsia="仿宋" w:cs="仿宋"/>
                <w:color w:val="000000"/>
                <w:sz w:val="22"/>
                <w:szCs w:val="22"/>
                <w:lang w:eastAsia="ar-SA"/>
              </w:rPr>
              <w:t>江阴市商务局</w:t>
            </w:r>
          </w:p>
        </w:tc>
        <w:tc>
          <w:tcPr>
            <w:tcW w:w="1848" w:type="dxa"/>
            <w:gridSpan w:val="2"/>
            <w:tcBorders>
              <w:bottom w:val="single" w:color="000000" w:sz="4" w:space="0"/>
            </w:tcBorders>
            <w:vAlign w:val="center"/>
          </w:tcPr>
          <w:p w14:paraId="23651FFA">
            <w:pPr>
              <w:widowControl w:val="0"/>
              <w:ind w:left="0" w:right="0" w:firstLine="0"/>
              <w:jc w:val="right"/>
              <w:textAlignment w:val="auto"/>
              <w:rPr>
                <w:rFonts w:hint="eastAsia" w:ascii="仿宋" w:hAnsi="仿宋" w:eastAsia="仿宋" w:cs="仿宋"/>
                <w:color w:val="000000"/>
                <w:sz w:val="22"/>
              </w:rPr>
            </w:pPr>
            <w:r>
              <w:rPr>
                <w:rFonts w:hint="eastAsia" w:ascii="仿宋" w:hAnsi="仿宋" w:eastAsia="仿宋" w:cs="仿宋"/>
                <w:color w:val="000000"/>
                <w:sz w:val="22"/>
                <w:lang w:eastAsia="zh-CN"/>
              </w:rPr>
              <w:t>单位</w:t>
            </w:r>
            <w:r>
              <w:rPr>
                <w:rFonts w:hint="eastAsia" w:ascii="仿宋" w:hAnsi="仿宋" w:eastAsia="仿宋" w:cs="仿宋"/>
                <w:color w:val="000000"/>
                <w:sz w:val="22"/>
              </w:rPr>
              <w:t>：万元</w:t>
            </w:r>
          </w:p>
        </w:tc>
      </w:tr>
      <w:tr w14:paraId="3702B088">
        <w:tblPrEx>
          <w:tblCellMar>
            <w:top w:w="0" w:type="dxa"/>
            <w:left w:w="108" w:type="dxa"/>
            <w:bottom w:w="0" w:type="dxa"/>
            <w:right w:w="108" w:type="dxa"/>
          </w:tblCellMar>
        </w:tblPrEx>
        <w:trPr>
          <w:trHeight w:val="204" w:hRule="atLeast"/>
          <w:jc w:val="center"/>
        </w:trPr>
        <w:tc>
          <w:tcPr>
            <w:tcW w:w="5777" w:type="dxa"/>
            <w:gridSpan w:val="2"/>
            <w:tcBorders>
              <w:top w:val="single" w:color="000000" w:sz="4" w:space="0"/>
              <w:left w:val="single" w:color="000000" w:sz="4" w:space="0"/>
              <w:bottom w:val="single" w:color="000000" w:sz="4" w:space="0"/>
              <w:right w:val="single" w:color="000000" w:sz="4" w:space="0"/>
            </w:tcBorders>
            <w:vAlign w:val="center"/>
          </w:tcPr>
          <w:p w14:paraId="3FD8F87B">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bCs/>
                <w:color w:val="000000"/>
                <w:sz w:val="22"/>
                <w:szCs w:val="22"/>
                <w:lang w:eastAsia="ar-SA"/>
              </w:rPr>
              <w:t>收入</w:t>
            </w:r>
          </w:p>
        </w:tc>
        <w:tc>
          <w:tcPr>
            <w:tcW w:w="5552" w:type="dxa"/>
            <w:gridSpan w:val="3"/>
            <w:tcBorders>
              <w:top w:val="single" w:color="000000" w:sz="4" w:space="0"/>
              <w:left w:val="single" w:color="000000" w:sz="4" w:space="0"/>
              <w:bottom w:val="single" w:color="000000" w:sz="4" w:space="0"/>
              <w:right w:val="single" w:color="000000" w:sz="4" w:space="0"/>
            </w:tcBorders>
            <w:vAlign w:val="center"/>
          </w:tcPr>
          <w:p w14:paraId="54A7E373">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bCs/>
                <w:color w:val="000000"/>
                <w:sz w:val="22"/>
                <w:szCs w:val="22"/>
                <w:lang w:eastAsia="ar-SA"/>
              </w:rPr>
              <w:t>支出</w:t>
            </w:r>
          </w:p>
        </w:tc>
      </w:tr>
      <w:tr w14:paraId="1F1A563E">
        <w:tblPrEx>
          <w:tblCellMar>
            <w:top w:w="0" w:type="dxa"/>
            <w:left w:w="108" w:type="dxa"/>
            <w:bottom w:w="0" w:type="dxa"/>
            <w:right w:w="108" w:type="dxa"/>
          </w:tblCellMar>
        </w:tblPrEx>
        <w:trPr>
          <w:trHeight w:val="319"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3454410D">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w:r>
            <w:r>
              <w:rPr>
                <w:rFonts w:hint="eastAsia" w:ascii="仿宋" w:hAnsi="仿宋" w:eastAsia="仿宋" w:cs="仿宋"/>
                <w:b/>
                <w:bCs/>
                <w:color w:val="000000"/>
                <w:sz w:val="22"/>
                <w:szCs w:val="22"/>
                <w:lang w:eastAsia="ar-SA"/>
              </w:rPr>
              <w:t>项目</w:t>
            </w:r>
          </w:p>
        </w:tc>
        <w:tc>
          <w:tcPr>
            <w:tcW w:w="1869" w:type="dxa"/>
            <w:tcBorders>
              <w:top w:val="single" w:color="000000" w:sz="4" w:space="0"/>
              <w:left w:val="single" w:color="000000" w:sz="4" w:space="0"/>
              <w:bottom w:val="single" w:color="000000" w:sz="4" w:space="0"/>
              <w:right w:val="single" w:color="000000" w:sz="4" w:space="0"/>
            </w:tcBorders>
            <w:vAlign w:val="center"/>
          </w:tcPr>
          <w:p w14:paraId="4A579FD4">
            <w:pPr>
              <w:widowControl w:val="0"/>
              <w:ind w:left="0" w:right="0" w:firstLine="0"/>
              <w:jc w:val="center"/>
              <w:textAlignment w:val="auto"/>
              <w:rPr>
                <w:rFonts w:hint="eastAsia" w:ascii="仿宋" w:hAnsi="仿宋" w:eastAsia="仿宋" w:cs="仿宋"/>
                <w:b/>
                <w:bCs/>
                <w:color w:val="000000"/>
                <w:sz w:val="22"/>
                <w:szCs w:val="22"/>
              </w:rPr>
            </w:pPr>
            <w:r>
              <w:rPr>
                <w:rFonts w:hint="eastAsia" w:ascii="仿宋" w:hAnsi="仿宋" w:eastAsia="仿宋" w:cs="仿宋"/>
                <w:b/>
                <w:bCs/>
                <w:color w:val="000000"/>
                <w:sz w:val="22"/>
                <w:szCs w:val="22"/>
                <w:lang w:eastAsia="zh-CN"/>
              </w:rPr>
              <w:t>预算</w:t>
            </w:r>
            <w:r>
              <w:rPr>
                <w:rFonts w:hint="eastAsia" w:ascii="仿宋" w:hAnsi="仿宋" w:eastAsia="仿宋" w:cs="仿宋"/>
                <w:b/>
                <w:bCs/>
                <w:color w:val="000000"/>
                <w:sz w:val="22"/>
                <w:szCs w:val="22"/>
                <w:lang w:eastAsia="ar-SA"/>
              </w:rPr>
              <w:t>数</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3FF373DD">
            <w:pPr>
              <w:widowControl w:val="0"/>
              <w:ind w:left="0" w:right="0" w:firstLine="0"/>
              <w:jc w:val="center"/>
              <w:textAlignment w:val="auto"/>
              <w:rPr>
                <w:rFonts w:hint="eastAsia" w:ascii="仿宋" w:hAnsi="仿宋" w:eastAsia="仿宋" w:cs="仿宋"/>
                <w:b/>
                <w:bCs/>
                <w:color w:val="000000"/>
                <w:sz w:val="22"/>
                <w:szCs w:val="22"/>
              </w:rPr>
            </w:pPr>
            <w:r>
              <w:rPr>
                <w:rFonts w:hint="eastAsia" w:ascii="仿宋" w:hAnsi="仿宋" w:eastAsia="仿宋" w:cs="仿宋"/>
                <w:b/>
                <w:bCs/>
                <w:color w:val="000000"/>
                <w:sz w:val="22"/>
                <w:szCs w:val="22"/>
                <w:lang w:eastAsia="ar-SA"/>
              </w:rPr>
              <w:t>项目</w:t>
            </w:r>
          </w:p>
        </w:tc>
        <w:tc>
          <w:tcPr>
            <w:tcW w:w="1781" w:type="dxa"/>
            <w:tcBorders>
              <w:top w:val="single" w:color="000000" w:sz="4" w:space="0"/>
              <w:left w:val="single" w:color="000000" w:sz="4" w:space="0"/>
              <w:bottom w:val="single" w:color="000000" w:sz="4" w:space="0"/>
              <w:right w:val="single" w:color="000000" w:sz="4" w:space="0"/>
            </w:tcBorders>
            <w:vAlign w:val="center"/>
          </w:tcPr>
          <w:p w14:paraId="6220095F">
            <w:pPr>
              <w:widowControl w:val="0"/>
              <w:ind w:left="0" w:right="0" w:firstLine="0"/>
              <w:jc w:val="center"/>
              <w:textAlignment w:val="auto"/>
              <w:rPr>
                <w:rFonts w:hint="eastAsia" w:ascii="仿宋" w:hAnsi="仿宋" w:eastAsia="仿宋" w:cs="仿宋"/>
                <w:b/>
                <w:bCs/>
                <w:color w:val="000000"/>
                <w:sz w:val="22"/>
                <w:szCs w:val="22"/>
              </w:rPr>
            </w:pPr>
            <w:r>
              <w:rPr>
                <w:rFonts w:hint="eastAsia" w:ascii="仿宋" w:hAnsi="仿宋" w:eastAsia="仿宋" w:cs="仿宋"/>
                <w:b/>
                <w:bCs/>
                <w:color w:val="000000"/>
                <w:sz w:val="22"/>
                <w:szCs w:val="22"/>
                <w:lang w:eastAsia="zh-CN"/>
              </w:rPr>
              <w:t>预算</w:t>
            </w:r>
            <w:r>
              <w:rPr>
                <w:rFonts w:hint="eastAsia" w:ascii="仿宋" w:hAnsi="仿宋" w:eastAsia="仿宋" w:cs="仿宋"/>
                <w:b/>
                <w:bCs/>
                <w:color w:val="000000"/>
                <w:sz w:val="22"/>
                <w:szCs w:val="22"/>
                <w:lang w:eastAsia="ar-SA"/>
              </w:rPr>
              <w:t>数</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一、一般公共预算拨款收入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5,100.41</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一、一般公共服务支出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3,740.63</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二、政府性基金预算拨款收入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二、外交支出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三、国有资本经营预算拨款收入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三、国防支出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四、财政专户管理资金收入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四、公共安全支出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五、事业收入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五、教育支出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六、事业单位经营收入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六、科学技术支出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七、上级补助收入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七、文化旅游体育与传媒支出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八、附属单位上缴收入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八、社会保障和就业支出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292.36</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九、其他收入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九、社会保险基金支出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十、卫生健康支出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78.92</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十一、节能环保支出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十二、城乡社区支出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315.67</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十三、农林水支出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十四、交通运输支出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十五、资源勘探工业信息等支出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十六、商业服务业等支出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十七、金融支出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xml:space="preserve">十八、援助其他地区支出 </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十九、自然资源海洋气象等支出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二十、住房保障支出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672.83</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二十一、粮油物资储备支出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二十二、国有资本经营预算支出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二十三、灾害防治及应急管理支出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二十四、预备费</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二十五、其他支出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二十六、转移性支出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二十七、债务还本支出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二十八、债务付息支出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二十九、债务发行费用支出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三十、抗疫特别国债安排的支出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1F33EBB7">
        <w:tblPrEx>
          <w:tblCellMar>
            <w:top w:w="0" w:type="dxa"/>
            <w:left w:w="108" w:type="dxa"/>
            <w:bottom w:w="0" w:type="dxa"/>
            <w:right w:w="108" w:type="dxa"/>
          </w:tblCellMar>
        </w:tblPrEx>
        <w:trPr>
          <w:trHeight w:val="299" w:hRule="exac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0017926F">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bCs/>
                <w:color w:val="000000"/>
                <w:sz w:val="22"/>
                <w:szCs w:val="22"/>
                <w:lang w:eastAsia="ar-SA"/>
              </w:rPr>
              <w:t>本年收入合计</w:t>
            </w:r>
          </w:p>
        </w:tc>
        <w:tc>
          <w:tcPr>
            <w:tcW w:w="1869" w:type="dxa"/>
            <w:tcBorders>
              <w:top w:val="single" w:color="000000" w:sz="4" w:space="0"/>
              <w:left w:val="single" w:color="000000" w:sz="4" w:space="0"/>
              <w:bottom w:val="single" w:color="000000" w:sz="4" w:space="0"/>
              <w:right w:val="single" w:color="000000" w:sz="4" w:space="0"/>
            </w:tcBorders>
            <w:vAlign w:val="center"/>
          </w:tcPr>
          <w:p w14:paraId="38DEB73F">
            <w:pPr>
              <w:widowControl w:val="0"/>
              <w:ind w:left="0" w:right="0" w:firstLine="0"/>
              <w:jc w:val="right"/>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5,100.41</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46DD57B8">
            <w:pPr>
              <w:widowControl w:val="0"/>
              <w:ind w:left="0" w:right="0" w:firstLine="0"/>
              <w:jc w:val="center"/>
              <w:textAlignment w:val="auto"/>
              <w:rPr>
                <w:rFonts w:hint="eastAsia" w:ascii="仿宋" w:hAnsi="仿宋" w:eastAsia="仿宋" w:cs="仿宋"/>
                <w:b/>
                <w:bCs/>
                <w:color w:val="000000"/>
                <w:sz w:val="22"/>
                <w:szCs w:val="22"/>
                <w:lang w:eastAsia="ar-SA"/>
              </w:rPr>
            </w:pPr>
            <w:r>
              <w:rPr>
                <w:rFonts w:hint="eastAsia" w:ascii="仿宋" w:hAnsi="仿宋" w:eastAsia="仿宋" w:cs="仿宋"/>
                <w:b/>
                <w:bCs/>
                <w:color w:val="000000"/>
                <w:sz w:val="22"/>
                <w:szCs w:val="22"/>
                <w:lang w:eastAsia="ar-SA"/>
              </w:rPr>
              <w:t>本年支出合计</w:t>
            </w:r>
          </w:p>
        </w:tc>
        <w:tc>
          <w:tcPr>
            <w:tcW w:w="1781" w:type="dxa"/>
            <w:tcBorders>
              <w:top w:val="single" w:color="000000" w:sz="4" w:space="0"/>
              <w:left w:val="single" w:color="000000" w:sz="4" w:space="0"/>
              <w:bottom w:val="single" w:color="000000" w:sz="4" w:space="0"/>
              <w:right w:val="single" w:color="000000" w:sz="4" w:space="0"/>
            </w:tcBorders>
            <w:vAlign w:val="center"/>
          </w:tcPr>
          <w:p w14:paraId="6382C9F7">
            <w:pPr>
              <w:widowControl w:val="0"/>
              <w:ind w:left="0" w:right="0" w:firstLine="0"/>
              <w:jc w:val="right"/>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5,100.41</w:t>
            </w:r>
          </w:p>
        </w:tc>
      </w:tr>
      <w:tr w14:paraId="329AFA72">
        <w:tblPrEx>
          <w:tblCellMar>
            <w:top w:w="0" w:type="dxa"/>
            <w:left w:w="108" w:type="dxa"/>
            <w:bottom w:w="0" w:type="dxa"/>
            <w:right w:w="108" w:type="dxa"/>
          </w:tblCellMar>
        </w:tblPrEx>
        <w:trPr>
          <w:trHeight w:val="192"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4C8D4B2">
            <w:pPr>
              <w:widowControl w:val="0"/>
              <w:ind w:left="0" w:right="0" w:firstLine="0"/>
              <w:jc w:val="center"/>
              <w:textAlignment w:val="auto"/>
              <w:rPr>
                <w:rFonts w:hint="default" w:ascii="仿宋" w:hAnsi="仿宋" w:eastAsia="仿宋" w:cs="仿宋"/>
                <w:color w:val="000000"/>
                <w:sz w:val="22"/>
                <w:szCs w:val="22"/>
                <w:lang w:val="en-US" w:eastAsia="zh-CN"/>
              </w:rPr>
            </w:pPr>
            <w:r>
              <w:rPr>
                <w:rFonts w:hint="eastAsia" w:ascii="仿宋" w:hAnsi="仿宋" w:eastAsia="仿宋" w:cs="仿宋"/>
                <w:b/>
                <w:bCs/>
                <w:color w:val="000000"/>
                <w:sz w:val="22"/>
                <w:szCs w:val="22"/>
                <w:lang w:val="en-US" w:eastAsia="zh-CN"/>
              </w:rPr>
              <w:t>上年结转结余</w:t>
            </w:r>
          </w:p>
        </w:tc>
        <w:tc>
          <w:tcPr>
            <w:tcW w:w="1869" w:type="dxa"/>
            <w:tcBorders>
              <w:top w:val="single" w:color="000000" w:sz="4" w:space="0"/>
              <w:left w:val="single" w:color="000000" w:sz="4" w:space="0"/>
              <w:bottom w:val="single" w:color="000000" w:sz="4" w:space="0"/>
              <w:right w:val="single" w:color="000000" w:sz="4" w:space="0"/>
            </w:tcBorders>
            <w:vAlign w:val="center"/>
          </w:tcPr>
          <w:p w14:paraId="3E159CD5">
            <w:pPr>
              <w:widowControl w:val="0"/>
              <w:ind w:left="0" w:right="0" w:firstLine="0"/>
              <w:jc w:val="right"/>
              <w:textAlignment w:val="auto"/>
              <w:rPr>
                <w:rFonts w:hint="eastAsia" w:ascii="仿宋" w:hAnsi="仿宋" w:eastAsia="仿宋" w:cs="仿宋"/>
                <w:b/>
                <w:bCs/>
                <w:color w:val="000000"/>
                <w:sz w:val="22"/>
                <w:szCs w:val="22"/>
                <w:lang w:val="zh-CN" w:eastAsia="ar-SA"/>
              </w:rPr>
            </w:pPr>
            <w:r>
              <w:rPr>
                <w:rFonts w:hint="eastAsia" w:ascii="仿宋" w:hAnsi="仿宋" w:eastAsia="仿宋" w:cs="仿宋"/>
                <w:b/>
                <w:bCs/>
                <w:color w:val="000000"/>
                <w:sz w:val="22"/>
                <w:szCs w:val="22"/>
                <w:lang w:val="zh-CN" w:eastAsia="ar-SA"/>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FC60096">
            <w:pPr>
              <w:widowControl w:val="0"/>
              <w:ind w:left="0" w:right="0" w:firstLine="0"/>
              <w:jc w:val="center"/>
              <w:textAlignment w:val="auto"/>
              <w:rPr>
                <w:rFonts w:hint="default"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年终结转结余</w:t>
            </w:r>
          </w:p>
        </w:tc>
        <w:tc>
          <w:tcPr>
            <w:tcW w:w="1781" w:type="dxa"/>
            <w:tcBorders>
              <w:top w:val="single" w:color="000000" w:sz="4" w:space="0"/>
              <w:left w:val="single" w:color="000000" w:sz="4" w:space="0"/>
              <w:bottom w:val="single" w:color="000000" w:sz="4" w:space="0"/>
              <w:right w:val="single" w:color="000000" w:sz="4" w:space="0"/>
            </w:tcBorders>
            <w:vAlign w:val="center"/>
          </w:tcPr>
          <w:p w14:paraId="3704249E">
            <w:pPr>
              <w:widowControl w:val="0"/>
              <w:ind w:left="0" w:right="0" w:firstLine="0"/>
              <w:jc w:val="right"/>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
            </w:r>
          </w:p>
        </w:tc>
      </w:tr>
      <w:tr w14:paraId="76EB94B8">
        <w:tblPrEx>
          <w:tblCellMar>
            <w:top w:w="0" w:type="dxa"/>
            <w:left w:w="108" w:type="dxa"/>
            <w:bottom w:w="0" w:type="dxa"/>
            <w:right w:w="108" w:type="dxa"/>
          </w:tblCellMar>
        </w:tblPrEx>
        <w:trPr>
          <w:cantSplit/>
          <w:trHeight w:val="289" w:hRule="exac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00222249">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color w:val="000000"/>
                <w:sz w:val="22"/>
                <w:szCs w:val="22"/>
                <w:lang w:val="en-US" w:eastAsia="zh-CN"/>
              </w:rPr>
              <w:t>收入</w:t>
            </w:r>
            <w:r>
              <w:rPr>
                <w:rFonts w:hint="eastAsia" w:ascii="仿宋" w:hAnsi="仿宋" w:eastAsia="仿宋" w:cs="仿宋"/>
                <w:b/>
                <w:color w:val="000000"/>
                <w:sz w:val="22"/>
                <w:szCs w:val="22"/>
                <w:lang w:eastAsia="ar-SA"/>
              </w:rPr>
              <w:t>总计</w:t>
            </w:r>
          </w:p>
        </w:tc>
        <w:tc>
          <w:tcPr>
            <w:tcW w:w="1869" w:type="dxa"/>
            <w:tcBorders>
              <w:top w:val="single" w:color="000000" w:sz="4" w:space="0"/>
              <w:left w:val="single" w:color="000000" w:sz="4" w:space="0"/>
              <w:bottom w:val="single" w:color="000000" w:sz="4" w:space="0"/>
              <w:right w:val="single" w:color="000000" w:sz="4" w:space="0"/>
            </w:tcBorders>
            <w:vAlign w:val="center"/>
          </w:tcPr>
          <w:p w14:paraId="4BCA5632">
            <w:pPr>
              <w:widowControl w:val="0"/>
              <w:ind w:left="0" w:right="0" w:firstLine="0"/>
              <w:jc w:val="right"/>
              <w:textAlignment w:val="auto"/>
              <w:rPr>
                <w:rFonts w:hint="eastAsia" w:ascii="仿宋" w:hAnsi="仿宋" w:eastAsia="仿宋" w:cs="仿宋"/>
                <w:b/>
                <w:bCs/>
                <w:color w:val="000000"/>
                <w:sz w:val="22"/>
                <w:szCs w:val="22"/>
                <w:lang w:val="en-US" w:eastAsia="ar-SA"/>
              </w:rPr>
            </w:pPr>
            <w:r>
              <w:rPr>
                <w:rFonts w:hint="eastAsia" w:ascii="仿宋" w:hAnsi="仿宋" w:eastAsia="仿宋" w:cs="仿宋"/>
                <w:b/>
                <w:bCs/>
                <w:color w:val="000000"/>
                <w:sz w:val="22"/>
                <w:szCs w:val="22"/>
                <w:lang w:val="en-US" w:eastAsia="zh-CN"/>
              </w:rPr>
              <w:t>5,100.41</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697845E3">
            <w:pPr>
              <w:widowControl w:val="0"/>
              <w:ind w:left="0" w:right="0" w:firstLine="0"/>
              <w:jc w:val="center"/>
              <w:textAlignment w:val="auto"/>
              <w:rPr>
                <w:rFonts w:hint="eastAsia" w:ascii="仿宋" w:hAnsi="仿宋" w:eastAsia="仿宋" w:cs="仿宋"/>
                <w:b/>
                <w:bCs/>
                <w:color w:val="000000"/>
                <w:sz w:val="22"/>
                <w:szCs w:val="22"/>
                <w:lang w:eastAsia="ar-SA"/>
              </w:rPr>
            </w:pPr>
            <w:r>
              <w:rPr>
                <w:rFonts w:hint="eastAsia" w:ascii="仿宋" w:hAnsi="仿宋" w:eastAsia="仿宋" w:cs="仿宋"/>
                <w:b/>
                <w:bCs/>
                <w:color w:val="000000"/>
                <w:sz w:val="22"/>
                <w:szCs w:val="22"/>
                <w:lang w:val="en-US" w:eastAsia="zh-CN"/>
              </w:rPr>
              <w:t>支出</w:t>
            </w:r>
            <w:r>
              <w:rPr>
                <w:rFonts w:hint="eastAsia" w:ascii="仿宋" w:hAnsi="仿宋" w:eastAsia="仿宋" w:cs="仿宋"/>
                <w:b/>
                <w:bCs/>
                <w:color w:val="000000"/>
                <w:sz w:val="22"/>
                <w:szCs w:val="22"/>
                <w:lang w:eastAsia="ar-SA"/>
              </w:rPr>
              <w:t>总计</w:t>
            </w:r>
          </w:p>
        </w:tc>
        <w:tc>
          <w:tcPr>
            <w:tcW w:w="1781" w:type="dxa"/>
            <w:tcBorders>
              <w:top w:val="single" w:color="000000" w:sz="4" w:space="0"/>
              <w:left w:val="single" w:color="000000" w:sz="4" w:space="0"/>
              <w:bottom w:val="single" w:color="000000" w:sz="4" w:space="0"/>
              <w:right w:val="single" w:color="000000" w:sz="4" w:space="0"/>
            </w:tcBorders>
            <w:vAlign w:val="center"/>
          </w:tcPr>
          <w:p w14:paraId="5365208F">
            <w:pPr>
              <w:widowControl w:val="0"/>
              <w:ind w:left="0" w:right="0" w:firstLine="0"/>
              <w:jc w:val="right"/>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5,100.41</w:t>
            </w:r>
          </w:p>
        </w:tc>
      </w:tr>
    </w:tbl>
    <w:p w14:paraId="6C3B3BB7">
      <w:pPr>
        <w:widowControl w:val="0"/>
        <w:suppressAutoHyphens/>
        <w:bidi w:val="0"/>
        <w:spacing w:before="66" w:after="0"/>
        <w:ind w:right="0"/>
        <w:jc w:val="left"/>
        <w:rPr>
          <w:rFonts w:hint="eastAsia" w:ascii="仿宋" w:hAnsi="仿宋" w:eastAsia="仿宋" w:cs="仿宋"/>
          <w:b/>
          <w:bCs/>
          <w:color w:val="000000"/>
          <w:sz w:val="22"/>
          <w:szCs w:val="22"/>
        </w:rPr>
        <w:sectPr>
          <w:footerReference r:id="rId8" w:type="default"/>
          <w:pgSz w:w="11906" w:h="16838"/>
          <w:pgMar w:top="1580" w:right="700" w:bottom="770" w:left="697"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6703"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824"/>
        <w:gridCol w:w="1801"/>
        <w:gridCol w:w="976"/>
        <w:gridCol w:w="998"/>
        <w:gridCol w:w="999"/>
        <w:gridCol w:w="749"/>
        <w:gridCol w:w="681"/>
        <w:gridCol w:w="972"/>
        <w:gridCol w:w="983"/>
        <w:gridCol w:w="811"/>
        <w:gridCol w:w="674"/>
        <w:gridCol w:w="686"/>
        <w:gridCol w:w="834"/>
        <w:gridCol w:w="823"/>
        <w:gridCol w:w="823"/>
        <w:gridCol w:w="834"/>
        <w:gridCol w:w="553"/>
        <w:gridCol w:w="822"/>
        <w:gridCol w:w="860"/>
      </w:tblGrid>
      <w:tr w14:paraId="38C4B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6703" w:type="dxa"/>
            <w:gridSpan w:val="19"/>
            <w:tcBorders>
              <w:top w:val="nil"/>
              <w:left w:val="nil"/>
              <w:bottom w:val="nil"/>
              <w:right w:val="nil"/>
            </w:tcBorders>
            <w:shd w:val="clear" w:color="auto" w:fill="FFFFFF"/>
            <w:tcMar>
              <w:top w:w="0" w:type="dxa"/>
              <w:left w:w="0" w:type="dxa"/>
              <w:bottom w:w="0" w:type="dxa"/>
              <w:right w:w="0" w:type="dxa"/>
            </w:tcMar>
            <w:vAlign w:val="center"/>
          </w:tcPr>
          <w:p w14:paraId="6B2E0BE6">
            <w:pPr>
              <w:pStyle w:val="22"/>
              <w:widowControl w:val="0"/>
              <w:jc w:val="left"/>
              <w:rPr>
                <w:rFonts w:hint="eastAsia" w:ascii="仿宋" w:hAnsi="仿宋" w:eastAsia="仿宋" w:cs="仿宋"/>
                <w:lang w:val="en-US" w:eastAsia="zh-CN"/>
              </w:rPr>
            </w:pPr>
            <w:r>
              <w:rPr>
                <w:rFonts w:hint="eastAsia" w:ascii="仿宋" w:hAnsi="仿宋" w:eastAsia="仿宋" w:cs="仿宋"/>
              </w:rPr>
              <w:t>公开02表</w:t>
            </w:r>
          </w:p>
        </w:tc>
      </w:tr>
      <w:tr w14:paraId="2F2C6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6703" w:type="dxa"/>
            <w:gridSpan w:val="19"/>
            <w:tcBorders>
              <w:top w:val="nil"/>
              <w:left w:val="nil"/>
              <w:bottom w:val="nil"/>
              <w:right w:val="nil"/>
            </w:tcBorders>
            <w:shd w:val="clear" w:color="auto" w:fill="FFFFFF"/>
            <w:tcMar>
              <w:top w:w="0" w:type="dxa"/>
              <w:left w:w="0" w:type="dxa"/>
              <w:bottom w:w="0" w:type="dxa"/>
              <w:right w:w="0" w:type="dxa"/>
            </w:tcMar>
            <w:vAlign w:val="center"/>
          </w:tcPr>
          <w:p w14:paraId="1E7DD5A7">
            <w:pPr>
              <w:pStyle w:val="22"/>
              <w:widowControl w:val="0"/>
              <w:jc w:val="center"/>
              <w:rPr>
                <w:rFonts w:hint="eastAsia" w:ascii="仿宋" w:hAnsi="仿宋" w:eastAsia="仿宋" w:cs="仿宋"/>
                <w:lang w:val="en-US" w:eastAsia="zh-CN"/>
              </w:rPr>
            </w:pPr>
            <w:r>
              <w:rPr>
                <w:rFonts w:hint="eastAsia" w:ascii="仿宋" w:hAnsi="仿宋" w:eastAsia="仿宋" w:cs="仿宋"/>
                <w:b/>
                <w:bCs/>
                <w:sz w:val="44"/>
                <w:szCs w:val="44"/>
              </w:rPr>
              <w:t>收入</w:t>
            </w:r>
            <w:r>
              <w:rPr>
                <w:rFonts w:hint="eastAsia" w:ascii="仿宋" w:hAnsi="仿宋" w:eastAsia="仿宋" w:cs="仿宋"/>
                <w:b/>
                <w:bCs/>
                <w:sz w:val="44"/>
                <w:szCs w:val="44"/>
                <w:lang w:val="en-US" w:eastAsia="zh-CN"/>
              </w:rPr>
              <w:t>总</w:t>
            </w:r>
            <w:r>
              <w:rPr>
                <w:rFonts w:hint="eastAsia" w:ascii="仿宋" w:hAnsi="仿宋" w:eastAsia="仿宋" w:cs="仿宋"/>
                <w:b/>
                <w:bCs/>
                <w:sz w:val="44"/>
                <w:szCs w:val="44"/>
              </w:rPr>
              <w:t>表</w:t>
            </w:r>
          </w:p>
        </w:tc>
      </w:tr>
      <w:tr w14:paraId="331B0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1988" w:type="dxa"/>
            <w:gridSpan w:val="13"/>
            <w:tcBorders>
              <w:top w:val="nil"/>
              <w:left w:val="nil"/>
              <w:bottom w:val="single" w:color="auto" w:sz="4" w:space="0"/>
              <w:right w:val="nil"/>
            </w:tcBorders>
            <w:shd w:val="clear" w:color="auto" w:fill="FFFFFF"/>
            <w:tcMar>
              <w:top w:w="0" w:type="dxa"/>
              <w:left w:w="0" w:type="dxa"/>
              <w:bottom w:w="0" w:type="dxa"/>
              <w:right w:w="0" w:type="dxa"/>
            </w:tcMar>
            <w:vAlign w:val="center"/>
          </w:tcPr>
          <w:p w14:paraId="2E442F95">
            <w:pPr>
              <w:pStyle w:val="22"/>
              <w:widowControl w:val="0"/>
              <w:jc w:val="both"/>
              <w:rPr>
                <w:rFonts w:hint="eastAsia" w:ascii="仿宋" w:hAnsi="仿宋" w:eastAsia="仿宋" w:cs="仿宋"/>
                <w:lang w:val="en-US" w:eastAsia="zh-CN"/>
              </w:rPr>
            </w:pPr>
            <w:r>
              <w:rPr>
                <w:rFonts w:hint="eastAsia" w:ascii="仿宋" w:hAnsi="仿宋" w:eastAsia="仿宋" w:cs="仿宋"/>
                <w:color w:val="000000"/>
                <w:sz w:val="22"/>
                <w:szCs w:val="22"/>
                <w:lang w:eastAsia="zh-CN"/>
              </w:rPr>
              <w:t>部门</w:t>
            </w:r>
            <w:r>
              <w:rPr>
                <w:rFonts w:ascii="仿宋" w:hAnsi="仿宋" w:cs="仿宋" w:eastAsia="仿宋"/>
                <w:color w:val="000000"/>
                <w:sz w:val="22"/>
              </w:rPr>
              <w:t>：</w:t>
            </w:r>
            <w:r>
              <w:rPr>
                <w:rFonts w:hint="eastAsia" w:ascii="仿宋" w:hAnsi="仿宋" w:eastAsia="仿宋" w:cs="仿宋"/>
              </w:rPr>
              <w:t>江阴市商务局</w:t>
            </w:r>
          </w:p>
        </w:tc>
        <w:tc>
          <w:tcPr>
            <w:tcW w:w="4715" w:type="dxa"/>
            <w:gridSpan w:val="6"/>
            <w:tcBorders>
              <w:top w:val="nil"/>
              <w:left w:val="nil"/>
              <w:bottom w:val="single" w:color="auto" w:sz="4" w:space="0"/>
              <w:right w:val="nil"/>
            </w:tcBorders>
            <w:shd w:val="clear" w:color="auto" w:fill="FFFFFF"/>
            <w:tcMar>
              <w:top w:w="0" w:type="dxa"/>
              <w:left w:w="0" w:type="dxa"/>
              <w:bottom w:w="0" w:type="dxa"/>
              <w:right w:w="0" w:type="dxa"/>
            </w:tcMar>
            <w:vAlign w:val="center"/>
          </w:tcPr>
          <w:p w14:paraId="64D72F53">
            <w:pPr>
              <w:pStyle w:val="22"/>
              <w:widowControl w:val="0"/>
              <w:jc w:val="right"/>
              <w:rPr>
                <w:rFonts w:hint="eastAsia" w:ascii="仿宋" w:hAnsi="仿宋" w:eastAsia="仿宋" w:cs="仿宋"/>
                <w:lang w:val="en-US" w:eastAsia="zh-CN"/>
              </w:rPr>
            </w:pPr>
            <w:r>
              <w:rPr>
                <w:rFonts w:hint="eastAsia" w:ascii="仿宋" w:hAnsi="仿宋" w:eastAsia="仿宋" w:cs="仿宋"/>
                <w:lang w:eastAsia="zh-CN"/>
              </w:rPr>
              <w:t>单位</w:t>
            </w:r>
            <w:r>
              <w:rPr>
                <w:rFonts w:hint="eastAsia" w:ascii="仿宋" w:hAnsi="仿宋" w:eastAsia="仿宋" w:cs="仿宋"/>
              </w:rPr>
              <w:t>：万元</w:t>
            </w:r>
          </w:p>
        </w:tc>
      </w:tr>
      <w:tr w14:paraId="6835C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824"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C4B3A1B">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1"/>
                <w:szCs w:val="21"/>
              </w:rPr>
            </w:pPr>
            <w:r>
              <w:rPr>
                <w:rFonts w:hint="eastAsia" w:ascii="仿宋" w:hAnsi="仿宋" w:eastAsia="仿宋" w:cs="仿宋"/>
                <w:color w:val="000000"/>
                <w:sz w:val="22"/>
                <w:szCs w:val="22"/>
                <w:lang w:eastAsia="zh-CN"/>
              </w:rPr>
              <w:t>部门</w:t>
            </w:r>
            <w:r>
              <w:rPr>
                <w:rFonts w:hint="eastAsia" w:ascii="仿宋" w:hAnsi="仿宋" w:eastAsia="仿宋" w:cs="仿宋"/>
                <w:sz w:val="21"/>
                <w:szCs w:val="21"/>
                <w:lang w:val="en-US" w:eastAsia="zh-CN"/>
              </w:rPr>
              <w:t>代码</w:t>
            </w:r>
          </w:p>
        </w:tc>
        <w:tc>
          <w:tcPr>
            <w:tcW w:w="1801"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CE94BDD">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1"/>
                <w:szCs w:val="21"/>
              </w:rPr>
            </w:pPr>
            <w:r>
              <w:rPr>
                <w:rFonts w:hint="eastAsia" w:ascii="仿宋" w:hAnsi="仿宋" w:eastAsia="仿宋" w:cs="仿宋"/>
                <w:color w:val="000000"/>
                <w:sz w:val="22"/>
                <w:szCs w:val="22"/>
                <w:lang w:eastAsia="zh-CN"/>
              </w:rPr>
              <w:t>部门</w:t>
            </w:r>
            <w:r>
              <w:rPr>
                <w:rFonts w:hint="eastAsia" w:ascii="仿宋" w:hAnsi="仿宋" w:eastAsia="仿宋" w:cs="仿宋"/>
                <w:sz w:val="21"/>
                <w:szCs w:val="21"/>
                <w:lang w:val="en-US" w:eastAsia="zh-CN"/>
              </w:rPr>
              <w:t>名称</w:t>
            </w:r>
          </w:p>
        </w:tc>
        <w:tc>
          <w:tcPr>
            <w:tcW w:w="976"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297B8BD">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合计</w:t>
            </w:r>
          </w:p>
        </w:tc>
        <w:tc>
          <w:tcPr>
            <w:tcW w:w="8387" w:type="dxa"/>
            <w:gridSpan w:val="10"/>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99015C4">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r>
              <w:rPr>
                <w:rFonts w:hint="eastAsia" w:ascii="仿宋" w:hAnsi="仿宋" w:eastAsia="仿宋" w:cs="仿宋"/>
                <w:lang w:val="en-US" w:eastAsia="zh-CN"/>
              </w:rPr>
              <w:t>本年收入</w:t>
            </w:r>
          </w:p>
        </w:tc>
        <w:tc>
          <w:tcPr>
            <w:tcW w:w="4715" w:type="dxa"/>
            <w:gridSpan w:val="6"/>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9DBFDD3">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r>
              <w:rPr>
                <w:rFonts w:hint="eastAsia" w:ascii="仿宋" w:hAnsi="仿宋" w:eastAsia="仿宋" w:cs="仿宋"/>
                <w:lang w:val="en-US" w:eastAsia="zh-CN"/>
              </w:rPr>
              <w:t>上年结转结余</w:t>
            </w:r>
          </w:p>
        </w:tc>
      </w:tr>
      <w:tr w14:paraId="352CE9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484" w:hRule="atLeast"/>
        </w:trPr>
        <w:tc>
          <w:tcPr>
            <w:tcW w:w="824"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E69B3E5">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p>
        </w:tc>
        <w:tc>
          <w:tcPr>
            <w:tcW w:w="1801"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F824EB4">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p>
        </w:tc>
        <w:tc>
          <w:tcPr>
            <w:tcW w:w="976"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072CFE1">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p>
        </w:tc>
        <w:tc>
          <w:tcPr>
            <w:tcW w:w="99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945D3E8">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小计</w:t>
            </w:r>
          </w:p>
        </w:tc>
        <w:tc>
          <w:tcPr>
            <w:tcW w:w="99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29D1909">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一般公共预算</w:t>
            </w:r>
          </w:p>
        </w:tc>
        <w:tc>
          <w:tcPr>
            <w:tcW w:w="74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AF7B0A5">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政府性基金预算</w:t>
            </w:r>
          </w:p>
        </w:tc>
        <w:tc>
          <w:tcPr>
            <w:tcW w:w="68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5C7D35C">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国有资本经营预算</w:t>
            </w:r>
          </w:p>
        </w:tc>
        <w:tc>
          <w:tcPr>
            <w:tcW w:w="97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36CBF6D">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财政专户管理资金</w:t>
            </w:r>
          </w:p>
        </w:tc>
        <w:tc>
          <w:tcPr>
            <w:tcW w:w="98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BC8E725">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事业</w:t>
            </w:r>
          </w:p>
          <w:p w14:paraId="15E05519">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收入</w:t>
            </w:r>
          </w:p>
        </w:tc>
        <w:tc>
          <w:tcPr>
            <w:tcW w:w="81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6443B42">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事业单位经营收入</w:t>
            </w:r>
          </w:p>
        </w:tc>
        <w:tc>
          <w:tcPr>
            <w:tcW w:w="6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FF201CD">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上级补助收入</w:t>
            </w: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EDF3CD0">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附属单位上缴收入</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D520651">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其他</w:t>
            </w:r>
          </w:p>
          <w:p w14:paraId="7B512B5A">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收入</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6B67ED2">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小计</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9CFAAE3">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一般公共预算</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4A0283C">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政府性基金预算</w:t>
            </w:r>
          </w:p>
        </w:tc>
        <w:tc>
          <w:tcPr>
            <w:tcW w:w="55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8C79A75">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国有资本经营预算</w:t>
            </w:r>
          </w:p>
        </w:tc>
        <w:tc>
          <w:tcPr>
            <w:tcW w:w="82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28A4F5D">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财政专户管理资金</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208089B">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单位</w:t>
            </w:r>
          </w:p>
          <w:p w14:paraId="1760D3ED">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资金</w:t>
            </w:r>
          </w:p>
        </w:tc>
      </w:tr>
      <w:tr w14:paraId="6B813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04" w:hRule="atLeast"/>
        </w:trPr>
        <w:tc>
          <w:tcPr>
            <w:tcW w:w="2625" w:type="dxa"/>
            <w:gridSpan w:val="2"/>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2512FF8">
            <w:pPr>
              <w:keepNext w:val="0"/>
              <w:keepLines w:val="0"/>
              <w:pageBreakBefore w:val="0"/>
              <w:widowControl w:val="0"/>
              <w:kinsoku/>
              <w:wordWrap/>
              <w:overflowPunct/>
              <w:topLinePunct w:val="0"/>
              <w:autoSpaceDE/>
              <w:autoSpaceDN/>
              <w:bidi w:val="0"/>
              <w:adjustRightInd/>
              <w:snapToGrid/>
              <w:spacing w:line="34" w:lineRule="atLeast"/>
              <w:ind w:left="0" w:right="45" w:firstLine="0"/>
              <w:jc w:val="center"/>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r>
              <w:rPr>
                <w:rFonts w:hint="eastAsia" w:ascii="仿宋" w:hAnsi="仿宋" w:eastAsia="仿宋" w:cs="仿宋"/>
                <w:color w:val="000000"/>
                <w:sz w:val="15"/>
                <w:szCs w:val="15"/>
                <w:lang w:val="en-US" w:eastAsia="zh-CN"/>
              </w:rPr>
              <w:t>合计</w:t>
            </w:r>
          </w:p>
        </w:tc>
        <w:tc>
          <w:tcPr>
            <w:tcW w:w="97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54F33B9">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5,100.41</w:t>
            </w:r>
          </w:p>
        </w:tc>
        <w:tc>
          <w:tcPr>
            <w:tcW w:w="99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BE495F1">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5,100.41</w:t>
            </w:r>
          </w:p>
        </w:tc>
        <w:tc>
          <w:tcPr>
            <w:tcW w:w="99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05EBDD4">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5,100.41</w:t>
            </w:r>
          </w:p>
        </w:tc>
        <w:tc>
          <w:tcPr>
            <w:tcW w:w="74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7CD33DD">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68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7327204">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97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57C9D9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98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D42198B">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81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1ABB5A2">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6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E70914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7A95074">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6767690">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8D17D0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60118DB">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4973A8F">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55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9670997">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82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6E9FE47">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8CAED80">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r>
      <w:tr w14:paraId="02F58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7" w:hRule="atLeast"/>
        </w:trPr>
        <w:tc>
          <w:tcPr>
            <w:tcW w:w="82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ED051D5">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322</w:t>
            </w:r>
          </w:p>
        </w:tc>
        <w:tc>
          <w:tcPr>
            <w:tcW w:w="180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5B5AA96">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江阴市商务局</w:t>
            </w:r>
          </w:p>
        </w:tc>
        <w:tc>
          <w:tcPr>
            <w:tcW w:w="97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77FF9A5">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5,100.41</w:t>
            </w:r>
          </w:p>
        </w:tc>
        <w:tc>
          <w:tcPr>
            <w:tcW w:w="99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9F45F0D">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5,100.41</w:t>
            </w:r>
          </w:p>
        </w:tc>
        <w:tc>
          <w:tcPr>
            <w:tcW w:w="99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F87EA8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5,100.41</w:t>
            </w:r>
          </w:p>
        </w:tc>
        <w:tc>
          <w:tcPr>
            <w:tcW w:w="74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DAF5C20">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68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53B2AC">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97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5D0D17A">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98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93FFE4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1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4F3458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6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0197A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D38FC55">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1E6E66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6A7023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CD981E2">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CADB0A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55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8CE066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2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2C8FB7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C6ECA8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r>
      <w:tr w14:paraId="02F58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7" w:hRule="atLeast"/>
        </w:trPr>
        <w:tc>
          <w:tcPr>
            <w:tcW w:w="82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ED051D5">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xml:space="preserve">  322002</w:t>
            </w:r>
          </w:p>
        </w:tc>
        <w:tc>
          <w:tcPr>
            <w:tcW w:w="180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5B5AA96">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江阴市商务局（机关）</w:t>
            </w:r>
          </w:p>
        </w:tc>
        <w:tc>
          <w:tcPr>
            <w:tcW w:w="97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77FF9A5">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3,767.72</w:t>
            </w:r>
          </w:p>
        </w:tc>
        <w:tc>
          <w:tcPr>
            <w:tcW w:w="99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9F45F0D">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3,767.72</w:t>
            </w:r>
          </w:p>
        </w:tc>
        <w:tc>
          <w:tcPr>
            <w:tcW w:w="99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F87EA8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3,767.72</w:t>
            </w:r>
          </w:p>
        </w:tc>
        <w:tc>
          <w:tcPr>
            <w:tcW w:w="74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DAF5C20">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68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53B2AC">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97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5D0D17A">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98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93FFE4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1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4F3458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6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0197A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D38FC55">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1E6E66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6A7023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CD981E2">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CADB0A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55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8CE066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2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2C8FB7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C6ECA8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r>
      <w:tr w14:paraId="02F58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7" w:hRule="atLeast"/>
        </w:trPr>
        <w:tc>
          <w:tcPr>
            <w:tcW w:w="82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ED051D5">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xml:space="preserve">  322003</w:t>
            </w:r>
          </w:p>
        </w:tc>
        <w:tc>
          <w:tcPr>
            <w:tcW w:w="180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5B5AA96">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江阴市投资促进中心</w:t>
            </w:r>
          </w:p>
        </w:tc>
        <w:tc>
          <w:tcPr>
            <w:tcW w:w="97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77FF9A5">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693.43</w:t>
            </w:r>
          </w:p>
        </w:tc>
        <w:tc>
          <w:tcPr>
            <w:tcW w:w="99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9F45F0D">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693.43</w:t>
            </w:r>
          </w:p>
        </w:tc>
        <w:tc>
          <w:tcPr>
            <w:tcW w:w="99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F87EA8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693.43</w:t>
            </w:r>
          </w:p>
        </w:tc>
        <w:tc>
          <w:tcPr>
            <w:tcW w:w="74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DAF5C20">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68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53B2AC">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97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5D0D17A">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98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93FFE4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1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4F3458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6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0197A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D38FC55">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1E6E66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6A7023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CD981E2">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CADB0A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55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8CE066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2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2C8FB7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C6ECA8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r>
      <w:tr w14:paraId="02F58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7" w:hRule="atLeast"/>
        </w:trPr>
        <w:tc>
          <w:tcPr>
            <w:tcW w:w="82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ED051D5">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xml:space="preserve">  322006</w:t>
            </w:r>
          </w:p>
        </w:tc>
        <w:tc>
          <w:tcPr>
            <w:tcW w:w="180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5B5AA96">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江阴市商贸管理办公室</w:t>
            </w:r>
          </w:p>
        </w:tc>
        <w:tc>
          <w:tcPr>
            <w:tcW w:w="97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77FF9A5">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78.89</w:t>
            </w:r>
          </w:p>
        </w:tc>
        <w:tc>
          <w:tcPr>
            <w:tcW w:w="99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9F45F0D">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78.89</w:t>
            </w:r>
          </w:p>
        </w:tc>
        <w:tc>
          <w:tcPr>
            <w:tcW w:w="99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F87EA8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78.89</w:t>
            </w:r>
          </w:p>
        </w:tc>
        <w:tc>
          <w:tcPr>
            <w:tcW w:w="74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DAF5C20">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68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53B2AC">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97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5D0D17A">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98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93FFE4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1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4F3458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6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0197A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D38FC55">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1E6E66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6A7023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CD981E2">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CADB0A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55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8CE066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2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2C8FB7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C6ECA8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r>
      <w:tr w14:paraId="02F58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7" w:hRule="atLeast"/>
        </w:trPr>
        <w:tc>
          <w:tcPr>
            <w:tcW w:w="82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ED051D5">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xml:space="preserve">  322009</w:t>
            </w:r>
          </w:p>
        </w:tc>
        <w:tc>
          <w:tcPr>
            <w:tcW w:w="180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5B5AA96">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江阴市服务业发展中心</w:t>
            </w:r>
          </w:p>
        </w:tc>
        <w:tc>
          <w:tcPr>
            <w:tcW w:w="97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77FF9A5">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560.37</w:t>
            </w:r>
          </w:p>
        </w:tc>
        <w:tc>
          <w:tcPr>
            <w:tcW w:w="99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9F45F0D">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560.37</w:t>
            </w:r>
          </w:p>
        </w:tc>
        <w:tc>
          <w:tcPr>
            <w:tcW w:w="99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F87EA8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560.37</w:t>
            </w:r>
          </w:p>
        </w:tc>
        <w:tc>
          <w:tcPr>
            <w:tcW w:w="74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DAF5C20">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68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53B2AC">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97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5D0D17A">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98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93FFE4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1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4F3458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6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0197A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D38FC55">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1E6E66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6A7023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CD981E2">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CADB0A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55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8CE066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2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2C8FB7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C6ECA8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r>
    </w:tbl>
    <w:p w14:paraId="05EA3505">
      <w:pPr>
        <w:widowControl w:val="0"/>
        <w:suppressAutoHyphens/>
        <w:bidi w:val="0"/>
        <w:spacing w:before="66" w:after="0"/>
        <w:ind w:left="0" w:leftChars="0" w:right="0" w:firstLine="0" w:firstLineChars="0"/>
        <w:jc w:val="left"/>
        <w:rPr>
          <w:rFonts w:hint="eastAsia" w:ascii="仿宋" w:hAnsi="仿宋" w:eastAsia="仿宋" w:cs="仿宋"/>
          <w:b/>
          <w:bCs/>
          <w:sz w:val="22"/>
          <w:szCs w:val="22"/>
        </w:rPr>
        <w:sectPr>
          <w:footerReference r:id="rId9" w:type="default"/>
          <w:pgSz w:w="16838" w:h="11906" w:orient="landscape"/>
          <w:pgMar w:top="720" w:right="57" w:bottom="720" w:left="57"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347" w:type="dxa"/>
        <w:tblInd w:w="96" w:type="dxa"/>
        <w:tblLayout w:type="fixed"/>
        <w:tblCellMar>
          <w:top w:w="55" w:type="dxa"/>
          <w:left w:w="55" w:type="dxa"/>
          <w:bottom w:w="55" w:type="dxa"/>
          <w:right w:w="55" w:type="dxa"/>
        </w:tblCellMar>
      </w:tblPr>
      <w:tblGrid>
        <w:gridCol w:w="1556"/>
        <w:gridCol w:w="3223"/>
        <w:gridCol w:w="1920"/>
        <w:gridCol w:w="1714"/>
        <w:gridCol w:w="1749"/>
        <w:gridCol w:w="1868"/>
        <w:gridCol w:w="1680"/>
        <w:gridCol w:w="1637"/>
      </w:tblGrid>
      <w:tr w14:paraId="44611C65">
        <w:tblPrEx>
          <w:tblCellMar>
            <w:top w:w="55" w:type="dxa"/>
            <w:left w:w="55" w:type="dxa"/>
            <w:bottom w:w="55" w:type="dxa"/>
            <w:right w:w="55" w:type="dxa"/>
          </w:tblCellMar>
        </w:tblPrEx>
        <w:trPr>
          <w:trHeight w:val="341" w:hRule="atLeast"/>
        </w:trPr>
        <w:tc>
          <w:tcPr>
            <w:tcW w:w="15347" w:type="dxa"/>
            <w:gridSpan w:val="8"/>
            <w:vAlign w:val="center"/>
          </w:tcPr>
          <w:p w14:paraId="7061346E">
            <w:pPr>
              <w:pStyle w:val="5"/>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b/>
                <w:bCs/>
                <w:sz w:val="44"/>
                <w:szCs w:val="44"/>
              </w:rPr>
            </w:pPr>
            <w:r>
              <w:rPr>
                <w:rFonts w:hint="eastAsia" w:ascii="仿宋" w:hAnsi="仿宋" w:eastAsia="仿宋" w:cs="仿宋"/>
                <w:sz w:val="22"/>
                <w:szCs w:val="22"/>
              </w:rPr>
              <w:t>公开03表</w:t>
            </w:r>
          </w:p>
        </w:tc>
      </w:tr>
      <w:tr w14:paraId="30701D2B">
        <w:tblPrEx>
          <w:tblCellMar>
            <w:top w:w="55" w:type="dxa"/>
            <w:left w:w="55" w:type="dxa"/>
            <w:bottom w:w="55" w:type="dxa"/>
            <w:right w:w="55" w:type="dxa"/>
          </w:tblCellMar>
        </w:tblPrEx>
        <w:trPr>
          <w:trHeight w:val="321" w:hRule="atLeast"/>
        </w:trPr>
        <w:tc>
          <w:tcPr>
            <w:tcW w:w="15347" w:type="dxa"/>
            <w:gridSpan w:val="8"/>
            <w:vAlign w:val="center"/>
          </w:tcPr>
          <w:p w14:paraId="314D5A46">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b/>
                <w:bCs/>
                <w:sz w:val="44"/>
                <w:szCs w:val="44"/>
              </w:rPr>
              <w:t>支出</w:t>
            </w:r>
            <w:r>
              <w:rPr>
                <w:rFonts w:hint="eastAsia" w:ascii="仿宋" w:hAnsi="仿宋" w:eastAsia="仿宋" w:cs="仿宋"/>
                <w:b/>
                <w:bCs/>
                <w:sz w:val="44"/>
                <w:szCs w:val="44"/>
                <w:lang w:val="en-US" w:eastAsia="zh-CN"/>
              </w:rPr>
              <w:t>总</w:t>
            </w:r>
            <w:r>
              <w:rPr>
                <w:rFonts w:hint="eastAsia" w:ascii="仿宋" w:hAnsi="仿宋" w:eastAsia="仿宋" w:cs="仿宋"/>
                <w:b/>
                <w:bCs/>
                <w:sz w:val="44"/>
                <w:szCs w:val="44"/>
              </w:rPr>
              <w:t>表</w:t>
            </w:r>
          </w:p>
        </w:tc>
      </w:tr>
      <w:tr w14:paraId="51B21317">
        <w:tblPrEx>
          <w:tblCellMar>
            <w:top w:w="55" w:type="dxa"/>
            <w:left w:w="55" w:type="dxa"/>
            <w:bottom w:w="55" w:type="dxa"/>
            <w:right w:w="55" w:type="dxa"/>
          </w:tblCellMar>
        </w:tblPrEx>
        <w:trPr>
          <w:trHeight w:val="218" w:hRule="atLeast"/>
        </w:trPr>
        <w:tc>
          <w:tcPr>
            <w:tcW w:w="12030" w:type="dxa"/>
            <w:gridSpan w:val="6"/>
            <w:vAlign w:val="center"/>
          </w:tcPr>
          <w:p w14:paraId="73FF8091">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rPr>
            </w:pPr>
            <w:r>
              <w:rPr>
                <w:rFonts w:hint="eastAsia" w:ascii="仿宋" w:hAnsi="仿宋" w:eastAsia="仿宋" w:cs="仿宋"/>
                <w:color w:val="000000"/>
                <w:sz w:val="22"/>
                <w:szCs w:val="22"/>
                <w:lang w:eastAsia="zh-CN"/>
              </w:rPr>
              <w:t>部门</w:t>
            </w:r>
            <w:r>
              <w:rPr>
                <w:rFonts w:ascii="仿宋" w:hAnsi="仿宋" w:cs="仿宋" w:eastAsia="仿宋"/>
                <w:color w:val="000000"/>
                <w:sz w:val="22"/>
              </w:rPr>
              <w:t>：</w:t>
            </w:r>
            <w:r>
              <w:rPr>
                <w:rFonts w:hint="eastAsia" w:ascii="仿宋" w:hAnsi="仿宋" w:eastAsia="仿宋" w:cs="仿宋"/>
              </w:rPr>
              <w:t>江阴市商务局</w:t>
            </w:r>
          </w:p>
        </w:tc>
        <w:tc>
          <w:tcPr>
            <w:tcW w:w="3317" w:type="dxa"/>
            <w:gridSpan w:val="2"/>
            <w:vAlign w:val="center"/>
          </w:tcPr>
          <w:p w14:paraId="232D1ABF">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right"/>
              <w:textAlignment w:val="auto"/>
              <w:rPr>
                <w:rFonts w:hint="eastAsia" w:ascii="仿宋" w:hAnsi="仿宋" w:eastAsia="仿宋" w:cs="仿宋"/>
                <w:sz w:val="22"/>
                <w:szCs w:val="22"/>
              </w:rPr>
            </w:pPr>
            <w:r>
              <w:rPr>
                <w:rFonts w:hint="eastAsia" w:ascii="仿宋" w:hAnsi="仿宋" w:eastAsia="仿宋" w:cs="仿宋"/>
                <w:sz w:val="22"/>
                <w:szCs w:val="22"/>
                <w:lang w:eastAsia="zh-CN"/>
              </w:rPr>
              <w:t>单位</w:t>
            </w:r>
            <w:r>
              <w:rPr>
                <w:rFonts w:hint="eastAsia" w:ascii="仿宋" w:hAnsi="仿宋" w:eastAsia="仿宋" w:cs="仿宋"/>
                <w:sz w:val="22"/>
                <w:szCs w:val="22"/>
              </w:rPr>
              <w:t>：万元</w:t>
            </w:r>
          </w:p>
        </w:tc>
      </w:tr>
      <w:tr w14:paraId="77A36CF1">
        <w:tblPrEx>
          <w:tblCellMar>
            <w:top w:w="55" w:type="dxa"/>
            <w:left w:w="55" w:type="dxa"/>
            <w:bottom w:w="55" w:type="dxa"/>
            <w:right w:w="55" w:type="dxa"/>
          </w:tblCellMar>
        </w:tblPrEx>
        <w:trPr>
          <w:trHeight w:val="533" w:hRule="atLeast"/>
        </w:trPr>
        <w:tc>
          <w:tcPr>
            <w:tcW w:w="1556" w:type="dxa"/>
            <w:tcBorders>
              <w:top w:val="single" w:color="000000" w:sz="4" w:space="0"/>
              <w:left w:val="single" w:color="000000" w:sz="4" w:space="0"/>
              <w:bottom w:val="single" w:color="000000" w:sz="4" w:space="0"/>
            </w:tcBorders>
            <w:vAlign w:val="center"/>
          </w:tcPr>
          <w:p w14:paraId="4A318110">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科目编码</w:t>
            </w:r>
          </w:p>
        </w:tc>
        <w:tc>
          <w:tcPr>
            <w:tcW w:w="3223" w:type="dxa"/>
            <w:tcBorders>
              <w:top w:val="single" w:color="000000" w:sz="4" w:space="0"/>
              <w:left w:val="single" w:color="000000" w:sz="4" w:space="0"/>
              <w:bottom w:val="single" w:color="000000" w:sz="4" w:space="0"/>
            </w:tcBorders>
            <w:vAlign w:val="center"/>
          </w:tcPr>
          <w:p w14:paraId="0470B43A">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kern w:val="0"/>
                <w:sz w:val="22"/>
                <w:szCs w:val="22"/>
              </w:rPr>
            </w:pPr>
            <w:r>
              <w:rPr>
                <w:rFonts w:hint="eastAsia" w:ascii="仿宋" w:hAnsi="仿宋" w:eastAsia="仿宋" w:cs="仿宋"/>
                <w:kern w:val="0"/>
                <w:sz w:val="22"/>
                <w:szCs w:val="22"/>
              </w:rPr>
              <w:t>科目名称</w:t>
            </w:r>
          </w:p>
        </w:tc>
        <w:tc>
          <w:tcPr>
            <w:tcW w:w="1920" w:type="dxa"/>
            <w:tcBorders>
              <w:top w:val="single" w:color="000000" w:sz="4" w:space="0"/>
              <w:left w:val="single" w:color="000000" w:sz="4" w:space="0"/>
              <w:bottom w:val="single" w:color="000000" w:sz="4" w:space="0"/>
            </w:tcBorders>
            <w:vAlign w:val="center"/>
          </w:tcPr>
          <w:p w14:paraId="4035FCF0">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合计</w:t>
            </w:r>
          </w:p>
        </w:tc>
        <w:tc>
          <w:tcPr>
            <w:tcW w:w="1714" w:type="dxa"/>
            <w:tcBorders>
              <w:top w:val="single" w:color="000000" w:sz="4" w:space="0"/>
              <w:left w:val="single" w:color="000000" w:sz="4" w:space="0"/>
              <w:bottom w:val="single" w:color="000000" w:sz="4" w:space="0"/>
            </w:tcBorders>
            <w:vAlign w:val="center"/>
          </w:tcPr>
          <w:p w14:paraId="6DEB6C49">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基本支出</w:t>
            </w:r>
          </w:p>
        </w:tc>
        <w:tc>
          <w:tcPr>
            <w:tcW w:w="1749" w:type="dxa"/>
            <w:tcBorders>
              <w:top w:val="single" w:color="000000" w:sz="4" w:space="0"/>
              <w:left w:val="single" w:color="000000" w:sz="4" w:space="0"/>
              <w:bottom w:val="single" w:color="000000" w:sz="4" w:space="0"/>
            </w:tcBorders>
            <w:vAlign w:val="center"/>
          </w:tcPr>
          <w:p w14:paraId="5D483D2D">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项目支出</w:t>
            </w:r>
          </w:p>
        </w:tc>
        <w:tc>
          <w:tcPr>
            <w:tcW w:w="1868" w:type="dxa"/>
            <w:tcBorders>
              <w:top w:val="single" w:color="000000" w:sz="4" w:space="0"/>
              <w:left w:val="single" w:color="000000" w:sz="4" w:space="0"/>
              <w:bottom w:val="single" w:color="000000" w:sz="4" w:space="0"/>
            </w:tcBorders>
            <w:vAlign w:val="center"/>
          </w:tcPr>
          <w:p w14:paraId="2C083FE1">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kern w:val="0"/>
                <w:sz w:val="22"/>
                <w:szCs w:val="22"/>
                <w:lang w:val="en-US" w:eastAsia="zh-CN"/>
              </w:rPr>
            </w:pPr>
            <w:r>
              <w:rPr>
                <w:rFonts w:hint="eastAsia" w:ascii="仿宋" w:hAnsi="仿宋" w:eastAsia="仿宋" w:cs="仿宋"/>
                <w:kern w:val="0"/>
                <w:sz w:val="22"/>
                <w:szCs w:val="22"/>
                <w:lang w:val="en-US" w:eastAsia="zh-CN"/>
              </w:rPr>
              <w:t>事业单位</w:t>
            </w:r>
          </w:p>
          <w:p w14:paraId="2282AC79">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lang w:val="en-US" w:eastAsia="zh-CN"/>
              </w:rPr>
              <w:t>经营支出</w:t>
            </w:r>
          </w:p>
        </w:tc>
        <w:tc>
          <w:tcPr>
            <w:tcW w:w="1680" w:type="dxa"/>
            <w:tcBorders>
              <w:top w:val="single" w:color="000000" w:sz="4" w:space="0"/>
              <w:left w:val="single" w:color="000000" w:sz="4" w:space="0"/>
              <w:bottom w:val="single" w:color="000000" w:sz="4" w:space="0"/>
            </w:tcBorders>
            <w:vAlign w:val="center"/>
          </w:tcPr>
          <w:p w14:paraId="4EC4AC47">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上缴上级支出</w:t>
            </w:r>
          </w:p>
        </w:tc>
        <w:tc>
          <w:tcPr>
            <w:tcW w:w="1637" w:type="dxa"/>
            <w:tcBorders>
              <w:top w:val="single" w:color="000000" w:sz="4" w:space="0"/>
              <w:left w:val="single" w:color="000000" w:sz="4" w:space="0"/>
              <w:bottom w:val="single" w:color="000000" w:sz="4" w:space="0"/>
              <w:right w:val="single" w:color="000000" w:sz="4" w:space="0"/>
            </w:tcBorders>
            <w:vAlign w:val="center"/>
          </w:tcPr>
          <w:p w14:paraId="7275282F">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对附属单位补助支出</w:t>
            </w:r>
          </w:p>
        </w:tc>
      </w:tr>
      <w:tr w14:paraId="2436251E">
        <w:tblPrEx>
          <w:tblCellMar>
            <w:top w:w="55" w:type="dxa"/>
            <w:left w:w="55" w:type="dxa"/>
            <w:bottom w:w="55" w:type="dxa"/>
            <w:right w:w="55" w:type="dxa"/>
          </w:tblCellMar>
        </w:tblPrEx>
        <w:trPr>
          <w:trHeight w:val="375" w:hRule="exact"/>
        </w:trPr>
        <w:tc>
          <w:tcPr>
            <w:tcW w:w="4779" w:type="dxa"/>
            <w:gridSpan w:val="2"/>
            <w:tcBorders>
              <w:left w:val="single" w:color="000000" w:sz="4" w:space="0"/>
              <w:bottom w:val="single" w:color="000000" w:sz="4" w:space="0"/>
            </w:tcBorders>
            <w:vAlign w:val="center"/>
          </w:tcPr>
          <w:p w14:paraId="26D30828">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
            </w:r>
            <w:r>
              <w:rPr>
                <w:rFonts w:ascii="仿宋" w:hAnsi="仿宋" w:cs="仿宋" w:eastAsia="仿宋"/>
                <w:sz w:val="22"/>
              </w:rPr>
              <w:t>合计</w:t>
            </w:r>
          </w:p>
        </w:tc>
        <w:tc>
          <w:tcPr>
            <w:tcW w:w="1920" w:type="dxa"/>
            <w:tcBorders>
              <w:left w:val="single" w:color="000000" w:sz="4" w:space="0"/>
              <w:bottom w:val="single" w:color="000000" w:sz="4" w:space="0"/>
            </w:tcBorders>
            <w:vAlign w:val="center"/>
          </w:tcPr>
          <w:p w14:paraId="0B5646CA">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5,100.41</w:t>
            </w:r>
          </w:p>
        </w:tc>
        <w:tc>
          <w:tcPr>
            <w:tcW w:w="1714" w:type="dxa"/>
            <w:tcBorders>
              <w:left w:val="single" w:color="000000" w:sz="4" w:space="0"/>
              <w:bottom w:val="single" w:color="000000" w:sz="4" w:space="0"/>
            </w:tcBorders>
            <w:vAlign w:val="center"/>
          </w:tcPr>
          <w:p w14:paraId="7AC1DCFA">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2,744.36</w:t>
            </w:r>
          </w:p>
        </w:tc>
        <w:tc>
          <w:tcPr>
            <w:tcW w:w="1749" w:type="dxa"/>
            <w:tcBorders>
              <w:left w:val="single" w:color="000000" w:sz="4" w:space="0"/>
              <w:bottom w:val="single" w:color="000000" w:sz="4" w:space="0"/>
            </w:tcBorders>
            <w:vAlign w:val="center"/>
          </w:tcPr>
          <w:p w14:paraId="3D172D42">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2,356.05</w:t>
            </w:r>
          </w:p>
        </w:tc>
        <w:tc>
          <w:tcPr>
            <w:tcW w:w="1868" w:type="dxa"/>
            <w:tcBorders>
              <w:left w:val="single" w:color="000000" w:sz="4" w:space="0"/>
              <w:bottom w:val="single" w:color="000000" w:sz="4" w:space="0"/>
            </w:tcBorders>
            <w:vAlign w:val="center"/>
          </w:tcPr>
          <w:p w14:paraId="2CBEB3F2">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left w:val="single" w:color="000000" w:sz="4" w:space="0"/>
              <w:bottom w:val="single" w:color="000000" w:sz="4" w:space="0"/>
            </w:tcBorders>
            <w:vAlign w:val="center"/>
          </w:tcPr>
          <w:p w14:paraId="0456E32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left w:val="single" w:color="000000" w:sz="4" w:space="0"/>
              <w:bottom w:val="single" w:color="000000" w:sz="4" w:space="0"/>
              <w:right w:val="single" w:color="000000" w:sz="4" w:space="0"/>
            </w:tcBorders>
            <w:vAlign w:val="center"/>
          </w:tcPr>
          <w:p w14:paraId="725A005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201</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一般公共服务支出</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3,740.63</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1,700.25</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2,040.38</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20113</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商贸事务</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3,740.63</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1,700.25</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2,040.38</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2011301</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行政运行</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850.83</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850.83</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2011350</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事业运行</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849.42</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849.42</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2011399</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其他商贸事务支出</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2,040.38</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2,040.38</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208</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社会保障和就业支出</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292.36</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292.36</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20805</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行政事业单位养老支出</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281.86</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281.86</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2080505</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机关事业单位基本养老保险缴费支出</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187.90</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187.90</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2080506</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机关事业单位职业年金缴费支出</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93.96</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93.96</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20899</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其他社会保障和就业支出</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10.50</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10.50</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2089999</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其他社会保障和就业支出</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10.50</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10.50</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210</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卫生健康支出</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78.92</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78.92</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21011</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行政事业单位医疗</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78.92</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78.92</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2101101</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行政单位医疗</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38.09</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38.09</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2101102</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事业单位医疗</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40.83</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40.83</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212</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城乡社区支出</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315.67</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315.67</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21299</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其他城乡社区支出</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315.67</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315.67</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2129999</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其他城乡社区支出</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315.67</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315.67</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221</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住房保障支出</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672.83</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672.83</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22102</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住房改革支出</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672.83</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672.83</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2210201</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住房公积金</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144.41</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144.41</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2210202</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提租补贴</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333.32</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333.32</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2210203</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购房补贴</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195.10</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195.10</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bl>
    <w:p w14:paraId="6F47FE99">
      <w:pPr>
        <w:widowControl w:val="0"/>
        <w:suppressAutoHyphens/>
        <w:bidi w:val="0"/>
        <w:spacing w:before="59" w:after="0"/>
        <w:ind w:left="57" w:right="0" w:firstLine="0"/>
        <w:jc w:val="left"/>
        <w:rPr>
          <w:rFonts w:hint="eastAsia" w:ascii="仿宋" w:hAnsi="仿宋" w:eastAsia="仿宋" w:cs="仿宋"/>
          <w:b/>
          <w:bCs/>
          <w:sz w:val="22"/>
          <w:szCs w:val="22"/>
        </w:rPr>
        <w:sectPr>
          <w:footerReference r:id="rId10"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789" w:type="dxa"/>
        <w:tblInd w:w="-123" w:type="dxa"/>
        <w:tblLayout w:type="fixed"/>
        <w:tblCellMar>
          <w:top w:w="55" w:type="dxa"/>
          <w:left w:w="55" w:type="dxa"/>
          <w:bottom w:w="55" w:type="dxa"/>
          <w:right w:w="55" w:type="dxa"/>
        </w:tblCellMar>
      </w:tblPr>
      <w:tblGrid>
        <w:gridCol w:w="3987"/>
        <w:gridCol w:w="3960"/>
        <w:gridCol w:w="3943"/>
        <w:gridCol w:w="3899"/>
      </w:tblGrid>
      <w:tr w14:paraId="76E67744">
        <w:tblPrEx>
          <w:tblCellMar>
            <w:top w:w="55" w:type="dxa"/>
            <w:left w:w="55" w:type="dxa"/>
            <w:bottom w:w="55" w:type="dxa"/>
            <w:right w:w="55" w:type="dxa"/>
          </w:tblCellMar>
        </w:tblPrEx>
        <w:trPr>
          <w:trHeight w:val="319" w:hRule="atLeast"/>
        </w:trPr>
        <w:tc>
          <w:tcPr>
            <w:tcW w:w="15789" w:type="dxa"/>
            <w:gridSpan w:val="4"/>
          </w:tcPr>
          <w:p w14:paraId="62E867CC">
            <w:pPr>
              <w:pStyle w:val="22"/>
              <w:widowControl w:val="0"/>
              <w:jc w:val="left"/>
              <w:rPr>
                <w:rFonts w:hint="eastAsia" w:ascii="仿宋" w:hAnsi="仿宋" w:eastAsia="仿宋" w:cs="仿宋"/>
                <w:b/>
                <w:bCs/>
                <w:sz w:val="44"/>
                <w:szCs w:val="44"/>
              </w:rPr>
            </w:pPr>
            <w:r>
              <w:rPr>
                <w:rFonts w:hint="eastAsia" w:ascii="仿宋" w:hAnsi="仿宋" w:eastAsia="仿宋" w:cs="仿宋"/>
                <w:sz w:val="22"/>
                <w:szCs w:val="22"/>
              </w:rPr>
              <w:t>公开04表</w:t>
            </w:r>
          </w:p>
        </w:tc>
      </w:tr>
      <w:tr w14:paraId="1820DDA8">
        <w:tblPrEx>
          <w:tblCellMar>
            <w:top w:w="55" w:type="dxa"/>
            <w:left w:w="55" w:type="dxa"/>
            <w:bottom w:w="55" w:type="dxa"/>
            <w:right w:w="55" w:type="dxa"/>
          </w:tblCellMar>
        </w:tblPrEx>
        <w:trPr>
          <w:trHeight w:val="319" w:hRule="atLeast"/>
        </w:trPr>
        <w:tc>
          <w:tcPr>
            <w:tcW w:w="15789" w:type="dxa"/>
            <w:gridSpan w:val="4"/>
          </w:tcPr>
          <w:p w14:paraId="3FB28F56">
            <w:pPr>
              <w:pStyle w:val="22"/>
              <w:widowControl w:val="0"/>
              <w:jc w:val="center"/>
              <w:rPr>
                <w:rFonts w:hint="eastAsia" w:ascii="仿宋" w:hAnsi="仿宋" w:eastAsia="仿宋" w:cs="仿宋"/>
                <w:sz w:val="22"/>
                <w:szCs w:val="22"/>
              </w:rPr>
            </w:pPr>
            <w:r>
              <w:rPr>
                <w:rFonts w:hint="eastAsia" w:ascii="仿宋" w:hAnsi="仿宋" w:eastAsia="仿宋" w:cs="仿宋"/>
                <w:b/>
                <w:bCs/>
                <w:sz w:val="44"/>
                <w:szCs w:val="44"/>
              </w:rPr>
              <w:t>财政拨款收支总表</w:t>
            </w:r>
          </w:p>
        </w:tc>
      </w:tr>
      <w:tr w14:paraId="00B5EFFF">
        <w:tblPrEx>
          <w:tblCellMar>
            <w:top w:w="55" w:type="dxa"/>
            <w:left w:w="55" w:type="dxa"/>
            <w:bottom w:w="55" w:type="dxa"/>
            <w:right w:w="55" w:type="dxa"/>
          </w:tblCellMar>
        </w:tblPrEx>
        <w:trPr>
          <w:trHeight w:val="319" w:hRule="atLeast"/>
        </w:trPr>
        <w:tc>
          <w:tcPr>
            <w:tcW w:w="11890" w:type="dxa"/>
            <w:gridSpan w:val="3"/>
          </w:tcPr>
          <w:p w14:paraId="397DE508">
            <w:pPr>
              <w:pStyle w:val="22"/>
              <w:widowControl w:val="0"/>
              <w:jc w:val="left"/>
              <w:rPr>
                <w:rFonts w:hint="eastAsia" w:ascii="仿宋" w:hAnsi="仿宋" w:eastAsia="仿宋" w:cs="仿宋"/>
                <w:sz w:val="22"/>
                <w:szCs w:val="22"/>
              </w:rPr>
            </w:pPr>
            <w:r>
              <w:rPr>
                <w:rFonts w:hint="eastAsia" w:ascii="仿宋" w:hAnsi="仿宋" w:eastAsia="仿宋" w:cs="仿宋"/>
                <w:color w:val="000000"/>
                <w:sz w:val="22"/>
                <w:szCs w:val="22"/>
                <w:lang w:eastAsia="zh-CN"/>
              </w:rPr>
              <w:t>部门</w:t>
            </w:r>
            <w:r>
              <w:rPr>
                <w:rFonts w:ascii="仿宋" w:hAnsi="仿宋" w:cs="仿宋" w:eastAsia="仿宋"/>
                <w:color w:val="000000"/>
                <w:sz w:val="22"/>
              </w:rPr>
              <w:t>：</w:t>
            </w:r>
            <w:r>
              <w:rPr>
                <w:rFonts w:hint="eastAsia" w:ascii="仿宋" w:hAnsi="仿宋" w:eastAsia="仿宋" w:cs="仿宋"/>
                <w:sz w:val="22"/>
                <w:szCs w:val="22"/>
              </w:rPr>
              <w:t>江阴市商务局</w:t>
            </w:r>
          </w:p>
        </w:tc>
        <w:tc>
          <w:tcPr>
            <w:tcW w:w="3899" w:type="dxa"/>
            <w:vAlign w:val="center"/>
          </w:tcPr>
          <w:p w14:paraId="53F407E4">
            <w:pPr>
              <w:pStyle w:val="22"/>
              <w:widowControl w:val="0"/>
              <w:jc w:val="right"/>
              <w:rPr>
                <w:rFonts w:hint="eastAsia" w:ascii="仿宋" w:hAnsi="仿宋" w:eastAsia="仿宋" w:cs="仿宋"/>
                <w:sz w:val="22"/>
                <w:szCs w:val="22"/>
              </w:rPr>
            </w:pPr>
            <w:r>
              <w:rPr>
                <w:rFonts w:hint="eastAsia" w:ascii="仿宋" w:hAnsi="仿宋" w:eastAsia="仿宋" w:cs="仿宋"/>
                <w:sz w:val="22"/>
                <w:szCs w:val="22"/>
                <w:lang w:eastAsia="zh-CN"/>
              </w:rPr>
              <w:t>单位</w:t>
            </w:r>
            <w:r>
              <w:rPr>
                <w:rFonts w:hint="eastAsia" w:ascii="仿宋" w:hAnsi="仿宋" w:eastAsia="仿宋" w:cs="仿宋"/>
                <w:sz w:val="22"/>
                <w:szCs w:val="22"/>
              </w:rPr>
              <w:t>：万元</w:t>
            </w:r>
          </w:p>
        </w:tc>
      </w:tr>
      <w:tr w14:paraId="78DBC8FC">
        <w:tblPrEx>
          <w:tblCellMar>
            <w:top w:w="55" w:type="dxa"/>
            <w:left w:w="55" w:type="dxa"/>
            <w:bottom w:w="55" w:type="dxa"/>
            <w:right w:w="55" w:type="dxa"/>
          </w:tblCellMar>
        </w:tblPrEx>
        <w:trPr>
          <w:trHeight w:val="196" w:hRule="atLeast"/>
        </w:trPr>
        <w:tc>
          <w:tcPr>
            <w:tcW w:w="7947" w:type="dxa"/>
            <w:gridSpan w:val="2"/>
            <w:tcBorders>
              <w:top w:val="single" w:color="000000" w:sz="4" w:space="0"/>
              <w:left w:val="single" w:color="000000" w:sz="4" w:space="0"/>
              <w:bottom w:val="single" w:color="000000" w:sz="4" w:space="0"/>
            </w:tcBorders>
          </w:tcPr>
          <w:p w14:paraId="4627C4B5">
            <w:pPr>
              <w:pStyle w:val="22"/>
              <w:widowControl w:val="0"/>
              <w:jc w:val="center"/>
              <w:rPr>
                <w:rFonts w:hint="eastAsia" w:ascii="仿宋" w:hAnsi="仿宋" w:eastAsia="仿宋" w:cs="仿宋"/>
                <w:b/>
                <w:bCs/>
                <w:sz w:val="22"/>
                <w:szCs w:val="22"/>
              </w:rPr>
            </w:pPr>
            <w:r>
              <w:rPr>
                <w:rFonts w:hint="eastAsia" w:ascii="仿宋" w:hAnsi="仿宋" w:eastAsia="仿宋" w:cs="仿宋"/>
                <w:b/>
                <w:bCs/>
                <w:sz w:val="22"/>
                <w:szCs w:val="22"/>
              </w:rPr>
              <w:t>收</w:t>
            </w:r>
            <w:r>
              <w:rPr>
                <w:rFonts w:hint="eastAsia" w:ascii="仿宋" w:hAnsi="仿宋" w:eastAsia="仿宋" w:cs="仿宋"/>
                <w:b/>
                <w:bCs/>
                <w:sz w:val="22"/>
                <w:szCs w:val="22"/>
              </w:rPr>
              <w:tab/>
            </w:r>
            <w:r>
              <w:rPr>
                <w:rFonts w:hint="eastAsia" w:ascii="仿宋" w:hAnsi="仿宋" w:eastAsia="仿宋" w:cs="仿宋"/>
                <w:b/>
                <w:bCs/>
                <w:sz w:val="22"/>
                <w:szCs w:val="22"/>
              </w:rPr>
              <w:t>入</w:t>
            </w:r>
          </w:p>
        </w:tc>
        <w:tc>
          <w:tcPr>
            <w:tcW w:w="7842" w:type="dxa"/>
            <w:gridSpan w:val="2"/>
            <w:tcBorders>
              <w:top w:val="single" w:color="000000" w:sz="4" w:space="0"/>
              <w:left w:val="single" w:color="000000" w:sz="4" w:space="0"/>
              <w:bottom w:val="single" w:color="000000" w:sz="4" w:space="0"/>
              <w:right w:val="single" w:color="000000" w:sz="4" w:space="0"/>
            </w:tcBorders>
          </w:tcPr>
          <w:p w14:paraId="4ABF517F">
            <w:pPr>
              <w:pStyle w:val="22"/>
              <w:widowControl w:val="0"/>
              <w:jc w:val="center"/>
              <w:rPr>
                <w:rFonts w:hint="eastAsia" w:ascii="仿宋" w:hAnsi="仿宋" w:eastAsia="仿宋" w:cs="仿宋"/>
                <w:b/>
                <w:bCs/>
                <w:sz w:val="22"/>
                <w:szCs w:val="22"/>
              </w:rPr>
            </w:pPr>
            <w:r>
              <w:rPr>
                <w:rFonts w:hint="eastAsia" w:ascii="仿宋" w:hAnsi="仿宋" w:eastAsia="仿宋" w:cs="仿宋"/>
                <w:b/>
                <w:bCs/>
                <w:sz w:val="22"/>
                <w:szCs w:val="22"/>
              </w:rPr>
              <w:t>支</w:t>
            </w:r>
            <w:r>
              <w:rPr>
                <w:rFonts w:hint="eastAsia" w:ascii="仿宋" w:hAnsi="仿宋" w:eastAsia="仿宋" w:cs="仿宋"/>
                <w:b/>
                <w:bCs/>
                <w:sz w:val="22"/>
                <w:szCs w:val="22"/>
              </w:rPr>
              <w:tab/>
            </w:r>
            <w:r>
              <w:rPr>
                <w:rFonts w:hint="eastAsia" w:ascii="仿宋" w:hAnsi="仿宋" w:eastAsia="仿宋" w:cs="仿宋"/>
                <w:b/>
                <w:bCs/>
                <w:sz w:val="22"/>
                <w:szCs w:val="22"/>
              </w:rPr>
              <w:t>出</w:t>
            </w:r>
          </w:p>
        </w:tc>
      </w:tr>
      <w:tr w14:paraId="3B93835E">
        <w:tblPrEx>
          <w:tblCellMar>
            <w:top w:w="55" w:type="dxa"/>
            <w:left w:w="55" w:type="dxa"/>
            <w:bottom w:w="55" w:type="dxa"/>
            <w:right w:w="55" w:type="dxa"/>
          </w:tblCellMar>
        </w:tblPrEx>
        <w:trPr>
          <w:trHeight w:val="468" w:hRule="atLeast"/>
        </w:trPr>
        <w:tc>
          <w:tcPr>
            <w:tcW w:w="3987" w:type="dxa"/>
            <w:tcBorders>
              <w:left w:val="single" w:color="000000" w:sz="4" w:space="0"/>
              <w:bottom w:val="single" w:color="000000" w:sz="4" w:space="0"/>
            </w:tcBorders>
            <w:vAlign w:val="center"/>
          </w:tcPr>
          <w:p w14:paraId="3B46D60A">
            <w:pPr>
              <w:pStyle w:val="22"/>
              <w:widowControl w:val="0"/>
              <w:jc w:val="center"/>
              <w:rPr>
                <w:rFonts w:hint="eastAsia" w:ascii="仿宋" w:hAnsi="仿宋" w:eastAsia="仿宋" w:cs="仿宋"/>
                <w:b/>
                <w:bCs/>
                <w:sz w:val="22"/>
                <w:szCs w:val="22"/>
              </w:rPr>
            </w:pPr>
            <w:r>
              <w:rPr>
                <w:rFonts w:hint="eastAsia" w:ascii="仿宋" w:hAnsi="仿宋" w:eastAsia="仿宋" w:cs="仿宋"/>
                <w:b/>
                <w:bCs/>
                <w:sz w:val="22"/>
                <w:szCs w:val="22"/>
              </w:rPr>
              <w:t/>
            </w:r>
            <w:r>
              <w:rPr>
                <w:rFonts w:ascii="仿宋" w:hAnsi="仿宋" w:cs="仿宋" w:eastAsia="仿宋"/>
                <w:b w:val="true"/>
                <w:sz w:val="22"/>
              </w:rPr>
              <w:t>项</w:t>
            </w:r>
            <w:r>
              <w:rPr>
                <w:rFonts w:hint="eastAsia" w:ascii="仿宋" w:hAnsi="仿宋" w:eastAsia="仿宋" w:cs="仿宋"/>
                <w:b/>
                <w:bCs/>
                <w:sz w:val="22"/>
                <w:szCs w:val="22"/>
              </w:rPr>
              <w:tab/>
            </w:r>
            <w:r>
              <w:rPr>
                <w:rFonts w:hint="eastAsia" w:ascii="仿宋" w:hAnsi="仿宋" w:eastAsia="仿宋" w:cs="仿宋"/>
                <w:b/>
                <w:bCs/>
                <w:sz w:val="22"/>
                <w:szCs w:val="22"/>
              </w:rPr>
              <w:t>目</w:t>
            </w:r>
          </w:p>
        </w:tc>
        <w:tc>
          <w:tcPr>
            <w:tcW w:w="3960" w:type="dxa"/>
            <w:tcBorders>
              <w:left w:val="single" w:color="000000" w:sz="4" w:space="0"/>
              <w:bottom w:val="single" w:color="000000" w:sz="4" w:space="0"/>
            </w:tcBorders>
            <w:vAlign w:val="center"/>
          </w:tcPr>
          <w:p w14:paraId="39117F34">
            <w:pPr>
              <w:pStyle w:val="22"/>
              <w:widowControl w:val="0"/>
              <w:jc w:val="center"/>
              <w:rPr>
                <w:rFonts w:hint="eastAsia" w:ascii="仿宋" w:hAnsi="仿宋" w:eastAsia="仿宋" w:cs="仿宋"/>
                <w:b/>
                <w:bCs/>
                <w:sz w:val="22"/>
                <w:szCs w:val="22"/>
              </w:rPr>
            </w:pPr>
            <w:r>
              <w:rPr>
                <w:rFonts w:hint="eastAsia" w:ascii="仿宋" w:hAnsi="仿宋" w:eastAsia="仿宋" w:cs="仿宋"/>
                <w:b/>
                <w:bCs/>
                <w:sz w:val="22"/>
                <w:szCs w:val="22"/>
                <w:lang w:eastAsia="zh-CN"/>
              </w:rPr>
              <w:t>预算</w:t>
            </w:r>
            <w:r>
              <w:rPr>
                <w:rFonts w:hint="eastAsia" w:ascii="仿宋" w:hAnsi="仿宋" w:eastAsia="仿宋" w:cs="仿宋"/>
                <w:b/>
                <w:bCs/>
                <w:sz w:val="22"/>
                <w:szCs w:val="22"/>
              </w:rPr>
              <w:t>数</w:t>
            </w:r>
          </w:p>
        </w:tc>
        <w:tc>
          <w:tcPr>
            <w:tcW w:w="3943" w:type="dxa"/>
            <w:tcBorders>
              <w:left w:val="single" w:color="000000" w:sz="4" w:space="0"/>
              <w:bottom w:val="single" w:color="000000" w:sz="4" w:space="0"/>
            </w:tcBorders>
            <w:vAlign w:val="center"/>
          </w:tcPr>
          <w:p w14:paraId="360C3CE6">
            <w:pPr>
              <w:widowControl w:val="0"/>
              <w:jc w:val="center"/>
              <w:rPr>
                <w:rFonts w:hint="eastAsia" w:ascii="仿宋" w:hAnsi="仿宋" w:eastAsia="仿宋" w:cs="仿宋"/>
                <w:b/>
                <w:bCs/>
                <w:sz w:val="22"/>
                <w:szCs w:val="22"/>
                <w:lang w:eastAsia="zh-CN"/>
              </w:rPr>
            </w:pPr>
            <w:r>
              <w:rPr>
                <w:rFonts w:hint="eastAsia" w:ascii="仿宋" w:hAnsi="仿宋" w:eastAsia="仿宋" w:cs="仿宋"/>
                <w:b/>
                <w:bCs/>
                <w:sz w:val="22"/>
                <w:szCs w:val="22"/>
                <w:lang w:val="en-US" w:eastAsia="zh-CN"/>
              </w:rPr>
              <w:t>项目</w:t>
            </w:r>
          </w:p>
        </w:tc>
        <w:tc>
          <w:tcPr>
            <w:tcW w:w="3899" w:type="dxa"/>
            <w:tcBorders>
              <w:left w:val="single" w:color="000000" w:sz="4" w:space="0"/>
              <w:bottom w:val="single" w:color="000000" w:sz="4" w:space="0"/>
              <w:right w:val="single" w:color="000000" w:sz="4" w:space="0"/>
            </w:tcBorders>
            <w:vAlign w:val="center"/>
          </w:tcPr>
          <w:p w14:paraId="0A0EBC85">
            <w:pPr>
              <w:widowControl w:val="0"/>
              <w:jc w:val="center"/>
              <w:rPr>
                <w:rFonts w:hint="eastAsia" w:ascii="仿宋" w:hAnsi="仿宋" w:eastAsia="仿宋" w:cs="仿宋"/>
                <w:b/>
                <w:bCs/>
                <w:sz w:val="22"/>
                <w:szCs w:val="22"/>
              </w:rPr>
            </w:pPr>
            <w:r>
              <w:rPr>
                <w:rFonts w:hint="eastAsia" w:ascii="仿宋" w:hAnsi="仿宋" w:eastAsia="仿宋" w:cs="仿宋"/>
                <w:b/>
                <w:bCs/>
                <w:sz w:val="22"/>
                <w:szCs w:val="22"/>
                <w:lang w:eastAsia="zh-CN"/>
              </w:rPr>
              <w:t>预算</w:t>
            </w:r>
            <w:r>
              <w:rPr>
                <w:rFonts w:hint="eastAsia" w:ascii="仿宋" w:hAnsi="仿宋" w:eastAsia="仿宋" w:cs="仿宋"/>
                <w:b/>
                <w:bCs/>
                <w:sz w:val="22"/>
                <w:szCs w:val="22"/>
              </w:rPr>
              <w:t>数</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一、本年收入</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5,100.41</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一、本年支出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5,100.41</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5,100.41</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（一）一般公共服务支出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3,740.63</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（二）政府性基金预算拨款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（二）外交支出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（三）国有资本经营预算拨款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（三）国防支出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二、上年结转</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（四）公共安全支出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（五）教育支出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（二）政府性基金预算拨款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（六）科学技术支出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（三）国有资本经营预算拨款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（七）文化旅游体育与传媒支出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（八）社会保障和就业支出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292.36</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（九）社会保险基金支出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（十）卫生健康支出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78.92</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（十一）节能环保支出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（十二）城乡社区支出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315.67</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（十三）农林水支出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（十四）交通运输支出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（十五）资源勘探工业信息等支出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（十六）商业服务业等支出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（十七）金融支出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（十八）援助其他地区支出 </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（十九）自然资源海洋气象等支出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（二十）住房保障支出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672.83</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（二十一）粮油物资储备支出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（二十二）国有资本经营预算支出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（二十三）灾害防治及应急管理支出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（二十四）预备费</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（二十五）其他支出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（二十六）转移性支出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（二十七）债务还本支出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（二十八）债务付息支出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（二十九）债务发行费用支出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（三十）抗疫特别国债安排的支出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二、年终结转结余</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3F2BB7B5">
        <w:tblPrEx>
          <w:tblCellMar>
            <w:top w:w="55" w:type="dxa"/>
            <w:left w:w="55" w:type="dxa"/>
            <w:bottom w:w="55" w:type="dxa"/>
            <w:right w:w="55" w:type="dxa"/>
          </w:tblCellMar>
        </w:tblPrEx>
        <w:trPr>
          <w:cantSplit/>
          <w:trHeight w:val="296" w:hRule="exact"/>
        </w:trPr>
        <w:tc>
          <w:tcPr>
            <w:tcW w:w="3987" w:type="dxa"/>
            <w:tcBorders>
              <w:left w:val="single" w:color="000000" w:sz="4" w:space="0"/>
              <w:bottom w:val="single" w:color="000000" w:sz="4" w:space="0"/>
            </w:tcBorders>
            <w:vAlign w:val="center"/>
          </w:tcPr>
          <w:p w14:paraId="52476F76">
            <w:pPr>
              <w:pStyle w:val="22"/>
              <w:widowControl w:val="0"/>
              <w:jc w:val="center"/>
              <w:rPr>
                <w:rFonts w:hint="eastAsia" w:ascii="仿宋" w:hAnsi="仿宋" w:eastAsia="仿宋" w:cs="仿宋"/>
                <w:sz w:val="22"/>
                <w:szCs w:val="22"/>
              </w:rPr>
            </w:pPr>
            <w:r>
              <w:rPr>
                <w:rFonts w:hint="eastAsia" w:ascii="仿宋" w:hAnsi="仿宋" w:eastAsia="仿宋" w:cs="仿宋"/>
                <w:b/>
                <w:bCs/>
                <w:sz w:val="22"/>
                <w:szCs w:val="22"/>
                <w:lang w:val="en-US" w:eastAsia="zh-CN"/>
              </w:rPr>
              <w:t>收入</w:t>
            </w:r>
            <w:r>
              <w:rPr>
                <w:rFonts w:hint="eastAsia" w:ascii="仿宋" w:hAnsi="仿宋" w:eastAsia="仿宋" w:cs="仿宋"/>
                <w:b/>
                <w:bCs/>
                <w:sz w:val="22"/>
                <w:szCs w:val="22"/>
              </w:rPr>
              <w:t>总计</w:t>
            </w:r>
          </w:p>
        </w:tc>
        <w:tc>
          <w:tcPr>
            <w:tcW w:w="3960" w:type="dxa"/>
            <w:tcBorders>
              <w:left w:val="single" w:color="000000" w:sz="4" w:space="0"/>
              <w:bottom w:val="single" w:color="000000" w:sz="4" w:space="0"/>
            </w:tcBorders>
            <w:vAlign w:val="center"/>
          </w:tcPr>
          <w:p w14:paraId="50DBCC23">
            <w:pPr>
              <w:widowControl w:val="0"/>
              <w:jc w:val="right"/>
              <w:rPr>
                <w:rFonts w:hint="eastAsia" w:ascii="仿宋" w:hAnsi="仿宋" w:eastAsia="仿宋" w:cs="仿宋"/>
                <w:sz w:val="22"/>
                <w:szCs w:val="22"/>
              </w:rPr>
            </w:pPr>
            <w:r>
              <w:rPr>
                <w:rFonts w:hint="eastAsia" w:ascii="仿宋" w:hAnsi="仿宋" w:eastAsia="仿宋" w:cs="仿宋"/>
                <w:sz w:val="22"/>
                <w:szCs w:val="22"/>
              </w:rPr>
              <w:t>5,100.41</w:t>
            </w:r>
          </w:p>
        </w:tc>
        <w:tc>
          <w:tcPr>
            <w:tcW w:w="3943" w:type="dxa"/>
            <w:tcBorders>
              <w:left w:val="single" w:color="000000" w:sz="4" w:space="0"/>
              <w:bottom w:val="single" w:color="000000" w:sz="4" w:space="0"/>
            </w:tcBorders>
            <w:vAlign w:val="center"/>
          </w:tcPr>
          <w:p w14:paraId="72FA9CBD">
            <w:pPr>
              <w:pStyle w:val="22"/>
              <w:widowControl w:val="0"/>
              <w:jc w:val="center"/>
              <w:rPr>
                <w:rFonts w:hint="eastAsia" w:ascii="仿宋" w:hAnsi="仿宋" w:eastAsia="仿宋" w:cs="仿宋"/>
                <w:sz w:val="22"/>
                <w:szCs w:val="22"/>
              </w:rPr>
            </w:pPr>
            <w:r>
              <w:rPr>
                <w:rFonts w:hint="eastAsia" w:ascii="仿宋" w:hAnsi="仿宋" w:eastAsia="仿宋" w:cs="仿宋"/>
                <w:b/>
                <w:bCs/>
                <w:sz w:val="22"/>
                <w:szCs w:val="22"/>
                <w:lang w:val="en-US" w:eastAsia="zh-CN"/>
              </w:rPr>
              <w:t>支出</w:t>
            </w:r>
            <w:r>
              <w:rPr>
                <w:rFonts w:hint="eastAsia" w:ascii="仿宋" w:hAnsi="仿宋" w:eastAsia="仿宋" w:cs="仿宋"/>
                <w:b/>
                <w:bCs/>
                <w:sz w:val="22"/>
                <w:szCs w:val="22"/>
              </w:rPr>
              <w:t>总计</w:t>
            </w:r>
          </w:p>
        </w:tc>
        <w:tc>
          <w:tcPr>
            <w:tcW w:w="3899" w:type="dxa"/>
            <w:tcBorders>
              <w:left w:val="single" w:color="000000" w:sz="4" w:space="0"/>
              <w:bottom w:val="single" w:color="000000" w:sz="4" w:space="0"/>
              <w:right w:val="single" w:color="000000" w:sz="4" w:space="0"/>
            </w:tcBorders>
            <w:vAlign w:val="center"/>
          </w:tcPr>
          <w:p w14:paraId="0A3CBB07">
            <w:pPr>
              <w:widowControl w:val="0"/>
              <w:jc w:val="right"/>
              <w:rPr>
                <w:rFonts w:hint="eastAsia" w:ascii="仿宋" w:hAnsi="仿宋" w:eastAsia="仿宋" w:cs="仿宋"/>
                <w:sz w:val="22"/>
                <w:szCs w:val="22"/>
              </w:rPr>
            </w:pPr>
            <w:r>
              <w:rPr>
                <w:rFonts w:hint="eastAsia" w:ascii="仿宋" w:hAnsi="仿宋" w:eastAsia="仿宋" w:cs="仿宋"/>
                <w:sz w:val="22"/>
                <w:szCs w:val="22"/>
              </w:rPr>
              <w:t>5,100.41</w:t>
            </w:r>
          </w:p>
        </w:tc>
      </w:tr>
    </w:tbl>
    <w:p w14:paraId="18BF5FBD">
      <w:pPr>
        <w:ind w:left="-220" w:leftChars="-100" w:firstLine="0" w:firstLineChars="0"/>
        <w:rPr>
          <w:rFonts w:hint="eastAsia" w:ascii="仿宋" w:hAnsi="仿宋" w:eastAsia="仿宋" w:cs="仿宋"/>
          <w:b/>
          <w:bCs/>
        </w:rPr>
        <w:sectPr>
          <w:footerReference r:id="rId11"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216" w:type="dxa"/>
        <w:tblInd w:w="175" w:type="dxa"/>
        <w:tblLayout w:type="fixed"/>
        <w:tblCellMar>
          <w:top w:w="55" w:type="dxa"/>
          <w:left w:w="55" w:type="dxa"/>
          <w:bottom w:w="55" w:type="dxa"/>
          <w:right w:w="55" w:type="dxa"/>
        </w:tblCellMar>
      </w:tblPr>
      <w:tblGrid>
        <w:gridCol w:w="1846"/>
        <w:gridCol w:w="4213"/>
        <w:gridCol w:w="2040"/>
        <w:gridCol w:w="1827"/>
        <w:gridCol w:w="1813"/>
        <w:gridCol w:w="1813"/>
        <w:gridCol w:w="1664"/>
      </w:tblGrid>
      <w:tr w14:paraId="781504FE">
        <w:tblPrEx>
          <w:tblCellMar>
            <w:top w:w="55" w:type="dxa"/>
            <w:left w:w="55" w:type="dxa"/>
            <w:bottom w:w="55" w:type="dxa"/>
            <w:right w:w="55" w:type="dxa"/>
          </w:tblCellMar>
        </w:tblPrEx>
        <w:trPr>
          <w:trHeight w:val="321" w:hRule="atLeast"/>
        </w:trPr>
        <w:tc>
          <w:tcPr>
            <w:tcW w:w="15216" w:type="dxa"/>
            <w:gridSpan w:val="7"/>
            <w:vAlign w:val="center"/>
          </w:tcPr>
          <w:p w14:paraId="344B4167">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b/>
                <w:bCs/>
                <w:sz w:val="44"/>
                <w:szCs w:val="44"/>
              </w:rPr>
            </w:pPr>
            <w:r>
              <w:rPr>
                <w:rFonts w:hint="eastAsia" w:ascii="仿宋" w:hAnsi="仿宋" w:eastAsia="仿宋" w:cs="仿宋"/>
              </w:rPr>
              <w:t>公开05表</w:t>
            </w:r>
          </w:p>
        </w:tc>
      </w:tr>
      <w:tr w14:paraId="0DD1905D">
        <w:tblPrEx>
          <w:tblCellMar>
            <w:top w:w="55" w:type="dxa"/>
            <w:left w:w="55" w:type="dxa"/>
            <w:bottom w:w="55" w:type="dxa"/>
            <w:right w:w="55" w:type="dxa"/>
          </w:tblCellMar>
        </w:tblPrEx>
        <w:trPr>
          <w:trHeight w:val="321" w:hRule="atLeast"/>
        </w:trPr>
        <w:tc>
          <w:tcPr>
            <w:tcW w:w="15216" w:type="dxa"/>
            <w:gridSpan w:val="7"/>
          </w:tcPr>
          <w:p w14:paraId="3979B855">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7"/>
              </w:rPr>
            </w:pPr>
            <w:r>
              <w:rPr>
                <w:rFonts w:hint="eastAsia" w:ascii="仿宋" w:hAnsi="仿宋" w:eastAsia="仿宋" w:cs="仿宋"/>
                <w:b/>
                <w:bCs/>
                <w:sz w:val="44"/>
                <w:szCs w:val="44"/>
              </w:rPr>
              <w:t>财政拨款支出表（功能科目）</w:t>
            </w:r>
          </w:p>
        </w:tc>
      </w:tr>
      <w:tr w14:paraId="597F73CC">
        <w:tblPrEx>
          <w:tblCellMar>
            <w:top w:w="55" w:type="dxa"/>
            <w:left w:w="55" w:type="dxa"/>
            <w:bottom w:w="55" w:type="dxa"/>
            <w:right w:w="55" w:type="dxa"/>
          </w:tblCellMar>
        </w:tblPrEx>
        <w:trPr>
          <w:trHeight w:val="309" w:hRule="atLeast"/>
        </w:trPr>
        <w:tc>
          <w:tcPr>
            <w:tcW w:w="13552" w:type="dxa"/>
            <w:gridSpan w:val="6"/>
          </w:tcPr>
          <w:p w14:paraId="4FF30C2D">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7"/>
              </w:rPr>
            </w:pPr>
            <w:r>
              <w:rPr>
                <w:rFonts w:hint="eastAsia" w:ascii="仿宋" w:hAnsi="仿宋" w:eastAsia="仿宋" w:cs="仿宋"/>
                <w:color w:val="000000"/>
                <w:sz w:val="22"/>
                <w:szCs w:val="22"/>
                <w:lang w:eastAsia="zh-CN"/>
              </w:rPr>
              <w:t>部门</w:t>
            </w:r>
            <w:r>
              <w:rPr>
                <w:rFonts w:ascii="仿宋" w:hAnsi="仿宋" w:cs="仿宋" w:eastAsia="仿宋"/>
                <w:color w:val="000000"/>
                <w:sz w:val="22"/>
              </w:rPr>
              <w:t>：</w:t>
            </w:r>
            <w:r>
              <w:rPr>
                <w:rFonts w:hint="eastAsia" w:ascii="仿宋" w:hAnsi="仿宋" w:eastAsia="仿宋" w:cs="仿宋"/>
              </w:rPr>
              <w:t>江阴市商务局</w:t>
            </w:r>
          </w:p>
        </w:tc>
        <w:tc>
          <w:tcPr>
            <w:tcW w:w="1664" w:type="dxa"/>
            <w:vAlign w:val="center"/>
          </w:tcPr>
          <w:p w14:paraId="3A0AD504">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7"/>
              </w:rPr>
            </w:pPr>
            <w:r>
              <w:rPr>
                <w:rFonts w:hint="eastAsia" w:ascii="仿宋" w:hAnsi="仿宋" w:eastAsia="仿宋" w:cs="仿宋"/>
                <w:lang w:eastAsia="zh-CN"/>
              </w:rPr>
              <w:t>单位</w:t>
            </w:r>
            <w:r>
              <w:rPr>
                <w:rFonts w:hint="eastAsia" w:ascii="仿宋" w:hAnsi="仿宋" w:eastAsia="仿宋" w:cs="仿宋"/>
              </w:rPr>
              <w:t>：万元</w:t>
            </w:r>
          </w:p>
        </w:tc>
      </w:tr>
      <w:tr w14:paraId="72EB53EE">
        <w:tblPrEx>
          <w:tblCellMar>
            <w:top w:w="55" w:type="dxa"/>
            <w:left w:w="55" w:type="dxa"/>
            <w:bottom w:w="55" w:type="dxa"/>
            <w:right w:w="55" w:type="dxa"/>
          </w:tblCellMar>
        </w:tblPrEx>
        <w:trPr>
          <w:trHeight w:val="319" w:hRule="atLeast"/>
        </w:trPr>
        <w:tc>
          <w:tcPr>
            <w:tcW w:w="1846" w:type="dxa"/>
            <w:vMerge w:val="restart"/>
            <w:tcBorders>
              <w:top w:val="single" w:color="000000" w:sz="6" w:space="0"/>
              <w:left w:val="single" w:color="000000" w:sz="6" w:space="0"/>
            </w:tcBorders>
            <w:vAlign w:val="center"/>
          </w:tcPr>
          <w:p w14:paraId="6B53EBEE">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科目编码</w:t>
            </w:r>
          </w:p>
        </w:tc>
        <w:tc>
          <w:tcPr>
            <w:tcW w:w="4213" w:type="dxa"/>
            <w:vMerge w:val="restart"/>
            <w:tcBorders>
              <w:top w:val="single" w:color="000000" w:sz="6" w:space="0"/>
              <w:left w:val="single" w:color="000000" w:sz="6" w:space="0"/>
            </w:tcBorders>
            <w:vAlign w:val="center"/>
          </w:tcPr>
          <w:p w14:paraId="596BB34A">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科目名称</w:t>
            </w:r>
          </w:p>
        </w:tc>
        <w:tc>
          <w:tcPr>
            <w:tcW w:w="2040" w:type="dxa"/>
            <w:vMerge w:val="restart"/>
            <w:tcBorders>
              <w:top w:val="single" w:color="000000" w:sz="6" w:space="0"/>
              <w:left w:val="single" w:color="000000" w:sz="6" w:space="0"/>
            </w:tcBorders>
            <w:vAlign w:val="center"/>
          </w:tcPr>
          <w:p w14:paraId="73098521">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合计</w:t>
            </w:r>
          </w:p>
        </w:tc>
        <w:tc>
          <w:tcPr>
            <w:tcW w:w="5453" w:type="dxa"/>
            <w:gridSpan w:val="3"/>
            <w:tcBorders>
              <w:top w:val="single" w:color="000000" w:sz="6" w:space="0"/>
              <w:left w:val="single" w:color="000000" w:sz="6" w:space="0"/>
              <w:bottom w:val="single" w:color="000000" w:sz="6" w:space="0"/>
            </w:tcBorders>
            <w:vAlign w:val="center"/>
          </w:tcPr>
          <w:p w14:paraId="358079C4">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基本支出</w:t>
            </w:r>
          </w:p>
        </w:tc>
        <w:tc>
          <w:tcPr>
            <w:tcW w:w="1664" w:type="dxa"/>
            <w:vMerge w:val="restart"/>
            <w:tcBorders>
              <w:top w:val="single" w:color="000000" w:sz="6" w:space="0"/>
              <w:left w:val="single" w:color="000000" w:sz="6" w:space="0"/>
              <w:right w:val="single" w:color="000000" w:sz="6" w:space="0"/>
            </w:tcBorders>
            <w:vAlign w:val="center"/>
          </w:tcPr>
          <w:p w14:paraId="045615D7">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项目支出</w:t>
            </w:r>
          </w:p>
        </w:tc>
      </w:tr>
      <w:tr w14:paraId="01EF94C3">
        <w:tblPrEx>
          <w:tblCellMar>
            <w:top w:w="55" w:type="dxa"/>
            <w:left w:w="55" w:type="dxa"/>
            <w:bottom w:w="55" w:type="dxa"/>
            <w:right w:w="55" w:type="dxa"/>
          </w:tblCellMar>
        </w:tblPrEx>
        <w:trPr>
          <w:trHeight w:val="296" w:hRule="atLeast"/>
        </w:trPr>
        <w:tc>
          <w:tcPr>
            <w:tcW w:w="1846" w:type="dxa"/>
            <w:vMerge w:val="continue"/>
            <w:tcBorders>
              <w:left w:val="single" w:color="000000" w:sz="6" w:space="0"/>
              <w:bottom w:val="single" w:color="000000" w:sz="6" w:space="0"/>
            </w:tcBorders>
            <w:vAlign w:val="center"/>
          </w:tcPr>
          <w:p w14:paraId="154AA0F0">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p>
        </w:tc>
        <w:tc>
          <w:tcPr>
            <w:tcW w:w="4213" w:type="dxa"/>
            <w:vMerge w:val="continue"/>
            <w:tcBorders>
              <w:left w:val="single" w:color="000000" w:sz="6" w:space="0"/>
              <w:bottom w:val="single" w:color="000000" w:sz="6" w:space="0"/>
            </w:tcBorders>
            <w:vAlign w:val="center"/>
          </w:tcPr>
          <w:p w14:paraId="76900091">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p>
        </w:tc>
        <w:tc>
          <w:tcPr>
            <w:tcW w:w="2040" w:type="dxa"/>
            <w:vMerge w:val="continue"/>
            <w:tcBorders>
              <w:left w:val="single" w:color="000000" w:sz="6" w:space="0"/>
              <w:bottom w:val="single" w:color="000000" w:sz="6" w:space="0"/>
            </w:tcBorders>
          </w:tcPr>
          <w:p w14:paraId="3FA268CC">
            <w:pPr>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p>
        </w:tc>
        <w:tc>
          <w:tcPr>
            <w:tcW w:w="1827" w:type="dxa"/>
            <w:tcBorders>
              <w:left w:val="single" w:color="000000" w:sz="6" w:space="0"/>
              <w:bottom w:val="single" w:color="000000" w:sz="6" w:space="0"/>
            </w:tcBorders>
            <w:vAlign w:val="center"/>
          </w:tcPr>
          <w:p w14:paraId="5B38143E">
            <w:pPr>
              <w:keepNext w:val="0"/>
              <w:keepLines w:val="0"/>
              <w:pageBreakBefore w:val="0"/>
              <w:widowControl/>
              <w:suppressLineNumbers w:val="0"/>
              <w:kinsoku/>
              <w:wordWrap/>
              <w:overflowPunct/>
              <w:topLinePunct w:val="0"/>
              <w:autoSpaceDE/>
              <w:autoSpaceDN/>
              <w:bidi w:val="0"/>
              <w:adjustRightInd/>
              <w:snapToGrid/>
              <w:spacing w:before="0" w:beforeAutospacing="0" w:after="34" w:afterAutospacing="0" w:line="34" w:lineRule="atLeast"/>
              <w:ind w:left="0" w:leftChars="0" w:right="0" w:rightChars="0"/>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小计</w:t>
            </w:r>
          </w:p>
        </w:tc>
        <w:tc>
          <w:tcPr>
            <w:tcW w:w="1813" w:type="dxa"/>
            <w:tcBorders>
              <w:left w:val="single" w:color="000000" w:sz="6" w:space="0"/>
              <w:bottom w:val="single" w:color="000000" w:sz="6" w:space="0"/>
            </w:tcBorders>
            <w:vAlign w:val="center"/>
          </w:tcPr>
          <w:p w14:paraId="4C4F172F">
            <w:pPr>
              <w:keepNext w:val="0"/>
              <w:keepLines w:val="0"/>
              <w:pageBreakBefore w:val="0"/>
              <w:widowControl/>
              <w:suppressLineNumbers w:val="0"/>
              <w:kinsoku/>
              <w:wordWrap/>
              <w:overflowPunct/>
              <w:topLinePunct w:val="0"/>
              <w:autoSpaceDE/>
              <w:autoSpaceDN/>
              <w:bidi w:val="0"/>
              <w:adjustRightInd/>
              <w:snapToGrid/>
              <w:spacing w:before="0" w:beforeAutospacing="0" w:after="34" w:afterAutospacing="0" w:line="34" w:lineRule="atLeast"/>
              <w:ind w:left="0" w:leftChars="0" w:right="0" w:rightChars="0"/>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en-US" w:eastAsia="zh-CN" w:bidi="zh-CN"/>
              </w:rPr>
              <w:t>人员经费</w:t>
            </w:r>
          </w:p>
        </w:tc>
        <w:tc>
          <w:tcPr>
            <w:tcW w:w="1813" w:type="dxa"/>
            <w:tcBorders>
              <w:left w:val="single" w:color="000000" w:sz="6" w:space="0"/>
              <w:bottom w:val="single" w:color="000000" w:sz="6" w:space="0"/>
            </w:tcBorders>
            <w:vAlign w:val="center"/>
          </w:tcPr>
          <w:p w14:paraId="4F619415">
            <w:pPr>
              <w:keepNext w:val="0"/>
              <w:keepLines w:val="0"/>
              <w:pageBreakBefore w:val="0"/>
              <w:widowControl/>
              <w:suppressLineNumbers w:val="0"/>
              <w:kinsoku/>
              <w:wordWrap/>
              <w:overflowPunct/>
              <w:topLinePunct w:val="0"/>
              <w:autoSpaceDE/>
              <w:autoSpaceDN/>
              <w:bidi w:val="0"/>
              <w:adjustRightInd/>
              <w:snapToGrid/>
              <w:spacing w:before="0" w:beforeAutospacing="0" w:after="34" w:afterAutospacing="0" w:line="34" w:lineRule="atLeast"/>
              <w:ind w:left="0" w:leftChars="0" w:right="0" w:rightChars="0"/>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en-US" w:eastAsia="zh-CN" w:bidi="zh-CN"/>
              </w:rPr>
              <w:t>公用经费</w:t>
            </w:r>
          </w:p>
        </w:tc>
        <w:tc>
          <w:tcPr>
            <w:tcW w:w="1664" w:type="dxa"/>
            <w:vMerge w:val="continue"/>
            <w:tcBorders>
              <w:left w:val="single" w:color="000000" w:sz="6" w:space="0"/>
              <w:bottom w:val="single" w:color="000000" w:sz="6" w:space="0"/>
              <w:right w:val="single" w:color="000000" w:sz="6" w:space="0"/>
            </w:tcBorders>
          </w:tcPr>
          <w:p w14:paraId="39AA244C">
            <w:pPr>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p>
        </w:tc>
      </w:tr>
      <w:tr w14:paraId="40F8EE40">
        <w:tblPrEx>
          <w:tblCellMar>
            <w:top w:w="55" w:type="dxa"/>
            <w:left w:w="55" w:type="dxa"/>
            <w:bottom w:w="55" w:type="dxa"/>
            <w:right w:w="55" w:type="dxa"/>
          </w:tblCellMar>
        </w:tblPrEx>
        <w:trPr>
          <w:trHeight w:val="350" w:hRule="exact"/>
        </w:trPr>
        <w:tc>
          <w:tcPr>
            <w:tcW w:w="6059" w:type="dxa"/>
            <w:gridSpan w:val="2"/>
            <w:tcBorders>
              <w:left w:val="single" w:color="000000" w:sz="6" w:space="0"/>
              <w:bottom w:val="single" w:color="000000" w:sz="6" w:space="0"/>
            </w:tcBorders>
            <w:vAlign w:val="center"/>
          </w:tcPr>
          <w:p w14:paraId="702733D5">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
            </w:r>
            <w:r>
              <w:rPr>
                <w:rFonts w:hint="eastAsia" w:ascii="仿宋" w:hAnsi="仿宋" w:eastAsia="仿宋" w:cs="仿宋"/>
                <w:sz w:val="22"/>
                <w:szCs w:val="22"/>
              </w:rPr>
              <w:t>合计</w:t>
            </w:r>
          </w:p>
        </w:tc>
        <w:tc>
          <w:tcPr>
            <w:tcW w:w="2040" w:type="dxa"/>
            <w:tcBorders>
              <w:left w:val="single" w:color="000000" w:sz="6" w:space="0"/>
              <w:bottom w:val="single" w:color="000000" w:sz="6" w:space="0"/>
            </w:tcBorders>
          </w:tcPr>
          <w:p w14:paraId="04A5033E">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5,100.41</w:t>
            </w:r>
          </w:p>
        </w:tc>
        <w:tc>
          <w:tcPr>
            <w:tcW w:w="1827" w:type="dxa"/>
            <w:tcBorders>
              <w:left w:val="single" w:color="000000" w:sz="6" w:space="0"/>
              <w:bottom w:val="single" w:color="000000" w:sz="6" w:space="0"/>
            </w:tcBorders>
          </w:tcPr>
          <w:p w14:paraId="72125376">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2,744.36</w:t>
            </w:r>
          </w:p>
        </w:tc>
        <w:tc>
          <w:tcPr>
            <w:tcW w:w="1813" w:type="dxa"/>
            <w:tcBorders>
              <w:left w:val="single" w:color="000000" w:sz="6" w:space="0"/>
              <w:bottom w:val="single" w:color="000000" w:sz="6" w:space="0"/>
            </w:tcBorders>
          </w:tcPr>
          <w:p w14:paraId="21468739">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2,642.92</w:t>
            </w:r>
          </w:p>
        </w:tc>
        <w:tc>
          <w:tcPr>
            <w:tcW w:w="1813" w:type="dxa"/>
            <w:tcBorders>
              <w:left w:val="single" w:color="000000" w:sz="6" w:space="0"/>
              <w:bottom w:val="single" w:color="000000" w:sz="6" w:space="0"/>
            </w:tcBorders>
          </w:tcPr>
          <w:p w14:paraId="3253527E">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101.44</w:t>
            </w:r>
          </w:p>
        </w:tc>
        <w:tc>
          <w:tcPr>
            <w:tcW w:w="1664" w:type="dxa"/>
            <w:tcBorders>
              <w:left w:val="single" w:color="000000" w:sz="6" w:space="0"/>
              <w:bottom w:val="single" w:color="000000" w:sz="6" w:space="0"/>
              <w:right w:val="single" w:color="000000" w:sz="6" w:space="0"/>
            </w:tcBorders>
          </w:tcPr>
          <w:p w14:paraId="1DC734D5">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2,356.05</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201</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一般公共服务支出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3,740.63</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1,700.25</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1,598.81</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101.44</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2,040.38</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20113</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商贸事务</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3,740.63</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1,700.25</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1,598.81</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101.44</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2,040.38</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2011301</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行政运行</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850.83</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850.83</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794.29</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56.54</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2011350</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事业运行</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849.42</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849.42</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804.52</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44.90</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2011399</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其他商贸事务支出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2,040.38</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2,040.38</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208</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社会保障和就业支出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292.36</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292.36</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292.36</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20805</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行政事业单位养老支出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281.86</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281.86</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281.86</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2080505</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机关事业单位基本养老保险缴费支出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187.90</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187.90</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187.90</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2080506</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机关事业单位职业年金缴费支出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93.96</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93.96</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93.96</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20899</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其他社会保障和就业支出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10.50</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10.50</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10.50</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2089999</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其他社会保障和就业支出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10.50</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10.50</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10.50</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210</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卫生健康支出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78.92</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78.92</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78.92</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21011</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行政事业单位医疗</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78.92</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78.92</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78.92</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2101101</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行政单位医疗</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38.09</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38.09</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38.09</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2101102</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事业单位医疗</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40.83</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40.83</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40.83</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212</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城乡社区支出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315.67</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315.67</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21299</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其他城乡社区支出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315.67</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315.67</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2129999</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其他城乡社区支出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315.67</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315.67</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221</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住房保障支出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672.83</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672.83</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672.83</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22102</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住房改革支出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672.83</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672.83</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672.83</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2210201</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住房公积金</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144.41</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144.41</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144.41</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2210202</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提租补贴</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333.32</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333.32</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333.32</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2210203</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购房补贴</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195.10</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195.10</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195.10</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r>
    </w:tbl>
    <w:p w14:paraId="6144A040">
      <w:pPr>
        <w:widowControl w:val="0"/>
        <w:numPr>
          <w:ilvl w:val="0"/>
          <w:numId w:val="0"/>
        </w:numPr>
        <w:tabs>
          <w:tab w:val="left" w:pos="55"/>
        </w:tabs>
        <w:suppressAutoHyphens/>
        <w:bidi w:val="0"/>
        <w:spacing w:before="0" w:after="0"/>
        <w:ind w:right="0" w:rightChars="0"/>
        <w:jc w:val="both"/>
        <w:rPr>
          <w:rFonts w:hint="eastAsia" w:ascii="仿宋" w:hAnsi="仿宋" w:eastAsia="仿宋" w:cs="仿宋"/>
          <w:b/>
          <w:bCs/>
        </w:rPr>
        <w:sectPr>
          <w:footerReference r:id="rId12"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p w14:paraId="0A669AC6">
      <w:pPr>
        <w:rPr>
          <w:rFonts w:hint="eastAsia" w:ascii="仿宋" w:hAnsi="仿宋" w:eastAsia="仿宋" w:cs="仿宋"/>
          <w:sz w:val="20"/>
        </w:rPr>
      </w:pPr>
    </w:p>
    <w:tbl>
      <w:tblPr>
        <w:tblStyle w:val="12"/>
        <w:tblW w:w="10817" w:type="dxa"/>
        <w:tblInd w:w="-103" w:type="dxa"/>
        <w:tblLayout w:type="fixed"/>
        <w:tblCellMar>
          <w:top w:w="55" w:type="dxa"/>
          <w:left w:w="55" w:type="dxa"/>
          <w:bottom w:w="55" w:type="dxa"/>
          <w:right w:w="55" w:type="dxa"/>
        </w:tblCellMar>
      </w:tblPr>
      <w:tblGrid>
        <w:gridCol w:w="1131"/>
        <w:gridCol w:w="3542"/>
        <w:gridCol w:w="2047"/>
        <w:gridCol w:w="2040"/>
        <w:gridCol w:w="2057"/>
      </w:tblGrid>
      <w:tr w14:paraId="6C9496A1">
        <w:tblPrEx>
          <w:tblCellMar>
            <w:top w:w="55" w:type="dxa"/>
            <w:left w:w="55" w:type="dxa"/>
            <w:bottom w:w="55" w:type="dxa"/>
            <w:right w:w="55" w:type="dxa"/>
          </w:tblCellMar>
        </w:tblPrEx>
        <w:trPr>
          <w:trHeight w:val="319" w:hRule="atLeast"/>
        </w:trPr>
        <w:tc>
          <w:tcPr>
            <w:tcW w:w="10817" w:type="dxa"/>
            <w:gridSpan w:val="5"/>
            <w:vAlign w:val="center"/>
          </w:tcPr>
          <w:p w14:paraId="5B4201F6">
            <w:pPr>
              <w:pStyle w:val="22"/>
              <w:widowControl w:val="0"/>
              <w:jc w:val="left"/>
              <w:rPr>
                <w:rFonts w:hint="eastAsia" w:ascii="仿宋" w:hAnsi="仿宋" w:eastAsia="仿宋" w:cs="仿宋"/>
                <w:b/>
                <w:bCs/>
                <w:sz w:val="44"/>
                <w:szCs w:val="44"/>
              </w:rPr>
            </w:pPr>
            <w:r>
              <w:rPr>
                <w:rFonts w:hint="eastAsia" w:ascii="仿宋" w:hAnsi="仿宋" w:eastAsia="仿宋" w:cs="仿宋"/>
              </w:rPr>
              <w:t>公开06表</w:t>
            </w:r>
          </w:p>
        </w:tc>
      </w:tr>
      <w:tr w14:paraId="16CF153D">
        <w:tblPrEx>
          <w:tblCellMar>
            <w:top w:w="55" w:type="dxa"/>
            <w:left w:w="55" w:type="dxa"/>
            <w:bottom w:w="55" w:type="dxa"/>
            <w:right w:w="55" w:type="dxa"/>
          </w:tblCellMar>
        </w:tblPrEx>
        <w:trPr>
          <w:trHeight w:val="319" w:hRule="atLeast"/>
        </w:trPr>
        <w:tc>
          <w:tcPr>
            <w:tcW w:w="10817" w:type="dxa"/>
            <w:gridSpan w:val="5"/>
          </w:tcPr>
          <w:p w14:paraId="2DF9A6DA">
            <w:pPr>
              <w:pStyle w:val="22"/>
              <w:widowControl w:val="0"/>
              <w:jc w:val="center"/>
              <w:rPr>
                <w:rFonts w:hint="eastAsia" w:ascii="仿宋" w:hAnsi="仿宋" w:eastAsia="仿宋" w:cs="仿宋"/>
                <w:sz w:val="20"/>
              </w:rPr>
            </w:pPr>
            <w:r>
              <w:rPr>
                <w:rFonts w:hint="eastAsia" w:ascii="仿宋" w:hAnsi="仿宋" w:eastAsia="仿宋" w:cs="仿宋"/>
                <w:b/>
                <w:bCs/>
                <w:sz w:val="44"/>
                <w:szCs w:val="44"/>
              </w:rPr>
              <w:t>财政拨款基本支出表（经济科目）</w:t>
            </w:r>
          </w:p>
        </w:tc>
      </w:tr>
      <w:tr w14:paraId="61428C1F">
        <w:tblPrEx>
          <w:tblCellMar>
            <w:top w:w="55" w:type="dxa"/>
            <w:left w:w="55" w:type="dxa"/>
            <w:bottom w:w="55" w:type="dxa"/>
            <w:right w:w="55" w:type="dxa"/>
          </w:tblCellMar>
        </w:tblPrEx>
        <w:trPr>
          <w:trHeight w:val="319" w:hRule="atLeast"/>
        </w:trPr>
        <w:tc>
          <w:tcPr>
            <w:tcW w:w="8760" w:type="dxa"/>
            <w:gridSpan w:val="4"/>
          </w:tcPr>
          <w:p w14:paraId="5F7506DC">
            <w:pPr>
              <w:pStyle w:val="22"/>
              <w:widowControl w:val="0"/>
              <w:rPr>
                <w:rFonts w:hint="eastAsia" w:ascii="仿宋" w:hAnsi="仿宋" w:eastAsia="仿宋" w:cs="仿宋"/>
                <w:sz w:val="22"/>
                <w:szCs w:val="22"/>
              </w:rPr>
            </w:pPr>
            <w:r>
              <w:rPr>
                <w:rFonts w:hint="eastAsia" w:ascii="仿宋" w:hAnsi="仿宋" w:eastAsia="仿宋" w:cs="仿宋"/>
                <w:color w:val="000000"/>
                <w:sz w:val="22"/>
                <w:szCs w:val="22"/>
                <w:lang w:eastAsia="zh-CN"/>
              </w:rPr>
              <w:t>部门</w:t>
            </w:r>
            <w:r>
              <w:rPr>
                <w:rFonts w:ascii="仿宋" w:hAnsi="仿宋" w:cs="仿宋" w:eastAsia="仿宋"/>
                <w:color w:val="000000"/>
                <w:sz w:val="22"/>
              </w:rPr>
              <w:t>：</w:t>
            </w:r>
            <w:r>
              <w:rPr>
                <w:rFonts w:hint="eastAsia" w:ascii="仿宋" w:hAnsi="仿宋" w:eastAsia="仿宋" w:cs="仿宋"/>
                <w:sz w:val="22"/>
                <w:szCs w:val="22"/>
              </w:rPr>
              <w:t>江阴市商务局</w:t>
            </w:r>
          </w:p>
        </w:tc>
        <w:tc>
          <w:tcPr>
            <w:tcW w:w="2057" w:type="dxa"/>
            <w:vAlign w:val="center"/>
          </w:tcPr>
          <w:p w14:paraId="6C4E20D2">
            <w:pPr>
              <w:pStyle w:val="22"/>
              <w:widowControl w:val="0"/>
              <w:jc w:val="right"/>
              <w:rPr>
                <w:rFonts w:hint="eastAsia" w:ascii="仿宋" w:hAnsi="仿宋" w:eastAsia="仿宋" w:cs="仿宋"/>
                <w:sz w:val="20"/>
              </w:rPr>
            </w:pPr>
            <w:r>
              <w:rPr>
                <w:rFonts w:hint="eastAsia" w:ascii="仿宋" w:hAnsi="仿宋" w:eastAsia="仿宋" w:cs="仿宋"/>
                <w:lang w:eastAsia="zh-CN"/>
              </w:rPr>
              <w:t>单位</w:t>
            </w:r>
            <w:r>
              <w:rPr>
                <w:rFonts w:hint="eastAsia" w:ascii="仿宋" w:hAnsi="仿宋" w:eastAsia="仿宋" w:cs="仿宋"/>
              </w:rPr>
              <w:t>：万元</w:t>
            </w:r>
          </w:p>
        </w:tc>
      </w:tr>
      <w:tr w14:paraId="22FFB9C6">
        <w:tblPrEx>
          <w:tblCellMar>
            <w:top w:w="55" w:type="dxa"/>
            <w:left w:w="55" w:type="dxa"/>
            <w:bottom w:w="55" w:type="dxa"/>
            <w:right w:w="55" w:type="dxa"/>
          </w:tblCellMar>
        </w:tblPrEx>
        <w:trPr>
          <w:trHeight w:val="243" w:hRule="atLeast"/>
        </w:trPr>
        <w:tc>
          <w:tcPr>
            <w:tcW w:w="4673" w:type="dxa"/>
            <w:gridSpan w:val="2"/>
            <w:tcBorders>
              <w:top w:val="single" w:color="000000" w:sz="4" w:space="0"/>
              <w:left w:val="single" w:color="000000" w:sz="4" w:space="0"/>
              <w:bottom w:val="single" w:color="000000" w:sz="4" w:space="0"/>
            </w:tcBorders>
            <w:vAlign w:val="center"/>
          </w:tcPr>
          <w:p w14:paraId="02A4A69D">
            <w:pPr>
              <w:pStyle w:val="22"/>
              <w:widowControl w:val="0"/>
              <w:jc w:val="center"/>
              <w:rPr>
                <w:rFonts w:hint="eastAsia" w:ascii="仿宋" w:hAnsi="仿宋" w:eastAsia="仿宋" w:cs="仿宋"/>
              </w:rPr>
            </w:pPr>
            <w:r>
              <w:rPr>
                <w:rFonts w:hint="eastAsia" w:ascii="仿宋" w:hAnsi="仿宋" w:eastAsia="仿宋" w:cs="仿宋"/>
              </w:rPr>
              <w:t>部门预算支出经济分类科目</w:t>
            </w:r>
          </w:p>
        </w:tc>
        <w:tc>
          <w:tcPr>
            <w:tcW w:w="6144" w:type="dxa"/>
            <w:gridSpan w:val="3"/>
            <w:tcBorders>
              <w:top w:val="single" w:color="000000" w:sz="4" w:space="0"/>
              <w:left w:val="single" w:color="000000" w:sz="4" w:space="0"/>
              <w:bottom w:val="single" w:color="000000" w:sz="4" w:space="0"/>
              <w:right w:val="single" w:color="000000" w:sz="4" w:space="0"/>
            </w:tcBorders>
            <w:vAlign w:val="center"/>
          </w:tcPr>
          <w:p w14:paraId="3A654AB3">
            <w:pPr>
              <w:pStyle w:val="22"/>
              <w:widowControl w:val="0"/>
              <w:jc w:val="center"/>
              <w:rPr>
                <w:rFonts w:hint="eastAsia" w:ascii="仿宋" w:hAnsi="仿宋" w:eastAsia="仿宋" w:cs="仿宋"/>
                <w:sz w:val="20"/>
              </w:rPr>
            </w:pPr>
            <w:r>
              <w:rPr>
                <w:rFonts w:hint="eastAsia" w:ascii="仿宋" w:hAnsi="仿宋" w:eastAsia="仿宋" w:cs="仿宋"/>
              </w:rPr>
              <w:t>本年财政拨款基本支出</w:t>
            </w:r>
          </w:p>
        </w:tc>
      </w:tr>
      <w:tr w14:paraId="3135FA81">
        <w:tblPrEx>
          <w:tblCellMar>
            <w:top w:w="55" w:type="dxa"/>
            <w:left w:w="55" w:type="dxa"/>
            <w:bottom w:w="55" w:type="dxa"/>
            <w:right w:w="55" w:type="dxa"/>
          </w:tblCellMar>
        </w:tblPrEx>
        <w:trPr>
          <w:trHeight w:val="267" w:hRule="atLeast"/>
        </w:trPr>
        <w:tc>
          <w:tcPr>
            <w:tcW w:w="1131" w:type="dxa"/>
            <w:tcBorders>
              <w:left w:val="single" w:color="000000" w:sz="4" w:space="0"/>
              <w:bottom w:val="single" w:color="000000" w:sz="4" w:space="0"/>
            </w:tcBorders>
            <w:vAlign w:val="center"/>
          </w:tcPr>
          <w:p w14:paraId="20B4517E">
            <w:pPr>
              <w:pStyle w:val="22"/>
              <w:widowControl w:val="0"/>
              <w:jc w:val="center"/>
              <w:rPr>
                <w:rFonts w:hint="eastAsia" w:ascii="仿宋" w:hAnsi="仿宋" w:eastAsia="仿宋" w:cs="仿宋"/>
              </w:rPr>
            </w:pPr>
            <w:r>
              <w:rPr>
                <w:rFonts w:hint="eastAsia" w:ascii="仿宋" w:hAnsi="仿宋" w:eastAsia="仿宋" w:cs="仿宋"/>
              </w:rPr>
              <w:t>科目编码</w:t>
            </w:r>
          </w:p>
        </w:tc>
        <w:tc>
          <w:tcPr>
            <w:tcW w:w="3542" w:type="dxa"/>
            <w:tcBorders>
              <w:left w:val="single" w:color="000000" w:sz="4" w:space="0"/>
              <w:bottom w:val="single" w:color="000000" w:sz="4" w:space="0"/>
            </w:tcBorders>
            <w:vAlign w:val="center"/>
          </w:tcPr>
          <w:p w14:paraId="0810D023">
            <w:pPr>
              <w:pStyle w:val="22"/>
              <w:widowControl w:val="0"/>
              <w:jc w:val="center"/>
              <w:rPr>
                <w:rFonts w:hint="eastAsia" w:ascii="仿宋" w:hAnsi="仿宋" w:eastAsia="仿宋" w:cs="仿宋"/>
              </w:rPr>
            </w:pPr>
            <w:r>
              <w:rPr>
                <w:rFonts w:hint="eastAsia" w:ascii="仿宋" w:hAnsi="仿宋" w:eastAsia="仿宋" w:cs="仿宋"/>
              </w:rPr>
              <w:t>科目名称</w:t>
            </w:r>
          </w:p>
        </w:tc>
        <w:tc>
          <w:tcPr>
            <w:tcW w:w="2047" w:type="dxa"/>
            <w:tcBorders>
              <w:left w:val="single" w:color="000000" w:sz="4" w:space="0"/>
              <w:bottom w:val="single" w:color="000000" w:sz="4" w:space="0"/>
            </w:tcBorders>
            <w:vAlign w:val="center"/>
          </w:tcPr>
          <w:p w14:paraId="7B983408">
            <w:pPr>
              <w:pStyle w:val="22"/>
              <w:widowControl w:val="0"/>
              <w:jc w:val="center"/>
              <w:rPr>
                <w:rFonts w:hint="eastAsia" w:ascii="仿宋" w:hAnsi="仿宋" w:eastAsia="仿宋" w:cs="仿宋"/>
              </w:rPr>
            </w:pPr>
            <w:r>
              <w:rPr>
                <w:rFonts w:hint="eastAsia" w:ascii="仿宋" w:hAnsi="仿宋" w:eastAsia="仿宋" w:cs="仿宋"/>
              </w:rPr>
              <w:t>合计</w:t>
            </w:r>
          </w:p>
        </w:tc>
        <w:tc>
          <w:tcPr>
            <w:tcW w:w="2040" w:type="dxa"/>
            <w:tcBorders>
              <w:left w:val="single" w:color="000000" w:sz="4" w:space="0"/>
              <w:bottom w:val="single" w:color="000000" w:sz="4" w:space="0"/>
            </w:tcBorders>
            <w:vAlign w:val="center"/>
          </w:tcPr>
          <w:p w14:paraId="15CA38C0">
            <w:pPr>
              <w:pStyle w:val="22"/>
              <w:widowControl w:val="0"/>
              <w:jc w:val="center"/>
              <w:rPr>
                <w:rFonts w:hint="eastAsia" w:ascii="仿宋" w:hAnsi="仿宋" w:eastAsia="仿宋" w:cs="仿宋"/>
              </w:rPr>
            </w:pPr>
            <w:r>
              <w:rPr>
                <w:rFonts w:hint="eastAsia" w:ascii="仿宋" w:hAnsi="仿宋" w:eastAsia="仿宋" w:cs="仿宋"/>
              </w:rPr>
              <w:t>人员经费</w:t>
            </w:r>
          </w:p>
        </w:tc>
        <w:tc>
          <w:tcPr>
            <w:tcW w:w="2057" w:type="dxa"/>
            <w:tcBorders>
              <w:left w:val="single" w:color="000000" w:sz="4" w:space="0"/>
              <w:bottom w:val="single" w:color="000000" w:sz="4" w:space="0"/>
              <w:right w:val="single" w:color="000000" w:sz="4" w:space="0"/>
            </w:tcBorders>
            <w:vAlign w:val="center"/>
          </w:tcPr>
          <w:p w14:paraId="1888E2CD">
            <w:pPr>
              <w:pStyle w:val="22"/>
              <w:widowControl w:val="0"/>
              <w:jc w:val="center"/>
              <w:rPr>
                <w:rFonts w:hint="eastAsia" w:ascii="仿宋" w:hAnsi="仿宋" w:eastAsia="仿宋" w:cs="仿宋"/>
              </w:rPr>
            </w:pPr>
            <w:r>
              <w:rPr>
                <w:rFonts w:hint="eastAsia" w:ascii="仿宋" w:hAnsi="仿宋" w:eastAsia="仿宋" w:cs="仿宋"/>
              </w:rPr>
              <w:t>公用经费</w:t>
            </w:r>
          </w:p>
        </w:tc>
      </w:tr>
      <w:tr w14:paraId="39E08D31">
        <w:tblPrEx>
          <w:tblCellMar>
            <w:top w:w="55" w:type="dxa"/>
            <w:left w:w="55" w:type="dxa"/>
            <w:bottom w:w="55" w:type="dxa"/>
            <w:right w:w="55" w:type="dxa"/>
          </w:tblCellMar>
        </w:tblPrEx>
        <w:trPr>
          <w:trHeight w:val="350" w:hRule="exact"/>
        </w:trPr>
        <w:tc>
          <w:tcPr>
            <w:tcW w:w="4673" w:type="dxa"/>
            <w:gridSpan w:val="2"/>
            <w:tcBorders>
              <w:left w:val="single" w:color="000000" w:sz="4" w:space="0"/>
              <w:bottom w:val="single" w:color="000000" w:sz="4" w:space="0"/>
            </w:tcBorders>
            <w:vAlign w:val="center"/>
          </w:tcPr>
          <w:p w14:paraId="2046E541">
            <w:pPr>
              <w:pStyle w:val="22"/>
              <w:widowControl w:val="0"/>
              <w:jc w:val="center"/>
              <w:rPr>
                <w:rFonts w:hint="eastAsia" w:ascii="仿宋" w:hAnsi="仿宋" w:eastAsia="仿宋" w:cs="仿宋"/>
              </w:rPr>
            </w:pPr>
            <w:r>
              <w:rPr>
                <w:rFonts w:hint="eastAsia" w:ascii="仿宋" w:hAnsi="仿宋" w:eastAsia="仿宋" w:cs="仿宋"/>
              </w:rPr>
              <w:t/>
            </w:r>
            <w:r>
              <w:rPr>
                <w:rFonts w:ascii="仿宋" w:hAnsi="仿宋" w:cs="仿宋" w:eastAsia="仿宋"/>
              </w:rPr>
              <w:t>合计</w:t>
            </w:r>
          </w:p>
        </w:tc>
        <w:tc>
          <w:tcPr>
            <w:tcW w:w="2047" w:type="dxa"/>
            <w:tcBorders>
              <w:left w:val="single" w:color="000000" w:sz="4" w:space="0"/>
              <w:bottom w:val="single" w:color="000000" w:sz="4" w:space="0"/>
            </w:tcBorders>
            <w:vAlign w:val="center"/>
          </w:tcPr>
          <w:p w14:paraId="0DAA66E4">
            <w:pPr>
              <w:pStyle w:val="22"/>
              <w:widowControl w:val="0"/>
              <w:jc w:val="right"/>
              <w:rPr>
                <w:rFonts w:hint="eastAsia" w:ascii="仿宋" w:hAnsi="仿宋" w:eastAsia="仿宋" w:cs="仿宋"/>
              </w:rPr>
            </w:pPr>
            <w:r>
              <w:rPr>
                <w:rFonts w:hint="eastAsia" w:ascii="仿宋" w:hAnsi="仿宋" w:eastAsia="仿宋" w:cs="仿宋"/>
              </w:rPr>
              <w:t>2,744.36</w:t>
            </w:r>
          </w:p>
        </w:tc>
        <w:tc>
          <w:tcPr>
            <w:tcW w:w="2040" w:type="dxa"/>
            <w:tcBorders>
              <w:left w:val="single" w:color="000000" w:sz="4" w:space="0"/>
              <w:bottom w:val="single" w:color="000000" w:sz="4" w:space="0"/>
            </w:tcBorders>
            <w:vAlign w:val="center"/>
          </w:tcPr>
          <w:p w14:paraId="544608F4">
            <w:pPr>
              <w:pStyle w:val="22"/>
              <w:widowControl w:val="0"/>
              <w:jc w:val="right"/>
              <w:rPr>
                <w:rFonts w:hint="eastAsia" w:ascii="仿宋" w:hAnsi="仿宋" w:eastAsia="仿宋" w:cs="仿宋"/>
              </w:rPr>
            </w:pPr>
            <w:r>
              <w:rPr>
                <w:rFonts w:hint="eastAsia" w:ascii="仿宋" w:hAnsi="仿宋" w:eastAsia="仿宋" w:cs="仿宋"/>
              </w:rPr>
              <w:t>2,642.92</w:t>
            </w:r>
          </w:p>
        </w:tc>
        <w:tc>
          <w:tcPr>
            <w:tcW w:w="2057" w:type="dxa"/>
            <w:tcBorders>
              <w:left w:val="single" w:color="000000" w:sz="4" w:space="0"/>
              <w:bottom w:val="single" w:color="000000" w:sz="4" w:space="0"/>
              <w:right w:val="single" w:color="000000" w:sz="4" w:space="0"/>
            </w:tcBorders>
            <w:vAlign w:val="center"/>
          </w:tcPr>
          <w:p w14:paraId="4F5B871A">
            <w:pPr>
              <w:pStyle w:val="22"/>
              <w:widowControl w:val="0"/>
              <w:jc w:val="right"/>
              <w:rPr>
                <w:rFonts w:hint="eastAsia" w:ascii="仿宋" w:hAnsi="仿宋" w:eastAsia="仿宋" w:cs="仿宋"/>
              </w:rPr>
            </w:pPr>
            <w:r>
              <w:rPr>
                <w:rFonts w:hint="eastAsia" w:ascii="仿宋" w:hAnsi="仿宋" w:eastAsia="仿宋" w:cs="仿宋"/>
              </w:rPr>
              <w:t>101.44</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301</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2,397.96</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2,397.96</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30101</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基本工资</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287.62</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287.62</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30102</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津贴补贴</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642.08</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642.08</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30103</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奖金</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637.06</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637.06</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30106</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伙食补助费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26.94</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26.94</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30107</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绩效工资</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274.03</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274.03</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30108</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机关事业单位基本养老保险缴费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187.90</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187.90</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30109</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职业年金缴费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93.96</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93.96</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30110</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职工基本医疗保险缴费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78.92</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78.92</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30112</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其他社会保障缴费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10.50</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10.50</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30113</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住房公积金</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144.41</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144.41</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30114</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医疗费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8.04</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8.04</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30199</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其他工资福利支出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6.50</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6.50</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302</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100.38</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100.38</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30201</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办公费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27.14</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27.14</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30202</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印刷费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4.50</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4.50</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30211</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差旅费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11.00</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11.00</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30215</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会议费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4.86</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4.86</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30216</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培训费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4.15</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4.15</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30217</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公务接待费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4.29</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4.29</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30228</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工会经费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14.74</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14.74</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30231</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公务用车运行维护费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2.50</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2.50</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30239</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其他交通费用</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9.80</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9.80</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30299</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其他商品和服务支出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17.40</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17.40</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303</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244.96</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244.96</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30302</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退休费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242.11</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242.11</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30305</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生活补助</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0.75</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0.75</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30399</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其他对个人和家庭的补助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2.10</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2.10</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310</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资本性支出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1.06</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1.06</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31099</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其他资本性支出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1.06</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1.06</w:t>
            </w:r>
          </w:p>
        </w:tc>
      </w:tr>
    </w:tbl>
    <w:p w14:paraId="69219CD5">
      <w:pPr>
        <w:widowControl w:val="0"/>
        <w:numPr>
          <w:ilvl w:val="0"/>
          <w:numId w:val="0"/>
        </w:numPr>
        <w:suppressAutoHyphens/>
        <w:bidi w:val="0"/>
        <w:spacing w:before="0" w:after="0" w:line="255" w:lineRule="exact"/>
        <w:jc w:val="left"/>
        <w:rPr>
          <w:rFonts w:hint="eastAsia" w:ascii="仿宋" w:hAnsi="仿宋" w:eastAsia="仿宋" w:cs="仿宋"/>
          <w:b/>
          <w:bCs/>
          <w:sz w:val="22"/>
          <w:szCs w:val="22"/>
        </w:rPr>
        <w:sectPr>
          <w:footerReference r:id="rId13" w:type="default"/>
          <w:pgSz w:w="11906" w:h="16838"/>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216" w:type="dxa"/>
        <w:tblInd w:w="175" w:type="dxa"/>
        <w:tblLayout w:type="fixed"/>
        <w:tblCellMar>
          <w:top w:w="55" w:type="dxa"/>
          <w:left w:w="55" w:type="dxa"/>
          <w:bottom w:w="55" w:type="dxa"/>
          <w:right w:w="55" w:type="dxa"/>
        </w:tblCellMar>
      </w:tblPr>
      <w:tblGrid>
        <w:gridCol w:w="1792"/>
        <w:gridCol w:w="4307"/>
        <w:gridCol w:w="1960"/>
        <w:gridCol w:w="1693"/>
        <w:gridCol w:w="1987"/>
        <w:gridCol w:w="1827"/>
        <w:gridCol w:w="1650"/>
      </w:tblGrid>
      <w:tr w14:paraId="494EE97C">
        <w:tblPrEx>
          <w:tblCellMar>
            <w:top w:w="55" w:type="dxa"/>
            <w:left w:w="55" w:type="dxa"/>
            <w:bottom w:w="55" w:type="dxa"/>
            <w:right w:w="55" w:type="dxa"/>
          </w:tblCellMar>
        </w:tblPrEx>
        <w:trPr>
          <w:trHeight w:val="321" w:hRule="atLeast"/>
        </w:trPr>
        <w:tc>
          <w:tcPr>
            <w:tcW w:w="15216" w:type="dxa"/>
            <w:gridSpan w:val="7"/>
            <w:vAlign w:val="center"/>
          </w:tcPr>
          <w:p w14:paraId="51EC2F5C">
            <w:pPr>
              <w:pStyle w:val="22"/>
              <w:widowControl w:val="0"/>
              <w:jc w:val="left"/>
              <w:rPr>
                <w:rFonts w:hint="eastAsia" w:ascii="仿宋" w:hAnsi="仿宋" w:eastAsia="仿宋" w:cs="仿宋"/>
                <w:b/>
                <w:bCs/>
                <w:sz w:val="44"/>
                <w:szCs w:val="44"/>
              </w:rPr>
            </w:pPr>
            <w:r>
              <w:rPr>
                <w:rFonts w:hint="eastAsia" w:ascii="仿宋" w:hAnsi="仿宋" w:eastAsia="仿宋" w:cs="仿宋"/>
              </w:rPr>
              <w:t>公开0</w:t>
            </w:r>
            <w:r>
              <w:rPr>
                <w:rFonts w:hint="eastAsia" w:ascii="仿宋" w:hAnsi="仿宋" w:eastAsia="仿宋" w:cs="仿宋"/>
                <w:lang w:val="en-US" w:eastAsia="zh-CN"/>
              </w:rPr>
              <w:t>7</w:t>
            </w:r>
            <w:r>
              <w:rPr>
                <w:rFonts w:hint="eastAsia" w:ascii="仿宋" w:hAnsi="仿宋" w:eastAsia="仿宋" w:cs="仿宋"/>
              </w:rPr>
              <w:t>表</w:t>
            </w:r>
          </w:p>
        </w:tc>
      </w:tr>
      <w:tr w14:paraId="2FDF7549">
        <w:tblPrEx>
          <w:tblCellMar>
            <w:top w:w="55" w:type="dxa"/>
            <w:left w:w="55" w:type="dxa"/>
            <w:bottom w:w="55" w:type="dxa"/>
            <w:right w:w="55" w:type="dxa"/>
          </w:tblCellMar>
        </w:tblPrEx>
        <w:trPr>
          <w:trHeight w:val="321" w:hRule="atLeast"/>
        </w:trPr>
        <w:tc>
          <w:tcPr>
            <w:tcW w:w="15216" w:type="dxa"/>
            <w:gridSpan w:val="7"/>
          </w:tcPr>
          <w:p w14:paraId="72828270">
            <w:pPr>
              <w:pStyle w:val="22"/>
              <w:widowControl w:val="0"/>
              <w:jc w:val="center"/>
              <w:rPr>
                <w:rFonts w:hint="eastAsia" w:ascii="仿宋" w:hAnsi="仿宋" w:eastAsia="仿宋" w:cs="仿宋"/>
                <w:sz w:val="27"/>
              </w:rPr>
            </w:pPr>
            <w:r>
              <w:rPr>
                <w:rFonts w:hint="eastAsia" w:ascii="仿宋" w:hAnsi="仿宋" w:eastAsia="仿宋" w:cs="仿宋"/>
                <w:b/>
                <w:bCs/>
                <w:sz w:val="44"/>
                <w:szCs w:val="44"/>
              </w:rPr>
              <w:t>一般公共预算支出表</w:t>
            </w:r>
          </w:p>
        </w:tc>
      </w:tr>
      <w:tr w14:paraId="586FA423">
        <w:tblPrEx>
          <w:tblCellMar>
            <w:top w:w="55" w:type="dxa"/>
            <w:left w:w="55" w:type="dxa"/>
            <w:bottom w:w="55" w:type="dxa"/>
            <w:right w:w="55" w:type="dxa"/>
          </w:tblCellMar>
        </w:tblPrEx>
        <w:trPr>
          <w:trHeight w:val="288" w:hRule="atLeast"/>
        </w:trPr>
        <w:tc>
          <w:tcPr>
            <w:tcW w:w="13566" w:type="dxa"/>
            <w:gridSpan w:val="6"/>
          </w:tcPr>
          <w:p w14:paraId="5561AF88">
            <w:pPr>
              <w:pStyle w:val="22"/>
              <w:widowControl w:val="0"/>
              <w:jc w:val="left"/>
              <w:rPr>
                <w:rFonts w:hint="eastAsia" w:ascii="仿宋" w:hAnsi="仿宋" w:eastAsia="仿宋" w:cs="仿宋"/>
                <w:sz w:val="27"/>
              </w:rPr>
            </w:pPr>
            <w:r>
              <w:rPr>
                <w:rFonts w:hint="eastAsia" w:ascii="仿宋" w:hAnsi="仿宋" w:eastAsia="仿宋" w:cs="仿宋"/>
                <w:color w:val="000000"/>
                <w:sz w:val="22"/>
                <w:szCs w:val="22"/>
                <w:lang w:eastAsia="zh-CN"/>
              </w:rPr>
              <w:t>部门</w:t>
            </w:r>
            <w:r>
              <w:rPr>
                <w:rFonts w:ascii="仿宋" w:hAnsi="仿宋" w:cs="仿宋" w:eastAsia="仿宋"/>
                <w:color w:val="000000"/>
                <w:sz w:val="22"/>
              </w:rPr>
              <w:t>：</w:t>
            </w:r>
            <w:r>
              <w:rPr>
                <w:rFonts w:hint="eastAsia" w:ascii="仿宋" w:hAnsi="仿宋" w:eastAsia="仿宋" w:cs="仿宋"/>
              </w:rPr>
              <w:t>江阴市商务局</w:t>
            </w:r>
          </w:p>
        </w:tc>
        <w:tc>
          <w:tcPr>
            <w:tcW w:w="1650" w:type="dxa"/>
            <w:vAlign w:val="center"/>
          </w:tcPr>
          <w:p w14:paraId="704B056B">
            <w:pPr>
              <w:pStyle w:val="22"/>
              <w:widowControl w:val="0"/>
              <w:jc w:val="right"/>
              <w:rPr>
                <w:rFonts w:hint="eastAsia" w:ascii="仿宋" w:hAnsi="仿宋" w:eastAsia="仿宋" w:cs="仿宋"/>
                <w:sz w:val="27"/>
              </w:rPr>
            </w:pPr>
            <w:r>
              <w:rPr>
                <w:rFonts w:hint="eastAsia" w:ascii="仿宋" w:hAnsi="仿宋" w:eastAsia="仿宋" w:cs="仿宋"/>
                <w:lang w:eastAsia="zh-CN"/>
              </w:rPr>
              <w:t>单位</w:t>
            </w:r>
            <w:r>
              <w:rPr>
                <w:rFonts w:hint="eastAsia" w:ascii="仿宋" w:hAnsi="仿宋" w:eastAsia="仿宋" w:cs="仿宋"/>
              </w:rPr>
              <w:t>：万元</w:t>
            </w:r>
          </w:p>
        </w:tc>
      </w:tr>
      <w:tr w14:paraId="099C2DA8">
        <w:tblPrEx>
          <w:tblCellMar>
            <w:top w:w="55" w:type="dxa"/>
            <w:left w:w="55" w:type="dxa"/>
            <w:bottom w:w="55" w:type="dxa"/>
            <w:right w:w="55" w:type="dxa"/>
          </w:tblCellMar>
        </w:tblPrEx>
        <w:trPr>
          <w:trHeight w:val="319" w:hRule="atLeast"/>
        </w:trPr>
        <w:tc>
          <w:tcPr>
            <w:tcW w:w="1792" w:type="dxa"/>
            <w:vMerge w:val="restart"/>
            <w:tcBorders>
              <w:top w:val="single" w:color="000000" w:sz="6" w:space="0"/>
              <w:left w:val="single" w:color="000000" w:sz="6" w:space="0"/>
            </w:tcBorders>
            <w:vAlign w:val="center"/>
          </w:tcPr>
          <w:p w14:paraId="4E3D23C6">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科目编码</w:t>
            </w:r>
          </w:p>
        </w:tc>
        <w:tc>
          <w:tcPr>
            <w:tcW w:w="4307" w:type="dxa"/>
            <w:vMerge w:val="restart"/>
            <w:tcBorders>
              <w:top w:val="single" w:color="000000" w:sz="6" w:space="0"/>
              <w:left w:val="single" w:color="000000" w:sz="6" w:space="0"/>
            </w:tcBorders>
            <w:vAlign w:val="center"/>
          </w:tcPr>
          <w:p w14:paraId="6BBC9BFE">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科目名称</w:t>
            </w:r>
          </w:p>
        </w:tc>
        <w:tc>
          <w:tcPr>
            <w:tcW w:w="1960" w:type="dxa"/>
            <w:vMerge w:val="restart"/>
            <w:tcBorders>
              <w:top w:val="single" w:color="000000" w:sz="6" w:space="0"/>
              <w:left w:val="single" w:color="000000" w:sz="6" w:space="0"/>
            </w:tcBorders>
            <w:vAlign w:val="center"/>
          </w:tcPr>
          <w:p w14:paraId="4E56B37C">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合计</w:t>
            </w:r>
          </w:p>
        </w:tc>
        <w:tc>
          <w:tcPr>
            <w:tcW w:w="5507" w:type="dxa"/>
            <w:gridSpan w:val="3"/>
            <w:tcBorders>
              <w:top w:val="single" w:color="000000" w:sz="6" w:space="0"/>
              <w:left w:val="single" w:color="000000" w:sz="6" w:space="0"/>
              <w:bottom w:val="single" w:color="000000" w:sz="6" w:space="0"/>
            </w:tcBorders>
            <w:vAlign w:val="center"/>
          </w:tcPr>
          <w:p w14:paraId="71663243">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基本支出</w:t>
            </w:r>
          </w:p>
        </w:tc>
        <w:tc>
          <w:tcPr>
            <w:tcW w:w="1650" w:type="dxa"/>
            <w:vMerge w:val="restart"/>
            <w:tcBorders>
              <w:top w:val="single" w:color="000000" w:sz="6" w:space="0"/>
              <w:left w:val="single" w:color="000000" w:sz="6" w:space="0"/>
              <w:right w:val="single" w:color="000000" w:sz="6" w:space="0"/>
            </w:tcBorders>
            <w:vAlign w:val="center"/>
          </w:tcPr>
          <w:p w14:paraId="05D3C45D">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项目支出</w:t>
            </w:r>
          </w:p>
        </w:tc>
      </w:tr>
      <w:tr w14:paraId="31087D9D">
        <w:tblPrEx>
          <w:tblCellMar>
            <w:top w:w="55" w:type="dxa"/>
            <w:left w:w="55" w:type="dxa"/>
            <w:bottom w:w="55" w:type="dxa"/>
            <w:right w:w="55" w:type="dxa"/>
          </w:tblCellMar>
        </w:tblPrEx>
        <w:trPr>
          <w:trHeight w:val="341" w:hRule="atLeast"/>
        </w:trPr>
        <w:tc>
          <w:tcPr>
            <w:tcW w:w="1792" w:type="dxa"/>
            <w:vMerge w:val="continue"/>
            <w:tcBorders>
              <w:left w:val="single" w:color="000000" w:sz="6" w:space="0"/>
              <w:bottom w:val="single" w:color="000000" w:sz="6" w:space="0"/>
            </w:tcBorders>
            <w:vAlign w:val="center"/>
          </w:tcPr>
          <w:p w14:paraId="2A2EB686">
            <w:pPr>
              <w:pStyle w:val="22"/>
              <w:widowControl w:val="0"/>
              <w:jc w:val="center"/>
              <w:rPr>
                <w:rFonts w:hint="eastAsia" w:ascii="仿宋" w:hAnsi="仿宋" w:eastAsia="仿宋" w:cs="仿宋"/>
                <w:sz w:val="22"/>
                <w:szCs w:val="22"/>
              </w:rPr>
            </w:pPr>
          </w:p>
        </w:tc>
        <w:tc>
          <w:tcPr>
            <w:tcW w:w="4307" w:type="dxa"/>
            <w:vMerge w:val="continue"/>
            <w:tcBorders>
              <w:left w:val="single" w:color="000000" w:sz="6" w:space="0"/>
              <w:bottom w:val="single" w:color="000000" w:sz="6" w:space="0"/>
            </w:tcBorders>
            <w:vAlign w:val="center"/>
          </w:tcPr>
          <w:p w14:paraId="7B9A2FE2">
            <w:pPr>
              <w:pStyle w:val="22"/>
              <w:widowControl w:val="0"/>
              <w:jc w:val="center"/>
              <w:rPr>
                <w:rFonts w:hint="eastAsia" w:ascii="仿宋" w:hAnsi="仿宋" w:eastAsia="仿宋" w:cs="仿宋"/>
                <w:sz w:val="22"/>
                <w:szCs w:val="22"/>
              </w:rPr>
            </w:pPr>
          </w:p>
        </w:tc>
        <w:tc>
          <w:tcPr>
            <w:tcW w:w="1960" w:type="dxa"/>
            <w:vMerge w:val="continue"/>
            <w:tcBorders>
              <w:left w:val="single" w:color="000000" w:sz="6" w:space="0"/>
              <w:bottom w:val="single" w:color="000000" w:sz="6" w:space="0"/>
            </w:tcBorders>
          </w:tcPr>
          <w:p w14:paraId="1F65438A">
            <w:pPr>
              <w:widowControl w:val="0"/>
              <w:jc w:val="left"/>
              <w:rPr>
                <w:rFonts w:hint="eastAsia" w:ascii="仿宋" w:hAnsi="仿宋" w:eastAsia="仿宋" w:cs="仿宋"/>
                <w:sz w:val="22"/>
                <w:szCs w:val="22"/>
              </w:rPr>
            </w:pPr>
          </w:p>
        </w:tc>
        <w:tc>
          <w:tcPr>
            <w:tcW w:w="1693" w:type="dxa"/>
            <w:tcBorders>
              <w:left w:val="single" w:color="000000" w:sz="6" w:space="0"/>
              <w:bottom w:val="single" w:color="000000" w:sz="6" w:space="0"/>
            </w:tcBorders>
            <w:vAlign w:val="center"/>
          </w:tcPr>
          <w:p w14:paraId="678B5745">
            <w:pPr>
              <w:keepNext w:val="0"/>
              <w:keepLines w:val="0"/>
              <w:widowControl/>
              <w:suppressLineNumbers w:val="0"/>
              <w:spacing w:before="0" w:beforeAutospacing="0" w:after="0" w:afterAutospacing="0"/>
              <w:ind w:left="0" w:leftChars="0" w:right="0" w:rightChars="0"/>
              <w:jc w:val="center"/>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小计</w:t>
            </w:r>
          </w:p>
        </w:tc>
        <w:tc>
          <w:tcPr>
            <w:tcW w:w="1987" w:type="dxa"/>
            <w:tcBorders>
              <w:left w:val="single" w:color="000000" w:sz="6" w:space="0"/>
              <w:bottom w:val="single" w:color="000000" w:sz="6" w:space="0"/>
            </w:tcBorders>
            <w:vAlign w:val="center"/>
          </w:tcPr>
          <w:p w14:paraId="14B7F204">
            <w:pPr>
              <w:keepNext w:val="0"/>
              <w:keepLines w:val="0"/>
              <w:widowControl/>
              <w:suppressLineNumbers w:val="0"/>
              <w:spacing w:before="0" w:beforeAutospacing="0" w:after="0" w:afterAutospacing="0"/>
              <w:ind w:left="0" w:leftChars="0" w:right="0" w:rightChars="0"/>
              <w:jc w:val="center"/>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en-US" w:eastAsia="zh-CN" w:bidi="zh-CN"/>
              </w:rPr>
              <w:t>人员经费</w:t>
            </w:r>
          </w:p>
        </w:tc>
        <w:tc>
          <w:tcPr>
            <w:tcW w:w="1827" w:type="dxa"/>
            <w:tcBorders>
              <w:left w:val="single" w:color="000000" w:sz="6" w:space="0"/>
              <w:bottom w:val="single" w:color="000000" w:sz="6" w:space="0"/>
            </w:tcBorders>
            <w:vAlign w:val="center"/>
          </w:tcPr>
          <w:p w14:paraId="3140B1B7">
            <w:pPr>
              <w:keepNext w:val="0"/>
              <w:keepLines w:val="0"/>
              <w:widowControl/>
              <w:suppressLineNumbers w:val="0"/>
              <w:spacing w:before="0" w:beforeAutospacing="0" w:after="0" w:afterAutospacing="0"/>
              <w:ind w:left="0" w:leftChars="0" w:right="0" w:rightChars="0"/>
              <w:jc w:val="center"/>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en-US" w:eastAsia="zh-CN" w:bidi="zh-CN"/>
              </w:rPr>
              <w:t>公用经费</w:t>
            </w:r>
          </w:p>
        </w:tc>
        <w:tc>
          <w:tcPr>
            <w:tcW w:w="1650" w:type="dxa"/>
            <w:vMerge w:val="continue"/>
            <w:tcBorders>
              <w:left w:val="single" w:color="000000" w:sz="6" w:space="0"/>
              <w:bottom w:val="single" w:color="000000" w:sz="6" w:space="0"/>
              <w:right w:val="single" w:color="000000" w:sz="6" w:space="0"/>
            </w:tcBorders>
          </w:tcPr>
          <w:p w14:paraId="00D137D4">
            <w:pPr>
              <w:widowControl w:val="0"/>
              <w:jc w:val="left"/>
              <w:rPr>
                <w:rFonts w:hint="eastAsia" w:ascii="仿宋" w:hAnsi="仿宋" w:eastAsia="仿宋" w:cs="仿宋"/>
                <w:sz w:val="22"/>
                <w:szCs w:val="22"/>
              </w:rPr>
            </w:pPr>
          </w:p>
        </w:tc>
      </w:tr>
      <w:tr w14:paraId="2919B456">
        <w:tblPrEx>
          <w:tblCellMar>
            <w:top w:w="55" w:type="dxa"/>
            <w:left w:w="55" w:type="dxa"/>
            <w:bottom w:w="55" w:type="dxa"/>
            <w:right w:w="55" w:type="dxa"/>
          </w:tblCellMar>
        </w:tblPrEx>
        <w:trPr>
          <w:trHeight w:val="378" w:hRule="exact"/>
        </w:trPr>
        <w:tc>
          <w:tcPr>
            <w:tcW w:w="6099" w:type="dxa"/>
            <w:gridSpan w:val="2"/>
            <w:tcBorders>
              <w:left w:val="single" w:color="000000" w:sz="6" w:space="0"/>
              <w:bottom w:val="single" w:color="000000" w:sz="6" w:space="0"/>
            </w:tcBorders>
            <w:vAlign w:val="center"/>
          </w:tcPr>
          <w:p w14:paraId="4007DAB5">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
            </w:r>
            <w:r>
              <w:rPr>
                <w:rFonts w:hint="eastAsia" w:ascii="仿宋" w:hAnsi="仿宋" w:eastAsia="仿宋" w:cs="仿宋"/>
                <w:sz w:val="22"/>
                <w:szCs w:val="22"/>
              </w:rPr>
              <w:t>合计</w:t>
            </w:r>
          </w:p>
        </w:tc>
        <w:tc>
          <w:tcPr>
            <w:tcW w:w="1960" w:type="dxa"/>
            <w:tcBorders>
              <w:left w:val="single" w:color="000000" w:sz="6" w:space="0"/>
              <w:bottom w:val="single" w:color="000000" w:sz="6" w:space="0"/>
            </w:tcBorders>
          </w:tcPr>
          <w:p w14:paraId="5E2CD93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5,100.41</w:t>
            </w:r>
          </w:p>
        </w:tc>
        <w:tc>
          <w:tcPr>
            <w:tcW w:w="1693" w:type="dxa"/>
            <w:tcBorders>
              <w:left w:val="single" w:color="000000" w:sz="6" w:space="0"/>
              <w:bottom w:val="single" w:color="000000" w:sz="6" w:space="0"/>
            </w:tcBorders>
          </w:tcPr>
          <w:p w14:paraId="772ED10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2,744.36</w:t>
            </w:r>
          </w:p>
        </w:tc>
        <w:tc>
          <w:tcPr>
            <w:tcW w:w="1987" w:type="dxa"/>
            <w:tcBorders>
              <w:left w:val="single" w:color="000000" w:sz="6" w:space="0"/>
              <w:bottom w:val="single" w:color="000000" w:sz="6" w:space="0"/>
            </w:tcBorders>
          </w:tcPr>
          <w:p w14:paraId="5BD8E28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2,642.92</w:t>
            </w:r>
          </w:p>
        </w:tc>
        <w:tc>
          <w:tcPr>
            <w:tcW w:w="1827" w:type="dxa"/>
            <w:tcBorders>
              <w:left w:val="single" w:color="000000" w:sz="6" w:space="0"/>
              <w:bottom w:val="single" w:color="000000" w:sz="6" w:space="0"/>
            </w:tcBorders>
          </w:tcPr>
          <w:p w14:paraId="2831BE4A">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101.44</w:t>
            </w:r>
          </w:p>
        </w:tc>
        <w:tc>
          <w:tcPr>
            <w:tcW w:w="1650" w:type="dxa"/>
            <w:tcBorders>
              <w:left w:val="single" w:color="000000" w:sz="6" w:space="0"/>
              <w:bottom w:val="single" w:color="000000" w:sz="6" w:space="0"/>
              <w:right w:val="single" w:color="000000" w:sz="6" w:space="0"/>
            </w:tcBorders>
          </w:tcPr>
          <w:p w14:paraId="2A55F17D">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2,356.05</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201</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一般公共服务支出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3,740.63</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1,700.25</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1,598.81</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101.44</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2,040.38</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20113</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商贸事务</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3,740.63</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1,700.25</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1,598.81</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101.44</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2,040.38</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2011301</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行政运行</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850.83</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850.83</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794.29</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56.54</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2011350</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事业运行</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849.42</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849.42</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804.52</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44.90</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2011399</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其他商贸事务支出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2,040.38</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2,040.38</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208</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社会保障和就业支出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292.36</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292.36</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292.36</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20805</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行政事业单位养老支出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281.86</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281.86</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281.86</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2080505</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机关事业单位基本养老保险缴费支出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187.90</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187.90</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187.90</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2080506</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机关事业单位职业年金缴费支出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93.96</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93.96</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93.96</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20899</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其他社会保障和就业支出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10.50</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10.50</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10.50</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2089999</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其他社会保障和就业支出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10.50</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10.50</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10.50</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210</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卫生健康支出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78.92</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78.92</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78.92</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21011</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行政事业单位医疗</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78.92</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78.92</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78.92</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2101101</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行政单位医疗</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38.09</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38.09</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38.09</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2101102</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事业单位医疗</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40.83</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40.83</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40.83</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212</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城乡社区支出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315.67</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315.67</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21299</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其他城乡社区支出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315.67</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315.67</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2129999</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其他城乡社区支出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315.67</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315.67</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221</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住房保障支出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672.83</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672.83</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672.83</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22102</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住房改革支出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672.83</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672.83</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672.83</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2210201</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住房公积金</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144.41</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144.41</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144.41</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2210202</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提租补贴</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333.32</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333.32</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333.32</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2210203</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购房补贴</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195.10</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195.10</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195.10</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bl>
    <w:p w14:paraId="5914C3F0">
      <w:pPr>
        <w:widowControl w:val="0"/>
        <w:numPr>
          <w:ilvl w:val="0"/>
          <w:numId w:val="0"/>
        </w:numPr>
        <w:suppressAutoHyphens/>
        <w:bidi w:val="0"/>
        <w:spacing w:before="25" w:after="0"/>
        <w:jc w:val="left"/>
        <w:rPr>
          <w:rFonts w:hint="eastAsia" w:ascii="仿宋" w:hAnsi="仿宋" w:eastAsia="仿宋" w:cs="仿宋"/>
          <w:b/>
          <w:bCs/>
          <w:sz w:val="22"/>
          <w:szCs w:val="22"/>
        </w:rPr>
        <w:sectPr>
          <w:footerReference r:id="rId14"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0954" w:type="dxa"/>
        <w:tblInd w:w="-206" w:type="dxa"/>
        <w:tblLayout w:type="fixed"/>
        <w:tblCellMar>
          <w:top w:w="55" w:type="dxa"/>
          <w:left w:w="55" w:type="dxa"/>
          <w:bottom w:w="55" w:type="dxa"/>
          <w:right w:w="55" w:type="dxa"/>
        </w:tblCellMar>
      </w:tblPr>
      <w:tblGrid>
        <w:gridCol w:w="1227"/>
        <w:gridCol w:w="3667"/>
        <w:gridCol w:w="2413"/>
        <w:gridCol w:w="1974"/>
        <w:gridCol w:w="1673"/>
      </w:tblGrid>
      <w:tr w14:paraId="484721E5">
        <w:tblPrEx>
          <w:tblCellMar>
            <w:top w:w="55" w:type="dxa"/>
            <w:left w:w="55" w:type="dxa"/>
            <w:bottom w:w="55" w:type="dxa"/>
            <w:right w:w="55" w:type="dxa"/>
          </w:tblCellMar>
        </w:tblPrEx>
        <w:trPr>
          <w:trHeight w:val="319" w:hRule="atLeast"/>
        </w:trPr>
        <w:tc>
          <w:tcPr>
            <w:tcW w:w="10954" w:type="dxa"/>
            <w:gridSpan w:val="5"/>
          </w:tcPr>
          <w:p w14:paraId="16647F55">
            <w:pPr>
              <w:pStyle w:val="22"/>
              <w:widowControl w:val="0"/>
              <w:jc w:val="left"/>
              <w:rPr>
                <w:rFonts w:hint="eastAsia" w:ascii="仿宋" w:hAnsi="仿宋" w:eastAsia="仿宋" w:cs="仿宋"/>
                <w:b/>
                <w:bCs/>
                <w:sz w:val="44"/>
                <w:szCs w:val="44"/>
              </w:rPr>
            </w:pPr>
            <w:r>
              <w:rPr>
                <w:rFonts w:hint="eastAsia" w:ascii="仿宋" w:hAnsi="仿宋" w:eastAsia="仿宋" w:cs="仿宋"/>
              </w:rPr>
              <w:t>公开08表</w:t>
            </w:r>
          </w:p>
        </w:tc>
      </w:tr>
      <w:tr w14:paraId="002F78A7">
        <w:tblPrEx>
          <w:tblCellMar>
            <w:top w:w="55" w:type="dxa"/>
            <w:left w:w="55" w:type="dxa"/>
            <w:bottom w:w="55" w:type="dxa"/>
            <w:right w:w="55" w:type="dxa"/>
          </w:tblCellMar>
        </w:tblPrEx>
        <w:trPr>
          <w:trHeight w:val="189" w:hRule="atLeast"/>
        </w:trPr>
        <w:tc>
          <w:tcPr>
            <w:tcW w:w="10954" w:type="dxa"/>
            <w:gridSpan w:val="5"/>
          </w:tcPr>
          <w:p w14:paraId="2FCCAE70">
            <w:pPr>
              <w:pStyle w:val="22"/>
              <w:widowControl w:val="0"/>
              <w:jc w:val="center"/>
              <w:rPr>
                <w:rFonts w:hint="eastAsia" w:ascii="仿宋" w:hAnsi="仿宋" w:eastAsia="仿宋" w:cs="仿宋"/>
                <w:sz w:val="20"/>
              </w:rPr>
            </w:pPr>
            <w:r>
              <w:rPr>
                <w:rFonts w:hint="eastAsia" w:ascii="仿宋" w:hAnsi="仿宋" w:eastAsia="仿宋" w:cs="仿宋"/>
                <w:b/>
                <w:bCs/>
                <w:sz w:val="44"/>
                <w:szCs w:val="44"/>
              </w:rPr>
              <w:t>一般公共预算基本支出表</w:t>
            </w:r>
          </w:p>
        </w:tc>
      </w:tr>
      <w:tr w14:paraId="7162EBB8">
        <w:tblPrEx>
          <w:tblCellMar>
            <w:top w:w="55" w:type="dxa"/>
            <w:left w:w="55" w:type="dxa"/>
            <w:bottom w:w="55" w:type="dxa"/>
            <w:right w:w="55" w:type="dxa"/>
          </w:tblCellMar>
        </w:tblPrEx>
        <w:trPr>
          <w:trHeight w:val="138" w:hRule="atLeast"/>
        </w:trPr>
        <w:tc>
          <w:tcPr>
            <w:tcW w:w="9281" w:type="dxa"/>
            <w:gridSpan w:val="4"/>
            <w:vAlign w:val="center"/>
          </w:tcPr>
          <w:p w14:paraId="17C5FA13">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部门</w:t>
            </w:r>
            <w:r>
              <w:rPr>
                <w:rFonts w:ascii="仿宋" w:hAnsi="仿宋" w:cs="仿宋" w:eastAsia="仿宋"/>
                <w:color w:val="000000"/>
                <w:sz w:val="22"/>
              </w:rPr>
              <w:t>：</w:t>
            </w:r>
            <w:r>
              <w:rPr>
                <w:rFonts w:hint="eastAsia" w:ascii="仿宋" w:hAnsi="仿宋" w:eastAsia="仿宋" w:cs="仿宋"/>
              </w:rPr>
              <w:t>江阴市商务局</w:t>
            </w:r>
          </w:p>
        </w:tc>
        <w:tc>
          <w:tcPr>
            <w:tcW w:w="1673" w:type="dxa"/>
            <w:vAlign w:val="center"/>
          </w:tcPr>
          <w:p w14:paraId="2960F62D">
            <w:pPr>
              <w:pStyle w:val="22"/>
              <w:widowControl w:val="0"/>
              <w:jc w:val="right"/>
              <w:rPr>
                <w:rFonts w:hint="eastAsia" w:ascii="仿宋" w:hAnsi="仿宋" w:eastAsia="仿宋" w:cs="仿宋"/>
                <w:sz w:val="20"/>
              </w:rPr>
            </w:pPr>
            <w:r>
              <w:rPr>
                <w:rFonts w:hint="eastAsia" w:ascii="仿宋" w:hAnsi="仿宋" w:eastAsia="仿宋" w:cs="仿宋"/>
                <w:lang w:eastAsia="zh-CN"/>
              </w:rPr>
              <w:t>单位</w:t>
            </w:r>
            <w:r>
              <w:rPr>
                <w:rFonts w:hint="eastAsia" w:ascii="仿宋" w:hAnsi="仿宋" w:eastAsia="仿宋" w:cs="仿宋"/>
              </w:rPr>
              <w:t>：万元</w:t>
            </w:r>
          </w:p>
        </w:tc>
      </w:tr>
      <w:tr w14:paraId="31596070">
        <w:tblPrEx>
          <w:tblCellMar>
            <w:top w:w="55" w:type="dxa"/>
            <w:left w:w="55" w:type="dxa"/>
            <w:bottom w:w="55" w:type="dxa"/>
            <w:right w:w="55" w:type="dxa"/>
          </w:tblCellMar>
        </w:tblPrEx>
        <w:trPr>
          <w:trHeight w:val="180" w:hRule="atLeast"/>
        </w:trPr>
        <w:tc>
          <w:tcPr>
            <w:tcW w:w="4894" w:type="dxa"/>
            <w:gridSpan w:val="2"/>
            <w:tcBorders>
              <w:top w:val="single" w:color="000000" w:sz="4" w:space="0"/>
              <w:left w:val="single" w:color="000000" w:sz="4" w:space="0"/>
              <w:bottom w:val="single" w:color="000000" w:sz="4" w:space="0"/>
            </w:tcBorders>
            <w:vAlign w:val="center"/>
          </w:tcPr>
          <w:p w14:paraId="45445754">
            <w:pPr>
              <w:widowControl w:val="0"/>
              <w:jc w:val="center"/>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部门预算支出经济分类科目</w:t>
            </w:r>
          </w:p>
        </w:tc>
        <w:tc>
          <w:tcPr>
            <w:tcW w:w="6060" w:type="dxa"/>
            <w:gridSpan w:val="3"/>
            <w:tcBorders>
              <w:top w:val="single" w:color="000000" w:sz="4" w:space="0"/>
              <w:left w:val="single" w:color="000000" w:sz="4" w:space="0"/>
              <w:bottom w:val="single" w:color="000000" w:sz="4" w:space="0"/>
              <w:right w:val="single" w:color="000000" w:sz="4" w:space="0"/>
            </w:tcBorders>
            <w:vAlign w:val="center"/>
          </w:tcPr>
          <w:p w14:paraId="292CB882">
            <w:pPr>
              <w:widowControl w:val="0"/>
              <w:jc w:val="center"/>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本年一般公共预算基本支出</w:t>
            </w:r>
          </w:p>
        </w:tc>
      </w:tr>
      <w:tr w14:paraId="634ABDFF">
        <w:tblPrEx>
          <w:tblCellMar>
            <w:top w:w="55" w:type="dxa"/>
            <w:left w:w="55" w:type="dxa"/>
            <w:bottom w:w="55" w:type="dxa"/>
            <w:right w:w="55" w:type="dxa"/>
          </w:tblCellMar>
        </w:tblPrEx>
        <w:trPr>
          <w:trHeight w:val="190" w:hRule="atLeast"/>
        </w:trPr>
        <w:tc>
          <w:tcPr>
            <w:tcW w:w="1227" w:type="dxa"/>
            <w:tcBorders>
              <w:left w:val="single" w:color="000000" w:sz="4" w:space="0"/>
              <w:bottom w:val="single" w:color="000000" w:sz="4" w:space="0"/>
            </w:tcBorders>
            <w:vAlign w:val="center"/>
          </w:tcPr>
          <w:p w14:paraId="059ADFB9">
            <w:pPr>
              <w:pStyle w:val="22"/>
              <w:widowControl w:val="0"/>
              <w:jc w:val="center"/>
              <w:rPr>
                <w:rFonts w:hint="eastAsia" w:ascii="仿宋" w:hAnsi="仿宋" w:eastAsia="仿宋" w:cs="仿宋"/>
              </w:rPr>
            </w:pPr>
            <w:r>
              <w:rPr>
                <w:rFonts w:hint="eastAsia" w:ascii="仿宋" w:hAnsi="仿宋" w:eastAsia="仿宋" w:cs="仿宋"/>
              </w:rPr>
              <w:t>科目编码</w:t>
            </w:r>
          </w:p>
        </w:tc>
        <w:tc>
          <w:tcPr>
            <w:tcW w:w="3667" w:type="dxa"/>
            <w:tcBorders>
              <w:left w:val="single" w:color="000000" w:sz="4" w:space="0"/>
              <w:bottom w:val="single" w:color="000000" w:sz="4" w:space="0"/>
            </w:tcBorders>
            <w:vAlign w:val="center"/>
          </w:tcPr>
          <w:p w14:paraId="35A783EC">
            <w:pPr>
              <w:pStyle w:val="22"/>
              <w:widowControl w:val="0"/>
              <w:jc w:val="center"/>
              <w:rPr>
                <w:rFonts w:hint="eastAsia" w:ascii="仿宋" w:hAnsi="仿宋" w:eastAsia="仿宋" w:cs="仿宋"/>
              </w:rPr>
            </w:pPr>
            <w:r>
              <w:rPr>
                <w:rFonts w:hint="eastAsia" w:ascii="仿宋" w:hAnsi="仿宋" w:eastAsia="仿宋" w:cs="仿宋"/>
              </w:rPr>
              <w:t>科目名称</w:t>
            </w:r>
          </w:p>
        </w:tc>
        <w:tc>
          <w:tcPr>
            <w:tcW w:w="2413" w:type="dxa"/>
            <w:tcBorders>
              <w:left w:val="single" w:color="000000" w:sz="4" w:space="0"/>
              <w:bottom w:val="single" w:color="000000" w:sz="4" w:space="0"/>
            </w:tcBorders>
            <w:vAlign w:val="center"/>
          </w:tcPr>
          <w:p w14:paraId="11A39AD5">
            <w:pPr>
              <w:pStyle w:val="22"/>
              <w:widowControl w:val="0"/>
              <w:jc w:val="center"/>
              <w:rPr>
                <w:rFonts w:hint="eastAsia" w:ascii="仿宋" w:hAnsi="仿宋" w:eastAsia="仿宋" w:cs="仿宋"/>
              </w:rPr>
            </w:pPr>
            <w:r>
              <w:rPr>
                <w:rFonts w:hint="eastAsia" w:ascii="仿宋" w:hAnsi="仿宋" w:eastAsia="仿宋" w:cs="仿宋"/>
              </w:rPr>
              <w:t>合计</w:t>
            </w:r>
          </w:p>
        </w:tc>
        <w:tc>
          <w:tcPr>
            <w:tcW w:w="1974" w:type="dxa"/>
            <w:tcBorders>
              <w:left w:val="single" w:color="000000" w:sz="4" w:space="0"/>
              <w:bottom w:val="single" w:color="000000" w:sz="4" w:space="0"/>
            </w:tcBorders>
            <w:vAlign w:val="center"/>
          </w:tcPr>
          <w:p w14:paraId="7319D78B">
            <w:pPr>
              <w:pStyle w:val="22"/>
              <w:widowControl w:val="0"/>
              <w:jc w:val="center"/>
              <w:rPr>
                <w:rFonts w:hint="eastAsia" w:ascii="仿宋" w:hAnsi="仿宋" w:eastAsia="仿宋" w:cs="仿宋"/>
              </w:rPr>
            </w:pPr>
            <w:r>
              <w:rPr>
                <w:rFonts w:hint="eastAsia" w:ascii="仿宋" w:hAnsi="仿宋" w:eastAsia="仿宋" w:cs="仿宋"/>
              </w:rPr>
              <w:t>人员经费</w:t>
            </w:r>
          </w:p>
        </w:tc>
        <w:tc>
          <w:tcPr>
            <w:tcW w:w="1673" w:type="dxa"/>
            <w:tcBorders>
              <w:left w:val="single" w:color="000000" w:sz="4" w:space="0"/>
              <w:bottom w:val="single" w:color="000000" w:sz="4" w:space="0"/>
              <w:right w:val="single" w:color="000000" w:sz="4" w:space="0"/>
            </w:tcBorders>
            <w:vAlign w:val="center"/>
          </w:tcPr>
          <w:p w14:paraId="38FEFFB9">
            <w:pPr>
              <w:pStyle w:val="22"/>
              <w:widowControl w:val="0"/>
              <w:jc w:val="center"/>
              <w:rPr>
                <w:rFonts w:hint="eastAsia" w:ascii="仿宋" w:hAnsi="仿宋" w:eastAsia="仿宋" w:cs="仿宋"/>
              </w:rPr>
            </w:pPr>
            <w:r>
              <w:rPr>
                <w:rFonts w:hint="eastAsia" w:ascii="仿宋" w:hAnsi="仿宋" w:eastAsia="仿宋" w:cs="仿宋"/>
              </w:rPr>
              <w:t>公用经费</w:t>
            </w:r>
          </w:p>
        </w:tc>
      </w:tr>
      <w:tr w14:paraId="23A107EC">
        <w:tblPrEx>
          <w:tblCellMar>
            <w:top w:w="55" w:type="dxa"/>
            <w:left w:w="55" w:type="dxa"/>
            <w:bottom w:w="55" w:type="dxa"/>
            <w:right w:w="55" w:type="dxa"/>
          </w:tblCellMar>
        </w:tblPrEx>
        <w:trPr>
          <w:trHeight w:val="382" w:hRule="exact"/>
        </w:trPr>
        <w:tc>
          <w:tcPr>
            <w:tcW w:w="4894" w:type="dxa"/>
            <w:gridSpan w:val="2"/>
            <w:tcBorders>
              <w:left w:val="single" w:color="000000" w:sz="4" w:space="0"/>
              <w:bottom w:val="single" w:color="000000" w:sz="4" w:space="0"/>
            </w:tcBorders>
            <w:vAlign w:val="center"/>
          </w:tcPr>
          <w:p w14:paraId="39BF1B54">
            <w:pPr>
              <w:pStyle w:val="22"/>
              <w:widowControl w:val="0"/>
              <w:jc w:val="center"/>
              <w:rPr>
                <w:rFonts w:hint="eastAsia" w:ascii="仿宋" w:hAnsi="仿宋" w:eastAsia="仿宋" w:cs="仿宋"/>
              </w:rPr>
            </w:pPr>
            <w:r>
              <w:rPr>
                <w:rFonts w:hint="eastAsia" w:ascii="仿宋" w:hAnsi="仿宋" w:eastAsia="仿宋" w:cs="仿宋"/>
              </w:rPr>
              <w:t/>
            </w:r>
            <w:r>
              <w:rPr>
                <w:rFonts w:hint="eastAsia" w:ascii="仿宋" w:hAnsi="仿宋" w:eastAsia="仿宋" w:cs="仿宋"/>
              </w:rPr>
              <w:t>合计</w:t>
            </w:r>
          </w:p>
        </w:tc>
        <w:tc>
          <w:tcPr>
            <w:tcW w:w="2413" w:type="dxa"/>
            <w:tcBorders>
              <w:left w:val="single" w:color="000000" w:sz="4" w:space="0"/>
              <w:bottom w:val="single" w:color="000000" w:sz="4" w:space="0"/>
            </w:tcBorders>
            <w:vAlign w:val="center"/>
          </w:tcPr>
          <w:p w14:paraId="056B7E8D">
            <w:pPr>
              <w:pStyle w:val="22"/>
              <w:widowControl w:val="0"/>
              <w:jc w:val="right"/>
              <w:rPr>
                <w:rFonts w:hint="eastAsia" w:ascii="仿宋" w:hAnsi="仿宋" w:eastAsia="仿宋" w:cs="仿宋"/>
              </w:rPr>
            </w:pPr>
            <w:r>
              <w:rPr>
                <w:rFonts w:hint="eastAsia" w:ascii="仿宋" w:hAnsi="仿宋" w:eastAsia="仿宋" w:cs="仿宋"/>
              </w:rPr>
              <w:t>2,744.36</w:t>
            </w:r>
          </w:p>
        </w:tc>
        <w:tc>
          <w:tcPr>
            <w:tcW w:w="1974" w:type="dxa"/>
            <w:tcBorders>
              <w:left w:val="single" w:color="000000" w:sz="4" w:space="0"/>
              <w:bottom w:val="single" w:color="000000" w:sz="4" w:space="0"/>
            </w:tcBorders>
            <w:vAlign w:val="center"/>
          </w:tcPr>
          <w:p w14:paraId="386099AD">
            <w:pPr>
              <w:pStyle w:val="22"/>
              <w:widowControl w:val="0"/>
              <w:jc w:val="right"/>
              <w:rPr>
                <w:rFonts w:hint="eastAsia" w:ascii="仿宋" w:hAnsi="仿宋" w:eastAsia="仿宋" w:cs="仿宋"/>
              </w:rPr>
            </w:pPr>
            <w:r>
              <w:rPr>
                <w:rFonts w:hint="eastAsia" w:ascii="仿宋" w:hAnsi="仿宋" w:eastAsia="仿宋" w:cs="仿宋"/>
              </w:rPr>
              <w:t>2,642.92</w:t>
            </w:r>
          </w:p>
        </w:tc>
        <w:tc>
          <w:tcPr>
            <w:tcW w:w="1673" w:type="dxa"/>
            <w:tcBorders>
              <w:left w:val="single" w:color="000000" w:sz="4" w:space="0"/>
              <w:bottom w:val="single" w:color="000000" w:sz="4" w:space="0"/>
              <w:right w:val="single" w:color="000000" w:sz="4" w:space="0"/>
            </w:tcBorders>
            <w:vAlign w:val="center"/>
          </w:tcPr>
          <w:p w14:paraId="01C226C0">
            <w:pPr>
              <w:pStyle w:val="22"/>
              <w:widowControl w:val="0"/>
              <w:jc w:val="right"/>
              <w:rPr>
                <w:rFonts w:hint="eastAsia" w:ascii="仿宋" w:hAnsi="仿宋" w:eastAsia="仿宋" w:cs="仿宋"/>
              </w:rPr>
            </w:pPr>
            <w:r>
              <w:rPr>
                <w:rFonts w:hint="eastAsia" w:ascii="仿宋" w:hAnsi="仿宋" w:eastAsia="仿宋" w:cs="仿宋"/>
              </w:rPr>
              <w:t>101.44</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301</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工资福利支出</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2,397.96</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2,397.96</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30101</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基本工资</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287.62</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287.62</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30102</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津贴补贴</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642.08</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642.08</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30103</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奖金</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637.06</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637.06</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30106</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伙食补助费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26.94</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26.94</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30107</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绩效工资</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274.03</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274.03</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30108</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机关事业单位基本养老保险缴费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187.90</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187.90</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30109</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职业年金缴费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93.96</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93.96</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30110</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职工基本医疗保险缴费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78.92</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78.92</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30112</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其他社会保障缴费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10.50</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10.50</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30113</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住房公积金</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144.41</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144.41</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30114</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医疗费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8.04</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8.04</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30199</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其他工资福利支出</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6.50</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6.50</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302</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商品和服务支出</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100.38</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100.38</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30201</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办公费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27.14</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27.14</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30202</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印刷费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4.50</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4.50</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30211</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差旅费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11.00</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11.00</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30215</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会议费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4.86</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4.86</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30216</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培训费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4.15</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4.15</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30217</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公务接待费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4.29</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4.29</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30228</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工会经费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14.74</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14.74</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30231</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公务用车运行维护费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2.50</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2.50</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30239</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其他交通费用</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9.80</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9.80</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30299</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其他商品和服务支出</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17.40</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17.40</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303</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对个人和家庭的补助</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244.96</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244.96</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30302</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退休费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242.11</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242.11</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30305</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生活补助</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0.75</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0.75</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30399</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其他对个人和家庭的补助</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2.10</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2.10</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310</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资本性支出</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1.06</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1.06</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31099</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其他资本性支出</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1.06</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1.06</w:t>
            </w:r>
          </w:p>
        </w:tc>
      </w:tr>
    </w:tbl>
    <w:p w14:paraId="5ADFF928">
      <w:pPr>
        <w:widowControl w:val="0"/>
        <w:numPr>
          <w:ilvl w:val="0"/>
          <w:numId w:val="0"/>
        </w:numPr>
        <w:suppressAutoHyphens/>
        <w:bidi w:val="0"/>
        <w:spacing w:before="25" w:after="0"/>
        <w:jc w:val="left"/>
        <w:rPr>
          <w:rFonts w:hint="eastAsia" w:ascii="仿宋" w:hAnsi="仿宋" w:eastAsia="仿宋" w:cs="仿宋"/>
          <w:b/>
          <w:bCs/>
          <w:sz w:val="22"/>
          <w:szCs w:val="22"/>
        </w:rPr>
        <w:sectPr>
          <w:footerReference r:id="rId15" w:type="default"/>
          <w:pgSz w:w="11906" w:h="16838"/>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909" w:type="dxa"/>
        <w:tblInd w:w="-226" w:type="dxa"/>
        <w:tblLayout w:type="fixed"/>
        <w:tblCellMar>
          <w:top w:w="55" w:type="dxa"/>
          <w:left w:w="55" w:type="dxa"/>
          <w:bottom w:w="55" w:type="dxa"/>
          <w:right w:w="55" w:type="dxa"/>
        </w:tblCellMar>
      </w:tblPr>
      <w:tblGrid>
        <w:gridCol w:w="2471"/>
        <w:gridCol w:w="2332"/>
        <w:gridCol w:w="2037"/>
        <w:gridCol w:w="1697"/>
        <w:gridCol w:w="1680"/>
        <w:gridCol w:w="1852"/>
        <w:gridCol w:w="2057"/>
        <w:gridCol w:w="1783"/>
      </w:tblGrid>
      <w:tr w14:paraId="38FA862D">
        <w:tblPrEx>
          <w:tblCellMar>
            <w:top w:w="55" w:type="dxa"/>
            <w:left w:w="55" w:type="dxa"/>
            <w:bottom w:w="55" w:type="dxa"/>
            <w:right w:w="55" w:type="dxa"/>
          </w:tblCellMar>
        </w:tblPrEx>
        <w:trPr>
          <w:trHeight w:val="321" w:hRule="atLeast"/>
        </w:trPr>
        <w:tc>
          <w:tcPr>
            <w:tcW w:w="15909" w:type="dxa"/>
            <w:gridSpan w:val="8"/>
          </w:tcPr>
          <w:p w14:paraId="11F1E16B">
            <w:pPr>
              <w:pStyle w:val="22"/>
              <w:widowControl w:val="0"/>
              <w:jc w:val="left"/>
              <w:rPr>
                <w:rFonts w:hint="eastAsia" w:ascii="仿宋" w:hAnsi="仿宋" w:eastAsia="仿宋" w:cs="仿宋"/>
                <w:b/>
                <w:bCs/>
                <w:sz w:val="44"/>
                <w:szCs w:val="44"/>
              </w:rPr>
            </w:pPr>
            <w:r>
              <w:rPr>
                <w:rFonts w:hint="eastAsia" w:ascii="仿宋" w:hAnsi="仿宋" w:eastAsia="仿宋" w:cs="仿宋"/>
              </w:rPr>
              <w:t>公开09表</w:t>
            </w:r>
          </w:p>
        </w:tc>
      </w:tr>
      <w:tr w14:paraId="73844359">
        <w:tblPrEx>
          <w:tblCellMar>
            <w:top w:w="55" w:type="dxa"/>
            <w:left w:w="55" w:type="dxa"/>
            <w:bottom w:w="55" w:type="dxa"/>
            <w:right w:w="55" w:type="dxa"/>
          </w:tblCellMar>
        </w:tblPrEx>
        <w:trPr>
          <w:trHeight w:val="207" w:hRule="atLeast"/>
        </w:trPr>
        <w:tc>
          <w:tcPr>
            <w:tcW w:w="15909" w:type="dxa"/>
            <w:gridSpan w:val="8"/>
          </w:tcPr>
          <w:p w14:paraId="22B22F3F">
            <w:pPr>
              <w:pStyle w:val="22"/>
              <w:widowControl w:val="0"/>
              <w:jc w:val="center"/>
              <w:rPr>
                <w:rFonts w:hint="eastAsia" w:ascii="仿宋" w:hAnsi="仿宋" w:eastAsia="仿宋" w:cs="仿宋"/>
                <w:sz w:val="20"/>
              </w:rPr>
            </w:pPr>
            <w:r>
              <w:rPr>
                <w:rFonts w:hint="eastAsia" w:ascii="仿宋" w:hAnsi="仿宋" w:eastAsia="仿宋" w:cs="仿宋"/>
                <w:b/>
                <w:bCs/>
                <w:sz w:val="44"/>
                <w:szCs w:val="44"/>
              </w:rPr>
              <w:t>一般公共预算“三公”经费、会议费、培训费支出表</w:t>
            </w:r>
          </w:p>
        </w:tc>
      </w:tr>
      <w:tr w14:paraId="2F8DA7EF">
        <w:tblPrEx>
          <w:tblCellMar>
            <w:top w:w="55" w:type="dxa"/>
            <w:left w:w="55" w:type="dxa"/>
            <w:bottom w:w="55" w:type="dxa"/>
            <w:right w:w="55" w:type="dxa"/>
          </w:tblCellMar>
        </w:tblPrEx>
        <w:trPr>
          <w:trHeight w:val="103" w:hRule="atLeast"/>
        </w:trPr>
        <w:tc>
          <w:tcPr>
            <w:tcW w:w="12069" w:type="dxa"/>
            <w:gridSpan w:val="6"/>
            <w:tcBorders>
              <w:bottom w:val="single" w:color="auto" w:sz="4" w:space="0"/>
            </w:tcBorders>
          </w:tcPr>
          <w:p w14:paraId="6A83A7CB">
            <w:pPr>
              <w:pStyle w:val="22"/>
              <w:widowControl w:val="0"/>
              <w:rPr>
                <w:rFonts w:hint="eastAsia" w:ascii="仿宋" w:hAnsi="仿宋" w:eastAsia="仿宋" w:cs="仿宋"/>
                <w:sz w:val="20"/>
              </w:rPr>
            </w:pPr>
            <w:r>
              <w:rPr>
                <w:rFonts w:hint="eastAsia" w:ascii="仿宋" w:hAnsi="仿宋" w:eastAsia="仿宋" w:cs="仿宋"/>
                <w:color w:val="000000"/>
                <w:sz w:val="22"/>
                <w:szCs w:val="22"/>
                <w:lang w:eastAsia="zh-CN"/>
              </w:rPr>
              <w:t>部门</w:t>
            </w:r>
            <w:r>
              <w:rPr>
                <w:rFonts w:ascii="仿宋" w:hAnsi="仿宋" w:cs="仿宋" w:eastAsia="仿宋"/>
                <w:color w:val="000000"/>
                <w:sz w:val="22"/>
              </w:rPr>
              <w:t>：</w:t>
            </w:r>
            <w:r>
              <w:rPr>
                <w:rFonts w:hint="eastAsia" w:ascii="仿宋" w:hAnsi="仿宋" w:eastAsia="仿宋" w:cs="仿宋"/>
              </w:rPr>
              <w:t>江阴市商务局</w:t>
            </w:r>
          </w:p>
        </w:tc>
        <w:tc>
          <w:tcPr>
            <w:tcW w:w="3840" w:type="dxa"/>
            <w:gridSpan w:val="2"/>
            <w:tcBorders>
              <w:bottom w:val="single" w:color="auto" w:sz="4" w:space="0"/>
            </w:tcBorders>
            <w:vAlign w:val="center"/>
          </w:tcPr>
          <w:p w14:paraId="362828F0">
            <w:pPr>
              <w:pStyle w:val="22"/>
              <w:widowControl w:val="0"/>
              <w:jc w:val="right"/>
              <w:rPr>
                <w:rFonts w:hint="eastAsia" w:ascii="仿宋" w:hAnsi="仿宋" w:eastAsia="仿宋" w:cs="仿宋"/>
                <w:sz w:val="20"/>
              </w:rPr>
            </w:pPr>
            <w:r>
              <w:rPr>
                <w:rFonts w:hint="eastAsia" w:ascii="仿宋" w:hAnsi="仿宋" w:eastAsia="仿宋" w:cs="仿宋"/>
                <w:lang w:eastAsia="zh-CN"/>
              </w:rPr>
              <w:t>单位</w:t>
            </w:r>
            <w:r>
              <w:rPr>
                <w:rFonts w:hint="eastAsia" w:ascii="仿宋" w:hAnsi="仿宋" w:eastAsia="仿宋" w:cs="仿宋"/>
              </w:rPr>
              <w:t>：万元</w:t>
            </w:r>
          </w:p>
        </w:tc>
      </w:tr>
      <w:tr w14:paraId="1E8B6C91">
        <w:tblPrEx>
          <w:tblCellMar>
            <w:top w:w="55" w:type="dxa"/>
            <w:left w:w="55" w:type="dxa"/>
            <w:bottom w:w="55" w:type="dxa"/>
            <w:right w:w="55" w:type="dxa"/>
          </w:tblCellMar>
        </w:tblPrEx>
        <w:trPr>
          <w:trHeight w:val="297" w:hRule="atLeast"/>
        </w:trPr>
        <w:tc>
          <w:tcPr>
            <w:tcW w:w="2471" w:type="dxa"/>
            <w:vMerge w:val="restart"/>
            <w:tcBorders>
              <w:top w:val="single" w:color="auto" w:sz="4" w:space="0"/>
              <w:left w:val="single" w:color="auto" w:sz="4" w:space="0"/>
              <w:bottom w:val="single" w:color="auto" w:sz="4" w:space="0"/>
              <w:right w:val="single" w:color="auto" w:sz="4" w:space="0"/>
            </w:tcBorders>
            <w:vAlign w:val="center"/>
          </w:tcPr>
          <w:p w14:paraId="7EF73657">
            <w:pPr>
              <w:pStyle w:val="22"/>
              <w:widowControl w:val="0"/>
              <w:jc w:val="center"/>
              <w:rPr>
                <w:rFonts w:hint="eastAsia" w:ascii="仿宋" w:hAnsi="仿宋" w:eastAsia="仿宋" w:cs="仿宋"/>
              </w:rPr>
            </w:pPr>
            <w:r>
              <w:rPr>
                <w:rFonts w:hint="eastAsia" w:ascii="仿宋" w:hAnsi="仿宋" w:eastAsia="仿宋" w:cs="仿宋"/>
              </w:rPr>
              <w:t>“三公”经费合计</w:t>
            </w:r>
          </w:p>
        </w:tc>
        <w:tc>
          <w:tcPr>
            <w:tcW w:w="2332" w:type="dxa"/>
            <w:vMerge w:val="restart"/>
            <w:tcBorders>
              <w:top w:val="single" w:color="auto" w:sz="4" w:space="0"/>
              <w:left w:val="single" w:color="auto" w:sz="4" w:space="0"/>
              <w:bottom w:val="single" w:color="auto" w:sz="4" w:space="0"/>
              <w:right w:val="single" w:color="auto" w:sz="4" w:space="0"/>
            </w:tcBorders>
            <w:vAlign w:val="center"/>
          </w:tcPr>
          <w:p w14:paraId="7191D0ED">
            <w:pPr>
              <w:pStyle w:val="22"/>
              <w:widowControl w:val="0"/>
              <w:jc w:val="center"/>
              <w:rPr>
                <w:rFonts w:hint="eastAsia" w:ascii="仿宋" w:hAnsi="仿宋" w:eastAsia="仿宋" w:cs="仿宋"/>
              </w:rPr>
            </w:pPr>
            <w:r>
              <w:rPr>
                <w:rFonts w:hint="eastAsia" w:ascii="仿宋" w:hAnsi="仿宋" w:eastAsia="仿宋" w:cs="仿宋"/>
              </w:rPr>
              <w:t>因公出国（境）费</w:t>
            </w:r>
          </w:p>
        </w:tc>
        <w:tc>
          <w:tcPr>
            <w:tcW w:w="5414" w:type="dxa"/>
            <w:gridSpan w:val="3"/>
            <w:tcBorders>
              <w:top w:val="single" w:color="auto" w:sz="4" w:space="0"/>
              <w:left w:val="single" w:color="auto" w:sz="4" w:space="0"/>
              <w:bottom w:val="single" w:color="auto" w:sz="4" w:space="0"/>
              <w:right w:val="single" w:color="auto" w:sz="4" w:space="0"/>
            </w:tcBorders>
            <w:vAlign w:val="center"/>
          </w:tcPr>
          <w:p w14:paraId="237531A7">
            <w:pPr>
              <w:pStyle w:val="22"/>
              <w:widowControl w:val="0"/>
              <w:jc w:val="center"/>
              <w:rPr>
                <w:rFonts w:hint="eastAsia" w:ascii="仿宋" w:hAnsi="仿宋" w:eastAsia="仿宋" w:cs="仿宋"/>
              </w:rPr>
            </w:pPr>
            <w:r>
              <w:rPr>
                <w:rFonts w:hint="eastAsia" w:ascii="仿宋" w:hAnsi="仿宋" w:eastAsia="仿宋" w:cs="仿宋"/>
              </w:rPr>
              <w:t>公务用车购置及运行</w:t>
            </w:r>
            <w:r>
              <w:rPr>
                <w:rFonts w:hint="eastAsia" w:ascii="仿宋" w:hAnsi="仿宋" w:eastAsia="仿宋" w:cs="仿宋"/>
                <w:lang w:val="en-US" w:eastAsia="zh-CN"/>
              </w:rPr>
              <w:t>维护</w:t>
            </w:r>
            <w:r>
              <w:rPr>
                <w:rFonts w:hint="eastAsia" w:ascii="仿宋" w:hAnsi="仿宋" w:eastAsia="仿宋" w:cs="仿宋"/>
              </w:rPr>
              <w:t>费</w:t>
            </w:r>
          </w:p>
        </w:tc>
        <w:tc>
          <w:tcPr>
            <w:tcW w:w="1852" w:type="dxa"/>
            <w:vMerge w:val="restart"/>
            <w:tcBorders>
              <w:top w:val="single" w:color="auto" w:sz="4" w:space="0"/>
              <w:left w:val="single" w:color="auto" w:sz="4" w:space="0"/>
              <w:bottom w:val="single" w:color="auto" w:sz="4" w:space="0"/>
              <w:right w:val="single" w:color="auto" w:sz="4" w:space="0"/>
            </w:tcBorders>
            <w:vAlign w:val="center"/>
          </w:tcPr>
          <w:p w14:paraId="7A1094E9">
            <w:pPr>
              <w:pStyle w:val="22"/>
              <w:widowControl w:val="0"/>
              <w:jc w:val="center"/>
              <w:rPr>
                <w:rFonts w:hint="eastAsia" w:ascii="仿宋" w:hAnsi="仿宋" w:eastAsia="仿宋" w:cs="仿宋"/>
              </w:rPr>
            </w:pPr>
            <w:r>
              <w:rPr>
                <w:rFonts w:hint="eastAsia" w:ascii="仿宋" w:hAnsi="仿宋" w:eastAsia="仿宋" w:cs="仿宋"/>
              </w:rPr>
              <w:t>公务接待费</w:t>
            </w:r>
          </w:p>
        </w:tc>
        <w:tc>
          <w:tcPr>
            <w:tcW w:w="2057" w:type="dxa"/>
            <w:vMerge w:val="restart"/>
            <w:tcBorders>
              <w:top w:val="single" w:color="auto" w:sz="4" w:space="0"/>
              <w:left w:val="single" w:color="auto" w:sz="4" w:space="0"/>
              <w:bottom w:val="single" w:color="auto" w:sz="4" w:space="0"/>
              <w:right w:val="single" w:color="auto" w:sz="4" w:space="0"/>
            </w:tcBorders>
            <w:vAlign w:val="center"/>
          </w:tcPr>
          <w:p w14:paraId="197F2909">
            <w:pPr>
              <w:pStyle w:val="22"/>
              <w:widowControl w:val="0"/>
              <w:jc w:val="center"/>
              <w:rPr>
                <w:rFonts w:hint="eastAsia" w:ascii="仿宋" w:hAnsi="仿宋" w:eastAsia="仿宋" w:cs="仿宋"/>
                <w:sz w:val="20"/>
              </w:rPr>
            </w:pPr>
            <w:r>
              <w:rPr>
                <w:rFonts w:hint="eastAsia" w:ascii="仿宋" w:hAnsi="仿宋" w:eastAsia="仿宋" w:cs="仿宋"/>
              </w:rPr>
              <w:t>会议费</w:t>
            </w:r>
          </w:p>
        </w:tc>
        <w:tc>
          <w:tcPr>
            <w:tcW w:w="1783" w:type="dxa"/>
            <w:vMerge w:val="restart"/>
            <w:tcBorders>
              <w:top w:val="single" w:color="auto" w:sz="4" w:space="0"/>
              <w:left w:val="single" w:color="auto" w:sz="4" w:space="0"/>
              <w:bottom w:val="single" w:color="auto" w:sz="4" w:space="0"/>
              <w:right w:val="single" w:color="auto" w:sz="4" w:space="0"/>
            </w:tcBorders>
            <w:vAlign w:val="center"/>
          </w:tcPr>
          <w:p w14:paraId="414C9174">
            <w:pPr>
              <w:pStyle w:val="22"/>
              <w:widowControl w:val="0"/>
              <w:jc w:val="center"/>
              <w:rPr>
                <w:rFonts w:hint="eastAsia" w:ascii="仿宋" w:hAnsi="仿宋" w:eastAsia="仿宋" w:cs="仿宋"/>
                <w:sz w:val="20"/>
              </w:rPr>
            </w:pPr>
            <w:r>
              <w:rPr>
                <w:rFonts w:hint="eastAsia" w:ascii="仿宋" w:hAnsi="仿宋" w:eastAsia="仿宋" w:cs="仿宋"/>
              </w:rPr>
              <w:t>培训费</w:t>
            </w:r>
          </w:p>
        </w:tc>
      </w:tr>
      <w:tr w14:paraId="0D589B7C">
        <w:tblPrEx>
          <w:tblCellMar>
            <w:top w:w="55" w:type="dxa"/>
            <w:left w:w="55" w:type="dxa"/>
            <w:bottom w:w="55" w:type="dxa"/>
            <w:right w:w="55" w:type="dxa"/>
          </w:tblCellMar>
        </w:tblPrEx>
        <w:trPr>
          <w:trHeight w:val="728" w:hRule="exact"/>
        </w:trPr>
        <w:tc>
          <w:tcPr>
            <w:tcW w:w="2471" w:type="dxa"/>
            <w:vMerge w:val="continue"/>
            <w:tcBorders>
              <w:top w:val="single" w:color="auto" w:sz="4" w:space="0"/>
              <w:left w:val="single" w:color="auto" w:sz="4" w:space="0"/>
              <w:bottom w:val="single" w:color="auto" w:sz="4" w:space="0"/>
              <w:right w:val="single" w:color="auto" w:sz="4" w:space="0"/>
            </w:tcBorders>
          </w:tcPr>
          <w:p w14:paraId="1BFDF809">
            <w:pPr>
              <w:widowControl w:val="0"/>
              <w:jc w:val="left"/>
              <w:rPr>
                <w:rFonts w:hint="eastAsia" w:ascii="仿宋" w:hAnsi="仿宋" w:eastAsia="仿宋" w:cs="仿宋"/>
                <w:sz w:val="2"/>
                <w:szCs w:val="2"/>
              </w:rPr>
            </w:pPr>
          </w:p>
        </w:tc>
        <w:tc>
          <w:tcPr>
            <w:tcW w:w="2332" w:type="dxa"/>
            <w:vMerge w:val="continue"/>
            <w:tcBorders>
              <w:top w:val="single" w:color="auto" w:sz="4" w:space="0"/>
              <w:left w:val="single" w:color="auto" w:sz="4" w:space="0"/>
              <w:bottom w:val="single" w:color="auto" w:sz="4" w:space="0"/>
              <w:right w:val="single" w:color="auto" w:sz="4" w:space="0"/>
            </w:tcBorders>
          </w:tcPr>
          <w:p w14:paraId="6170C8C2">
            <w:pPr>
              <w:widowControl w:val="0"/>
              <w:jc w:val="left"/>
              <w:rPr>
                <w:rFonts w:hint="eastAsia" w:ascii="仿宋" w:hAnsi="仿宋" w:eastAsia="仿宋" w:cs="仿宋"/>
                <w:sz w:val="2"/>
                <w:szCs w:val="2"/>
              </w:rPr>
            </w:pPr>
          </w:p>
        </w:tc>
        <w:tc>
          <w:tcPr>
            <w:tcW w:w="2037" w:type="dxa"/>
            <w:tcBorders>
              <w:top w:val="single" w:color="auto" w:sz="4" w:space="0"/>
              <w:left w:val="single" w:color="auto" w:sz="4" w:space="0"/>
              <w:bottom w:val="single" w:color="auto" w:sz="4" w:space="0"/>
              <w:right w:val="single" w:color="auto" w:sz="4" w:space="0"/>
            </w:tcBorders>
            <w:vAlign w:val="center"/>
          </w:tcPr>
          <w:p w14:paraId="2DAB6B6B">
            <w:pPr>
              <w:pStyle w:val="22"/>
              <w:widowControl w:val="0"/>
              <w:jc w:val="center"/>
              <w:rPr>
                <w:rFonts w:hint="eastAsia" w:ascii="仿宋" w:hAnsi="仿宋" w:eastAsia="仿宋" w:cs="仿宋"/>
              </w:rPr>
            </w:pPr>
            <w:r>
              <w:rPr>
                <w:rFonts w:hint="eastAsia" w:ascii="仿宋" w:hAnsi="仿宋" w:eastAsia="仿宋" w:cs="仿宋"/>
              </w:rPr>
              <w:t/>
            </w:r>
            <w:r>
              <w:rPr>
                <w:rFonts w:ascii="仿宋" w:hAnsi="仿宋" w:cs="仿宋" w:eastAsia="仿宋"/>
              </w:rPr>
              <w:t>小计</w:t>
            </w:r>
          </w:p>
        </w:tc>
        <w:tc>
          <w:tcPr>
            <w:tcW w:w="1697" w:type="dxa"/>
            <w:tcBorders>
              <w:top w:val="single" w:color="auto" w:sz="4" w:space="0"/>
              <w:left w:val="single" w:color="auto" w:sz="4" w:space="0"/>
              <w:bottom w:val="single" w:color="auto" w:sz="4" w:space="0"/>
              <w:right w:val="single" w:color="auto" w:sz="4" w:space="0"/>
            </w:tcBorders>
            <w:vAlign w:val="center"/>
          </w:tcPr>
          <w:p w14:paraId="6D34F0AB">
            <w:pPr>
              <w:pStyle w:val="22"/>
              <w:widowControl w:val="0"/>
              <w:jc w:val="center"/>
              <w:rPr>
                <w:rFonts w:hint="eastAsia" w:ascii="仿宋" w:hAnsi="仿宋" w:eastAsia="仿宋" w:cs="仿宋"/>
              </w:rPr>
            </w:pPr>
            <w:r>
              <w:rPr>
                <w:rFonts w:hint="eastAsia" w:ascii="仿宋" w:hAnsi="仿宋" w:eastAsia="仿宋" w:cs="仿宋"/>
              </w:rPr>
              <w:t>公务用车购置费</w:t>
            </w:r>
          </w:p>
        </w:tc>
        <w:tc>
          <w:tcPr>
            <w:tcW w:w="1680" w:type="dxa"/>
            <w:tcBorders>
              <w:top w:val="single" w:color="auto" w:sz="4" w:space="0"/>
              <w:left w:val="single" w:color="auto" w:sz="4" w:space="0"/>
              <w:bottom w:val="single" w:color="auto" w:sz="4" w:space="0"/>
              <w:right w:val="single" w:color="auto" w:sz="4" w:space="0"/>
            </w:tcBorders>
            <w:vAlign w:val="center"/>
          </w:tcPr>
          <w:p w14:paraId="6F0F2BAC">
            <w:pPr>
              <w:pStyle w:val="22"/>
              <w:widowControl w:val="0"/>
              <w:jc w:val="center"/>
              <w:rPr>
                <w:rFonts w:hint="eastAsia" w:ascii="仿宋" w:hAnsi="仿宋" w:eastAsia="仿宋" w:cs="仿宋"/>
              </w:rPr>
            </w:pPr>
            <w:r>
              <w:rPr>
                <w:rFonts w:hint="eastAsia" w:ascii="仿宋" w:hAnsi="仿宋" w:eastAsia="仿宋" w:cs="仿宋"/>
              </w:rPr>
              <w:t>公务用车运行</w:t>
            </w:r>
            <w:r>
              <w:rPr>
                <w:rFonts w:hint="eastAsia" w:ascii="仿宋" w:hAnsi="仿宋" w:eastAsia="仿宋" w:cs="仿宋"/>
                <w:lang w:val="en-US" w:eastAsia="zh-CN"/>
              </w:rPr>
              <w:t>维护</w:t>
            </w:r>
            <w:r>
              <w:rPr>
                <w:rFonts w:hint="eastAsia" w:ascii="仿宋" w:hAnsi="仿宋" w:eastAsia="仿宋" w:cs="仿宋"/>
              </w:rPr>
              <w:t>费</w:t>
            </w:r>
          </w:p>
        </w:tc>
        <w:tc>
          <w:tcPr>
            <w:tcW w:w="1852" w:type="dxa"/>
            <w:vMerge w:val="continue"/>
            <w:tcBorders>
              <w:top w:val="single" w:color="auto" w:sz="4" w:space="0"/>
              <w:left w:val="single" w:color="auto" w:sz="4" w:space="0"/>
              <w:bottom w:val="single" w:color="auto" w:sz="4" w:space="0"/>
              <w:right w:val="single" w:color="auto" w:sz="4" w:space="0"/>
            </w:tcBorders>
          </w:tcPr>
          <w:p w14:paraId="48B4809D">
            <w:pPr>
              <w:widowControl w:val="0"/>
              <w:jc w:val="left"/>
              <w:rPr>
                <w:rFonts w:hint="eastAsia" w:ascii="仿宋" w:hAnsi="仿宋" w:eastAsia="仿宋" w:cs="仿宋"/>
                <w:sz w:val="2"/>
                <w:szCs w:val="2"/>
              </w:rPr>
            </w:pPr>
          </w:p>
        </w:tc>
        <w:tc>
          <w:tcPr>
            <w:tcW w:w="2057" w:type="dxa"/>
            <w:vMerge w:val="continue"/>
            <w:tcBorders>
              <w:top w:val="single" w:color="auto" w:sz="4" w:space="0"/>
              <w:left w:val="single" w:color="auto" w:sz="4" w:space="0"/>
              <w:bottom w:val="single" w:color="auto" w:sz="4" w:space="0"/>
              <w:right w:val="single" w:color="auto" w:sz="4" w:space="0"/>
            </w:tcBorders>
          </w:tcPr>
          <w:p w14:paraId="4097DD05">
            <w:pPr>
              <w:widowControl w:val="0"/>
              <w:jc w:val="left"/>
              <w:rPr>
                <w:rFonts w:hint="eastAsia" w:ascii="仿宋" w:hAnsi="仿宋" w:eastAsia="仿宋" w:cs="仿宋"/>
                <w:sz w:val="2"/>
                <w:szCs w:val="2"/>
              </w:rPr>
            </w:pPr>
          </w:p>
        </w:tc>
        <w:tc>
          <w:tcPr>
            <w:tcW w:w="1783" w:type="dxa"/>
            <w:vMerge w:val="continue"/>
            <w:tcBorders>
              <w:top w:val="single" w:color="auto" w:sz="4" w:space="0"/>
              <w:left w:val="single" w:color="auto" w:sz="4" w:space="0"/>
              <w:bottom w:val="single" w:color="auto" w:sz="4" w:space="0"/>
              <w:right w:val="single" w:color="auto" w:sz="4" w:space="0"/>
            </w:tcBorders>
          </w:tcPr>
          <w:p w14:paraId="4A5FCFD1">
            <w:pPr>
              <w:widowControl w:val="0"/>
              <w:jc w:val="left"/>
              <w:rPr>
                <w:rFonts w:hint="eastAsia" w:ascii="仿宋" w:hAnsi="仿宋" w:eastAsia="仿宋" w:cs="仿宋"/>
                <w:sz w:val="2"/>
                <w:szCs w:val="2"/>
              </w:rPr>
            </w:pPr>
          </w:p>
        </w:tc>
      </w:tr>
      <w:tr w14:paraId="1E0DC4E9">
        <w:tblPrEx>
          <w:tblCellMar>
            <w:top w:w="55" w:type="dxa"/>
            <w:left w:w="55" w:type="dxa"/>
            <w:bottom w:w="55" w:type="dxa"/>
            <w:right w:w="55" w:type="dxa"/>
          </w:tblCellMar>
        </w:tblPrEx>
        <w:trPr>
          <w:cantSplit/>
          <w:trHeight w:val="165" w:hRule="atLeast"/>
        </w:trPr>
        <w:tc>
          <w:tcPr>
            <w:tcW w:w="2471" w:type="dxa"/>
            <w:tcBorders>
              <w:top w:val="single" w:color="auto" w:sz="4" w:space="0"/>
              <w:left w:val="single" w:color="auto" w:sz="4" w:space="0"/>
              <w:bottom w:val="single" w:color="auto" w:sz="4" w:space="0"/>
              <w:right w:val="single" w:color="auto" w:sz="4" w:space="0"/>
            </w:tcBorders>
            <w:vAlign w:val="center"/>
          </w:tcPr>
          <w:p w14:paraId="5FAC3463">
            <w:pPr>
              <w:pStyle w:val="22"/>
              <w:widowControl w:val="0"/>
              <w:jc w:val="right"/>
              <w:rPr>
                <w:rFonts w:hint="eastAsia" w:ascii="仿宋" w:hAnsi="仿宋" w:eastAsia="仿宋" w:cs="仿宋"/>
              </w:rPr>
            </w:pPr>
            <w:r>
              <w:rPr>
                <w:rFonts w:hint="eastAsia" w:ascii="仿宋" w:hAnsi="仿宋" w:eastAsia="仿宋" w:cs="仿宋"/>
              </w:rPr>
              <w:t>21.30</w:t>
            </w:r>
          </w:p>
        </w:tc>
        <w:tc>
          <w:tcPr>
            <w:tcW w:w="2332" w:type="dxa"/>
            <w:tcBorders>
              <w:top w:val="single" w:color="auto" w:sz="4" w:space="0"/>
              <w:left w:val="single" w:color="auto" w:sz="4" w:space="0"/>
              <w:bottom w:val="single" w:color="auto" w:sz="4" w:space="0"/>
              <w:right w:val="single" w:color="auto" w:sz="4" w:space="0"/>
            </w:tcBorders>
            <w:vAlign w:val="center"/>
          </w:tcPr>
          <w:p w14:paraId="70149B39">
            <w:pPr>
              <w:pStyle w:val="22"/>
              <w:widowControl w:val="0"/>
              <w:jc w:val="right"/>
              <w:rPr>
                <w:rFonts w:hint="eastAsia" w:ascii="仿宋" w:hAnsi="仿宋" w:eastAsia="仿宋" w:cs="仿宋"/>
              </w:rPr>
            </w:pPr>
            <w:r>
              <w:rPr>
                <w:rFonts w:hint="eastAsia" w:ascii="仿宋" w:hAnsi="仿宋" w:eastAsia="仿宋" w:cs="仿宋"/>
              </w:rPr>
              <w:t>0.00</w:t>
            </w:r>
          </w:p>
        </w:tc>
        <w:tc>
          <w:tcPr>
            <w:tcW w:w="2037" w:type="dxa"/>
            <w:tcBorders>
              <w:top w:val="single" w:color="auto" w:sz="4" w:space="0"/>
              <w:left w:val="single" w:color="auto" w:sz="4" w:space="0"/>
              <w:bottom w:val="single" w:color="auto" w:sz="4" w:space="0"/>
              <w:right w:val="single" w:color="auto" w:sz="4" w:space="0"/>
            </w:tcBorders>
            <w:vAlign w:val="center"/>
          </w:tcPr>
          <w:p w14:paraId="49C502E0">
            <w:pPr>
              <w:pStyle w:val="22"/>
              <w:widowControl w:val="0"/>
              <w:jc w:val="right"/>
              <w:rPr>
                <w:rFonts w:hint="eastAsia" w:ascii="仿宋" w:hAnsi="仿宋" w:eastAsia="仿宋" w:cs="仿宋"/>
              </w:rPr>
            </w:pPr>
            <w:r>
              <w:rPr>
                <w:rFonts w:hint="eastAsia" w:ascii="仿宋" w:hAnsi="仿宋" w:eastAsia="仿宋" w:cs="仿宋"/>
              </w:rPr>
              <w:t>2.50</w:t>
            </w:r>
          </w:p>
        </w:tc>
        <w:tc>
          <w:tcPr>
            <w:tcW w:w="1697" w:type="dxa"/>
            <w:tcBorders>
              <w:top w:val="single" w:color="auto" w:sz="4" w:space="0"/>
              <w:left w:val="single" w:color="auto" w:sz="4" w:space="0"/>
              <w:bottom w:val="single" w:color="auto" w:sz="4" w:space="0"/>
              <w:right w:val="single" w:color="auto" w:sz="4" w:space="0"/>
            </w:tcBorders>
            <w:vAlign w:val="center"/>
          </w:tcPr>
          <w:p w14:paraId="10F36C48">
            <w:pPr>
              <w:pStyle w:val="22"/>
              <w:widowControl w:val="0"/>
              <w:jc w:val="right"/>
              <w:rPr>
                <w:rFonts w:hint="eastAsia" w:ascii="仿宋" w:hAnsi="仿宋" w:eastAsia="仿宋" w:cs="仿宋"/>
              </w:rPr>
            </w:pPr>
            <w:r>
              <w:rPr>
                <w:rFonts w:hint="eastAsia" w:ascii="仿宋" w:hAnsi="仿宋" w:eastAsia="仿宋" w:cs="仿宋"/>
              </w:rPr>
              <w:t>0.00</w:t>
            </w:r>
          </w:p>
        </w:tc>
        <w:tc>
          <w:tcPr>
            <w:tcW w:w="1680" w:type="dxa"/>
            <w:tcBorders>
              <w:top w:val="single" w:color="auto" w:sz="4" w:space="0"/>
              <w:left w:val="single" w:color="auto" w:sz="4" w:space="0"/>
              <w:bottom w:val="single" w:color="auto" w:sz="4" w:space="0"/>
              <w:right w:val="single" w:color="auto" w:sz="4" w:space="0"/>
            </w:tcBorders>
            <w:vAlign w:val="center"/>
          </w:tcPr>
          <w:p w14:paraId="021B69C0">
            <w:pPr>
              <w:pStyle w:val="22"/>
              <w:widowControl w:val="0"/>
              <w:jc w:val="right"/>
              <w:rPr>
                <w:rFonts w:hint="eastAsia" w:ascii="仿宋" w:hAnsi="仿宋" w:eastAsia="仿宋" w:cs="仿宋"/>
              </w:rPr>
            </w:pPr>
            <w:r>
              <w:rPr>
                <w:rFonts w:hint="eastAsia" w:ascii="仿宋" w:hAnsi="仿宋" w:eastAsia="仿宋" w:cs="仿宋"/>
              </w:rPr>
              <w:t>2.50</w:t>
            </w:r>
          </w:p>
        </w:tc>
        <w:tc>
          <w:tcPr>
            <w:tcW w:w="1852" w:type="dxa"/>
            <w:tcBorders>
              <w:top w:val="single" w:color="auto" w:sz="4" w:space="0"/>
              <w:left w:val="single" w:color="auto" w:sz="4" w:space="0"/>
              <w:bottom w:val="single" w:color="auto" w:sz="4" w:space="0"/>
              <w:right w:val="single" w:color="auto" w:sz="4" w:space="0"/>
            </w:tcBorders>
            <w:vAlign w:val="center"/>
          </w:tcPr>
          <w:p w14:paraId="2A253F9B">
            <w:pPr>
              <w:pStyle w:val="22"/>
              <w:widowControl w:val="0"/>
              <w:jc w:val="right"/>
              <w:rPr>
                <w:rFonts w:hint="eastAsia" w:ascii="仿宋" w:hAnsi="仿宋" w:eastAsia="仿宋" w:cs="仿宋"/>
              </w:rPr>
            </w:pPr>
            <w:r>
              <w:rPr>
                <w:rFonts w:hint="eastAsia" w:ascii="仿宋" w:hAnsi="仿宋" w:eastAsia="仿宋" w:cs="仿宋"/>
              </w:rPr>
              <w:t>18.80</w:t>
            </w:r>
          </w:p>
        </w:tc>
        <w:tc>
          <w:tcPr>
            <w:tcW w:w="2057" w:type="dxa"/>
            <w:tcBorders>
              <w:top w:val="single" w:color="auto" w:sz="4" w:space="0"/>
              <w:left w:val="single" w:color="auto" w:sz="4" w:space="0"/>
              <w:bottom w:val="single" w:color="auto" w:sz="4" w:space="0"/>
              <w:right w:val="single" w:color="auto" w:sz="4" w:space="0"/>
            </w:tcBorders>
            <w:vAlign w:val="center"/>
          </w:tcPr>
          <w:p w14:paraId="209A7A6A">
            <w:pPr>
              <w:pStyle w:val="22"/>
              <w:widowControl w:val="0"/>
              <w:jc w:val="right"/>
              <w:rPr>
                <w:rFonts w:hint="eastAsia" w:ascii="仿宋" w:hAnsi="仿宋" w:eastAsia="仿宋" w:cs="仿宋"/>
              </w:rPr>
            </w:pPr>
            <w:r>
              <w:rPr>
                <w:rFonts w:hint="eastAsia" w:ascii="仿宋" w:hAnsi="仿宋" w:eastAsia="仿宋" w:cs="仿宋"/>
              </w:rPr>
              <w:t>15.17</w:t>
            </w:r>
          </w:p>
        </w:tc>
        <w:tc>
          <w:tcPr>
            <w:tcW w:w="1783" w:type="dxa"/>
            <w:tcBorders>
              <w:top w:val="single" w:color="auto" w:sz="4" w:space="0"/>
              <w:left w:val="single" w:color="auto" w:sz="4" w:space="0"/>
              <w:bottom w:val="single" w:color="auto" w:sz="4" w:space="0"/>
              <w:right w:val="single" w:color="auto" w:sz="4" w:space="0"/>
            </w:tcBorders>
            <w:vAlign w:val="center"/>
          </w:tcPr>
          <w:p w14:paraId="0455D567">
            <w:pPr>
              <w:pStyle w:val="22"/>
              <w:widowControl w:val="0"/>
              <w:jc w:val="right"/>
              <w:rPr>
                <w:rFonts w:hint="eastAsia" w:ascii="仿宋" w:hAnsi="仿宋" w:eastAsia="仿宋" w:cs="仿宋"/>
              </w:rPr>
            </w:pPr>
            <w:r>
              <w:rPr>
                <w:rFonts w:hint="eastAsia" w:ascii="仿宋" w:hAnsi="仿宋" w:eastAsia="仿宋" w:cs="仿宋"/>
              </w:rPr>
              <w:t>8.23</w:t>
            </w:r>
          </w:p>
        </w:tc>
      </w:tr>
    </w:tbl>
    <w:p w14:paraId="633D90CA">
      <w:pPr>
        <w:widowControl w:val="0"/>
        <w:suppressAutoHyphens/>
        <w:bidi w:val="0"/>
        <w:spacing w:before="0" w:after="0"/>
        <w:ind w:left="227" w:right="0" w:firstLine="221" w:firstLineChars="100"/>
        <w:jc w:val="left"/>
        <w:rPr>
          <w:rFonts w:hint="eastAsia" w:ascii="仿宋" w:hAnsi="仿宋" w:eastAsia="仿宋" w:cs="仿宋"/>
          <w:b/>
          <w:bCs/>
          <w:sz w:val="22"/>
          <w:szCs w:val="22"/>
        </w:rPr>
        <w:sectPr>
          <w:footerReference r:id="rId16"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0812" w:type="dxa"/>
        <w:tblInd w:w="-106" w:type="dxa"/>
        <w:tblLayout w:type="fixed"/>
        <w:tblCellMar>
          <w:top w:w="55" w:type="dxa"/>
          <w:left w:w="55" w:type="dxa"/>
          <w:bottom w:w="55" w:type="dxa"/>
          <w:right w:w="55" w:type="dxa"/>
        </w:tblCellMar>
      </w:tblPr>
      <w:tblGrid>
        <w:gridCol w:w="1618"/>
        <w:gridCol w:w="2834"/>
        <w:gridCol w:w="1783"/>
        <w:gridCol w:w="2092"/>
        <w:gridCol w:w="2485"/>
      </w:tblGrid>
      <w:tr w14:paraId="62805DB4">
        <w:tblPrEx>
          <w:tblCellMar>
            <w:top w:w="55" w:type="dxa"/>
            <w:left w:w="55" w:type="dxa"/>
            <w:bottom w:w="55" w:type="dxa"/>
            <w:right w:w="55" w:type="dxa"/>
          </w:tblCellMar>
        </w:tblPrEx>
        <w:trPr>
          <w:trHeight w:val="213" w:hRule="atLeast"/>
        </w:trPr>
        <w:tc>
          <w:tcPr>
            <w:tcW w:w="10812" w:type="dxa"/>
            <w:gridSpan w:val="5"/>
            <w:tcBorders>
              <w:top w:val="nil"/>
              <w:left w:val="nil"/>
              <w:bottom w:val="nil"/>
              <w:right w:val="nil"/>
            </w:tcBorders>
            <w:vAlign w:val="center"/>
          </w:tcPr>
          <w:p w14:paraId="15636E86">
            <w:pPr>
              <w:pStyle w:val="22"/>
              <w:widowControl w:val="0"/>
              <w:jc w:val="left"/>
              <w:rPr>
                <w:rFonts w:hint="eastAsia" w:ascii="仿宋" w:hAnsi="仿宋" w:eastAsia="仿宋" w:cs="仿宋"/>
              </w:rPr>
            </w:pPr>
            <w:r>
              <w:rPr>
                <w:rFonts w:hint="eastAsia" w:ascii="仿宋" w:hAnsi="仿宋" w:eastAsia="仿宋" w:cs="仿宋"/>
              </w:rPr>
              <w:t>公开</w:t>
            </w:r>
            <w:r>
              <w:rPr>
                <w:rFonts w:hint="eastAsia" w:ascii="仿宋" w:hAnsi="仿宋" w:eastAsia="仿宋" w:cs="仿宋"/>
                <w:lang w:val="en-US" w:eastAsia="zh-CN"/>
              </w:rPr>
              <w:t>10</w:t>
            </w:r>
            <w:r>
              <w:rPr>
                <w:rFonts w:hint="eastAsia" w:ascii="仿宋" w:hAnsi="仿宋" w:eastAsia="仿宋" w:cs="仿宋"/>
              </w:rPr>
              <w:t>表</w:t>
            </w:r>
          </w:p>
        </w:tc>
      </w:tr>
      <w:tr w14:paraId="6EED4EA3">
        <w:tblPrEx>
          <w:tblCellMar>
            <w:top w:w="55" w:type="dxa"/>
            <w:left w:w="55" w:type="dxa"/>
            <w:bottom w:w="55" w:type="dxa"/>
            <w:right w:w="55" w:type="dxa"/>
          </w:tblCellMar>
        </w:tblPrEx>
        <w:trPr>
          <w:trHeight w:val="213" w:hRule="atLeast"/>
        </w:trPr>
        <w:tc>
          <w:tcPr>
            <w:tcW w:w="10812" w:type="dxa"/>
            <w:gridSpan w:val="5"/>
            <w:tcBorders>
              <w:top w:val="nil"/>
              <w:left w:val="nil"/>
              <w:bottom w:val="nil"/>
              <w:right w:val="nil"/>
            </w:tcBorders>
            <w:vAlign w:val="center"/>
          </w:tcPr>
          <w:p w14:paraId="1C7C957B">
            <w:pPr>
              <w:pStyle w:val="22"/>
              <w:widowControl w:val="0"/>
              <w:jc w:val="center"/>
              <w:rPr>
                <w:rFonts w:hint="eastAsia" w:ascii="仿宋" w:hAnsi="仿宋" w:eastAsia="仿宋" w:cs="仿宋"/>
              </w:rPr>
            </w:pPr>
            <w:r>
              <w:rPr>
                <w:rFonts w:hint="eastAsia" w:ascii="仿宋" w:hAnsi="仿宋" w:eastAsia="仿宋" w:cs="仿宋"/>
                <w:b/>
                <w:bCs/>
                <w:sz w:val="44"/>
                <w:szCs w:val="44"/>
              </w:rPr>
              <w:t>政府性基金预算支出表</w:t>
            </w:r>
          </w:p>
        </w:tc>
      </w:tr>
      <w:tr w14:paraId="51688803">
        <w:tblPrEx>
          <w:tblCellMar>
            <w:top w:w="55" w:type="dxa"/>
            <w:left w:w="55" w:type="dxa"/>
            <w:bottom w:w="55" w:type="dxa"/>
            <w:right w:w="55" w:type="dxa"/>
          </w:tblCellMar>
        </w:tblPrEx>
        <w:trPr>
          <w:trHeight w:val="213" w:hRule="atLeast"/>
        </w:trPr>
        <w:tc>
          <w:tcPr>
            <w:tcW w:w="8327" w:type="dxa"/>
            <w:gridSpan w:val="4"/>
            <w:tcBorders>
              <w:top w:val="nil"/>
              <w:left w:val="nil"/>
              <w:bottom w:val="single" w:color="auto" w:sz="4" w:space="0"/>
              <w:right w:val="nil"/>
            </w:tcBorders>
            <w:vAlign w:val="center"/>
          </w:tcPr>
          <w:p w14:paraId="7A598C4F">
            <w:pPr>
              <w:pStyle w:val="22"/>
              <w:widowControl w:val="0"/>
              <w:jc w:val="left"/>
              <w:rPr>
                <w:rFonts w:hint="eastAsia" w:ascii="仿宋" w:hAnsi="仿宋" w:eastAsia="仿宋" w:cs="仿宋"/>
              </w:rPr>
            </w:pPr>
            <w:r>
              <w:rPr>
                <w:rFonts w:hint="eastAsia" w:ascii="仿宋" w:hAnsi="仿宋" w:eastAsia="仿宋" w:cs="仿宋"/>
                <w:color w:val="000000"/>
                <w:sz w:val="22"/>
                <w:szCs w:val="22"/>
                <w:lang w:eastAsia="zh-CN"/>
              </w:rPr>
              <w:t>部门</w:t>
            </w:r>
            <w:r>
              <w:rPr>
                <w:rFonts w:ascii="仿宋" w:hAnsi="仿宋" w:cs="仿宋" w:eastAsia="仿宋"/>
                <w:color w:val="000000"/>
                <w:sz w:val="22"/>
              </w:rPr>
              <w:t>：</w:t>
            </w:r>
            <w:r>
              <w:rPr>
                <w:rFonts w:hint="eastAsia" w:ascii="仿宋" w:hAnsi="仿宋" w:eastAsia="仿宋" w:cs="仿宋"/>
              </w:rPr>
              <w:t>江阴市商务局</w:t>
            </w:r>
          </w:p>
        </w:tc>
        <w:tc>
          <w:tcPr>
            <w:tcW w:w="2485" w:type="dxa"/>
            <w:tcBorders>
              <w:top w:val="nil"/>
              <w:left w:val="nil"/>
              <w:bottom w:val="single" w:color="auto" w:sz="4" w:space="0"/>
              <w:right w:val="nil"/>
            </w:tcBorders>
            <w:vAlign w:val="center"/>
          </w:tcPr>
          <w:p w14:paraId="3147BBD4">
            <w:pPr>
              <w:pStyle w:val="22"/>
              <w:widowControl w:val="0"/>
              <w:jc w:val="right"/>
              <w:rPr>
                <w:rFonts w:hint="eastAsia" w:ascii="仿宋" w:hAnsi="仿宋" w:eastAsia="仿宋" w:cs="仿宋"/>
              </w:rPr>
            </w:pPr>
            <w:r>
              <w:rPr>
                <w:rFonts w:hint="eastAsia" w:ascii="仿宋" w:hAnsi="仿宋" w:eastAsia="仿宋" w:cs="仿宋"/>
              </w:rPr>
              <w:t>单位：万元</w:t>
            </w:r>
          </w:p>
        </w:tc>
      </w:tr>
      <w:tr w14:paraId="36644733">
        <w:tblPrEx>
          <w:tblCellMar>
            <w:top w:w="55" w:type="dxa"/>
            <w:left w:w="55" w:type="dxa"/>
            <w:bottom w:w="55" w:type="dxa"/>
            <w:right w:w="55" w:type="dxa"/>
          </w:tblCellMar>
        </w:tblPrEx>
        <w:trPr>
          <w:trHeight w:val="187" w:hRule="atLeast"/>
        </w:trPr>
        <w:tc>
          <w:tcPr>
            <w:tcW w:w="1618" w:type="dxa"/>
            <w:vMerge w:val="restart"/>
            <w:tcBorders>
              <w:top w:val="single" w:color="auto" w:sz="4" w:space="0"/>
              <w:left w:val="single" w:color="auto" w:sz="4" w:space="0"/>
              <w:right w:val="single" w:color="auto" w:sz="4" w:space="0"/>
            </w:tcBorders>
            <w:vAlign w:val="center"/>
          </w:tcPr>
          <w:p w14:paraId="139A3874">
            <w:pPr>
              <w:pStyle w:val="22"/>
              <w:widowControl w:val="0"/>
              <w:jc w:val="center"/>
              <w:rPr>
                <w:rFonts w:hint="eastAsia" w:ascii="仿宋" w:hAnsi="仿宋" w:eastAsia="仿宋" w:cs="仿宋"/>
              </w:rPr>
            </w:pPr>
            <w:r>
              <w:rPr>
                <w:rFonts w:hint="eastAsia" w:ascii="仿宋" w:hAnsi="仿宋" w:eastAsia="仿宋" w:cs="仿宋"/>
              </w:rPr>
              <w:t>科目编码</w:t>
            </w:r>
          </w:p>
        </w:tc>
        <w:tc>
          <w:tcPr>
            <w:tcW w:w="2834" w:type="dxa"/>
            <w:vMerge w:val="restart"/>
            <w:tcBorders>
              <w:top w:val="single" w:color="auto" w:sz="4" w:space="0"/>
              <w:left w:val="single" w:color="auto" w:sz="4" w:space="0"/>
              <w:right w:val="single" w:color="auto" w:sz="4" w:space="0"/>
            </w:tcBorders>
            <w:vAlign w:val="center"/>
          </w:tcPr>
          <w:p w14:paraId="699CEF7D">
            <w:pPr>
              <w:pStyle w:val="22"/>
              <w:widowControl w:val="0"/>
              <w:jc w:val="center"/>
              <w:rPr>
                <w:rFonts w:hint="eastAsia" w:ascii="仿宋" w:hAnsi="仿宋" w:eastAsia="仿宋" w:cs="仿宋"/>
              </w:rPr>
            </w:pPr>
            <w:r>
              <w:rPr>
                <w:rFonts w:hint="eastAsia" w:ascii="仿宋" w:hAnsi="仿宋" w:eastAsia="仿宋" w:cs="仿宋"/>
              </w:rPr>
              <w:t>科目名称</w:t>
            </w:r>
          </w:p>
        </w:tc>
        <w:tc>
          <w:tcPr>
            <w:tcW w:w="6360" w:type="dxa"/>
            <w:gridSpan w:val="3"/>
            <w:tcBorders>
              <w:top w:val="single" w:color="auto" w:sz="4" w:space="0"/>
              <w:left w:val="single" w:color="auto" w:sz="4" w:space="0"/>
              <w:bottom w:val="single" w:color="auto" w:sz="4" w:space="0"/>
              <w:right w:val="single" w:color="auto" w:sz="4" w:space="0"/>
            </w:tcBorders>
            <w:vAlign w:val="center"/>
          </w:tcPr>
          <w:p w14:paraId="696DDF51">
            <w:pPr>
              <w:pStyle w:val="22"/>
              <w:widowControl w:val="0"/>
              <w:jc w:val="center"/>
              <w:rPr>
                <w:rFonts w:hint="eastAsia" w:ascii="仿宋" w:hAnsi="仿宋" w:eastAsia="仿宋" w:cs="仿宋"/>
              </w:rPr>
            </w:pPr>
            <w:r>
              <w:rPr>
                <w:rFonts w:hint="eastAsia" w:ascii="仿宋" w:hAnsi="仿宋" w:eastAsia="仿宋" w:cs="仿宋"/>
              </w:rPr>
              <w:t>本年政府性基金预算支出</w:t>
            </w:r>
          </w:p>
        </w:tc>
      </w:tr>
      <w:tr w14:paraId="2A031337">
        <w:tblPrEx>
          <w:tblCellMar>
            <w:top w:w="55" w:type="dxa"/>
            <w:left w:w="55" w:type="dxa"/>
            <w:bottom w:w="55" w:type="dxa"/>
            <w:right w:w="55" w:type="dxa"/>
          </w:tblCellMar>
        </w:tblPrEx>
        <w:trPr>
          <w:trHeight w:val="139" w:hRule="atLeast"/>
        </w:trPr>
        <w:tc>
          <w:tcPr>
            <w:tcW w:w="1618" w:type="dxa"/>
            <w:vMerge w:val="continue"/>
            <w:tcBorders>
              <w:left w:val="single" w:color="auto" w:sz="4" w:space="0"/>
              <w:bottom w:val="single" w:color="auto" w:sz="4" w:space="0"/>
              <w:right w:val="single" w:color="auto" w:sz="4" w:space="0"/>
            </w:tcBorders>
            <w:vAlign w:val="center"/>
          </w:tcPr>
          <w:p w14:paraId="0291B8E1">
            <w:pPr>
              <w:pStyle w:val="22"/>
              <w:widowControl w:val="0"/>
              <w:jc w:val="center"/>
              <w:rPr>
                <w:rFonts w:hint="eastAsia" w:ascii="仿宋" w:hAnsi="仿宋" w:eastAsia="仿宋" w:cs="仿宋"/>
              </w:rPr>
            </w:pPr>
          </w:p>
        </w:tc>
        <w:tc>
          <w:tcPr>
            <w:tcW w:w="2834" w:type="dxa"/>
            <w:vMerge w:val="continue"/>
            <w:tcBorders>
              <w:left w:val="single" w:color="auto" w:sz="4" w:space="0"/>
              <w:bottom w:val="single" w:color="auto" w:sz="4" w:space="0"/>
              <w:right w:val="single" w:color="auto" w:sz="4" w:space="0"/>
            </w:tcBorders>
            <w:vAlign w:val="center"/>
          </w:tcPr>
          <w:p w14:paraId="40D2FDA2">
            <w:pPr>
              <w:pStyle w:val="22"/>
              <w:widowControl w:val="0"/>
              <w:jc w:val="center"/>
              <w:rPr>
                <w:rFonts w:hint="eastAsia" w:ascii="仿宋" w:hAnsi="仿宋" w:eastAsia="仿宋" w:cs="仿宋"/>
              </w:rPr>
            </w:pPr>
          </w:p>
        </w:tc>
        <w:tc>
          <w:tcPr>
            <w:tcW w:w="1783" w:type="dxa"/>
            <w:tcBorders>
              <w:top w:val="single" w:color="auto" w:sz="4" w:space="0"/>
              <w:left w:val="single" w:color="auto" w:sz="4" w:space="0"/>
              <w:bottom w:val="single" w:color="auto" w:sz="4" w:space="0"/>
              <w:right w:val="single" w:color="auto" w:sz="4" w:space="0"/>
            </w:tcBorders>
            <w:vAlign w:val="center"/>
          </w:tcPr>
          <w:p w14:paraId="7625D4FC">
            <w:pPr>
              <w:pStyle w:val="22"/>
              <w:widowControl w:val="0"/>
              <w:jc w:val="center"/>
              <w:rPr>
                <w:rFonts w:hint="default" w:ascii="仿宋" w:hAnsi="仿宋" w:eastAsia="仿宋" w:cs="仿宋"/>
                <w:lang w:val="en-US" w:eastAsia="zh-CN"/>
              </w:rPr>
            </w:pPr>
            <w:r>
              <w:rPr>
                <w:rFonts w:hint="eastAsia" w:ascii="仿宋" w:hAnsi="仿宋" w:eastAsia="仿宋" w:cs="仿宋"/>
                <w:lang w:val="en-US" w:eastAsia="zh-CN"/>
              </w:rPr>
              <w:t>合计</w:t>
            </w:r>
          </w:p>
        </w:tc>
        <w:tc>
          <w:tcPr>
            <w:tcW w:w="2092" w:type="dxa"/>
            <w:tcBorders>
              <w:top w:val="single" w:color="auto" w:sz="4" w:space="0"/>
              <w:left w:val="single" w:color="auto" w:sz="4" w:space="0"/>
              <w:bottom w:val="single" w:color="auto" w:sz="4" w:space="0"/>
              <w:right w:val="single" w:color="auto" w:sz="4" w:space="0"/>
            </w:tcBorders>
            <w:vAlign w:val="center"/>
          </w:tcPr>
          <w:p w14:paraId="509FCBF0">
            <w:pPr>
              <w:pStyle w:val="22"/>
              <w:widowControl w:val="0"/>
              <w:jc w:val="center"/>
              <w:rPr>
                <w:rFonts w:hint="eastAsia" w:ascii="仿宋" w:hAnsi="仿宋" w:eastAsia="仿宋" w:cs="仿宋"/>
              </w:rPr>
            </w:pPr>
            <w:r>
              <w:rPr>
                <w:rFonts w:hint="eastAsia" w:ascii="仿宋" w:hAnsi="仿宋" w:eastAsia="仿宋" w:cs="仿宋"/>
              </w:rPr>
              <w:t>基本支出</w:t>
            </w:r>
          </w:p>
        </w:tc>
        <w:tc>
          <w:tcPr>
            <w:tcW w:w="2485" w:type="dxa"/>
            <w:tcBorders>
              <w:top w:val="single" w:color="auto" w:sz="4" w:space="0"/>
              <w:left w:val="single" w:color="auto" w:sz="4" w:space="0"/>
              <w:bottom w:val="single" w:color="auto" w:sz="4" w:space="0"/>
              <w:right w:val="single" w:color="auto" w:sz="4" w:space="0"/>
            </w:tcBorders>
            <w:vAlign w:val="center"/>
          </w:tcPr>
          <w:p w14:paraId="7EAB88D3">
            <w:pPr>
              <w:pStyle w:val="22"/>
              <w:widowControl w:val="0"/>
              <w:jc w:val="center"/>
              <w:rPr>
                <w:rFonts w:hint="eastAsia" w:ascii="仿宋" w:hAnsi="仿宋" w:eastAsia="仿宋" w:cs="仿宋"/>
              </w:rPr>
            </w:pPr>
            <w:r>
              <w:rPr>
                <w:rFonts w:hint="eastAsia" w:ascii="仿宋" w:hAnsi="仿宋" w:eastAsia="仿宋" w:cs="仿宋"/>
              </w:rPr>
              <w:t>项目支出</w:t>
            </w:r>
          </w:p>
        </w:tc>
      </w:tr>
      <w:tr w14:paraId="5A7DB80A">
        <w:tblPrEx>
          <w:tblCellMar>
            <w:top w:w="55" w:type="dxa"/>
            <w:left w:w="55" w:type="dxa"/>
            <w:bottom w:w="55" w:type="dxa"/>
            <w:right w:w="55" w:type="dxa"/>
          </w:tblCellMar>
        </w:tblPrEx>
        <w:trPr>
          <w:trHeight w:val="462" w:hRule="atLeast"/>
        </w:trPr>
        <w:tc>
          <w:tcPr>
            <w:tcW w:w="1618" w:type="dxa"/>
            <w:tcBorders>
              <w:top w:val="single" w:color="auto" w:sz="4" w:space="0"/>
              <w:left w:val="single" w:color="auto" w:sz="4" w:space="0"/>
              <w:bottom w:val="single" w:color="auto" w:sz="4" w:space="0"/>
              <w:right w:val="single" w:color="auto" w:sz="4" w:space="0"/>
            </w:tcBorders>
            <w:vAlign w:val="center"/>
          </w:tcPr>
          <w:p w14:paraId="14C9CFFF">
            <w:pPr>
              <w:pStyle w:val="22"/>
              <w:widowControl w:val="0"/>
              <w:jc w:val="center"/>
              <w:rPr>
                <w:rFonts w:hint="eastAsia" w:ascii="仿宋" w:hAnsi="仿宋" w:eastAsia="仿宋" w:cs="仿宋"/>
              </w:rPr>
            </w:pPr>
            <w:r>
              <w:rPr>
                <w:rFonts w:hint="eastAsia" w:ascii="仿宋" w:hAnsi="仿宋" w:eastAsia="仿宋" w:cs="仿宋"/>
              </w:rPr>
              <w:t/>
            </w:r>
          </w:p>
        </w:tc>
        <w:tc>
          <w:tcPr>
            <w:tcW w:w="2834" w:type="dxa"/>
            <w:tcBorders>
              <w:top w:val="single" w:color="auto" w:sz="4" w:space="0"/>
              <w:left w:val="single" w:color="auto" w:sz="4" w:space="0"/>
              <w:bottom w:val="single" w:color="auto" w:sz="4" w:space="0"/>
              <w:right w:val="single" w:color="auto" w:sz="4" w:space="0"/>
            </w:tcBorders>
            <w:vAlign w:val="center"/>
          </w:tcPr>
          <w:p w14:paraId="215C3078">
            <w:pPr>
              <w:pStyle w:val="22"/>
              <w:widowControl w:val="0"/>
              <w:jc w:val="center"/>
              <w:rPr>
                <w:rFonts w:hint="eastAsia" w:ascii="仿宋" w:hAnsi="仿宋" w:eastAsia="仿宋" w:cs="仿宋"/>
                <w:lang w:val="en-US" w:eastAsia="zh-CN"/>
              </w:rPr>
            </w:pPr>
            <w:r>
              <w:rPr>
                <w:rFonts w:hint="eastAsia" w:ascii="仿宋" w:hAnsi="仿宋" w:eastAsia="仿宋" w:cs="仿宋"/>
                <w:lang w:val="en-US" w:eastAsia="zh-CN"/>
              </w:rPr>
              <w:t>合计</w:t>
            </w:r>
          </w:p>
        </w:tc>
        <w:tc>
          <w:tcPr>
            <w:tcW w:w="1783" w:type="dxa"/>
            <w:tcBorders>
              <w:top w:val="single" w:color="auto" w:sz="4" w:space="0"/>
              <w:left w:val="single" w:color="auto" w:sz="4" w:space="0"/>
              <w:bottom w:val="single" w:color="auto" w:sz="4" w:space="0"/>
              <w:right w:val="single" w:color="auto" w:sz="4" w:space="0"/>
            </w:tcBorders>
            <w:vAlign w:val="center"/>
          </w:tcPr>
          <w:p w14:paraId="430CBA39">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092" w:type="dxa"/>
            <w:tcBorders>
              <w:top w:val="single" w:color="auto" w:sz="4" w:space="0"/>
              <w:left w:val="single" w:color="auto" w:sz="4" w:space="0"/>
              <w:bottom w:val="single" w:color="auto" w:sz="4" w:space="0"/>
              <w:right w:val="single" w:color="auto" w:sz="4" w:space="0"/>
            </w:tcBorders>
            <w:vAlign w:val="center"/>
          </w:tcPr>
          <w:p w14:paraId="2E533D50">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485" w:type="dxa"/>
            <w:tcBorders>
              <w:top w:val="single" w:color="auto" w:sz="4" w:space="0"/>
              <w:left w:val="single" w:color="auto" w:sz="4" w:space="0"/>
              <w:bottom w:val="single" w:color="auto" w:sz="4" w:space="0"/>
              <w:right w:val="single" w:color="auto" w:sz="4" w:space="0"/>
            </w:tcBorders>
            <w:vAlign w:val="center"/>
          </w:tcPr>
          <w:p w14:paraId="755F292C">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r>
      <w:tr w14:paraId="736E2B16">
        <w:tblPrEx>
          <w:tblCellMar>
            <w:top w:w="55" w:type="dxa"/>
            <w:left w:w="55" w:type="dxa"/>
            <w:bottom w:w="55" w:type="dxa"/>
            <w:right w:w="55" w:type="dxa"/>
          </w:tblCellMar>
        </w:tblPrEx>
        <w:trPr>
          <w:cantSplit/>
          <w:trHeight w:val="250" w:hRule="atLeast"/>
        </w:trPr>
        <w:tc>
          <w:tcPr>
            <w:tcW w:w="1618" w:type="dxa"/>
            <w:tcBorders>
              <w:top w:val="single" w:color="auto" w:sz="4" w:space="0"/>
              <w:left w:val="single" w:color="auto" w:sz="4" w:space="0"/>
              <w:bottom w:val="single" w:color="auto" w:sz="4" w:space="0"/>
              <w:right w:val="single" w:color="auto" w:sz="4" w:space="0"/>
            </w:tcBorders>
            <w:vAlign w:val="center"/>
          </w:tcPr>
          <w:p w14:paraId="22584B85">
            <w:pPr>
              <w:widowControl w:val="0"/>
              <w:jc w:val="lef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834" w:type="dxa"/>
            <w:tcBorders>
              <w:top w:val="single" w:color="auto" w:sz="4" w:space="0"/>
              <w:left w:val="single" w:color="auto" w:sz="4" w:space="0"/>
              <w:bottom w:val="single" w:color="auto" w:sz="4" w:space="0"/>
              <w:right w:val="single" w:color="auto" w:sz="4" w:space="0"/>
            </w:tcBorders>
            <w:vAlign w:val="center"/>
          </w:tcPr>
          <w:p w14:paraId="5B20A601">
            <w:pPr>
              <w:widowControl w:val="0"/>
              <w:jc w:val="lef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1783" w:type="dxa"/>
            <w:tcBorders>
              <w:top w:val="single" w:color="auto" w:sz="4" w:space="0"/>
              <w:left w:val="single" w:color="auto" w:sz="4" w:space="0"/>
              <w:bottom w:val="single" w:color="auto" w:sz="4" w:space="0"/>
              <w:right w:val="single" w:color="auto" w:sz="4" w:space="0"/>
            </w:tcBorders>
            <w:vAlign w:val="center"/>
          </w:tcPr>
          <w:p w14:paraId="7EB45BA1">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092" w:type="dxa"/>
            <w:tcBorders>
              <w:top w:val="single" w:color="auto" w:sz="4" w:space="0"/>
              <w:left w:val="single" w:color="auto" w:sz="4" w:space="0"/>
              <w:bottom w:val="single" w:color="auto" w:sz="4" w:space="0"/>
              <w:right w:val="single" w:color="auto" w:sz="4" w:space="0"/>
            </w:tcBorders>
            <w:vAlign w:val="center"/>
          </w:tcPr>
          <w:p w14:paraId="24188B76">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485" w:type="dxa"/>
            <w:tcBorders>
              <w:top w:val="single" w:color="auto" w:sz="4" w:space="0"/>
              <w:left w:val="single" w:color="auto" w:sz="4" w:space="0"/>
              <w:bottom w:val="single" w:color="auto" w:sz="4" w:space="0"/>
              <w:right w:val="single" w:color="auto" w:sz="4" w:space="0"/>
            </w:tcBorders>
            <w:vAlign w:val="center"/>
          </w:tcPr>
          <w:p w14:paraId="6EED0780">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r>
      <w:tr w14:paraId="736E2B16">
        <w:tblPrEx>
          <w:tblCellMar>
            <w:top w:w="55" w:type="dxa"/>
            <w:left w:w="55" w:type="dxa"/>
            <w:bottom w:w="55" w:type="dxa"/>
            <w:right w:w="55" w:type="dxa"/>
          </w:tblCellMar>
        </w:tblPrEx>
        <w:trPr>
          <w:cantSplit/>
          <w:trHeight w:val="250" w:hRule="atLeast"/>
        </w:trPr>
        <w:tc>
          <w:tcPr>
            <w:tcW w:w="1618" w:type="dxa"/>
            <w:tcBorders>
              <w:top w:val="single" w:color="auto" w:sz="4" w:space="0"/>
              <w:left w:val="single" w:color="auto" w:sz="4" w:space="0"/>
              <w:bottom w:val="single" w:color="auto" w:sz="4" w:space="0"/>
              <w:right w:val="single" w:color="auto" w:sz="4" w:space="0"/>
            </w:tcBorders>
            <w:vAlign w:val="center"/>
          </w:tcPr>
          <w:p w14:paraId="22584B85">
            <w:pPr>
              <w:widowControl w:val="0"/>
              <w:jc w:val="lef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834" w:type="dxa"/>
            <w:tcBorders>
              <w:top w:val="single" w:color="auto" w:sz="4" w:space="0"/>
              <w:left w:val="single" w:color="auto" w:sz="4" w:space="0"/>
              <w:bottom w:val="single" w:color="auto" w:sz="4" w:space="0"/>
              <w:right w:val="single" w:color="auto" w:sz="4" w:space="0"/>
            </w:tcBorders>
            <w:vAlign w:val="center"/>
          </w:tcPr>
          <w:p w14:paraId="5B20A601">
            <w:pPr>
              <w:widowControl w:val="0"/>
              <w:jc w:val="lef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1783" w:type="dxa"/>
            <w:tcBorders>
              <w:top w:val="single" w:color="auto" w:sz="4" w:space="0"/>
              <w:left w:val="single" w:color="auto" w:sz="4" w:space="0"/>
              <w:bottom w:val="single" w:color="auto" w:sz="4" w:space="0"/>
              <w:right w:val="single" w:color="auto" w:sz="4" w:space="0"/>
            </w:tcBorders>
            <w:vAlign w:val="center"/>
          </w:tcPr>
          <w:p w14:paraId="7EB45BA1">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092" w:type="dxa"/>
            <w:tcBorders>
              <w:top w:val="single" w:color="auto" w:sz="4" w:space="0"/>
              <w:left w:val="single" w:color="auto" w:sz="4" w:space="0"/>
              <w:bottom w:val="single" w:color="auto" w:sz="4" w:space="0"/>
              <w:right w:val="single" w:color="auto" w:sz="4" w:space="0"/>
            </w:tcBorders>
            <w:vAlign w:val="center"/>
          </w:tcPr>
          <w:p w14:paraId="24188B76">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485" w:type="dxa"/>
            <w:tcBorders>
              <w:top w:val="single" w:color="auto" w:sz="4" w:space="0"/>
              <w:left w:val="single" w:color="auto" w:sz="4" w:space="0"/>
              <w:bottom w:val="single" w:color="auto" w:sz="4" w:space="0"/>
              <w:right w:val="single" w:color="auto" w:sz="4" w:space="0"/>
            </w:tcBorders>
            <w:vAlign w:val="center"/>
          </w:tcPr>
          <w:p w14:paraId="6EED0780">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r>
    </w:tbl>
    <w:p w14:paraId="6E6DB1B1">
      <w:pPr>
        <w:numPr>
          <w:ilvl w:val="0"/>
          <w:numId w:val="0"/>
        </w:numPr>
        <w:spacing w:before="25" w:after="0"/>
        <w:rPr>
          <w:rFonts w:hint="default" w:ascii="仿宋" w:hAnsi="仿宋" w:eastAsia="仿宋" w:cs="仿宋"/>
          <w:b/>
          <w:bCs/>
          <w:sz w:val="22"/>
          <w:szCs w:val="22"/>
          <w:lang w:val="en-US" w:eastAsia="zh-CN"/>
        </w:rPr>
      </w:pPr>
      <w:r>
        <w:rPr>
          <w:rFonts w:hint="eastAsia" w:ascii="仿宋" w:hAnsi="仿宋" w:eastAsia="仿宋" w:cs="仿宋"/>
          <w:b/>
          <w:bCs/>
          <w:sz w:val="22"/>
          <w:szCs w:val="22"/>
          <w:lang w:val="en-US" w:eastAsia="zh-CN"/>
        </w:rPr>
        <w:t/>
      </w:r>
      <w:r>
        <w:rPr>
          <w:rFonts w:hint="eastAsia" w:ascii="仿宋" w:hAnsi="仿宋" w:eastAsia="仿宋" w:cs="仿宋"/>
          <w:b/>
          <w:bCs/>
          <w:sz w:val="22"/>
          <w:szCs w:val="22"/>
        </w:rPr>
        <w:t>注：</w:t>
      </w:r>
      <w:r>
        <w:rPr>
          <w:rFonts w:hint="eastAsia" w:ascii="仿宋" w:hAnsi="仿宋" w:eastAsia="仿宋" w:cs="仿宋"/>
          <w:b/>
          <w:bCs/>
          <w:sz w:val="22"/>
          <w:szCs w:val="22"/>
          <w:lang w:val="en-US" w:eastAsia="zh-CN"/>
        </w:rPr>
        <w:t>本</w:t>
      </w:r>
      <w:r>
        <w:rPr>
          <w:rFonts w:ascii="仿宋" w:hAnsi="仿宋" w:cs="仿宋" w:eastAsia="仿宋"/>
          <w:b w:val="true"/>
          <w:sz w:val="22"/>
        </w:rPr>
        <w:t>部门</w:t>
      </w:r>
      <w:r>
        <w:rPr>
          <w:rFonts w:ascii="仿宋" w:hAnsi="仿宋" w:cs="仿宋" w:eastAsia="仿宋"/>
          <w:b w:val="true"/>
          <w:sz w:val="22"/>
        </w:rPr>
        <w:t>无政府性基金预算，也没有使用政府性基金安排的支出，故本表无数据。</w:t>
      </w:r>
      <w:r>
        <w:rPr>
          <w:rFonts w:ascii="仿宋" w:hAnsi="仿宋" w:cs="仿宋" w:eastAsia="仿宋"/>
          <w:b w:val="true"/>
          <w:sz w:val="22"/>
        </w:rPr>
        <w:t/>
      </w:r>
    </w:p>
    <w:p w14:paraId="6A70A19F">
      <w:pPr>
        <w:widowControl w:val="0"/>
        <w:numPr>
          <w:ilvl w:val="0"/>
          <w:numId w:val="0"/>
        </w:numPr>
        <w:suppressAutoHyphens/>
        <w:bidi w:val="0"/>
        <w:spacing w:before="25" w:after="0"/>
        <w:jc w:val="left"/>
        <w:rPr>
          <w:rFonts w:hint="default" w:ascii="仿宋" w:hAnsi="仿宋" w:eastAsia="仿宋" w:cs="仿宋"/>
          <w:b/>
          <w:bCs/>
          <w:sz w:val="22"/>
          <w:szCs w:val="22"/>
          <w:lang w:val="en-US" w:eastAsia="zh-CN"/>
        </w:rPr>
        <w:sectPr>
          <w:footerReference r:id="rId17" w:type="default"/>
          <w:pgSz w:w="11906" w:h="16838"/>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4695" w:type="dxa"/>
        <w:jc w:val="center"/>
        <w:tblLayout w:type="fixed"/>
        <w:tblCellMar>
          <w:top w:w="0" w:type="dxa"/>
          <w:left w:w="108" w:type="dxa"/>
          <w:bottom w:w="0" w:type="dxa"/>
          <w:right w:w="108" w:type="dxa"/>
        </w:tblCellMar>
      </w:tblPr>
      <w:tblGrid>
        <w:gridCol w:w="1596"/>
        <w:gridCol w:w="3803"/>
        <w:gridCol w:w="3111"/>
        <w:gridCol w:w="3094"/>
        <w:gridCol w:w="3091"/>
      </w:tblGrid>
      <w:tr w14:paraId="4774AA8D">
        <w:tblPrEx>
          <w:tblCellMar>
            <w:top w:w="0" w:type="dxa"/>
            <w:left w:w="108" w:type="dxa"/>
            <w:bottom w:w="0" w:type="dxa"/>
            <w:right w:w="108" w:type="dxa"/>
          </w:tblCellMar>
        </w:tblPrEx>
        <w:trPr>
          <w:trHeight w:val="447" w:hRule="atLeast"/>
          <w:jc w:val="center"/>
        </w:trPr>
        <w:tc>
          <w:tcPr>
            <w:tcW w:w="14695" w:type="dxa"/>
            <w:gridSpan w:val="5"/>
            <w:tcBorders>
              <w:top w:val="nil"/>
              <w:left w:val="nil"/>
              <w:bottom w:val="nil"/>
              <w:right w:val="nil"/>
            </w:tcBorders>
            <w:shd w:val="clear" w:color="auto" w:fill="auto"/>
            <w:vAlign w:val="center"/>
          </w:tcPr>
          <w:p w14:paraId="3156F4BF">
            <w:pPr>
              <w:widowControl/>
              <w:jc w:val="lef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公开11表</w:t>
            </w:r>
          </w:p>
        </w:tc>
      </w:tr>
      <w:tr w14:paraId="4EF98964">
        <w:tblPrEx>
          <w:tblCellMar>
            <w:top w:w="0" w:type="dxa"/>
            <w:left w:w="108" w:type="dxa"/>
            <w:bottom w:w="0" w:type="dxa"/>
            <w:right w:w="108" w:type="dxa"/>
          </w:tblCellMar>
        </w:tblPrEx>
        <w:trPr>
          <w:trHeight w:val="960" w:hRule="atLeast"/>
          <w:jc w:val="center"/>
        </w:trPr>
        <w:tc>
          <w:tcPr>
            <w:tcW w:w="14695" w:type="dxa"/>
            <w:gridSpan w:val="5"/>
            <w:tcBorders>
              <w:top w:val="nil"/>
              <w:left w:val="nil"/>
              <w:bottom w:val="nil"/>
              <w:right w:val="nil"/>
            </w:tcBorders>
            <w:shd w:val="clear" w:color="auto" w:fill="auto"/>
            <w:vAlign w:val="center"/>
          </w:tcPr>
          <w:p w14:paraId="0D2A9578">
            <w:pPr>
              <w:widowControl/>
              <w:jc w:val="center"/>
              <w:rPr>
                <w:rFonts w:hint="eastAsia" w:ascii="仿宋" w:hAnsi="仿宋" w:eastAsia="仿宋" w:cs="仿宋"/>
                <w:color w:val="auto"/>
                <w:kern w:val="0"/>
                <w:sz w:val="22"/>
                <w:szCs w:val="22"/>
                <w:lang w:val="zh-CN" w:eastAsia="zh-CN" w:bidi="zh-CN"/>
              </w:rPr>
            </w:pPr>
            <w:r>
              <w:rPr>
                <w:rFonts w:hint="eastAsia" w:ascii="仿宋" w:hAnsi="仿宋" w:eastAsia="仿宋" w:cs="仿宋"/>
                <w:b/>
                <w:bCs/>
                <w:color w:val="auto"/>
                <w:kern w:val="0"/>
                <w:sz w:val="44"/>
                <w:szCs w:val="44"/>
                <w:lang w:val="zh-CN" w:eastAsia="zh-CN" w:bidi="zh-CN"/>
              </w:rPr>
              <w:t>国有资本经营预算支出预算表</w:t>
            </w:r>
          </w:p>
        </w:tc>
      </w:tr>
      <w:tr w14:paraId="1AADF766">
        <w:tblPrEx>
          <w:tblCellMar>
            <w:top w:w="0" w:type="dxa"/>
            <w:left w:w="108" w:type="dxa"/>
            <w:bottom w:w="0" w:type="dxa"/>
            <w:right w:w="108" w:type="dxa"/>
          </w:tblCellMar>
        </w:tblPrEx>
        <w:trPr>
          <w:trHeight w:val="319" w:hRule="atLeast"/>
          <w:jc w:val="center"/>
        </w:trPr>
        <w:tc>
          <w:tcPr>
            <w:tcW w:w="11604" w:type="dxa"/>
            <w:gridSpan w:val="4"/>
            <w:tcBorders>
              <w:top w:val="nil"/>
              <w:left w:val="nil"/>
              <w:bottom w:val="single" w:color="auto" w:sz="4" w:space="0"/>
              <w:right w:val="nil"/>
            </w:tcBorders>
            <w:shd w:val="clear" w:color="auto" w:fill="auto"/>
            <w:vAlign w:val="center"/>
          </w:tcPr>
          <w:p w14:paraId="062AC01C">
            <w:pPr>
              <w:widowControl/>
              <w:jc w:val="left"/>
              <w:rPr>
                <w:rFonts w:hint="eastAsia" w:ascii="仿宋" w:hAnsi="仿宋" w:eastAsia="仿宋" w:cs="仿宋"/>
                <w:color w:val="auto"/>
                <w:kern w:val="0"/>
                <w:sz w:val="22"/>
                <w:szCs w:val="22"/>
                <w:lang w:val="zh-CN" w:eastAsia="zh-CN" w:bidi="zh-CN"/>
              </w:rPr>
            </w:pPr>
            <w:r>
              <w:rPr>
                <w:rFonts w:hint="eastAsia" w:ascii="仿宋" w:hAnsi="仿宋" w:eastAsia="仿宋" w:cs="仿宋"/>
                <w:color w:val="000000"/>
                <w:sz w:val="22"/>
                <w:szCs w:val="22"/>
                <w:lang w:eastAsia="zh-CN"/>
              </w:rPr>
              <w:t>部门</w:t>
            </w:r>
            <w:r>
              <w:rPr>
                <w:rFonts w:ascii="仿宋" w:hAnsi="仿宋" w:cs="仿宋" w:eastAsia="仿宋"/>
                <w:color w:val="000000"/>
                <w:sz w:val="22"/>
              </w:rPr>
              <w:t>：</w:t>
            </w:r>
            <w:r>
              <w:rPr>
                <w:rFonts w:hint="eastAsia" w:ascii="仿宋" w:hAnsi="仿宋" w:eastAsia="仿宋" w:cs="仿宋"/>
              </w:rPr>
              <w:t>江阴市商务局</w:t>
            </w:r>
          </w:p>
        </w:tc>
        <w:tc>
          <w:tcPr>
            <w:tcW w:w="3091" w:type="dxa"/>
            <w:tcBorders>
              <w:top w:val="nil"/>
              <w:left w:val="nil"/>
              <w:bottom w:val="nil"/>
              <w:right w:val="nil"/>
            </w:tcBorders>
            <w:shd w:val="clear" w:color="auto" w:fill="auto"/>
            <w:noWrap/>
            <w:vAlign w:val="center"/>
          </w:tcPr>
          <w:p w14:paraId="4B5E2371">
            <w:pPr>
              <w:widowControl/>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单位：万元</w:t>
            </w:r>
          </w:p>
        </w:tc>
      </w:tr>
      <w:tr w14:paraId="2404FBD4">
        <w:tblPrEx>
          <w:tblCellMar>
            <w:top w:w="0" w:type="dxa"/>
            <w:left w:w="108" w:type="dxa"/>
            <w:bottom w:w="0" w:type="dxa"/>
            <w:right w:w="108" w:type="dxa"/>
          </w:tblCellMar>
        </w:tblPrEx>
        <w:trPr>
          <w:trHeight w:val="143" w:hRule="atLeast"/>
          <w:jc w:val="center"/>
        </w:trPr>
        <w:tc>
          <w:tcPr>
            <w:tcW w:w="539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0A26E21">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项    目</w:t>
            </w:r>
          </w:p>
        </w:tc>
        <w:tc>
          <w:tcPr>
            <w:tcW w:w="311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5671D8D">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本年支出合计</w:t>
            </w:r>
          </w:p>
        </w:tc>
        <w:tc>
          <w:tcPr>
            <w:tcW w:w="309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D8BADFD">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xml:space="preserve">基本支出  </w:t>
            </w:r>
          </w:p>
        </w:tc>
        <w:tc>
          <w:tcPr>
            <w:tcW w:w="309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F5C96EC">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项目支出</w:t>
            </w:r>
          </w:p>
        </w:tc>
      </w:tr>
      <w:tr w14:paraId="432E2794">
        <w:tblPrEx>
          <w:tblCellMar>
            <w:top w:w="0" w:type="dxa"/>
            <w:left w:w="108" w:type="dxa"/>
            <w:bottom w:w="0" w:type="dxa"/>
            <w:right w:w="108" w:type="dxa"/>
          </w:tblCellMar>
        </w:tblPrEx>
        <w:trPr>
          <w:trHeight w:val="201" w:hRule="atLeast"/>
          <w:jc w:val="center"/>
        </w:trPr>
        <w:tc>
          <w:tcPr>
            <w:tcW w:w="1596" w:type="dxa"/>
            <w:tcBorders>
              <w:top w:val="nil"/>
              <w:left w:val="single" w:color="auto" w:sz="4" w:space="0"/>
              <w:bottom w:val="single" w:color="auto" w:sz="4" w:space="0"/>
              <w:right w:val="single" w:color="auto" w:sz="4" w:space="0"/>
            </w:tcBorders>
            <w:shd w:val="clear" w:color="auto" w:fill="auto"/>
            <w:vAlign w:val="center"/>
          </w:tcPr>
          <w:p w14:paraId="4441FA99">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功能分类</w:t>
            </w:r>
          </w:p>
          <w:p w14:paraId="610A31B2">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科目编码</w:t>
            </w:r>
          </w:p>
        </w:tc>
        <w:tc>
          <w:tcPr>
            <w:tcW w:w="3803" w:type="dxa"/>
            <w:tcBorders>
              <w:top w:val="nil"/>
              <w:left w:val="nil"/>
              <w:bottom w:val="single" w:color="auto" w:sz="4" w:space="0"/>
              <w:right w:val="single" w:color="auto" w:sz="4" w:space="0"/>
            </w:tcBorders>
            <w:shd w:val="clear" w:color="auto" w:fill="auto"/>
            <w:vAlign w:val="center"/>
          </w:tcPr>
          <w:p w14:paraId="0C0CD149">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科目名称</w:t>
            </w:r>
          </w:p>
        </w:tc>
        <w:tc>
          <w:tcPr>
            <w:tcW w:w="3111" w:type="dxa"/>
            <w:vMerge w:val="continue"/>
            <w:tcBorders>
              <w:top w:val="single" w:color="auto" w:sz="4" w:space="0"/>
              <w:left w:val="single" w:color="auto" w:sz="4" w:space="0"/>
              <w:bottom w:val="single" w:color="auto" w:sz="4" w:space="0"/>
              <w:right w:val="single" w:color="auto" w:sz="4" w:space="0"/>
            </w:tcBorders>
            <w:vAlign w:val="center"/>
          </w:tcPr>
          <w:p w14:paraId="6658BEEA">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color w:val="auto"/>
                <w:kern w:val="0"/>
                <w:sz w:val="22"/>
                <w:szCs w:val="22"/>
                <w:lang w:val="zh-CN" w:eastAsia="zh-CN" w:bidi="zh-CN"/>
              </w:rPr>
            </w:pPr>
          </w:p>
        </w:tc>
        <w:tc>
          <w:tcPr>
            <w:tcW w:w="3094" w:type="dxa"/>
            <w:vMerge w:val="continue"/>
            <w:tcBorders>
              <w:top w:val="single" w:color="auto" w:sz="4" w:space="0"/>
              <w:left w:val="single" w:color="auto" w:sz="4" w:space="0"/>
              <w:bottom w:val="single" w:color="auto" w:sz="4" w:space="0"/>
              <w:right w:val="single" w:color="auto" w:sz="4" w:space="0"/>
            </w:tcBorders>
            <w:vAlign w:val="center"/>
          </w:tcPr>
          <w:p w14:paraId="503CA6E1">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color w:val="auto"/>
                <w:kern w:val="0"/>
                <w:sz w:val="22"/>
                <w:szCs w:val="22"/>
                <w:lang w:val="zh-CN" w:eastAsia="zh-CN" w:bidi="zh-CN"/>
              </w:rPr>
            </w:pPr>
          </w:p>
        </w:tc>
        <w:tc>
          <w:tcPr>
            <w:tcW w:w="3091" w:type="dxa"/>
            <w:vMerge w:val="continue"/>
            <w:tcBorders>
              <w:top w:val="single" w:color="auto" w:sz="4" w:space="0"/>
              <w:left w:val="single" w:color="auto" w:sz="4" w:space="0"/>
              <w:bottom w:val="single" w:color="auto" w:sz="4" w:space="0"/>
              <w:right w:val="single" w:color="auto" w:sz="4" w:space="0"/>
            </w:tcBorders>
            <w:vAlign w:val="center"/>
          </w:tcPr>
          <w:p w14:paraId="00D98D52">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color w:val="auto"/>
                <w:kern w:val="0"/>
                <w:sz w:val="22"/>
                <w:szCs w:val="22"/>
                <w:lang w:val="zh-CN" w:eastAsia="zh-CN" w:bidi="zh-CN"/>
              </w:rPr>
            </w:pPr>
          </w:p>
        </w:tc>
      </w:tr>
      <w:tr w14:paraId="1138F447">
        <w:tblPrEx>
          <w:tblCellMar>
            <w:top w:w="0" w:type="dxa"/>
            <w:left w:w="108" w:type="dxa"/>
            <w:bottom w:w="0" w:type="dxa"/>
            <w:right w:w="108" w:type="dxa"/>
          </w:tblCellMar>
        </w:tblPrEx>
        <w:trPr>
          <w:trHeight w:val="90" w:hRule="atLeast"/>
          <w:jc w:val="center"/>
        </w:trPr>
        <w:tc>
          <w:tcPr>
            <w:tcW w:w="539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B42B31F">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栏次</w:t>
            </w:r>
          </w:p>
        </w:tc>
        <w:tc>
          <w:tcPr>
            <w:tcW w:w="3111" w:type="dxa"/>
            <w:tcBorders>
              <w:top w:val="single" w:color="auto" w:sz="4" w:space="0"/>
              <w:left w:val="single" w:color="auto" w:sz="4" w:space="0"/>
              <w:bottom w:val="single" w:color="auto" w:sz="4" w:space="0"/>
              <w:right w:val="single" w:color="auto" w:sz="4" w:space="0"/>
            </w:tcBorders>
            <w:shd w:val="clear" w:color="auto" w:fill="auto"/>
            <w:vAlign w:val="center"/>
          </w:tcPr>
          <w:p w14:paraId="34F07641">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1</w:t>
            </w:r>
          </w:p>
        </w:tc>
        <w:tc>
          <w:tcPr>
            <w:tcW w:w="3094" w:type="dxa"/>
            <w:tcBorders>
              <w:top w:val="single" w:color="auto" w:sz="4" w:space="0"/>
              <w:left w:val="single" w:color="auto" w:sz="4" w:space="0"/>
              <w:bottom w:val="single" w:color="auto" w:sz="4" w:space="0"/>
              <w:right w:val="single" w:color="auto" w:sz="4" w:space="0"/>
            </w:tcBorders>
            <w:shd w:val="clear" w:color="auto" w:fill="auto"/>
            <w:vAlign w:val="center"/>
          </w:tcPr>
          <w:p w14:paraId="39518AF4">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2</w:t>
            </w:r>
          </w:p>
        </w:tc>
        <w:tc>
          <w:tcPr>
            <w:tcW w:w="3091" w:type="dxa"/>
            <w:tcBorders>
              <w:top w:val="single" w:color="auto" w:sz="4" w:space="0"/>
              <w:left w:val="single" w:color="auto" w:sz="4" w:space="0"/>
              <w:bottom w:val="single" w:color="auto" w:sz="4" w:space="0"/>
              <w:right w:val="single" w:color="auto" w:sz="4" w:space="0"/>
            </w:tcBorders>
            <w:shd w:val="clear" w:color="auto" w:fill="auto"/>
            <w:vAlign w:val="center"/>
          </w:tcPr>
          <w:p w14:paraId="2C53BBAB">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3</w:t>
            </w:r>
          </w:p>
        </w:tc>
      </w:tr>
      <w:tr w14:paraId="23E635B9">
        <w:tblPrEx>
          <w:tblCellMar>
            <w:top w:w="0" w:type="dxa"/>
            <w:left w:w="108" w:type="dxa"/>
            <w:bottom w:w="0" w:type="dxa"/>
            <w:right w:w="108" w:type="dxa"/>
          </w:tblCellMar>
        </w:tblPrEx>
        <w:trPr>
          <w:trHeight w:val="246" w:hRule="atLeast"/>
          <w:jc w:val="center"/>
        </w:trPr>
        <w:tc>
          <w:tcPr>
            <w:tcW w:w="539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DA080F3">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sz w:val="22"/>
                <w:szCs w:val="22"/>
              </w:rPr>
              <w:t/>
            </w:r>
            <w:r>
              <w:rPr>
                <w:rFonts w:hint="eastAsia" w:ascii="仿宋" w:hAnsi="仿宋" w:eastAsia="仿宋" w:cs="仿宋"/>
                <w:color w:val="auto"/>
                <w:kern w:val="0"/>
                <w:sz w:val="22"/>
                <w:szCs w:val="22"/>
                <w:lang w:val="zh-CN" w:eastAsia="zh-CN" w:bidi="zh-CN"/>
              </w:rPr>
              <w:t>合计</w:t>
            </w:r>
          </w:p>
        </w:tc>
        <w:tc>
          <w:tcPr>
            <w:tcW w:w="3111" w:type="dxa"/>
            <w:tcBorders>
              <w:top w:val="single" w:color="auto" w:sz="4" w:space="0"/>
              <w:left w:val="single" w:color="auto" w:sz="4" w:space="0"/>
              <w:bottom w:val="single" w:color="auto" w:sz="4" w:space="0"/>
              <w:right w:val="single" w:color="auto" w:sz="4" w:space="0"/>
            </w:tcBorders>
            <w:shd w:val="clear" w:color="auto" w:fill="auto"/>
            <w:vAlign w:val="center"/>
          </w:tcPr>
          <w:p w14:paraId="58114373">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sz w:val="22"/>
                <w:szCs w:val="22"/>
              </w:rPr>
              <w:t/>
            </w:r>
          </w:p>
        </w:tc>
        <w:tc>
          <w:tcPr>
            <w:tcW w:w="3094" w:type="dxa"/>
            <w:tcBorders>
              <w:top w:val="single" w:color="auto" w:sz="4" w:space="0"/>
              <w:left w:val="single" w:color="auto" w:sz="4" w:space="0"/>
              <w:bottom w:val="single" w:color="auto" w:sz="4" w:space="0"/>
              <w:right w:val="single" w:color="auto" w:sz="4" w:space="0"/>
            </w:tcBorders>
            <w:shd w:val="clear" w:color="auto" w:fill="auto"/>
            <w:vAlign w:val="center"/>
          </w:tcPr>
          <w:p w14:paraId="53DCC2D3">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sz w:val="22"/>
                <w:szCs w:val="22"/>
              </w:rPr>
              <w:t/>
            </w:r>
          </w:p>
        </w:tc>
        <w:tc>
          <w:tcPr>
            <w:tcW w:w="3091" w:type="dxa"/>
            <w:tcBorders>
              <w:top w:val="single" w:color="auto" w:sz="4" w:space="0"/>
              <w:left w:val="single" w:color="auto" w:sz="4" w:space="0"/>
              <w:bottom w:val="single" w:color="auto" w:sz="4" w:space="0"/>
              <w:right w:val="single" w:color="auto" w:sz="4" w:space="0"/>
            </w:tcBorders>
            <w:shd w:val="clear" w:color="auto" w:fill="auto"/>
            <w:vAlign w:val="center"/>
          </w:tcPr>
          <w:p w14:paraId="54D26D66">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sz w:val="22"/>
                <w:szCs w:val="22"/>
              </w:rPr>
              <w:t/>
            </w:r>
          </w:p>
        </w:tc>
      </w:tr>
      <w:tr w14:paraId="199C4C76">
        <w:tblPrEx>
          <w:tblCellMar>
            <w:top w:w="0" w:type="dxa"/>
            <w:left w:w="108" w:type="dxa"/>
            <w:bottom w:w="0" w:type="dxa"/>
            <w:right w:w="108" w:type="dxa"/>
          </w:tblCellMar>
        </w:tblPrEx>
        <w:trPr>
          <w:trHeight w:val="90" w:hRule="atLeast"/>
          <w:jc w:val="center"/>
        </w:trPr>
        <w:tc>
          <w:tcPr>
            <w:tcW w:w="1596" w:type="dxa"/>
            <w:tcBorders>
              <w:top w:val="single" w:color="auto" w:sz="4" w:space="0"/>
              <w:left w:val="single" w:color="auto" w:sz="4" w:space="0"/>
              <w:bottom w:val="single" w:color="auto" w:sz="4" w:space="0"/>
              <w:right w:val="single" w:color="auto" w:sz="4" w:space="0"/>
            </w:tcBorders>
            <w:shd w:val="clear" w:color="auto" w:fill="auto"/>
            <w:vAlign w:val="center"/>
          </w:tcPr>
          <w:p w14:paraId="25698B19">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sz w:val="22"/>
                <w:szCs w:val="22"/>
              </w:rPr>
            </w:pPr>
            <w:r>
              <w:rPr>
                <w:rFonts w:hint="eastAsia" w:ascii="仿宋" w:hAnsi="仿宋" w:eastAsia="仿宋" w:cs="仿宋"/>
                <w:color w:val="auto"/>
                <w:kern w:val="0"/>
                <w:sz w:val="22"/>
                <w:szCs w:val="22"/>
                <w:lang w:val="zh-CN" w:eastAsia="zh-CN" w:bidi="zh-CN"/>
              </w:rPr>
              <w:t/>
            </w:r>
          </w:p>
        </w:tc>
        <w:tc>
          <w:tcPr>
            <w:tcW w:w="3803" w:type="dxa"/>
            <w:tcBorders>
              <w:top w:val="single" w:color="auto" w:sz="4" w:space="0"/>
              <w:left w:val="single" w:color="auto" w:sz="4" w:space="0"/>
              <w:bottom w:val="single" w:color="auto" w:sz="4" w:space="0"/>
              <w:right w:val="single" w:color="auto" w:sz="4" w:space="0"/>
            </w:tcBorders>
            <w:shd w:val="clear" w:color="auto" w:fill="auto"/>
            <w:vAlign w:val="center"/>
          </w:tcPr>
          <w:p w14:paraId="0A0BDF5C">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sz w:val="22"/>
                <w:szCs w:val="22"/>
              </w:rPr>
            </w:pPr>
            <w:r>
              <w:rPr>
                <w:rFonts w:hint="eastAsia" w:ascii="仿宋" w:hAnsi="仿宋" w:eastAsia="仿宋" w:cs="仿宋"/>
                <w:color w:val="auto"/>
                <w:kern w:val="0"/>
                <w:sz w:val="22"/>
                <w:szCs w:val="22"/>
                <w:lang w:val="zh-CN" w:eastAsia="zh-CN" w:bidi="zh-CN"/>
              </w:rPr>
              <w:t/>
            </w:r>
          </w:p>
        </w:tc>
        <w:tc>
          <w:tcPr>
            <w:tcW w:w="3111" w:type="dxa"/>
            <w:tcBorders>
              <w:top w:val="single" w:color="auto" w:sz="4" w:space="0"/>
              <w:left w:val="single" w:color="auto" w:sz="4" w:space="0"/>
              <w:bottom w:val="single" w:color="auto" w:sz="4" w:space="0"/>
              <w:right w:val="single" w:color="auto" w:sz="4" w:space="0"/>
            </w:tcBorders>
            <w:shd w:val="clear" w:color="auto" w:fill="auto"/>
            <w:vAlign w:val="center"/>
          </w:tcPr>
          <w:p w14:paraId="57643D8C">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3094" w:type="dxa"/>
            <w:tcBorders>
              <w:top w:val="single" w:color="auto" w:sz="4" w:space="0"/>
              <w:left w:val="single" w:color="auto" w:sz="4" w:space="0"/>
              <w:bottom w:val="single" w:color="auto" w:sz="4" w:space="0"/>
              <w:right w:val="single" w:color="auto" w:sz="4" w:space="0"/>
            </w:tcBorders>
            <w:shd w:val="clear" w:color="auto" w:fill="auto"/>
            <w:vAlign w:val="center"/>
          </w:tcPr>
          <w:p w14:paraId="3AB61406">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3091" w:type="dxa"/>
            <w:tcBorders>
              <w:top w:val="single" w:color="auto" w:sz="4" w:space="0"/>
              <w:left w:val="single" w:color="auto" w:sz="4" w:space="0"/>
              <w:bottom w:val="single" w:color="auto" w:sz="4" w:space="0"/>
              <w:right w:val="single" w:color="auto" w:sz="4" w:space="0"/>
            </w:tcBorders>
            <w:shd w:val="clear" w:color="auto" w:fill="auto"/>
            <w:vAlign w:val="center"/>
          </w:tcPr>
          <w:p w14:paraId="7636582C">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r>
      <w:tr w14:paraId="199C4C76">
        <w:tblPrEx>
          <w:tblCellMar>
            <w:top w:w="0" w:type="dxa"/>
            <w:left w:w="108" w:type="dxa"/>
            <w:bottom w:w="0" w:type="dxa"/>
            <w:right w:w="108" w:type="dxa"/>
          </w:tblCellMar>
        </w:tblPrEx>
        <w:trPr>
          <w:trHeight w:val="90" w:hRule="atLeast"/>
          <w:jc w:val="center"/>
        </w:trPr>
        <w:tc>
          <w:tcPr>
            <w:tcW w:w="1596" w:type="dxa"/>
            <w:tcBorders>
              <w:top w:val="single" w:color="auto" w:sz="4" w:space="0"/>
              <w:left w:val="single" w:color="auto" w:sz="4" w:space="0"/>
              <w:bottom w:val="single" w:color="auto" w:sz="4" w:space="0"/>
              <w:right w:val="single" w:color="auto" w:sz="4" w:space="0"/>
            </w:tcBorders>
            <w:shd w:val="clear" w:color="auto" w:fill="auto"/>
            <w:vAlign w:val="center"/>
          </w:tcPr>
          <w:p w14:paraId="25698B19">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sz w:val="22"/>
                <w:szCs w:val="22"/>
              </w:rPr>
            </w:pPr>
            <w:r>
              <w:rPr>
                <w:rFonts w:hint="eastAsia" w:ascii="仿宋" w:hAnsi="仿宋" w:eastAsia="仿宋" w:cs="仿宋"/>
                <w:color w:val="auto"/>
                <w:kern w:val="0"/>
                <w:sz w:val="22"/>
                <w:szCs w:val="22"/>
                <w:lang w:val="zh-CN" w:eastAsia="zh-CN" w:bidi="zh-CN"/>
              </w:rPr>
              <w:t/>
            </w:r>
          </w:p>
        </w:tc>
        <w:tc>
          <w:tcPr>
            <w:tcW w:w="3803" w:type="dxa"/>
            <w:tcBorders>
              <w:top w:val="single" w:color="auto" w:sz="4" w:space="0"/>
              <w:left w:val="single" w:color="auto" w:sz="4" w:space="0"/>
              <w:bottom w:val="single" w:color="auto" w:sz="4" w:space="0"/>
              <w:right w:val="single" w:color="auto" w:sz="4" w:space="0"/>
            </w:tcBorders>
            <w:shd w:val="clear" w:color="auto" w:fill="auto"/>
            <w:vAlign w:val="center"/>
          </w:tcPr>
          <w:p w14:paraId="0A0BDF5C">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sz w:val="22"/>
                <w:szCs w:val="22"/>
              </w:rPr>
            </w:pPr>
            <w:r>
              <w:rPr>
                <w:rFonts w:hint="eastAsia" w:ascii="仿宋" w:hAnsi="仿宋" w:eastAsia="仿宋" w:cs="仿宋"/>
                <w:color w:val="auto"/>
                <w:kern w:val="0"/>
                <w:sz w:val="22"/>
                <w:szCs w:val="22"/>
                <w:lang w:val="zh-CN" w:eastAsia="zh-CN" w:bidi="zh-CN"/>
              </w:rPr>
              <w:t/>
            </w:r>
          </w:p>
        </w:tc>
        <w:tc>
          <w:tcPr>
            <w:tcW w:w="3111" w:type="dxa"/>
            <w:tcBorders>
              <w:top w:val="single" w:color="auto" w:sz="4" w:space="0"/>
              <w:left w:val="single" w:color="auto" w:sz="4" w:space="0"/>
              <w:bottom w:val="single" w:color="auto" w:sz="4" w:space="0"/>
              <w:right w:val="single" w:color="auto" w:sz="4" w:space="0"/>
            </w:tcBorders>
            <w:shd w:val="clear" w:color="auto" w:fill="auto"/>
            <w:vAlign w:val="center"/>
          </w:tcPr>
          <w:p w14:paraId="57643D8C">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3094" w:type="dxa"/>
            <w:tcBorders>
              <w:top w:val="single" w:color="auto" w:sz="4" w:space="0"/>
              <w:left w:val="single" w:color="auto" w:sz="4" w:space="0"/>
              <w:bottom w:val="single" w:color="auto" w:sz="4" w:space="0"/>
              <w:right w:val="single" w:color="auto" w:sz="4" w:space="0"/>
            </w:tcBorders>
            <w:shd w:val="clear" w:color="auto" w:fill="auto"/>
            <w:vAlign w:val="center"/>
          </w:tcPr>
          <w:p w14:paraId="3AB61406">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3091" w:type="dxa"/>
            <w:tcBorders>
              <w:top w:val="single" w:color="auto" w:sz="4" w:space="0"/>
              <w:left w:val="single" w:color="auto" w:sz="4" w:space="0"/>
              <w:bottom w:val="single" w:color="auto" w:sz="4" w:space="0"/>
              <w:right w:val="single" w:color="auto" w:sz="4" w:space="0"/>
            </w:tcBorders>
            <w:shd w:val="clear" w:color="auto" w:fill="auto"/>
            <w:vAlign w:val="center"/>
          </w:tcPr>
          <w:p w14:paraId="7636582C">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r>
    </w:tbl>
    <w:p w14:paraId="7AA8870D">
      <w:pPr>
        <w:numPr>
          <w:ilvl w:val="0"/>
          <w:numId w:val="0"/>
        </w:numPr>
        <w:spacing w:before="25" w:after="0"/>
        <w:ind w:firstLine="442" w:firstLineChars="200"/>
        <w:rPr>
          <w:rFonts w:hint="default" w:ascii="仿宋" w:hAnsi="仿宋" w:eastAsia="仿宋" w:cs="仿宋"/>
          <w:b/>
          <w:bCs/>
          <w:sz w:val="22"/>
          <w:szCs w:val="22"/>
          <w:lang w:val="en-US" w:eastAsia="zh-CN"/>
        </w:rPr>
      </w:pPr>
      <w:r>
        <w:rPr>
          <w:rFonts w:hint="eastAsia" w:ascii="仿宋" w:hAnsi="仿宋" w:eastAsia="仿宋" w:cs="仿宋"/>
          <w:b/>
          <w:bCs/>
          <w:sz w:val="22"/>
          <w:szCs w:val="22"/>
          <w:lang w:val="en-US" w:eastAsia="zh-CN"/>
        </w:rPr>
        <w:t/>
      </w:r>
      <w:r>
        <w:rPr>
          <w:rFonts w:ascii="仿宋" w:hAnsi="仿宋" w:cs="仿宋" w:eastAsia="仿宋"/>
          <w:b w:val="true"/>
          <w:sz w:val="22"/>
        </w:rPr>
        <w:t>注：本</w:t>
      </w:r>
      <w:r>
        <w:rPr>
          <w:rFonts w:ascii="仿宋" w:hAnsi="仿宋" w:cs="仿宋" w:eastAsia="仿宋"/>
          <w:b w:val="true"/>
          <w:sz w:val="22"/>
        </w:rPr>
        <w:t>部门</w:t>
      </w:r>
      <w:r>
        <w:rPr>
          <w:rFonts w:ascii="仿宋" w:hAnsi="仿宋" w:cs="仿宋" w:eastAsia="仿宋"/>
          <w:b w:val="true"/>
          <w:sz w:val="22"/>
        </w:rPr>
        <w:t>无</w:t>
      </w:r>
      <w:r>
        <w:rPr>
          <w:rFonts w:hint="eastAsia" w:ascii="仿宋" w:hAnsi="仿宋" w:eastAsia="仿宋" w:cs="仿宋"/>
          <w:b/>
          <w:bCs/>
          <w:sz w:val="22"/>
          <w:szCs w:val="22"/>
          <w:lang w:val="zh-CN" w:eastAsia="zh-CN"/>
        </w:rPr>
        <w:t>国有资本经营预算支出</w:t>
      </w:r>
      <w:r>
        <w:rPr>
          <w:rFonts w:hint="eastAsia" w:ascii="仿宋" w:hAnsi="仿宋" w:eastAsia="仿宋" w:cs="仿宋"/>
          <w:b/>
          <w:bCs/>
          <w:sz w:val="22"/>
          <w:szCs w:val="22"/>
          <w:lang w:val="en-US" w:eastAsia="zh-CN"/>
        </w:rPr>
        <w:t>，故本表无数据。</w:t>
      </w:r>
      <w:r>
        <w:rPr>
          <w:rFonts w:ascii="仿宋" w:hAnsi="仿宋" w:cs="仿宋" w:eastAsia="仿宋"/>
          <w:b w:val="true"/>
          <w:sz w:val="22"/>
        </w:rPr>
        <w:t/>
      </w:r>
    </w:p>
    <w:p w14:paraId="4F525B1A">
      <w:pPr>
        <w:widowControl w:val="0"/>
        <w:numPr>
          <w:ilvl w:val="0"/>
          <w:numId w:val="0"/>
        </w:numPr>
        <w:suppressAutoHyphens/>
        <w:bidi w:val="0"/>
        <w:spacing w:before="25" w:after="0"/>
        <w:jc w:val="left"/>
        <w:rPr>
          <w:rFonts w:hint="default" w:ascii="仿宋" w:hAnsi="仿宋" w:eastAsia="仿宋" w:cs="仿宋"/>
          <w:b/>
          <w:bCs/>
          <w:sz w:val="22"/>
          <w:szCs w:val="22"/>
          <w:lang w:val="en-US" w:eastAsia="zh-CN"/>
        </w:rPr>
        <w:sectPr>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0235" w:type="dxa"/>
        <w:tblInd w:w="-403" w:type="dxa"/>
        <w:tblLayout w:type="fixed"/>
        <w:tblCellMar>
          <w:top w:w="55" w:type="dxa"/>
          <w:left w:w="55" w:type="dxa"/>
          <w:bottom w:w="55" w:type="dxa"/>
          <w:right w:w="55" w:type="dxa"/>
        </w:tblCellMar>
      </w:tblPr>
      <w:tblGrid>
        <w:gridCol w:w="3088"/>
        <w:gridCol w:w="2876"/>
        <w:gridCol w:w="1920"/>
        <w:gridCol w:w="2351"/>
      </w:tblGrid>
      <w:tr w14:paraId="081ECABF">
        <w:tblPrEx>
          <w:tblCellMar>
            <w:top w:w="55" w:type="dxa"/>
            <w:left w:w="55" w:type="dxa"/>
            <w:bottom w:w="55" w:type="dxa"/>
            <w:right w:w="55" w:type="dxa"/>
          </w:tblCellMar>
        </w:tblPrEx>
        <w:trPr>
          <w:trHeight w:val="319" w:hRule="atLeast"/>
        </w:trPr>
        <w:tc>
          <w:tcPr>
            <w:tcW w:w="10235" w:type="dxa"/>
            <w:gridSpan w:val="4"/>
          </w:tcPr>
          <w:p w14:paraId="3FDF9E28">
            <w:pPr>
              <w:pStyle w:val="22"/>
              <w:widowControl w:val="0"/>
              <w:tabs>
                <w:tab w:val="left" w:pos="610"/>
              </w:tabs>
              <w:spacing w:before="28" w:after="0"/>
              <w:ind w:left="8" w:firstLine="0"/>
              <w:jc w:val="left"/>
              <w:rPr>
                <w:rFonts w:hint="eastAsia" w:ascii="仿宋" w:hAnsi="仿宋" w:eastAsia="仿宋" w:cs="仿宋"/>
                <w:b/>
                <w:bCs/>
                <w:sz w:val="44"/>
                <w:szCs w:val="44"/>
              </w:rPr>
            </w:pPr>
            <w:r>
              <w:rPr>
                <w:rFonts w:hint="eastAsia" w:ascii="仿宋" w:hAnsi="仿宋" w:eastAsia="仿宋" w:cs="仿宋"/>
              </w:rPr>
              <w:t>公开1</w:t>
            </w:r>
            <w:r>
              <w:rPr>
                <w:rFonts w:hint="eastAsia" w:ascii="仿宋" w:hAnsi="仿宋" w:eastAsia="仿宋" w:cs="仿宋"/>
                <w:lang w:val="en-US" w:eastAsia="zh-CN"/>
              </w:rPr>
              <w:t>2</w:t>
            </w:r>
            <w:r>
              <w:rPr>
                <w:rFonts w:hint="eastAsia" w:ascii="仿宋" w:hAnsi="仿宋" w:eastAsia="仿宋" w:cs="仿宋"/>
              </w:rPr>
              <w:t>表</w:t>
            </w:r>
          </w:p>
        </w:tc>
      </w:tr>
      <w:tr w14:paraId="291E3CF1">
        <w:tblPrEx>
          <w:tblCellMar>
            <w:top w:w="55" w:type="dxa"/>
            <w:left w:w="55" w:type="dxa"/>
            <w:bottom w:w="55" w:type="dxa"/>
            <w:right w:w="55" w:type="dxa"/>
          </w:tblCellMar>
        </w:tblPrEx>
        <w:trPr>
          <w:trHeight w:val="90" w:hRule="atLeast"/>
        </w:trPr>
        <w:tc>
          <w:tcPr>
            <w:tcW w:w="10235" w:type="dxa"/>
            <w:gridSpan w:val="4"/>
          </w:tcPr>
          <w:p w14:paraId="231D1385">
            <w:pPr>
              <w:pStyle w:val="22"/>
              <w:widowControl w:val="0"/>
              <w:jc w:val="center"/>
              <w:rPr>
                <w:rFonts w:hint="eastAsia" w:ascii="仿宋" w:hAnsi="仿宋" w:eastAsia="仿宋" w:cs="仿宋"/>
              </w:rPr>
            </w:pPr>
            <w:r>
              <w:rPr>
                <w:rFonts w:hint="eastAsia" w:ascii="仿宋" w:hAnsi="仿宋" w:eastAsia="仿宋" w:cs="仿宋"/>
                <w:b/>
                <w:bCs/>
                <w:sz w:val="44"/>
                <w:szCs w:val="44"/>
              </w:rPr>
              <w:t>一般公共预算机关运行经费支出预算表</w:t>
            </w:r>
          </w:p>
        </w:tc>
      </w:tr>
      <w:tr w14:paraId="04B652B4">
        <w:tblPrEx>
          <w:tblCellMar>
            <w:top w:w="55" w:type="dxa"/>
            <w:left w:w="55" w:type="dxa"/>
            <w:bottom w:w="55" w:type="dxa"/>
            <w:right w:w="55" w:type="dxa"/>
          </w:tblCellMar>
        </w:tblPrEx>
        <w:trPr>
          <w:trHeight w:val="90" w:hRule="atLeast"/>
        </w:trPr>
        <w:tc>
          <w:tcPr>
            <w:tcW w:w="7884" w:type="dxa"/>
            <w:gridSpan w:val="3"/>
            <w:tcBorders>
              <w:bottom w:val="single" w:color="auto" w:sz="4" w:space="0"/>
            </w:tcBorders>
            <w:vAlign w:val="center"/>
          </w:tcPr>
          <w:p w14:paraId="35496929">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部门</w:t>
            </w:r>
            <w:r>
              <w:rPr>
                <w:rFonts w:ascii="仿宋" w:hAnsi="仿宋" w:cs="仿宋" w:eastAsia="仿宋"/>
                <w:color w:val="000000"/>
                <w:sz w:val="22"/>
              </w:rPr>
              <w:t>：</w:t>
            </w:r>
            <w:r>
              <w:rPr>
                <w:rFonts w:hint="eastAsia" w:ascii="仿宋" w:hAnsi="仿宋" w:eastAsia="仿宋" w:cs="仿宋"/>
              </w:rPr>
              <w:t>江阴市商务局</w:t>
            </w:r>
          </w:p>
        </w:tc>
        <w:tc>
          <w:tcPr>
            <w:tcW w:w="2351" w:type="dxa"/>
            <w:tcBorders>
              <w:bottom w:val="single" w:color="auto" w:sz="4" w:space="0"/>
            </w:tcBorders>
            <w:vAlign w:val="center"/>
          </w:tcPr>
          <w:p w14:paraId="14A254D4">
            <w:pPr>
              <w:pStyle w:val="22"/>
              <w:widowControl w:val="0"/>
              <w:jc w:val="right"/>
              <w:rPr>
                <w:rFonts w:hint="eastAsia" w:ascii="仿宋" w:hAnsi="仿宋" w:eastAsia="仿宋" w:cs="仿宋"/>
                <w:sz w:val="27"/>
              </w:rPr>
            </w:pPr>
            <w:r>
              <w:rPr>
                <w:rFonts w:hint="eastAsia" w:ascii="仿宋" w:hAnsi="仿宋" w:eastAsia="仿宋" w:cs="仿宋"/>
                <w:lang w:eastAsia="zh-CN"/>
              </w:rPr>
              <w:t>单位</w:t>
            </w:r>
            <w:r>
              <w:rPr>
                <w:rFonts w:hint="eastAsia" w:ascii="仿宋" w:hAnsi="仿宋" w:eastAsia="仿宋" w:cs="仿宋"/>
              </w:rPr>
              <w:t>：万元</w:t>
            </w:r>
          </w:p>
        </w:tc>
      </w:tr>
      <w:tr w14:paraId="11FC7058">
        <w:tblPrEx>
          <w:tblCellMar>
            <w:top w:w="55" w:type="dxa"/>
            <w:left w:w="55" w:type="dxa"/>
            <w:bottom w:w="55" w:type="dxa"/>
            <w:right w:w="55" w:type="dxa"/>
          </w:tblCellMar>
        </w:tblPrEx>
        <w:trPr>
          <w:trHeight w:val="363" w:hRule="atLeast"/>
        </w:trPr>
        <w:tc>
          <w:tcPr>
            <w:tcW w:w="3088" w:type="dxa"/>
            <w:tcBorders>
              <w:top w:val="single" w:color="auto" w:sz="4" w:space="0"/>
              <w:left w:val="single" w:color="auto" w:sz="4" w:space="0"/>
              <w:bottom w:val="single" w:color="auto" w:sz="4" w:space="0"/>
            </w:tcBorders>
            <w:vAlign w:val="center"/>
          </w:tcPr>
          <w:p w14:paraId="0F6FED56">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科目编码</w:t>
            </w:r>
          </w:p>
        </w:tc>
        <w:tc>
          <w:tcPr>
            <w:tcW w:w="2876" w:type="dxa"/>
            <w:tcBorders>
              <w:top w:val="single" w:color="auto" w:sz="4" w:space="0"/>
              <w:left w:val="single" w:color="000000" w:sz="4" w:space="0"/>
              <w:bottom w:val="single" w:color="auto" w:sz="4" w:space="0"/>
            </w:tcBorders>
            <w:vAlign w:val="center"/>
          </w:tcPr>
          <w:p w14:paraId="0F83CC29">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科目名称</w:t>
            </w:r>
          </w:p>
        </w:tc>
        <w:tc>
          <w:tcPr>
            <w:tcW w:w="4271" w:type="dxa"/>
            <w:gridSpan w:val="2"/>
            <w:tcBorders>
              <w:top w:val="single" w:color="auto" w:sz="4" w:space="0"/>
              <w:left w:val="single" w:color="000000" w:sz="4" w:space="0"/>
              <w:bottom w:val="single" w:color="auto" w:sz="4" w:space="0"/>
              <w:right w:val="single" w:color="auto" w:sz="4" w:space="0"/>
            </w:tcBorders>
          </w:tcPr>
          <w:p w14:paraId="6EFE394A">
            <w:pPr>
              <w:widowControl w:val="0"/>
              <w:jc w:val="center"/>
              <w:rPr>
                <w:rFonts w:hint="eastAsia" w:ascii="仿宋" w:hAnsi="仿宋" w:eastAsia="仿宋" w:cs="仿宋"/>
                <w:sz w:val="22"/>
                <w:szCs w:val="22"/>
              </w:rPr>
            </w:pPr>
            <w:r>
              <w:rPr>
                <w:rFonts w:hint="eastAsia" w:ascii="仿宋" w:hAnsi="仿宋" w:eastAsia="仿宋" w:cs="仿宋"/>
                <w:sz w:val="22"/>
                <w:szCs w:val="22"/>
              </w:rPr>
              <w:t>机关运行经费支出</w:t>
            </w:r>
          </w:p>
        </w:tc>
      </w:tr>
      <w:tr w14:paraId="68F893FF">
        <w:tblPrEx>
          <w:tblCellMar>
            <w:top w:w="55" w:type="dxa"/>
            <w:left w:w="55" w:type="dxa"/>
            <w:bottom w:w="55" w:type="dxa"/>
            <w:right w:w="55" w:type="dxa"/>
          </w:tblCellMar>
        </w:tblPrEx>
        <w:trPr>
          <w:cantSplit/>
          <w:trHeight w:val="227" w:hRule="atLeast"/>
        </w:trPr>
        <w:tc>
          <w:tcPr>
            <w:tcW w:w="5964" w:type="dxa"/>
            <w:gridSpan w:val="2"/>
            <w:tcBorders>
              <w:top w:val="single" w:color="000000" w:sz="4" w:space="0"/>
              <w:left w:val="single" w:color="auto" w:sz="4" w:space="0"/>
              <w:bottom w:val="single" w:color="auto" w:sz="4" w:space="0"/>
              <w:right w:val="single" w:color="000000" w:sz="4" w:space="0"/>
            </w:tcBorders>
            <w:vAlign w:val="top"/>
          </w:tcPr>
          <w:p w14:paraId="06E7A0CE">
            <w:pPr>
              <w:pStyle w:val="22"/>
              <w:widowControl w:val="0"/>
              <w:jc w:val="center"/>
              <w:rPr>
                <w:rFonts w:hint="default" w:ascii="仿宋" w:hAnsi="仿宋" w:eastAsia="仿宋" w:cs="仿宋"/>
                <w:sz w:val="22"/>
                <w:szCs w:val="22"/>
                <w:lang w:val="en-US" w:eastAsia="zh-CN"/>
              </w:rPr>
            </w:pPr>
            <w:r>
              <w:rPr>
                <w:rFonts w:hint="eastAsia" w:ascii="仿宋" w:hAnsi="仿宋" w:eastAsia="仿宋" w:cs="仿宋"/>
                <w:sz w:val="22"/>
                <w:szCs w:val="22"/>
              </w:rPr>
              <w:t/>
            </w:r>
            <w:r>
              <w:rPr>
                <w:rFonts w:hint="eastAsia" w:ascii="仿宋" w:hAnsi="仿宋" w:eastAsia="仿宋" w:cs="仿宋"/>
                <w:sz w:val="22"/>
                <w:szCs w:val="22"/>
                <w:lang w:val="en-US" w:eastAsia="zh-CN"/>
              </w:rPr>
              <w:t>合计</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2DF58F83">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55.48</w:t>
            </w:r>
          </w:p>
        </w:tc>
      </w:tr>
      <w:tr w14:paraId="4AEE5119">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22D89DA4">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302</w:t>
            </w:r>
          </w:p>
        </w:tc>
        <w:tc>
          <w:tcPr>
            <w:tcW w:w="2876" w:type="dxa"/>
            <w:tcBorders>
              <w:top w:val="single" w:color="000000" w:sz="4" w:space="0"/>
              <w:left w:val="single" w:color="000000" w:sz="4" w:space="0"/>
              <w:bottom w:val="single" w:color="auto" w:sz="4" w:space="0"/>
              <w:right w:val="single" w:color="000000" w:sz="4" w:space="0"/>
            </w:tcBorders>
          </w:tcPr>
          <w:p w14:paraId="19469693">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商品和服务支出</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7BBBD09F">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55.48</w:t>
            </w:r>
          </w:p>
        </w:tc>
      </w:tr>
      <w:tr w14:paraId="4AEE5119">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22D89DA4">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30201</w:t>
            </w:r>
          </w:p>
        </w:tc>
        <w:tc>
          <w:tcPr>
            <w:tcW w:w="2876" w:type="dxa"/>
            <w:tcBorders>
              <w:top w:val="single" w:color="000000" w:sz="4" w:space="0"/>
              <w:left w:val="single" w:color="000000" w:sz="4" w:space="0"/>
              <w:bottom w:val="single" w:color="auto" w:sz="4" w:space="0"/>
              <w:right w:val="single" w:color="000000" w:sz="4" w:space="0"/>
            </w:tcBorders>
          </w:tcPr>
          <w:p w14:paraId="19469693">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办公费</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7BBBD09F">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18.11</w:t>
            </w:r>
          </w:p>
        </w:tc>
      </w:tr>
      <w:tr w14:paraId="4AEE5119">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22D89DA4">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30202</w:t>
            </w:r>
          </w:p>
        </w:tc>
        <w:tc>
          <w:tcPr>
            <w:tcW w:w="2876" w:type="dxa"/>
            <w:tcBorders>
              <w:top w:val="single" w:color="000000" w:sz="4" w:space="0"/>
              <w:left w:val="single" w:color="000000" w:sz="4" w:space="0"/>
              <w:bottom w:val="single" w:color="auto" w:sz="4" w:space="0"/>
              <w:right w:val="single" w:color="000000" w:sz="4" w:space="0"/>
            </w:tcBorders>
          </w:tcPr>
          <w:p w14:paraId="19469693">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印刷费</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7BBBD09F">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2.50</w:t>
            </w:r>
          </w:p>
        </w:tc>
      </w:tr>
      <w:tr w14:paraId="4AEE5119">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22D89DA4">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30211</w:t>
            </w:r>
          </w:p>
        </w:tc>
        <w:tc>
          <w:tcPr>
            <w:tcW w:w="2876" w:type="dxa"/>
            <w:tcBorders>
              <w:top w:val="single" w:color="000000" w:sz="4" w:space="0"/>
              <w:left w:val="single" w:color="000000" w:sz="4" w:space="0"/>
              <w:bottom w:val="single" w:color="auto" w:sz="4" w:space="0"/>
              <w:right w:val="single" w:color="000000" w:sz="4" w:space="0"/>
            </w:tcBorders>
          </w:tcPr>
          <w:p w14:paraId="19469693">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差旅费</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7BBBD09F">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5.00</w:t>
            </w:r>
          </w:p>
        </w:tc>
      </w:tr>
      <w:tr w14:paraId="4AEE5119">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22D89DA4">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30215</w:t>
            </w:r>
          </w:p>
        </w:tc>
        <w:tc>
          <w:tcPr>
            <w:tcW w:w="2876" w:type="dxa"/>
            <w:tcBorders>
              <w:top w:val="single" w:color="000000" w:sz="4" w:space="0"/>
              <w:left w:val="single" w:color="000000" w:sz="4" w:space="0"/>
              <w:bottom w:val="single" w:color="auto" w:sz="4" w:space="0"/>
              <w:right w:val="single" w:color="000000" w:sz="4" w:space="0"/>
            </w:tcBorders>
          </w:tcPr>
          <w:p w14:paraId="19469693">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会议费</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7BBBD09F">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3.50</w:t>
            </w:r>
          </w:p>
        </w:tc>
      </w:tr>
      <w:tr w14:paraId="4AEE5119">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22D89DA4">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30216</w:t>
            </w:r>
          </w:p>
        </w:tc>
        <w:tc>
          <w:tcPr>
            <w:tcW w:w="2876" w:type="dxa"/>
            <w:tcBorders>
              <w:top w:val="single" w:color="000000" w:sz="4" w:space="0"/>
              <w:left w:val="single" w:color="000000" w:sz="4" w:space="0"/>
              <w:bottom w:val="single" w:color="auto" w:sz="4" w:space="0"/>
              <w:right w:val="single" w:color="000000" w:sz="4" w:space="0"/>
            </w:tcBorders>
          </w:tcPr>
          <w:p w14:paraId="19469693">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培训费</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7BBBD09F">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2.10</w:t>
            </w:r>
          </w:p>
        </w:tc>
      </w:tr>
      <w:tr w14:paraId="4AEE5119">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22D89DA4">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30217</w:t>
            </w:r>
          </w:p>
        </w:tc>
        <w:tc>
          <w:tcPr>
            <w:tcW w:w="2876" w:type="dxa"/>
            <w:tcBorders>
              <w:top w:val="single" w:color="000000" w:sz="4" w:space="0"/>
              <w:left w:val="single" w:color="000000" w:sz="4" w:space="0"/>
              <w:bottom w:val="single" w:color="auto" w:sz="4" w:space="0"/>
              <w:right w:val="single" w:color="000000" w:sz="4" w:space="0"/>
            </w:tcBorders>
          </w:tcPr>
          <w:p w14:paraId="19469693">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公务接待费</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7BBBD09F">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3.29</w:t>
            </w:r>
          </w:p>
        </w:tc>
      </w:tr>
      <w:tr w14:paraId="4AEE5119">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22D89DA4">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30228</w:t>
            </w:r>
          </w:p>
        </w:tc>
        <w:tc>
          <w:tcPr>
            <w:tcW w:w="2876" w:type="dxa"/>
            <w:tcBorders>
              <w:top w:val="single" w:color="000000" w:sz="4" w:space="0"/>
              <w:left w:val="single" w:color="000000" w:sz="4" w:space="0"/>
              <w:bottom w:val="single" w:color="auto" w:sz="4" w:space="0"/>
              <w:right w:val="single" w:color="000000" w:sz="4" w:space="0"/>
            </w:tcBorders>
          </w:tcPr>
          <w:p w14:paraId="19469693">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工会经费</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7BBBD09F">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6.16</w:t>
            </w:r>
          </w:p>
        </w:tc>
      </w:tr>
      <w:tr w14:paraId="4AEE5119">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22D89DA4">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30239</w:t>
            </w:r>
          </w:p>
        </w:tc>
        <w:tc>
          <w:tcPr>
            <w:tcW w:w="2876" w:type="dxa"/>
            <w:tcBorders>
              <w:top w:val="single" w:color="000000" w:sz="4" w:space="0"/>
              <w:left w:val="single" w:color="000000" w:sz="4" w:space="0"/>
              <w:bottom w:val="single" w:color="auto" w:sz="4" w:space="0"/>
              <w:right w:val="single" w:color="000000" w:sz="4" w:space="0"/>
            </w:tcBorders>
          </w:tcPr>
          <w:p w14:paraId="19469693">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其他交通费用</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7BBBD09F">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3.50</w:t>
            </w:r>
          </w:p>
        </w:tc>
      </w:tr>
      <w:tr w14:paraId="4AEE5119">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22D89DA4">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30299</w:t>
            </w:r>
          </w:p>
        </w:tc>
        <w:tc>
          <w:tcPr>
            <w:tcW w:w="2876" w:type="dxa"/>
            <w:tcBorders>
              <w:top w:val="single" w:color="000000" w:sz="4" w:space="0"/>
              <w:left w:val="single" w:color="000000" w:sz="4" w:space="0"/>
              <w:bottom w:val="single" w:color="auto" w:sz="4" w:space="0"/>
              <w:right w:val="single" w:color="000000" w:sz="4" w:space="0"/>
            </w:tcBorders>
          </w:tcPr>
          <w:p w14:paraId="19469693">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其他商品和服务支出</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7BBBD09F">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11.32</w:t>
            </w:r>
          </w:p>
        </w:tc>
      </w:tr>
    </w:tbl>
    <w:p w14:paraId="28F6C040">
      <w:pPr>
        <w:numPr>
          <w:ilvl w:val="0"/>
          <w:numId w:val="0"/>
        </w:numPr>
        <w:tabs>
          <w:tab w:val="left" w:pos="-440"/>
        </w:tabs>
        <w:spacing w:before="25" w:after="0"/>
        <w:ind w:left="-440" w:leftChars="0" w:right="-220" w:rightChars="-100" w:firstLine="0" w:firstLineChars="0"/>
        <w:rPr>
          <w:rFonts w:hint="default" w:ascii="仿宋" w:hAnsi="仿宋" w:eastAsia="仿宋" w:cs="仿宋"/>
          <w:b/>
          <w:bCs/>
          <w:sz w:val="22"/>
          <w:szCs w:val="22"/>
          <w:lang w:val="en-US" w:eastAsia="zh-CN"/>
        </w:rPr>
      </w:pPr>
      <w:r>
        <w:rPr>
          <w:rFonts w:hint="eastAsia" w:ascii="仿宋" w:hAnsi="仿宋" w:eastAsia="仿宋" w:cs="仿宋"/>
          <w:b/>
          <w:bCs/>
          <w:sz w:val="22"/>
          <w:szCs w:val="22"/>
          <w:lang w:val="en-US" w:eastAsia="zh-CN"/>
        </w:rPr>
        <w:t>注：1.</w:t>
      </w:r>
      <w:r>
        <w:rPr>
          <w:rFonts w:hint="eastAsia" w:ascii="仿宋" w:hAnsi="仿宋" w:eastAsia="仿宋" w:cs="仿宋"/>
          <w:b/>
          <w:bCs/>
          <w:sz w:val="22"/>
          <w:szCs w:val="22"/>
        </w:rPr>
        <w:t>“机关运行经费”指行政单位（含参照公务员法管理的事业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14:paraId="219881AC">
      <w:pPr>
        <w:widowControl w:val="0"/>
        <w:suppressAutoHyphens/>
        <w:bidi w:val="0"/>
        <w:spacing w:before="78" w:after="0" w:line="290" w:lineRule="auto"/>
        <w:ind w:left="227" w:right="57" w:firstLine="0"/>
        <w:jc w:val="both"/>
        <w:rPr>
          <w:rFonts w:hint="eastAsia" w:ascii="仿宋" w:hAnsi="仿宋" w:eastAsia="仿宋" w:cs="仿宋"/>
          <w:b/>
          <w:bCs/>
          <w:sz w:val="22"/>
          <w:szCs w:val="22"/>
        </w:rPr>
        <w:sectPr>
          <w:footerReference r:id="rId18" w:type="default"/>
          <w:pgSz w:w="11906" w:h="16838"/>
          <w:pgMar w:top="1100" w:right="906" w:bottom="770" w:left="13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27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1512"/>
        <w:gridCol w:w="2502"/>
        <w:gridCol w:w="1440"/>
        <w:gridCol w:w="2280"/>
        <w:gridCol w:w="1479"/>
        <w:gridCol w:w="1109"/>
        <w:gridCol w:w="1173"/>
        <w:gridCol w:w="1188"/>
        <w:gridCol w:w="1169"/>
        <w:gridCol w:w="1421"/>
      </w:tblGrid>
      <w:tr w14:paraId="17AE5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5273" w:type="dxa"/>
            <w:gridSpan w:val="10"/>
            <w:tcBorders>
              <w:top w:val="nil"/>
              <w:left w:val="nil"/>
              <w:bottom w:val="nil"/>
              <w:right w:val="nil"/>
            </w:tcBorders>
            <w:shd w:val="clear" w:color="auto" w:fill="FFFFFF"/>
            <w:tcMar>
              <w:top w:w="0" w:type="dxa"/>
              <w:left w:w="0" w:type="dxa"/>
              <w:bottom w:w="0" w:type="dxa"/>
              <w:right w:w="0" w:type="dxa"/>
            </w:tcMar>
            <w:vAlign w:val="center"/>
          </w:tcPr>
          <w:p w14:paraId="25ABA2C5">
            <w:pPr>
              <w:pStyle w:val="22"/>
              <w:widowControl w:val="0"/>
              <w:jc w:val="left"/>
              <w:rPr>
                <w:rFonts w:hint="eastAsia" w:ascii="仿宋" w:hAnsi="仿宋" w:eastAsia="仿宋" w:cs="仿宋"/>
                <w:b/>
                <w:bCs/>
                <w:color w:val="auto"/>
                <w:kern w:val="0"/>
                <w:sz w:val="44"/>
                <w:szCs w:val="44"/>
                <w:lang w:val="en-US" w:eastAsia="zh-CN" w:bidi="zh-CN"/>
              </w:rPr>
            </w:pPr>
            <w:r>
              <w:rPr>
                <w:rFonts w:hint="eastAsia" w:ascii="仿宋" w:hAnsi="仿宋" w:eastAsia="仿宋" w:cs="仿宋"/>
              </w:rPr>
              <w:t>公开1</w:t>
            </w:r>
            <w:r>
              <w:rPr>
                <w:rFonts w:hint="eastAsia" w:ascii="仿宋" w:hAnsi="仿宋" w:eastAsia="仿宋" w:cs="仿宋"/>
                <w:lang w:val="en-US" w:eastAsia="zh-CN"/>
              </w:rPr>
              <w:t>3</w:t>
            </w:r>
            <w:r>
              <w:rPr>
                <w:rFonts w:hint="eastAsia" w:ascii="仿宋" w:hAnsi="仿宋" w:eastAsia="仿宋" w:cs="仿宋"/>
              </w:rPr>
              <w:t>表</w:t>
            </w:r>
          </w:p>
        </w:tc>
      </w:tr>
      <w:tr w14:paraId="76100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5273" w:type="dxa"/>
            <w:gridSpan w:val="10"/>
            <w:tcBorders>
              <w:top w:val="nil"/>
              <w:left w:val="nil"/>
              <w:bottom w:val="nil"/>
              <w:right w:val="nil"/>
            </w:tcBorders>
            <w:shd w:val="clear" w:color="auto" w:fill="FFFFFF"/>
            <w:tcMar>
              <w:top w:w="0" w:type="dxa"/>
              <w:left w:w="0" w:type="dxa"/>
              <w:bottom w:w="0" w:type="dxa"/>
              <w:right w:w="0" w:type="dxa"/>
            </w:tcMar>
            <w:vAlign w:val="center"/>
          </w:tcPr>
          <w:p w14:paraId="7C23C5B6">
            <w:pPr>
              <w:pStyle w:val="22"/>
              <w:widowControl w:val="0"/>
              <w:jc w:val="center"/>
              <w:rPr>
                <w:rFonts w:hint="eastAsia" w:ascii="仿宋" w:hAnsi="仿宋" w:eastAsia="仿宋" w:cs="仿宋"/>
                <w:lang w:val="en-US" w:eastAsia="zh-CN"/>
              </w:rPr>
            </w:pPr>
            <w:r>
              <w:rPr>
                <w:rFonts w:hint="eastAsia" w:ascii="仿宋" w:hAnsi="仿宋" w:eastAsia="仿宋" w:cs="仿宋"/>
                <w:b/>
                <w:bCs/>
                <w:color w:val="auto"/>
                <w:kern w:val="0"/>
                <w:sz w:val="44"/>
                <w:szCs w:val="44"/>
                <w:lang w:val="en-US" w:eastAsia="zh-CN" w:bidi="zh-CN"/>
              </w:rPr>
              <w:t>政府采购支出表</w:t>
            </w:r>
          </w:p>
        </w:tc>
      </w:tr>
      <w:tr w14:paraId="2D4D3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9213" w:type="dxa"/>
            <w:gridSpan w:val="5"/>
            <w:tcBorders>
              <w:top w:val="nil"/>
              <w:left w:val="nil"/>
              <w:bottom w:val="single" w:color="auto" w:sz="4" w:space="0"/>
              <w:right w:val="nil"/>
            </w:tcBorders>
            <w:shd w:val="clear" w:color="auto" w:fill="FFFFFF"/>
            <w:tcMar>
              <w:top w:w="0" w:type="dxa"/>
              <w:left w:w="0" w:type="dxa"/>
              <w:bottom w:w="0" w:type="dxa"/>
              <w:right w:w="0" w:type="dxa"/>
            </w:tcMar>
            <w:vAlign w:val="center"/>
          </w:tcPr>
          <w:p w14:paraId="2DB53ADF">
            <w:pPr>
              <w:pStyle w:val="22"/>
              <w:widowControl w:val="0"/>
              <w:jc w:val="left"/>
              <w:rPr>
                <w:rFonts w:hint="eastAsia" w:ascii="仿宋" w:hAnsi="仿宋" w:eastAsia="仿宋" w:cs="仿宋"/>
                <w:lang w:val="en-US" w:eastAsia="zh-CN"/>
              </w:rPr>
            </w:pPr>
            <w:r>
              <w:rPr>
                <w:rFonts w:hint="eastAsia" w:ascii="仿宋" w:hAnsi="仿宋" w:eastAsia="仿宋" w:cs="仿宋"/>
                <w:color w:val="000000"/>
                <w:sz w:val="22"/>
                <w:szCs w:val="22"/>
                <w:lang w:eastAsia="zh-CN"/>
              </w:rPr>
              <w:t>部门</w:t>
            </w:r>
            <w:r>
              <w:rPr>
                <w:rFonts w:ascii="仿宋" w:hAnsi="仿宋" w:cs="仿宋" w:eastAsia="仿宋"/>
                <w:color w:val="000000"/>
                <w:sz w:val="22"/>
              </w:rPr>
              <w:t>：</w:t>
            </w:r>
            <w:r>
              <w:rPr>
                <w:rFonts w:hint="eastAsia" w:ascii="仿宋" w:hAnsi="仿宋" w:eastAsia="仿宋" w:cs="仿宋"/>
              </w:rPr>
              <w:t>江阴市商务局</w:t>
            </w:r>
          </w:p>
        </w:tc>
        <w:tc>
          <w:tcPr>
            <w:tcW w:w="4639" w:type="dxa"/>
            <w:gridSpan w:val="4"/>
            <w:tcBorders>
              <w:top w:val="nil"/>
              <w:left w:val="nil"/>
              <w:bottom w:val="single" w:color="auto" w:sz="4" w:space="0"/>
              <w:right w:val="nil"/>
            </w:tcBorders>
            <w:shd w:val="clear" w:color="auto" w:fill="FFFFFF"/>
            <w:tcMar>
              <w:top w:w="0" w:type="dxa"/>
              <w:left w:w="0" w:type="dxa"/>
              <w:bottom w:w="0" w:type="dxa"/>
              <w:right w:w="0" w:type="dxa"/>
            </w:tcMar>
            <w:vAlign w:val="center"/>
          </w:tcPr>
          <w:p w14:paraId="535DB9A2">
            <w:pPr>
              <w:pStyle w:val="22"/>
              <w:widowControl w:val="0"/>
              <w:jc w:val="left"/>
              <w:rPr>
                <w:rFonts w:hint="eastAsia" w:ascii="仿宋" w:hAnsi="仿宋" w:eastAsia="仿宋" w:cs="仿宋"/>
                <w:lang w:val="en-US" w:eastAsia="zh-CN"/>
              </w:rPr>
            </w:pPr>
          </w:p>
        </w:tc>
        <w:tc>
          <w:tcPr>
            <w:tcW w:w="1421" w:type="dxa"/>
            <w:tcBorders>
              <w:top w:val="nil"/>
              <w:left w:val="nil"/>
              <w:bottom w:val="single" w:color="auto" w:sz="4" w:space="0"/>
              <w:right w:val="nil"/>
            </w:tcBorders>
            <w:shd w:val="clear" w:color="auto" w:fill="FFFFFF"/>
            <w:tcMar>
              <w:top w:w="0" w:type="dxa"/>
              <w:left w:w="0" w:type="dxa"/>
              <w:bottom w:w="0" w:type="dxa"/>
              <w:right w:w="0" w:type="dxa"/>
            </w:tcMar>
            <w:vAlign w:val="center"/>
          </w:tcPr>
          <w:p w14:paraId="13948C0E">
            <w:pPr>
              <w:pStyle w:val="22"/>
              <w:widowControl w:val="0"/>
              <w:jc w:val="right"/>
              <w:rPr>
                <w:rFonts w:hint="eastAsia" w:ascii="仿宋" w:hAnsi="仿宋" w:eastAsia="仿宋" w:cs="仿宋"/>
                <w:lang w:val="en-US" w:eastAsia="zh-CN"/>
              </w:rPr>
            </w:pPr>
            <w:r>
              <w:rPr>
                <w:rFonts w:hint="eastAsia" w:ascii="仿宋" w:hAnsi="仿宋" w:eastAsia="仿宋" w:cs="仿宋"/>
              </w:rPr>
              <w:t>单位：万元</w:t>
            </w:r>
          </w:p>
        </w:tc>
      </w:tr>
      <w:tr w14:paraId="10946B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512"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D4FC7E2">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采购品目大类</w:t>
            </w:r>
          </w:p>
        </w:tc>
        <w:tc>
          <w:tcPr>
            <w:tcW w:w="2502"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AF93C99">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专项名称</w:t>
            </w:r>
          </w:p>
        </w:tc>
        <w:tc>
          <w:tcPr>
            <w:tcW w:w="1440"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019AB60">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经济科目</w:t>
            </w:r>
          </w:p>
        </w:tc>
        <w:tc>
          <w:tcPr>
            <w:tcW w:w="2280"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863A4CB">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采购品目名称</w:t>
            </w:r>
          </w:p>
        </w:tc>
        <w:tc>
          <w:tcPr>
            <w:tcW w:w="1479"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D822C97">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采购组织形式</w:t>
            </w:r>
          </w:p>
        </w:tc>
        <w:tc>
          <w:tcPr>
            <w:tcW w:w="4639" w:type="dxa"/>
            <w:gridSpan w:val="4"/>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F9C219A">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资金来源</w:t>
            </w:r>
          </w:p>
        </w:tc>
        <w:tc>
          <w:tcPr>
            <w:tcW w:w="1421"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71AEF85">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总计</w:t>
            </w:r>
          </w:p>
        </w:tc>
      </w:tr>
      <w:tr w14:paraId="6D92C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58" w:hRule="atLeast"/>
        </w:trPr>
        <w:tc>
          <w:tcPr>
            <w:tcW w:w="1512"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C91EE03">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c>
          <w:tcPr>
            <w:tcW w:w="2502"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A12B648">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c>
          <w:tcPr>
            <w:tcW w:w="1440"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92F3862">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c>
          <w:tcPr>
            <w:tcW w:w="2280"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0B5BF50">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c>
          <w:tcPr>
            <w:tcW w:w="1479"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E3A18FB">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c>
          <w:tcPr>
            <w:tcW w:w="110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64F1135">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lang w:val="en-US"/>
              </w:rPr>
            </w:pPr>
            <w:r>
              <w:rPr>
                <w:rFonts w:hint="eastAsia" w:ascii="仿宋" w:hAnsi="仿宋" w:eastAsia="仿宋" w:cs="仿宋"/>
                <w:lang w:val="en-US" w:eastAsia="zh-CN"/>
              </w:rPr>
              <w:t>一般公共预算资金</w:t>
            </w:r>
          </w:p>
        </w:tc>
        <w:tc>
          <w:tcPr>
            <w:tcW w:w="117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DBF9C23">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政府性基金</w:t>
            </w:r>
          </w:p>
        </w:tc>
        <w:tc>
          <w:tcPr>
            <w:tcW w:w="118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976F5A3">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其他资金</w:t>
            </w:r>
          </w:p>
        </w:tc>
        <w:tc>
          <w:tcPr>
            <w:tcW w:w="116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A0F303E">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上年结转和结余资金</w:t>
            </w:r>
          </w:p>
        </w:tc>
        <w:tc>
          <w:tcPr>
            <w:tcW w:w="1421"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BF2CFD1">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r>
      <w:tr w14:paraId="0AAAF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07"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BCFE2A4">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sz w:val="22"/>
                <w:szCs w:val="22"/>
              </w:rPr>
              <w:t/>
            </w:r>
            <w:r>
              <w:rPr>
                <w:rFonts w:hint="eastAsia" w:ascii="仿宋" w:hAnsi="仿宋" w:eastAsia="仿宋" w:cs="仿宋"/>
                <w:lang w:val="en-US" w:eastAsia="zh-CN"/>
              </w:rPr>
              <w:t>合计</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5E522CA">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585776D">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659CECE">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c>
          <w:tcPr>
            <w:tcW w:w="147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F86FA57">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c>
          <w:tcPr>
            <w:tcW w:w="110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0DC751C">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5.85</w:t>
            </w:r>
          </w:p>
        </w:tc>
        <w:tc>
          <w:tcPr>
            <w:tcW w:w="117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B0F2148">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8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D2F4384">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6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4545084">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61AB642">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5.85</w:t>
            </w:r>
          </w:p>
        </w:tc>
      </w:tr>
      <w:tr w14:paraId="5085D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40F4E60">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货物</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BB609C0">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5C674CC">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36306F4">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7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D3BD637">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0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F33CA0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1.79</w:t>
            </w:r>
          </w:p>
        </w:tc>
        <w:tc>
          <w:tcPr>
            <w:tcW w:w="117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5D539A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8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6D1A62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6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0091EF8">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1C334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1.79</w:t>
            </w:r>
          </w:p>
        </w:tc>
      </w:tr>
      <w:tr w14:paraId="5085D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40F4E60">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江阴市商务局（机关）</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BB609C0">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5C674CC">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36306F4">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7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D3BD637">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0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F33CA0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1.36</w:t>
            </w:r>
          </w:p>
        </w:tc>
        <w:tc>
          <w:tcPr>
            <w:tcW w:w="117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5D539A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8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6D1A62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6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0091EF8">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1C334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1.36</w:t>
            </w:r>
          </w:p>
        </w:tc>
      </w:tr>
      <w:tr w14:paraId="5085D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40F4E60">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BB609C0">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非义务教育商品服务支出定额（含定额补助）</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5C674CC">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办公费</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36306F4">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复印纸</w:t>
            </w:r>
          </w:p>
        </w:tc>
        <w:tc>
          <w:tcPr>
            <w:tcW w:w="147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D3BD637">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集中采购</w:t>
            </w:r>
          </w:p>
        </w:tc>
        <w:tc>
          <w:tcPr>
            <w:tcW w:w="110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F33CA0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0.30</w:t>
            </w:r>
          </w:p>
        </w:tc>
        <w:tc>
          <w:tcPr>
            <w:tcW w:w="117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5D539A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8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6D1A62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6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0091EF8">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1C334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0.30</w:t>
            </w:r>
          </w:p>
        </w:tc>
      </w:tr>
      <w:tr w14:paraId="5085D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40F4E60">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BB609C0">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非义务教育商品服务支出定额（含定额补助）</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5C674CC">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其他资本性支出</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36306F4">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A4黑白打印机</w:t>
            </w:r>
          </w:p>
        </w:tc>
        <w:tc>
          <w:tcPr>
            <w:tcW w:w="147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D3BD637">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集中采购</w:t>
            </w:r>
          </w:p>
        </w:tc>
        <w:tc>
          <w:tcPr>
            <w:tcW w:w="110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F33CA0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0.60</w:t>
            </w:r>
          </w:p>
        </w:tc>
        <w:tc>
          <w:tcPr>
            <w:tcW w:w="117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5D539A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8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6D1A62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6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0091EF8">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1C334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0.60</w:t>
            </w:r>
          </w:p>
        </w:tc>
      </w:tr>
      <w:tr w14:paraId="5085D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40F4E60">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BB609C0">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非义务教育商品服务支出定额（含定额补助）</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5C674CC">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其他资本性支出</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36306F4">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A4彩色打印机</w:t>
            </w:r>
          </w:p>
        </w:tc>
        <w:tc>
          <w:tcPr>
            <w:tcW w:w="147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D3BD637">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集中采购</w:t>
            </w:r>
          </w:p>
        </w:tc>
        <w:tc>
          <w:tcPr>
            <w:tcW w:w="110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F33CA0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0.46</w:t>
            </w:r>
          </w:p>
        </w:tc>
        <w:tc>
          <w:tcPr>
            <w:tcW w:w="117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5D539A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8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6D1A62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6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0091EF8">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1C334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0.46</w:t>
            </w:r>
          </w:p>
        </w:tc>
      </w:tr>
      <w:tr w14:paraId="5085D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40F4E60">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xml:space="preserve">      江阴市投资促进中心</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BB609C0">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5C674CC">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36306F4">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7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D3BD637">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0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F33CA0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0.18</w:t>
            </w:r>
          </w:p>
        </w:tc>
        <w:tc>
          <w:tcPr>
            <w:tcW w:w="117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5D539A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8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6D1A62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6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0091EF8">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1C334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0.18</w:t>
            </w:r>
          </w:p>
        </w:tc>
      </w:tr>
      <w:tr w14:paraId="5085D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40F4E60">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BB609C0">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非义务教育商品服务支出定额（含定额补助）</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5C674CC">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办公费</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36306F4">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复印纸</w:t>
            </w:r>
          </w:p>
        </w:tc>
        <w:tc>
          <w:tcPr>
            <w:tcW w:w="147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D3BD637">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集中采购</w:t>
            </w:r>
          </w:p>
        </w:tc>
        <w:tc>
          <w:tcPr>
            <w:tcW w:w="110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F33CA0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0.18</w:t>
            </w:r>
          </w:p>
        </w:tc>
        <w:tc>
          <w:tcPr>
            <w:tcW w:w="117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5D539A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8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6D1A62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6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0091EF8">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1C334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0.18</w:t>
            </w:r>
          </w:p>
        </w:tc>
      </w:tr>
      <w:tr w14:paraId="5085D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40F4E60">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江阴市服务业发展中心</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BB609C0">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5C674CC">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36306F4">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7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D3BD637">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0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F33CA0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0.25</w:t>
            </w:r>
          </w:p>
        </w:tc>
        <w:tc>
          <w:tcPr>
            <w:tcW w:w="117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5D539A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8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6D1A62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6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0091EF8">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1C334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0.25</w:t>
            </w:r>
          </w:p>
        </w:tc>
      </w:tr>
      <w:tr w14:paraId="5085D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40F4E60">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BB609C0">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非义务教育商品服务支出定额（含定额补助）</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5C674CC">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办公费</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36306F4">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复印纸</w:t>
            </w:r>
          </w:p>
        </w:tc>
        <w:tc>
          <w:tcPr>
            <w:tcW w:w="147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D3BD637">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集中采购</w:t>
            </w:r>
          </w:p>
        </w:tc>
        <w:tc>
          <w:tcPr>
            <w:tcW w:w="110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F33CA0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0.25</w:t>
            </w:r>
          </w:p>
        </w:tc>
        <w:tc>
          <w:tcPr>
            <w:tcW w:w="117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5D539A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8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6D1A62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6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0091EF8">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1C334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0.25</w:t>
            </w:r>
          </w:p>
        </w:tc>
      </w:tr>
      <w:tr w14:paraId="5085D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40F4E60">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服务</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BB609C0">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5C674CC">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36306F4">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7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D3BD637">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0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F33CA0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4.06</w:t>
            </w:r>
          </w:p>
        </w:tc>
        <w:tc>
          <w:tcPr>
            <w:tcW w:w="117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5D539A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8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6D1A62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6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0091EF8">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1C334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4.06</w:t>
            </w:r>
          </w:p>
        </w:tc>
      </w:tr>
      <w:tr w14:paraId="5085D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40F4E60">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xml:space="preserve">      江阴市投资促进中心</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BB609C0">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5C674CC">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36306F4">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7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D3BD637">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0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F33CA0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3.06</w:t>
            </w:r>
          </w:p>
        </w:tc>
        <w:tc>
          <w:tcPr>
            <w:tcW w:w="117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5D539A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8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6D1A62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6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0091EF8">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1C334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3.06</w:t>
            </w:r>
          </w:p>
        </w:tc>
      </w:tr>
      <w:tr w14:paraId="5085D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40F4E60">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BB609C0">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非义务教育商品服务支出定额（含定额补助）</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5C674CC">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印刷费</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36306F4">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其他印刷服务</w:t>
            </w:r>
          </w:p>
        </w:tc>
        <w:tc>
          <w:tcPr>
            <w:tcW w:w="147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D3BD637">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集中采购</w:t>
            </w:r>
          </w:p>
        </w:tc>
        <w:tc>
          <w:tcPr>
            <w:tcW w:w="110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F33CA0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1.00</w:t>
            </w:r>
          </w:p>
        </w:tc>
        <w:tc>
          <w:tcPr>
            <w:tcW w:w="117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5D539A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8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6D1A62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6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0091EF8">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1C334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1.00</w:t>
            </w:r>
          </w:p>
        </w:tc>
      </w:tr>
      <w:tr w14:paraId="5085D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40F4E60">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BB609C0">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车辆经费</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5C674CC">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公务用车运行维护费</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36306F4">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财产保险服务</w:t>
            </w:r>
          </w:p>
        </w:tc>
        <w:tc>
          <w:tcPr>
            <w:tcW w:w="147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D3BD637">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集中采购</w:t>
            </w:r>
          </w:p>
        </w:tc>
        <w:tc>
          <w:tcPr>
            <w:tcW w:w="110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F33CA0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0.21</w:t>
            </w:r>
          </w:p>
        </w:tc>
        <w:tc>
          <w:tcPr>
            <w:tcW w:w="117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5D539A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8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6D1A62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6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0091EF8">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1C334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0.21</w:t>
            </w:r>
          </w:p>
        </w:tc>
      </w:tr>
      <w:tr w14:paraId="5085D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40F4E60">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BB609C0">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车辆经费</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5C674CC">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公务用车运行维护费</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36306F4">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车辆维修和保养服务</w:t>
            </w:r>
          </w:p>
        </w:tc>
        <w:tc>
          <w:tcPr>
            <w:tcW w:w="147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D3BD637">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集中采购</w:t>
            </w:r>
          </w:p>
        </w:tc>
        <w:tc>
          <w:tcPr>
            <w:tcW w:w="110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F33CA0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0.50</w:t>
            </w:r>
          </w:p>
        </w:tc>
        <w:tc>
          <w:tcPr>
            <w:tcW w:w="117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5D539A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8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6D1A62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6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0091EF8">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1C334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0.50</w:t>
            </w:r>
          </w:p>
        </w:tc>
      </w:tr>
      <w:tr w14:paraId="5085D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40F4E60">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BB609C0">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车辆经费</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5C674CC">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公务用车运行维护费</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36306F4">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车辆加油、添加燃料服务</w:t>
            </w:r>
          </w:p>
        </w:tc>
        <w:tc>
          <w:tcPr>
            <w:tcW w:w="147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D3BD637">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集中采购</w:t>
            </w:r>
          </w:p>
        </w:tc>
        <w:tc>
          <w:tcPr>
            <w:tcW w:w="110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F33CA0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1.35</w:t>
            </w:r>
          </w:p>
        </w:tc>
        <w:tc>
          <w:tcPr>
            <w:tcW w:w="117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5D539A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8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6D1A62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6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0091EF8">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1C334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1.35</w:t>
            </w:r>
          </w:p>
        </w:tc>
      </w:tr>
      <w:tr w14:paraId="5085D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40F4E60">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江阴市服务业发展中心</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BB609C0">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5C674CC">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36306F4">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7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D3BD637">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0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F33CA0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1.00</w:t>
            </w:r>
          </w:p>
        </w:tc>
        <w:tc>
          <w:tcPr>
            <w:tcW w:w="117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5D539A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8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6D1A62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6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0091EF8">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1C334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1.00</w:t>
            </w:r>
          </w:p>
        </w:tc>
      </w:tr>
      <w:tr w14:paraId="5085D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40F4E60">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BB609C0">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非义务教育商品服务支出定额（含定额补助）</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5C674CC">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印刷费</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36306F4">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其他印刷服务</w:t>
            </w:r>
          </w:p>
        </w:tc>
        <w:tc>
          <w:tcPr>
            <w:tcW w:w="147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D3BD637">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集中采购</w:t>
            </w:r>
          </w:p>
        </w:tc>
        <w:tc>
          <w:tcPr>
            <w:tcW w:w="110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F33CA0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1.00</w:t>
            </w:r>
          </w:p>
        </w:tc>
        <w:tc>
          <w:tcPr>
            <w:tcW w:w="117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5D539A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8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6D1A62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6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0091EF8">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1C334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1.00</w:t>
            </w:r>
          </w:p>
        </w:tc>
      </w:tr>
    </w:tbl>
    <w:p w14:paraId="51FF3C07">
      <w:pPr>
        <w:bidi w:val="0"/>
        <w:rPr>
          <w:rFonts w:hint="eastAsia" w:ascii="仿宋" w:hAnsi="仿宋" w:eastAsia="仿宋" w:cs="仿宋"/>
          <w:b/>
          <w:bCs/>
          <w:sz w:val="22"/>
          <w:szCs w:val="22"/>
        </w:rPr>
        <w:sectPr>
          <w:footerReference r:id="rId19" w:type="default"/>
          <w:pgSz w:w="16838" w:h="11906" w:orient="landscape"/>
          <w:pgMar w:top="1320" w:right="771" w:bottom="1320" w:left="77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bookmarkStart w:id="0" w:name="_GoBack"/>
      <w:bookmarkEnd w:id="0"/>
    </w:p>
    <w:p w14:paraId="3ED135E2">
      <w:pPr>
        <w:pStyle w:val="5"/>
        <w:tabs>
          <w:tab w:val="left" w:pos="3077"/>
        </w:tabs>
        <w:spacing w:line="616" w:lineRule="exact"/>
        <w:jc w:val="center"/>
        <w:rPr>
          <w:rFonts w:hint="eastAsia"/>
        </w:rPr>
      </w:pPr>
      <w:r>
        <w:rPr>
          <w:rFonts w:hint="eastAsia" w:ascii="仿宋" w:hAnsi="仿宋" w:eastAsia="仿宋" w:cs="仿宋"/>
          <w:b/>
          <w:bCs/>
          <w:sz w:val="44"/>
          <w:szCs w:val="44"/>
        </w:rPr>
        <w:t>第三部分</w:t>
      </w:r>
      <w:r>
        <w:rPr>
          <w:rFonts w:hint="eastAsia" w:ascii="仿宋" w:hAnsi="仿宋" w:eastAsia="仿宋" w:cs="仿宋"/>
          <w:b/>
          <w:bCs/>
          <w:sz w:val="44"/>
          <w:szCs w:val="44"/>
          <w:lang w:val="en-US" w:eastAsia="zh-CN"/>
        </w:rPr>
        <w:t xml:space="preserve"> </w:t>
      </w:r>
      <w:r>
        <w:rPr>
          <w:rFonts w:hint="eastAsia" w:ascii="仿宋" w:hAnsi="仿宋" w:eastAsia="仿宋" w:cs="仿宋"/>
          <w:b/>
          <w:bCs/>
          <w:sz w:val="44"/>
          <w:szCs w:val="44"/>
          <w:lang w:eastAsia="zh-CN"/>
        </w:rPr>
        <w:t>2025</w:t>
      </w:r>
      <w:r>
        <w:rPr>
          <w:rFonts w:hint="eastAsia" w:ascii="仿宋" w:hAnsi="仿宋" w:eastAsia="仿宋" w:cs="仿宋"/>
          <w:b/>
          <w:bCs/>
          <w:sz w:val="44"/>
          <w:szCs w:val="44"/>
        </w:rPr>
        <w:t>年度</w:t>
      </w:r>
      <w:r>
        <w:rPr>
          <w:rFonts w:ascii="仿宋" w:hAnsi="仿宋" w:cs="仿宋" w:eastAsia="仿宋"/>
          <w:b w:val="true"/>
          <w:sz w:val="44"/>
        </w:rPr>
        <w:t>部门</w:t>
      </w:r>
      <w:r>
        <w:rPr>
          <w:rFonts w:hint="eastAsia" w:ascii="仿宋" w:hAnsi="仿宋" w:eastAsia="仿宋" w:cs="仿宋"/>
          <w:b/>
          <w:bCs/>
          <w:sz w:val="44"/>
          <w:szCs w:val="44"/>
          <w:lang w:eastAsia="zh-CN"/>
        </w:rPr>
        <w:t>预算</w:t>
      </w:r>
      <w:r>
        <w:rPr>
          <w:rFonts w:hint="eastAsia" w:ascii="仿宋" w:hAnsi="仿宋" w:eastAsia="仿宋" w:cs="仿宋"/>
          <w:b/>
          <w:bCs/>
          <w:sz w:val="44"/>
          <w:szCs w:val="44"/>
        </w:rPr>
        <w:t>情况说明</w:t>
      </w:r>
    </w:p>
    <w:p w14:paraId="1540B497">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1" w:after="0" w:line="360" w:lineRule="auto"/>
        <w:ind w:left="348" w:right="420" w:firstLine="640"/>
        <w:jc w:val="both"/>
        <w:textAlignment w:val="auto"/>
        <w:rPr>
          <w:rFonts w:hint="eastAsia" w:ascii="仿宋" w:hAnsi="仿宋" w:eastAsia="仿宋" w:cs="仿宋"/>
          <w:lang w:val="en-US" w:eastAsia="zh-CN"/>
        </w:rPr>
      </w:pP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一、收支预算总体情况说明</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江阴市商务局2025年度收入、支出预算总计5,100.41万元，与上年相比收、支预算总计各增加62.59万元，增长1.24%。其中：</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（一）收入预算总计5,100.41万元。包括：</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1．本年收入合计5,100.41万元。</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（1）一般公共预算拨款收入5,100.41万元，与上年相比增加62.59万元，增长1.24%。主要原因是养老保险、公积金基数等增加。</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（2）政府性基金预算拨款收入0万元，与上年预算数相同。</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（3）国有资本经营预算拨款收入0万元，与上年预算数相同。</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（4）财政专户管理资金收入0万元，与上年预算数相同。</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（5）事业收入0万元，与上年预算数相同。</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（6）事业单位经营收入0万元，与上年预算数相同。</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（7）上级补助收入0万元，与上年预算数相同。</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（8）附属单位上缴收入0万元，与上年预算数相同。</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（9）其他收入0万元，与上年预算数相同。</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2．上年结转结余为0万元。与上年预算数相同。</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（二）支出预算总计5,100.41万元。包括：</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1．本年支出合计5,100.41万元。</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（1）一般公共服务支出（类）支出3,740.63万元，主要用于人员经费、机关运行经费以及口岸单位能耗补贴、商务发展专项等支出。与上年相比减少9.36万元，减少0.25%。主要原因是招商经费、趸船运维费等减少。</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（2）社会保障和就业支出（类）支出292.36万元，主要用于养老保险、职业年金、其他社保支出。与上年相比减少6.78万元，减少2.27%。主要原因是该类资金不再用于医疗保险支出，总量减少。</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3）卫生健康支出（类）支出78.92万元，主要用于医疗保险支出。与上年相比增加78.92万元（去年预算数为0万元，无法计算增减比率）。主要原因是本年度医疗保险支出功能分类由原社会保障和就业支出调整至卫生健康支出。</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（4）城乡社区支出（类）支出315.67万元，主要用于物业费支出。与上年预算数相同。</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（5）交通运输支出（类）支出0万元，与上年相比减少9万元，减少100%。主要原因是边检趸船拟报废，维护费减少。</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（6）住房保障支出（类）支出672.83万元，主要用于住房公积金、购房补贴、提租补贴。与上年相比增加8.81万元，增长1.33%。主要原因是公积金基数调整。</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2．年终结转结余为0万元。</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二、收入预算情况说明</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江阴市商务局2025年收入预算合计5,100.41万元，包括本年收入5,100.41万元，上年结转结余0万元。</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其中：</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本年一般公共预算收入5,100.41万元，占100%；</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本年政府性基金预算收入0万元，占0%；</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本年国有资本经营预算收入0万元，占0%；</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本年财政专户管理资金0万元，占0%；</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本年事业收入0万元，占0%；</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本年事业单位经营收入0万元，占0%；</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本年上级补助收入0万元，占0%；</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本年附属单位上缴收入0万元，占0%；</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本年其他收入0万元，占0%；</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上年结转结余的一般公共预算收入0万元，占0%；</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上年结转结余的政府性基金预算收入0万元，占0%；</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上年结转结余的国有资本经营预算收入0万元，占0%；</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上年结转结余的财政专户管理资金0万元，占0%；</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上年结转结余的单位资金0万元，占0%。</w:t>
      </w:r>
      <w:r>
        <w:rPr>
          <w:rFonts w:ascii="仿宋" w:hAnsi="仿宋" w:cs="仿宋" w:eastAsia="仿宋"/>
        </w:rPr>
        <w:t/>
      </w:r>
    </w:p>
    <w:p w14:paraId="5E7D86B6">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3" w:leftChars="0" w:right="420" w:firstLine="3"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t/>
        <w:drawing>
          <wp:inline distT="0" distR="0" distB="0" distL="0">
            <wp:extent cx="6134100" cy="342900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24"/>
                    <a:stretch>
                      <a:fillRect/>
                    </a:stretch>
                  </pic:blipFill>
                  <pic:spPr>
                    <a:xfrm>
                      <a:off x="0" y="0"/>
                      <a:ext cx="6134100" cy="3429000"/>
                    </a:xfrm>
                    <a:prstGeom prst="rect">
                      <a:avLst/>
                    </a:prstGeom>
                  </pic:spPr>
                </pic:pic>
              </a:graphicData>
            </a:graphic>
          </wp:inline>
        </w:drawing>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三、支出预算情况说明</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江阴市商务局2025年支出预算合计5,100.41万元，其中：</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基本支出2,744.36万元，占53.81%；</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项目支出2,356.05万元，占46.19%；</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事业单位经营支出0万元，占0%；</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上缴上级支出0万元，占0%；</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对附属单位补助支出0万元，占0%。</w:t>
      </w:r>
      <w:r>
        <w:rPr>
          <w:rFonts w:ascii="仿宋" w:hAnsi="仿宋" w:cs="仿宋" w:eastAsia="仿宋"/>
        </w:rPr>
        <w:t/>
      </w:r>
    </w:p>
    <w:p w14:paraId="5E7D86B6">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3" w:leftChars="0" w:right="420" w:firstLine="3"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t/>
        <w:drawing>
          <wp:inline distT="0" distR="0" distB="0" distL="0">
            <wp:extent cx="6134100" cy="3429000"/>
            <wp:docPr id="2" name="Drawing 2" descr="Generated"/>
            <a:graphic xmlns:a="http://schemas.openxmlformats.org/drawingml/2006/main">
              <a:graphicData uri="http://schemas.openxmlformats.org/drawingml/2006/picture">
                <pic:pic xmlns:pic="http://schemas.openxmlformats.org/drawingml/2006/picture">
                  <pic:nvPicPr>
                    <pic:cNvPr id="0" name="Picture 2" descr="Generated"/>
                    <pic:cNvPicPr>
                      <a:picLocks noChangeAspect="true"/>
                    </pic:cNvPicPr>
                  </pic:nvPicPr>
                  <pic:blipFill>
                    <a:blip r:embed="rId25"/>
                    <a:stretch>
                      <a:fillRect/>
                    </a:stretch>
                  </pic:blipFill>
                  <pic:spPr>
                    <a:xfrm>
                      <a:off x="0" y="0"/>
                      <a:ext cx="6134100" cy="3429000"/>
                    </a:xfrm>
                    <a:prstGeom prst="rect">
                      <a:avLst/>
                    </a:prstGeom>
                  </pic:spPr>
                </pic:pic>
              </a:graphicData>
            </a:graphic>
          </wp:inline>
        </w:drawing>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四、财政拨款收支预算总体情况说明</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江阴市商务局2025年度财政拨款收、支总预算5,100.41万元。与上年相比，财政拨款收、支总计各增加62.59万元，增长1.24%。主要原因是养老保险、公积金基数等增加。</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五、财政拨款支出预算情况说明</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江阴市商务局2025年财政拨款预算支出5,100.41万元，占本年支出合计的100%。与上年相比，财政拨款支出增加62.59万元，增长1.24%。主要原因是养老保险、公积金基数等增加。</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其中：</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（一）一般公共服务支出（类）</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1.商贸事务（款）行政运行（项）支出850.83万元，与上年相比增加17.05万元，增长2.04%。主要原因是人员调整，人员经费支出增加。</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2.商贸事务（款）事业运行（项）支出849.42万元，与上年相比增加2.03万元，增长0.24%。主要原因是人员调整，人员经费支出增加。</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3.商贸事务（款）其他商贸事务支出（项）支出2,040.38万元，与上年相比减少28.44万元，减少1.37%。主要原因是招商经费减少。</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（二）社会保障和就业支出（类）</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1.行政事业单位养老支出（款）机关事业单位基本养老保险缴费支出（项）支出187.9万元，与上年相比增加29.28万元，增长18.46%。主要原因是养老保险基数增加。</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2.行政事业单位养老支出（款）机关事业单位职业年金缴费支出（项）支出93.96万元，与上年相比增加14.65万元，增长18.47%。主要原因是职业年金基数增加。</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3.其他社会保障和就业支出（款）其他社会保障和就业支出（项）支出10.5万元，与上年相比减少50.71万元，减少82.85%。主要原因是本年度医疗保险支出功能分类由原社会保障和就业支出调整至卫生健康支出，导致该项支出总数减少。</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（三）卫生健康支出（类）</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1.行政事业单位医疗（款）行政单位医疗（项）支出38.09万元，与上年相比增加38.09万元（去年预算数为0万元，无法计算增减比率）。主要原因是本年度医疗保险支出功能分类由原社会保障和就业支出调整至卫生健康支出。</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行政事业单位医疗（款）事业单位医疗（项）支出40.83万元，与上年相比增加40.83万元（去年预算数为0万元，无法计算增减比率）。主要原因是本年度医疗保险支出功能分类由原社会保障和就业支出调整至卫生健康支出。</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（四）城乡社区支出（类）</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其他城乡社区支出（款）其他城乡社区支出（项）支出315.67万元，与上年预算数相同。</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（五）交通运输支出（类）</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公路水路运输（款）其他公路水路运输支出（项）支出0万元，与上年相比减少9万元，减少100%。主要原因是边检趸船拟报废，维护费减少。</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（六）住房保障支出（类）</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1.住房改革支出（款）住房公积金（项）支出144.41万元，与上年相比增加1.19万元，增长0.83%。主要原因是公积金基数增加。</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2.住房改革支出（款）提租补贴（项）支出333.32万元，与上年相比增加0.85万元，增长0.26%。主要原因是提租补贴基数增加。</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3.住房改革支出（款）购房补贴（项）支出195.1万元，与上年相比增加6.77万元，增长3.59%。主要原因是购房补贴基数增加。</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六、财政拨款基本支出预算情况说明</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江阴市商务局2025年度财政拨款基本支出预算2,744.36万元，其中：</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一）人员经费2,642.92万元。主要包括：基本工资、津贴补贴、奖金、伙食补助费、绩效工资、机关事业单位基本养老保险缴费、职业年金缴费、职工基本医疗保险缴费、其他社会保障缴费、住房公积金、医疗费、其他工资福利支出、退休费、生活补助、其他对个人和家庭的补助。</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（二）公用经费101.44万元。主要包括：办公费、印刷费、差旅费、会议费、培训费、公务接待费、工会经费、公务用车运行维护费、其他交通费用、其他商品和服务支出、其他资本性支出。</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七、一般公共预算支出预算情况说明</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江阴市商务局2025年一般公共预算财政拨款支出预算5,100.41万元，与上年相比增加62.59万元，增长1.24%。主要原因是养老保险、公积金等基数增加。</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八、一般公共预算基本支出预算情况说明</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江阴市商务局2025年度一般公共预算财政拨款基本支出预算2,744.36万元，其中：</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一）人员经费2,642.92万元。主要包括：基本工资、津贴补贴、奖金、伙食补助费、绩效工资、机关事业单位基本养老保险缴费、职业年金缴费、职工基本医疗保险缴费、其他社会保障缴费、住房公积金、医疗费、其他工资福利支出、退休费、生活补助、其他对个人和家庭的补助。</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（二）公用经费101.44万元。主要包括：办公费、印刷费、差旅费、会议费、培训费、公务接待费、工会经费、公务用车运行维护费、其他交通费用、其他商品和服务支出、其他资本性支出。</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九、一般公共预算“三公”经费、会议费、培训费支出预算情况说明</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江阴市商务局2025年度一般公共预算拨款安排的“三公”经费支出预算21.3万元，比上年预算减少1.19万元，变动原因按照财政要求压减三公经费。其中，因公出国（境）费支出0万元，占“三公”经费的0%；公务用车购置及运行维护费支出2.5万元，占“三公”经费的11.74%；公务接待费支出18.8万元，占“三公”经费的88.26%。具体情况如下：</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1．因公出国（境）费预算支出0万元，与上年预算数相同。</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2．公务用车购置及运行维护费预算支出2.5万元。其中：</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（1）公务用车购置预算支出0万元，与上年预算数相同。</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（2）公务用车运行维护费预算支出2.5万元，比上年预算减少0.2万元，主要原因是按照财政要求压减公务用车运行维护费。</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3．公务接待费预算支出18.8万元，比上年预算减少0.99万元，主要原因是按照财政要求压减5%公务接待费。</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江阴市商务局2025年度一般公共预算拨款安排的会议费预算支出15.17万元，比上年预算减少1.69万元，主要原因是按照财政要求压减10%会议费。</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江阴市商务局2025年度一般公共预算拨款安排的培训费预算支出8.23万元，比上年预算减少0.92万元，主要原因是按照财政要求压减10%培训费。</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十、政府性基金预算支出预算情况说明</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江阴市商务局2025年政府性基金支出预算支出0万元。与上年预算数相同。</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十一、国有资本经营预算支出预算情况说明</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江阴市商务局2025年国有资本经营预算支出0万元。与上年预算数相同。</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十二、一般公共预算机关运行经费支出预算情况说明</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2025年本部门一般公共预算机关运行经费预算支出55.48万元，与上年相比增加0.56万元，增长1.02%。主要原因是人员增加，商品服务定额支出增加。</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十三、政府采购支出预算情况说明</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2025年度政府采购支出预算总额5.85万元，其中：拟采购货物支出1.79万元、拟采购工程支出0万元、拟采购服务支出4.06万元。</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十四、国有资产占用情况说明</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部门共有车辆1辆，其中，副部（省）级及以上领导用车0辆、主要领导干部用车0辆、机要通信用车0辆、应急保障用车0辆、执法执勤用车0辆、特种专业技术用车0辆、离退休干部用车0辆，其他用车1辆；单价100万元（含）以上的设备1台（套）。</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十五、预算绩效目标设置情况说明</w:t>
      </w:r>
      <w:r>
        <w:rPr>
          <w:rFonts w:ascii="仿宋" w:hAnsi="仿宋" w:cs="仿宋" w:eastAsia="仿宋"/>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2025年度，本部门整体支出纳入绩效目标管理，涉及财政性资金5,100.41万元；本部门共6个项目纳入绩效目标管理，涉及财政性资金合计2,356.05万元，占财政性资金(人员类和运转类中的公用经费项目支出除外)总额的比例为100%。</w:t>
      </w:r>
      <w:r>
        <w:rPr>
          <w:rFonts w:ascii="仿宋" w:hAnsi="仿宋" w:cs="仿宋" w:eastAsia="仿宋"/>
        </w:rPr>
        <w:t/>
      </w:r>
    </w:p>
    <w:p w14:paraId="60A71CD5">
      <w:pPr>
        <w:pStyle w:val="8"/>
        <w:tabs>
          <w:tab w:val="left" w:pos="3864"/>
          <w:tab w:val="left" w:pos="6248"/>
          <w:tab w:val="left" w:pos="7386"/>
        </w:tabs>
        <w:spacing w:before="0" w:after="0" w:line="240" w:lineRule="auto"/>
        <w:ind w:left="0" w:right="0" w:firstLine="0"/>
        <w:jc w:val="center"/>
        <w:rPr>
          <w:rFonts w:hint="eastAsia" w:ascii="仿宋" w:hAnsi="仿宋" w:eastAsia="仿宋" w:cs="仿宋"/>
          <w:b/>
          <w:bCs/>
          <w:sz w:val="36"/>
          <w:szCs w:val="36"/>
        </w:rPr>
      </w:pPr>
      <w:r>
        <w:rPr>
          <w:rFonts w:hint="eastAsia" w:ascii="仿宋" w:hAnsi="仿宋" w:eastAsia="仿宋" w:cs="仿宋"/>
          <w:b/>
          <w:bCs/>
          <w:sz w:val="36"/>
          <w:szCs w:val="36"/>
        </w:rPr>
        <w:t>第四部分 名词解释</w:t>
      </w:r>
    </w:p>
    <w:p w14:paraId="63293F33">
      <w:pPr>
        <w:pStyle w:val="8"/>
        <w:tabs>
          <w:tab w:val="left" w:pos="3864"/>
          <w:tab w:val="left" w:pos="6248"/>
          <w:tab w:val="left" w:pos="7386"/>
        </w:tabs>
        <w:spacing w:before="0" w:after="0" w:line="240" w:lineRule="auto"/>
        <w:ind w:left="440" w:leftChars="200" w:right="0" w:firstLine="659" w:firstLineChars="206"/>
        <w:jc w:val="both"/>
        <w:rPr>
          <w:rFonts w:hint="eastAsia" w:ascii="仿宋" w:hAnsi="仿宋" w:eastAsia="仿宋" w:cs="仿宋"/>
        </w:rPr>
      </w:pPr>
    </w:p>
    <w:p w14:paraId="00D7B87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一、财政拨款</w:t>
      </w:r>
      <w:r>
        <w:rPr>
          <w:rFonts w:ascii="仿宋" w:hAnsi="仿宋" w:cs="仿宋" w:eastAsia="仿宋"/>
          <w:b w:val="true"/>
        </w:rPr>
        <w:t>：</w:t>
      </w:r>
      <w:r>
        <w:rPr>
          <w:rFonts w:hint="eastAsia" w:ascii="仿宋" w:hAnsi="仿宋" w:eastAsia="仿宋" w:cs="仿宋"/>
        </w:rPr>
        <w:t>单位从同级财政部门取得的各类财政拨款，包括一般公共预算拨款、政府性基金预算拨款、国有资本经营预算拨款。</w:t>
      </w:r>
    </w:p>
    <w:p w14:paraId="00D7B87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二、财政专户管理资金</w:t>
      </w:r>
      <w:r>
        <w:rPr>
          <w:rFonts w:ascii="仿宋" w:hAnsi="仿宋" w:cs="仿宋" w:eastAsia="仿宋"/>
          <w:b w:val="true"/>
        </w:rPr>
        <w:t>：</w:t>
      </w:r>
      <w:r>
        <w:rPr>
          <w:rFonts w:hint="eastAsia" w:ascii="仿宋" w:hAnsi="仿宋" w:eastAsia="仿宋" w:cs="仿宋"/>
        </w:rPr>
        <w:t>缴入财政专户、实行专项管理的高中以上学费、住宿费、高校委托培养费、函大、电大、夜大及短训班培训费等教育收费。</w:t>
      </w:r>
    </w:p>
    <w:p w14:paraId="00D7B87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三、单位资金</w:t>
      </w:r>
      <w:r>
        <w:rPr>
          <w:rFonts w:ascii="仿宋" w:hAnsi="仿宋" w:cs="仿宋" w:eastAsia="仿宋"/>
          <w:b w:val="true"/>
        </w:rPr>
        <w:t>：</w:t>
      </w:r>
      <w:r>
        <w:rPr>
          <w:rFonts w:hint="eastAsia" w:ascii="仿宋" w:hAnsi="仿宋" w:eastAsia="仿宋" w:cs="仿宋"/>
        </w:rPr>
        <w:t>除财政拨款收入和财政专户管理资金以外的收入，包括事业收入（不含教育收费）、上级补助收入、附属单位上缴收入、事业单位经营收入及其他收入（包含债务收入、投资收益等）。</w:t>
      </w:r>
    </w:p>
    <w:p w14:paraId="00D7B87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四、基本支出</w:t>
      </w:r>
      <w:r>
        <w:rPr>
          <w:rFonts w:ascii="仿宋" w:hAnsi="仿宋" w:cs="仿宋" w:eastAsia="仿宋"/>
          <w:b w:val="true"/>
        </w:rPr>
        <w:t>：</w:t>
      </w:r>
      <w:r>
        <w:rPr>
          <w:rFonts w:hint="eastAsia" w:ascii="仿宋" w:hAnsi="仿宋" w:eastAsia="仿宋" w:cs="仿宋"/>
        </w:rPr>
        <w:t>指为保障机构正常运转、完成工作任务而发生的人员支出和公用支出。</w:t>
      </w:r>
    </w:p>
    <w:p w14:paraId="00D7B87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五、项目支出</w:t>
      </w:r>
      <w:r>
        <w:rPr>
          <w:rFonts w:ascii="仿宋" w:hAnsi="仿宋" w:cs="仿宋" w:eastAsia="仿宋"/>
          <w:b w:val="true"/>
        </w:rPr>
        <w:t>：</w:t>
      </w:r>
      <w:r>
        <w:rPr>
          <w:rFonts w:hint="eastAsia" w:ascii="仿宋" w:hAnsi="仿宋" w:eastAsia="仿宋" w:cs="仿宋"/>
        </w:rPr>
        <w:t>指在基本支出之外为完成特定工作任务和事业发展目标所发生的支出。</w:t>
      </w:r>
    </w:p>
    <w:p w14:paraId="00D7B87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六、“三公”经费</w:t>
      </w:r>
      <w:r>
        <w:rPr>
          <w:rFonts w:ascii="仿宋" w:hAnsi="仿宋" w:cs="仿宋" w:eastAsia="仿宋"/>
          <w:b w:val="true"/>
        </w:rPr>
        <w:t>：</w:t>
      </w:r>
      <w:r>
        <w:rPr>
          <w:rFonts w:hint="eastAsia" w:ascii="仿宋" w:hAnsi="仿宋" w:eastAsia="仿宋" w:cs="仿宋"/>
        </w:rPr>
        <w:t>指部门用一般公共预算财政拨款安排的因公出国（境）费、公务用车购置及运行维护费和公务接待费。其中，因公出国（境）费反映单位公务出国（境）的住宿费、旅费、伙食补助费、杂费、培训费等支出；公务用车购置及运行维护费反映单位公务用车购置费、燃料费、维修费、过路过桥费、保险费、安全奖励费用等支出；公务接待费反映单位按规定开支的各类公务接待（含外宾接待）支出。</w:t>
      </w:r>
    </w:p>
    <w:p w14:paraId="00D7B87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七、机关运行经费</w:t>
      </w:r>
      <w:r>
        <w:rPr>
          <w:rFonts w:ascii="仿宋" w:hAnsi="仿宋" w:cs="仿宋" w:eastAsia="仿宋"/>
          <w:b w:val="true"/>
        </w:rPr>
        <w:t>：</w:t>
      </w:r>
      <w:r>
        <w:rPr>
          <w:rFonts w:hint="eastAsia" w:ascii="仿宋" w:hAnsi="仿宋" w:eastAsia="仿宋" w:cs="仿宋"/>
        </w:rPr>
        <w:t>指行政单位（含参照公务员法管理的事业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14:paraId="00D7B87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八、一般公共服务支出(类)商贸事务(款)行政运行(项)</w:t>
      </w:r>
      <w:r>
        <w:rPr>
          <w:rFonts w:ascii="仿宋" w:hAnsi="仿宋" w:cs="仿宋" w:eastAsia="仿宋"/>
          <w:b w:val="true"/>
        </w:rPr>
        <w:t>：</w:t>
      </w:r>
      <w:r>
        <w:rPr>
          <w:rFonts w:hint="eastAsia" w:ascii="仿宋" w:hAnsi="仿宋" w:eastAsia="仿宋" w:cs="仿宋"/>
        </w:rPr>
        <w:t>反映行政单位（包括实行公务员管理的事业单位）的基本支出。</w:t>
      </w:r>
    </w:p>
    <w:p w14:paraId="00D7B87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九、一般公共服务支出(类)商贸事务(款)事业运行(项)</w:t>
      </w:r>
      <w:r>
        <w:rPr>
          <w:rFonts w:ascii="仿宋" w:hAnsi="仿宋" w:cs="仿宋" w:eastAsia="仿宋"/>
          <w:b w:val="true"/>
        </w:rPr>
        <w:t>：</w:t>
      </w:r>
      <w:r>
        <w:rPr>
          <w:rFonts w:hint="eastAsia" w:ascii="仿宋" w:hAnsi="仿宋" w:eastAsia="仿宋" w:cs="仿宋"/>
        </w:rPr>
        <w:t>反映事业单位的基本支出，不包括行政单位（包括实行公务员管理的事业单位）后勤服务中心、医务室等附属事业单位。</w:t>
      </w:r>
    </w:p>
    <w:p w14:paraId="00D7B87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十、一般公共服务支出(类)商贸事务(款)其他商贸事务支出(项)</w:t>
      </w:r>
      <w:r>
        <w:rPr>
          <w:rFonts w:ascii="仿宋" w:hAnsi="仿宋" w:cs="仿宋" w:eastAsia="仿宋"/>
          <w:b w:val="true"/>
        </w:rPr>
        <w:t>：</w:t>
      </w:r>
      <w:r>
        <w:rPr>
          <w:rFonts w:hint="eastAsia" w:ascii="仿宋" w:hAnsi="仿宋" w:eastAsia="仿宋" w:cs="仿宋"/>
        </w:rPr>
        <w:t>反映除上述项目以外其他用于商贸事务方面的支出。</w:t>
      </w:r>
    </w:p>
    <w:p w14:paraId="00D7B87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十一、社会保障和就业支出(类)行政事业单位养老支出(款)机关事业单位基本养老保险缴费支出(项)</w:t>
      </w:r>
      <w:r>
        <w:rPr>
          <w:rFonts w:ascii="仿宋" w:hAnsi="仿宋" w:cs="仿宋" w:eastAsia="仿宋"/>
          <w:b w:val="true"/>
        </w:rPr>
        <w:t>：</w:t>
      </w:r>
      <w:r>
        <w:rPr>
          <w:rFonts w:hint="eastAsia" w:ascii="仿宋" w:hAnsi="仿宋" w:eastAsia="仿宋" w:cs="仿宋"/>
        </w:rPr>
        <w:t>反映机关事业单位实施养老保险制度由单位缴纳的基本养老保险费支出。</w:t>
      </w:r>
    </w:p>
    <w:p w14:paraId="00D7B87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十二、社会保障和就业支出(类)行政事业单位养老支出(款)机关事业单位职业年金缴费支出(项)</w:t>
      </w:r>
      <w:r>
        <w:rPr>
          <w:rFonts w:ascii="仿宋" w:hAnsi="仿宋" w:cs="仿宋" w:eastAsia="仿宋"/>
          <w:b w:val="true"/>
        </w:rPr>
        <w:t>：</w:t>
      </w:r>
      <w:r>
        <w:rPr>
          <w:rFonts w:hint="eastAsia" w:ascii="仿宋" w:hAnsi="仿宋" w:eastAsia="仿宋" w:cs="仿宋"/>
        </w:rPr>
        <w:t>反映机关事业单位实施养老保险制度由单位实际缴纳的职业年金支出。(含职业年金补记支出。）</w:t>
      </w:r>
    </w:p>
    <w:p w14:paraId="00D7B87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十三、社会保障和就业支出(类)其他社会保障和就业支出(款)其他社会保障和就业支出(项)</w:t>
      </w:r>
      <w:r>
        <w:rPr>
          <w:rFonts w:ascii="仿宋" w:hAnsi="仿宋" w:cs="仿宋" w:eastAsia="仿宋"/>
          <w:b w:val="true"/>
        </w:rPr>
        <w:t>：</w:t>
      </w:r>
      <w:r>
        <w:rPr>
          <w:rFonts w:hint="eastAsia" w:ascii="仿宋" w:hAnsi="仿宋" w:eastAsia="仿宋" w:cs="仿宋"/>
        </w:rPr>
        <w:t>反映除上述项目以外其他用于社会保障和就业方面的支出。</w:t>
      </w:r>
    </w:p>
    <w:p w14:paraId="00D7B87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十四、卫生健康支出(类)行政事业单位医疗(款)行政单位医疗(项)</w:t>
      </w:r>
      <w:r>
        <w:rPr>
          <w:rFonts w:ascii="仿宋" w:hAnsi="仿宋" w:cs="仿宋" w:eastAsia="仿宋"/>
          <w:b w:val="true"/>
        </w:rPr>
        <w:t>：</w:t>
      </w:r>
      <w:r>
        <w:rPr>
          <w:rFonts w:hint="eastAsia" w:ascii="仿宋" w:hAnsi="仿宋" w:eastAsia="仿宋" w:cs="仿宋"/>
        </w:rPr>
        <w:t>反映财政部门安排的行政单位（包括实行公务员管理的事业单位，下同）基本医疗保险缴费经费，未参加医疗保险的行政单位的公费医疗经费，按国家规定享受离休人员、红军老战士待遇人员的医疗经费。</w:t>
      </w:r>
    </w:p>
    <w:p w14:paraId="00D7B87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十五、卫生健康支出(类)行政事业单位医疗(款)事业单位医疗(项)</w:t>
      </w:r>
      <w:r>
        <w:rPr>
          <w:rFonts w:ascii="仿宋" w:hAnsi="仿宋" w:cs="仿宋" w:eastAsia="仿宋"/>
          <w:b w:val="true"/>
        </w:rPr>
        <w:t>：</w:t>
      </w:r>
      <w:r>
        <w:rPr>
          <w:rFonts w:hint="eastAsia" w:ascii="仿宋" w:hAnsi="仿宋" w:eastAsia="仿宋" w:cs="仿宋"/>
        </w:rPr>
        <w:t>反映财政部门安排的事业单位基本医疗保险缴费经费，未参加医疗保险的事业单位的公费医疗经费，按国家规定享受离休人员待遇的医疗经费。</w:t>
      </w:r>
    </w:p>
    <w:p w14:paraId="00D7B87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十六、城乡社区支出(类)其他城乡社区支出(款)其他城乡社区支出(项)</w:t>
      </w:r>
      <w:r>
        <w:rPr>
          <w:rFonts w:ascii="仿宋" w:hAnsi="仿宋" w:cs="仿宋" w:eastAsia="仿宋"/>
          <w:b w:val="true"/>
        </w:rPr>
        <w:t>：</w:t>
      </w:r>
      <w:r>
        <w:rPr>
          <w:rFonts w:hint="eastAsia" w:ascii="仿宋" w:hAnsi="仿宋" w:eastAsia="仿宋" w:cs="仿宋"/>
        </w:rPr>
        <w:t>反映除上述项目以外其他用于城乡社区方面的支出。</w:t>
      </w:r>
    </w:p>
    <w:p w14:paraId="00D7B87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十七、住房保障支出(类)住房改革支出(款)住房公积金(项)</w:t>
      </w:r>
      <w:r>
        <w:rPr>
          <w:rFonts w:ascii="仿宋" w:hAnsi="仿宋" w:cs="仿宋" w:eastAsia="仿宋"/>
          <w:b w:val="true"/>
        </w:rPr>
        <w:t>：</w:t>
      </w:r>
      <w:r>
        <w:rPr>
          <w:rFonts w:hint="eastAsia" w:ascii="仿宋" w:hAnsi="仿宋" w:eastAsia="仿宋" w:cs="仿宋"/>
        </w:rPr>
        <w:t>反映行政事业单位按人力资源和社会保障部、财政部规定的基本工资和津贴补贴以及规定比例为职工缴纳的住房公积金。</w:t>
      </w:r>
    </w:p>
    <w:p w14:paraId="00D7B87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十八、住房保障支出(类)住房改革支出(款)提租补贴(项)</w:t>
      </w:r>
      <w:r>
        <w:rPr>
          <w:rFonts w:ascii="仿宋" w:hAnsi="仿宋" w:cs="仿宋" w:eastAsia="仿宋"/>
          <w:b w:val="true"/>
        </w:rPr>
        <w:t>：</w:t>
      </w:r>
      <w:r>
        <w:rPr>
          <w:rFonts w:hint="eastAsia" w:ascii="仿宋" w:hAnsi="仿宋" w:eastAsia="仿宋" w:cs="仿宋"/>
        </w:rPr>
        <w:t>反映按房改政策规定的标准，行政事业单位向职工（含离退休人员）发放的租金补贴。</w:t>
      </w:r>
    </w:p>
    <w:p w14:paraId="00D7B87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十九、住房保障支出(类)住房改革支出(款)购房补贴(项)</w:t>
      </w:r>
      <w:r>
        <w:rPr>
          <w:rFonts w:ascii="仿宋" w:hAnsi="仿宋" w:cs="仿宋" w:eastAsia="仿宋"/>
          <w:b w:val="true"/>
        </w:rPr>
        <w:t>：</w:t>
      </w:r>
      <w:r>
        <w:rPr>
          <w:rFonts w:hint="eastAsia" w:ascii="仿宋" w:hAnsi="仿宋" w:eastAsia="仿宋" w:cs="仿宋"/>
        </w:rPr>
        <w:t>反映按房改政策规定，行政事业单位向符合条件职工（含离退休人员）、军队(含武警)向转役复员离退休人员发放的用于购买住房的补贴。</w:t>
      </w:r>
    </w:p>
    <w:sectPr>
      <w:pgSz w:w="11906" w:h="16838"/>
      <w:pgMar w:top="1580" w:right="820" w:bottom="770" w:left="822" w:header="170" w:footer="280" w:gutter="0"/>
      <w:pgBorders>
        <w:top w:val="none" w:sz="0" w:space="0"/>
        <w:left w:val="none" w:sz="0" w:space="0"/>
        <w:bottom w:val="none" w:sz="0" w:space="0"/>
        <w:right w:val="none" w:sz="0" w:space="0"/>
      </w:pgBorders>
      <w:pgNumType w:fmt="numberInDash"/>
      <w:cols w:space="720" w:num="1"/>
      <w:formProt w:val="0"/>
      <w:docGrid w:linePitch="10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 w:name="Liberation Sans">
    <w:altName w:val="宋体"/>
    <w:panose1 w:val="020B0604020202020204"/>
    <w:charset w:val="86"/>
    <w:family w:val="roman"/>
    <w:pitch w:val="default"/>
    <w:sig w:usb0="00000000" w:usb1="00000000" w:usb2="00000021" w:usb3="00000000" w:csb0="600001BF" w:csb1="DFF70000"/>
  </w:font>
  <w:font w:name="Liberation Mono">
    <w:altName w:val="宋体"/>
    <w:panose1 w:val="02070409020205020404"/>
    <w:charset w:val="86"/>
    <w:family w:val="roman"/>
    <w:pitch w:val="default"/>
    <w:sig w:usb0="00000000" w:usb1="00000000" w:usb2="00000001" w:usb3="00000000" w:csb0="600001BF" w:csb1="DFF70000"/>
  </w:font>
  <w:font w:name="新宋体">
    <w:panose1 w:val="02010609030101010101"/>
    <w:charset w:val="86"/>
    <w:family w:val="auto"/>
    <w:pitch w:val="default"/>
    <w:sig w:usb0="000002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roman"/>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9D44A">
    <w:pPr>
      <w:pStyle w:val="9"/>
      <w:jc w:val="center"/>
      <w:rPr>
        <w:rFonts w:hint="eastAsia" w:ascii="黑体" w:hAnsi="黑体" w:eastAsia="黑体" w:cs="黑体"/>
      </w:rPr>
    </w:pPr>
    <w:r>
      <w:rPr>
        <w:rFonts w:hint="eastAsia" w:ascii="黑体" w:hAnsi="黑体" w:eastAsia="黑体" w:cs="黑体"/>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07B329B4">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D124A0">
    <w:pPr>
      <w:pStyle w:val="9"/>
      <w:jc w:val="center"/>
    </w:pPr>
    <w:r>
      <w:rPr>
        <w:sz w:val="18"/>
      </w:rPr>
      <w:pict>
        <v:shape id="_x0000_s4104" o:spid="_x0000_s4104" o:spt="202" type="#_x0000_t202" style="position:absolute;left:0pt;margin-top:0pt;height:144pt;width:144pt;mso-position-horizontal:center;mso-position-horizontal-relative:margin;mso-wrap-style:none;z-index:251666432;mso-width-relative:page;mso-height-relative:page;" filled="f" stroked="f" coordsize="21600,21600">
          <v:path/>
          <v:fill on="f" focussize="0,0"/>
          <v:stroke on="f"/>
          <v:imagedata o:title=""/>
          <o:lock v:ext="edit" aspectratio="f"/>
          <v:textbox inset="0mm,0mm,0mm,0mm" style="mso-fit-shape-to-text:t;">
            <w:txbxContent>
              <w:p w14:paraId="14E81EC5">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p>
            </w:txbxContent>
          </v:textbox>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D1B55A">
    <w:pPr>
      <w:pStyle w:val="9"/>
      <w:jc w:val="center"/>
    </w:pPr>
    <w:r>
      <w:rPr>
        <w:sz w:val="18"/>
      </w:rPr>
      <w:pict>
        <v:shape id="_x0000_s4105" o:spid="_x0000_s4105" o:spt="202" type="#_x0000_t202" style="position:absolute;left:0pt;margin-top:0pt;height:144pt;width:144pt;mso-position-horizontal:center;mso-position-horizontal-relative:margin;mso-wrap-style:none;z-index:251667456;mso-width-relative:page;mso-height-relative:page;" filled="f" stroked="f" coordsize="21600,21600">
          <v:path/>
          <v:fill on="f" focussize="0,0"/>
          <v:stroke on="f"/>
          <v:imagedata o:title=""/>
          <o:lock v:ext="edit" aspectratio="f"/>
          <v:textbox inset="0mm,0mm,0mm,0mm" style="mso-fit-shape-to-text:t;">
            <w:txbxContent>
              <w:p w14:paraId="108D36C8">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p>
            </w:txbxContent>
          </v:textbox>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3881FA">
    <w:pPr>
      <w:pStyle w:val="9"/>
      <w:jc w:val="center"/>
    </w:pPr>
    <w:r>
      <w:rPr>
        <w:sz w:val="18"/>
      </w:rPr>
      <w:pict>
        <v:shape id="_x0000_s4106" o:spid="_x0000_s4106" o:spt="202" type="#_x0000_t202" style="position:absolute;left:0pt;margin-top:0pt;height:144pt;width:144pt;mso-position-horizontal:center;mso-position-horizontal-relative:margin;mso-wrap-style:none;z-index:251668480;mso-width-relative:page;mso-height-relative:page;" filled="f" stroked="f" coordsize="21600,21600">
          <v:path/>
          <v:fill on="f" focussize="0,0"/>
          <v:stroke on="f"/>
          <v:imagedata o:title=""/>
          <o:lock v:ext="edit" aspectratio="f"/>
          <v:textbox inset="0mm,0mm,0mm,0mm" style="mso-fit-shape-to-text:t;">
            <w:txbxContent>
              <w:p w14:paraId="1E3E9A2B">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w:t>
                </w:r>
                <w:r>
                  <w:rPr>
                    <w:rFonts w:hint="eastAsia"/>
                    <w:lang w:eastAsia="zh-CN"/>
                  </w:rPr>
                  <w:fldChar w:fldCharType="end"/>
                </w:r>
              </w:p>
            </w:txbxContent>
          </v:textbox>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43E973">
    <w:pPr>
      <w:pStyle w:val="9"/>
      <w:jc w:val="center"/>
    </w:pPr>
    <w:r>
      <w:rPr>
        <w:sz w:val="18"/>
      </w:rPr>
      <w:pict>
        <v:shape id="_x0000_s4107" o:spid="_x0000_s4107" o:spt="202" type="#_x0000_t202" style="position:absolute;left:0pt;margin-top:0pt;height:144pt;width:144pt;mso-position-horizontal:center;mso-position-horizontal-relative:margin;mso-wrap-style:none;z-index:251669504;mso-width-relative:page;mso-height-relative:page;" filled="f" stroked="f" coordsize="21600,21600">
          <v:path/>
          <v:fill on="f" focussize="0,0"/>
          <v:stroke on="f"/>
          <v:imagedata o:title=""/>
          <o:lock v:ext="edit" aspectratio="f"/>
          <v:textbox inset="0mm,0mm,0mm,0mm" style="mso-fit-shape-to-text:t;">
            <w:txbxContent>
              <w:p w14:paraId="5279EB44">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p>
            </w:txbxContent>
          </v:textbox>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0FF68D">
    <w:pPr>
      <w:pStyle w:val="9"/>
      <w:jc w:val="center"/>
    </w:pPr>
    <w:r>
      <w:rPr>
        <w:sz w:val="18"/>
      </w:rPr>
      <w:pict>
        <v:shape id="_x0000_s4108" o:spid="_x0000_s4108" o:spt="202" type="#_x0000_t202" style="position:absolute;left:0pt;margin-top:0pt;height:144pt;width:144pt;mso-position-horizontal:center;mso-position-horizontal-relative:margin;mso-wrap-style:none;z-index:251670528;mso-width-relative:page;mso-height-relative:page;" filled="f" stroked="f" coordsize="21600,21600">
          <v:path/>
          <v:fill on="f" focussize="0,0"/>
          <v:stroke on="f"/>
          <v:imagedata o:title=""/>
          <o:lock v:ext="edit" aspectratio="f"/>
          <v:textbox inset="0mm,0mm,0mm,0mm" style="mso-fit-shape-to-text:t;">
            <w:txbxContent>
              <w:p w14:paraId="7BD642AB">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p>
            </w:txbxContent>
          </v:textbox>
        </v:shape>
      </w:pic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00F64">
    <w:pPr>
      <w:pStyle w:val="9"/>
      <w:jc w:val="center"/>
    </w:pPr>
    <w:r>
      <w:rPr>
        <w:sz w:val="18"/>
      </w:rPr>
      <w:pict>
        <v:shape id="_x0000_s4110" o:spid="_x0000_s4110" o:spt="202" type="#_x0000_t202" style="position:absolute;left:0pt;margin-top:0pt;height:144pt;width:144pt;mso-position-horizontal:center;mso-position-horizontal-relative:margin;mso-wrap-style:none;z-index:251671552;mso-width-relative:page;mso-height-relative:page;" filled="f" stroked="f" coordsize="21600,21600">
          <v:path/>
          <v:fill on="f" focussize="0,0"/>
          <v:stroke on="f"/>
          <v:imagedata o:title=""/>
          <o:lock v:ext="edit" aspectratio="f"/>
          <v:textbox inset="0mm,0mm,0mm,0mm" style="mso-fit-shape-to-text:t;">
            <w:txbxContent>
              <w:p w14:paraId="405305FE">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16</w:t>
                </w:r>
                <w:r>
                  <w:rPr>
                    <w:rFonts w:hint="eastAsia"/>
                    <w:lang w:eastAsia="zh-CN"/>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55044">
    <w:pPr>
      <w:pStyle w:val="9"/>
      <w:jc w:val="center"/>
      <w:rPr>
        <w:rFonts w:hint="eastAsia" w:ascii="黑体" w:hAnsi="黑体" w:eastAsia="黑体" w:cs="黑体"/>
      </w:rPr>
    </w:pPr>
    <w:r>
      <w:rPr>
        <w:rFonts w:hint="eastAsia" w:ascii="黑体" w:hAnsi="黑体" w:eastAsia="黑体" w:cs="黑体"/>
        <w:sz w:val="18"/>
      </w:rPr>
      <w:pict>
        <v:shape id="_x0000_s4113" o:spid="_x0000_s4113"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0674D884">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9DB4F1">
    <w:pPr>
      <w:pStyle w:val="9"/>
      <w:jc w:val="center"/>
    </w:pPr>
    <w:r>
      <w:rPr>
        <w:sz w:val="18"/>
      </w:rPr>
      <w:pict>
        <v:shape id="_x0000_s4111" o:spid="_x0000_s4111"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43F9E01C">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06B37">
    <w:pPr>
      <w:pStyle w:val="9"/>
      <w:jc w:val="center"/>
    </w:pPr>
    <w:r>
      <w:rPr>
        <w:sz w:val="18"/>
      </w:rPr>
      <w:pict>
        <v:shape id="_x0000_s4112" o:spid="_x0000_s4112"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54973739">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DB7DF2">
    <w:pPr>
      <w:pStyle w:val="9"/>
      <w:jc w:val="center"/>
    </w:pPr>
    <w:r>
      <w:rPr>
        <w:sz w:val="18"/>
      </w:rPr>
      <w:pict>
        <v:shape id="_x0000_s4099" o:spid="_x0000_s4099"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7387FC5B">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7C2DD7">
    <w:pPr>
      <w:pStyle w:val="9"/>
      <w:jc w:val="center"/>
    </w:pPr>
    <w:r>
      <w:rPr>
        <w:sz w:val="18"/>
      </w:rPr>
      <w:pict>
        <v:shape id="_x0000_s4100" o:spid="_x0000_s4100"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1EE1AB05">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43712">
    <w:pPr>
      <w:pStyle w:val="9"/>
      <w:jc w:val="center"/>
    </w:pPr>
    <w:r>
      <w:rPr>
        <w:sz w:val="18"/>
      </w:rPr>
      <w:pict>
        <v:shape id="_x0000_s4101" o:spid="_x0000_s4101"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14:paraId="7C57DBC5">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p>
            </w:txbxContent>
          </v:textbox>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54045">
    <w:pPr>
      <w:pStyle w:val="9"/>
      <w:jc w:val="center"/>
    </w:pPr>
    <w:r>
      <w:rPr>
        <w:sz w:val="18"/>
      </w:rPr>
      <w:pict>
        <v:shape id="_x0000_s4102" o:spid="_x0000_s4102" o:spt="202" type="#_x0000_t202" style="position:absolute;left:0pt;margin-top:0pt;height:144pt;width:144pt;mso-position-horizontal:center;mso-position-horizontal-relative:margin;mso-wrap-style:none;z-index:251664384;mso-width-relative:page;mso-height-relative:page;" filled="f" stroked="f" coordsize="21600,21600">
          <v:path/>
          <v:fill on="f" focussize="0,0"/>
          <v:stroke on="f"/>
          <v:imagedata o:title=""/>
          <o:lock v:ext="edit" aspectratio="f"/>
          <v:textbox inset="0mm,0mm,0mm,0mm" style="mso-fit-shape-to-text:t;">
            <w:txbxContent>
              <w:p w14:paraId="1B453216">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p>
            </w:txbxContent>
          </v:textbox>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C838EE">
    <w:pPr>
      <w:pStyle w:val="9"/>
      <w:jc w:val="center"/>
    </w:pPr>
    <w:r>
      <w:rPr>
        <w:sz w:val="18"/>
      </w:rPr>
      <w:pict>
        <v:shape id="_x0000_s4103" o:spid="_x0000_s4103" o:spt="202" type="#_x0000_t202" style="position:absolute;left:0pt;margin-top:0pt;height:144pt;width:144pt;mso-position-horizontal:center;mso-position-horizontal-relative:margin;mso-wrap-style:none;z-index:251665408;mso-width-relative:page;mso-height-relative:page;" filled="f" stroked="f" coordsize="21600,21600">
          <v:path/>
          <v:fill on="f" focussize="0,0"/>
          <v:stroke on="f"/>
          <v:imagedata o:title=""/>
          <o:lock v:ext="edit" aspectratio="f"/>
          <v:textbox inset="0mm,0mm,0mm,0mm" style="mso-fit-shape-to-text:t;">
            <w:txbxContent>
              <w:p w14:paraId="11550493">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5D1B7F">
    <w:pPr>
      <w:pStyle w:val="10"/>
      <w:pBdr>
        <w:bottom w:val="single" w:color="000000" w:sz="4" w:space="1"/>
      </w:pBdr>
      <w:jc w:val="both"/>
      <w:rPr>
        <w:rFonts w:hint="default" w:eastAsia="Arial Unicode MS"/>
        <w:lang w:val="en-US" w:eastAsia="zh-CN"/>
      </w:rPr>
    </w:pPr>
    <w:r>
      <w:rPr>
        <w:rFonts w:hint="eastAsia"/>
        <w:lang w:val="en-US" w:eastAsia="zh-CN"/>
      </w:rPr>
      <w:t>江阴市商务局</w:t>
    </w:r>
    <w:r>
      <w:t>2025</w:t>
    </w:r>
    <w:r>
      <w:t>年度</w:t>
    </w:r>
    <w:r>
      <w:t>部门</w:t>
    </w:r>
    <w:r>
      <w:t>预算公开</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01B3BA">
    <w:pPr>
      <w:pStyle w:val="10"/>
      <w:pBdr>
        <w:bottom w:val="none" w:color="auto" w:sz="0" w:space="1"/>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0"/>
  <w:autoHyphenation/>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compat>
    <w:doNotExpandShiftReturn/>
    <w:doNotWrapTextWithPunct/>
    <w:doNotUseEastAsianBreakRules/>
    <w:useFELayout/>
    <w:doNotUseIndentAsNumberingTabStop/>
    <w:useAltKinsokuLineBreakRules/>
    <w:compatSetting w:name="compatibilityMode" w:uri="http://schemas.microsoft.com/office/word" w:val="12"/>
  </w:compat>
  <w:docVars>
    <w:docVar w:name="commondata" w:val="eyJoZGlkIjoiMGUwNWYwNGFmYzNiMTMwMzI4MzFhMzI2ZWRjOTFjMmMifQ=="/>
  </w:docVars>
  <w:rsids>
    <w:rsidRoot w:val="00000000"/>
    <w:rsid w:val="00064984"/>
    <w:rsid w:val="00071288"/>
    <w:rsid w:val="00071789"/>
    <w:rsid w:val="000F12AB"/>
    <w:rsid w:val="001C31F9"/>
    <w:rsid w:val="00407CA7"/>
    <w:rsid w:val="00413AD8"/>
    <w:rsid w:val="00671ED7"/>
    <w:rsid w:val="00672164"/>
    <w:rsid w:val="00867423"/>
    <w:rsid w:val="008B5B05"/>
    <w:rsid w:val="00925913"/>
    <w:rsid w:val="009965EA"/>
    <w:rsid w:val="00A61D7A"/>
    <w:rsid w:val="00A6752E"/>
    <w:rsid w:val="00BD7F33"/>
    <w:rsid w:val="00C15920"/>
    <w:rsid w:val="00C35C3A"/>
    <w:rsid w:val="00C82582"/>
    <w:rsid w:val="00F12F06"/>
    <w:rsid w:val="00FA3233"/>
    <w:rsid w:val="010F1E77"/>
    <w:rsid w:val="01200B85"/>
    <w:rsid w:val="012323F2"/>
    <w:rsid w:val="01250615"/>
    <w:rsid w:val="012A50BF"/>
    <w:rsid w:val="015B071F"/>
    <w:rsid w:val="01661111"/>
    <w:rsid w:val="017E3D30"/>
    <w:rsid w:val="01875334"/>
    <w:rsid w:val="018E7014"/>
    <w:rsid w:val="019803DB"/>
    <w:rsid w:val="01C21D36"/>
    <w:rsid w:val="01C22655"/>
    <w:rsid w:val="01CD5A6A"/>
    <w:rsid w:val="01D4677F"/>
    <w:rsid w:val="01F17DF5"/>
    <w:rsid w:val="022643FE"/>
    <w:rsid w:val="0231361C"/>
    <w:rsid w:val="023277C7"/>
    <w:rsid w:val="02420B21"/>
    <w:rsid w:val="026604FF"/>
    <w:rsid w:val="027F398B"/>
    <w:rsid w:val="02A822D0"/>
    <w:rsid w:val="02A9040F"/>
    <w:rsid w:val="02B14230"/>
    <w:rsid w:val="02C41DBA"/>
    <w:rsid w:val="02D43672"/>
    <w:rsid w:val="02D56677"/>
    <w:rsid w:val="02DD471D"/>
    <w:rsid w:val="02DF2FA6"/>
    <w:rsid w:val="02E539E2"/>
    <w:rsid w:val="02E8449D"/>
    <w:rsid w:val="02EB5F67"/>
    <w:rsid w:val="02F513AC"/>
    <w:rsid w:val="0306289F"/>
    <w:rsid w:val="03121471"/>
    <w:rsid w:val="03126CBF"/>
    <w:rsid w:val="033F3F8A"/>
    <w:rsid w:val="03453111"/>
    <w:rsid w:val="03635EB9"/>
    <w:rsid w:val="03673847"/>
    <w:rsid w:val="03690F36"/>
    <w:rsid w:val="03793778"/>
    <w:rsid w:val="039F7320"/>
    <w:rsid w:val="03A06F63"/>
    <w:rsid w:val="03A76AFB"/>
    <w:rsid w:val="03D04B72"/>
    <w:rsid w:val="03D2638C"/>
    <w:rsid w:val="03D34A4B"/>
    <w:rsid w:val="03F86EFB"/>
    <w:rsid w:val="04156348"/>
    <w:rsid w:val="042D0AE6"/>
    <w:rsid w:val="04301AF9"/>
    <w:rsid w:val="043C03D6"/>
    <w:rsid w:val="044E689B"/>
    <w:rsid w:val="045E5FB7"/>
    <w:rsid w:val="046D688B"/>
    <w:rsid w:val="0495610D"/>
    <w:rsid w:val="04AD7D7D"/>
    <w:rsid w:val="04DF580C"/>
    <w:rsid w:val="04E54727"/>
    <w:rsid w:val="04EA46EB"/>
    <w:rsid w:val="04FC61BF"/>
    <w:rsid w:val="05031920"/>
    <w:rsid w:val="05185546"/>
    <w:rsid w:val="052126A9"/>
    <w:rsid w:val="0524518E"/>
    <w:rsid w:val="05247FC3"/>
    <w:rsid w:val="05346113"/>
    <w:rsid w:val="05423E9C"/>
    <w:rsid w:val="05600A24"/>
    <w:rsid w:val="057525F6"/>
    <w:rsid w:val="057D4E99"/>
    <w:rsid w:val="05843580"/>
    <w:rsid w:val="058C526F"/>
    <w:rsid w:val="0598316E"/>
    <w:rsid w:val="059F005F"/>
    <w:rsid w:val="05AB4AE4"/>
    <w:rsid w:val="05BD2716"/>
    <w:rsid w:val="05BE0290"/>
    <w:rsid w:val="05C26309"/>
    <w:rsid w:val="05C73A91"/>
    <w:rsid w:val="05D02834"/>
    <w:rsid w:val="05DB339C"/>
    <w:rsid w:val="05FE3016"/>
    <w:rsid w:val="060036BC"/>
    <w:rsid w:val="06006806"/>
    <w:rsid w:val="0603001C"/>
    <w:rsid w:val="060D1C4C"/>
    <w:rsid w:val="06122688"/>
    <w:rsid w:val="061C50DF"/>
    <w:rsid w:val="06230B92"/>
    <w:rsid w:val="063A5C0D"/>
    <w:rsid w:val="06542957"/>
    <w:rsid w:val="0681129C"/>
    <w:rsid w:val="06814BC1"/>
    <w:rsid w:val="069443D9"/>
    <w:rsid w:val="0695552F"/>
    <w:rsid w:val="06C82C74"/>
    <w:rsid w:val="06C87B62"/>
    <w:rsid w:val="06CE7B40"/>
    <w:rsid w:val="06CF29F0"/>
    <w:rsid w:val="06DF6D8E"/>
    <w:rsid w:val="06F64F39"/>
    <w:rsid w:val="072A453E"/>
    <w:rsid w:val="073A470E"/>
    <w:rsid w:val="074746B7"/>
    <w:rsid w:val="07502153"/>
    <w:rsid w:val="07520D7A"/>
    <w:rsid w:val="075575FE"/>
    <w:rsid w:val="07580A5A"/>
    <w:rsid w:val="07605D4D"/>
    <w:rsid w:val="07656047"/>
    <w:rsid w:val="077C711D"/>
    <w:rsid w:val="0791508D"/>
    <w:rsid w:val="079361A1"/>
    <w:rsid w:val="079544D8"/>
    <w:rsid w:val="07BE5639"/>
    <w:rsid w:val="07C509DD"/>
    <w:rsid w:val="07E94F52"/>
    <w:rsid w:val="07ED0853"/>
    <w:rsid w:val="0802783B"/>
    <w:rsid w:val="08031AA7"/>
    <w:rsid w:val="0806186F"/>
    <w:rsid w:val="081B2715"/>
    <w:rsid w:val="082E3E50"/>
    <w:rsid w:val="083365CC"/>
    <w:rsid w:val="083B723A"/>
    <w:rsid w:val="084A66D7"/>
    <w:rsid w:val="08582C83"/>
    <w:rsid w:val="0860441B"/>
    <w:rsid w:val="086A0004"/>
    <w:rsid w:val="088901F8"/>
    <w:rsid w:val="08913758"/>
    <w:rsid w:val="08A333FC"/>
    <w:rsid w:val="08B16290"/>
    <w:rsid w:val="08BD1AAD"/>
    <w:rsid w:val="08D342E7"/>
    <w:rsid w:val="08E134F8"/>
    <w:rsid w:val="08FC0605"/>
    <w:rsid w:val="08FE52B0"/>
    <w:rsid w:val="090F5FB7"/>
    <w:rsid w:val="09165D85"/>
    <w:rsid w:val="092660BA"/>
    <w:rsid w:val="09335ED1"/>
    <w:rsid w:val="093E6258"/>
    <w:rsid w:val="096204B4"/>
    <w:rsid w:val="096B0C35"/>
    <w:rsid w:val="09755324"/>
    <w:rsid w:val="09891979"/>
    <w:rsid w:val="098926B4"/>
    <w:rsid w:val="09984875"/>
    <w:rsid w:val="09C976A3"/>
    <w:rsid w:val="09D842BB"/>
    <w:rsid w:val="09E82283"/>
    <w:rsid w:val="09EB3C7D"/>
    <w:rsid w:val="09F032D5"/>
    <w:rsid w:val="09F45579"/>
    <w:rsid w:val="09FE0C6E"/>
    <w:rsid w:val="0A097E66"/>
    <w:rsid w:val="0A0C628A"/>
    <w:rsid w:val="0A112BB9"/>
    <w:rsid w:val="0A1D215F"/>
    <w:rsid w:val="0A2639C8"/>
    <w:rsid w:val="0A3F45FE"/>
    <w:rsid w:val="0A401C98"/>
    <w:rsid w:val="0A7F08D2"/>
    <w:rsid w:val="0A964BFD"/>
    <w:rsid w:val="0AA075CB"/>
    <w:rsid w:val="0AAE2A44"/>
    <w:rsid w:val="0AC21E5D"/>
    <w:rsid w:val="0AC55FA1"/>
    <w:rsid w:val="0ADA70C2"/>
    <w:rsid w:val="0AFD463B"/>
    <w:rsid w:val="0B05614C"/>
    <w:rsid w:val="0B134992"/>
    <w:rsid w:val="0B160131"/>
    <w:rsid w:val="0B230AE7"/>
    <w:rsid w:val="0B2A7862"/>
    <w:rsid w:val="0B307A4D"/>
    <w:rsid w:val="0B392278"/>
    <w:rsid w:val="0B47682F"/>
    <w:rsid w:val="0B7D689F"/>
    <w:rsid w:val="0B813D25"/>
    <w:rsid w:val="0B830273"/>
    <w:rsid w:val="0B89728A"/>
    <w:rsid w:val="0B927AE0"/>
    <w:rsid w:val="0BAC43D1"/>
    <w:rsid w:val="0BBA5B2E"/>
    <w:rsid w:val="0BC71572"/>
    <w:rsid w:val="0BCF6DAD"/>
    <w:rsid w:val="0BF41C52"/>
    <w:rsid w:val="0C047996"/>
    <w:rsid w:val="0C163DEC"/>
    <w:rsid w:val="0C2215AA"/>
    <w:rsid w:val="0C276CFA"/>
    <w:rsid w:val="0C6536DB"/>
    <w:rsid w:val="0C797590"/>
    <w:rsid w:val="0C8331D2"/>
    <w:rsid w:val="0C887036"/>
    <w:rsid w:val="0CA85DF1"/>
    <w:rsid w:val="0CD230A9"/>
    <w:rsid w:val="0CD65166"/>
    <w:rsid w:val="0CDB2BBC"/>
    <w:rsid w:val="0CE84C0B"/>
    <w:rsid w:val="0CEF2113"/>
    <w:rsid w:val="0CEF2581"/>
    <w:rsid w:val="0CF6511F"/>
    <w:rsid w:val="0D05225F"/>
    <w:rsid w:val="0D135B57"/>
    <w:rsid w:val="0D261419"/>
    <w:rsid w:val="0D5C0A4E"/>
    <w:rsid w:val="0D617032"/>
    <w:rsid w:val="0D6C5D61"/>
    <w:rsid w:val="0D710964"/>
    <w:rsid w:val="0D760FDB"/>
    <w:rsid w:val="0D7F345D"/>
    <w:rsid w:val="0D967B5D"/>
    <w:rsid w:val="0DAC0D2B"/>
    <w:rsid w:val="0DBC505E"/>
    <w:rsid w:val="0DC6242A"/>
    <w:rsid w:val="0DD06A00"/>
    <w:rsid w:val="0DEA4D10"/>
    <w:rsid w:val="0DF26A45"/>
    <w:rsid w:val="0DFC3CDF"/>
    <w:rsid w:val="0DFD772C"/>
    <w:rsid w:val="0DFF5826"/>
    <w:rsid w:val="0E1F1C4F"/>
    <w:rsid w:val="0E27451D"/>
    <w:rsid w:val="0E360EBF"/>
    <w:rsid w:val="0E446C91"/>
    <w:rsid w:val="0E5E7568"/>
    <w:rsid w:val="0E662847"/>
    <w:rsid w:val="0E931E6B"/>
    <w:rsid w:val="0E94230E"/>
    <w:rsid w:val="0E9B0E3D"/>
    <w:rsid w:val="0EE37775"/>
    <w:rsid w:val="0EEB14E4"/>
    <w:rsid w:val="0EFE25F0"/>
    <w:rsid w:val="0F074533"/>
    <w:rsid w:val="0F126197"/>
    <w:rsid w:val="0F160696"/>
    <w:rsid w:val="0F196D84"/>
    <w:rsid w:val="0F35442E"/>
    <w:rsid w:val="0F5D08F2"/>
    <w:rsid w:val="0F636360"/>
    <w:rsid w:val="0F6874F8"/>
    <w:rsid w:val="0F722DC1"/>
    <w:rsid w:val="0F807B33"/>
    <w:rsid w:val="0F8F17E6"/>
    <w:rsid w:val="0F951429"/>
    <w:rsid w:val="0FA12FE2"/>
    <w:rsid w:val="0FA87597"/>
    <w:rsid w:val="0FB02B15"/>
    <w:rsid w:val="0FB21F29"/>
    <w:rsid w:val="0FB47D1E"/>
    <w:rsid w:val="0FCE598D"/>
    <w:rsid w:val="0FD04F5B"/>
    <w:rsid w:val="0FEF37CA"/>
    <w:rsid w:val="0FF3733C"/>
    <w:rsid w:val="100928FC"/>
    <w:rsid w:val="101C6AA7"/>
    <w:rsid w:val="10201C61"/>
    <w:rsid w:val="10223EE6"/>
    <w:rsid w:val="1027035F"/>
    <w:rsid w:val="102A69EF"/>
    <w:rsid w:val="103D6600"/>
    <w:rsid w:val="10566122"/>
    <w:rsid w:val="106204CB"/>
    <w:rsid w:val="10A90FB7"/>
    <w:rsid w:val="10EE0376"/>
    <w:rsid w:val="10F05AC0"/>
    <w:rsid w:val="10F845FF"/>
    <w:rsid w:val="11037A82"/>
    <w:rsid w:val="1106739D"/>
    <w:rsid w:val="11092167"/>
    <w:rsid w:val="110C3973"/>
    <w:rsid w:val="110D47B0"/>
    <w:rsid w:val="11110225"/>
    <w:rsid w:val="111930E1"/>
    <w:rsid w:val="11252430"/>
    <w:rsid w:val="1143676B"/>
    <w:rsid w:val="11471791"/>
    <w:rsid w:val="115455AE"/>
    <w:rsid w:val="11566852"/>
    <w:rsid w:val="11665F46"/>
    <w:rsid w:val="11731E49"/>
    <w:rsid w:val="117C1012"/>
    <w:rsid w:val="11872569"/>
    <w:rsid w:val="118B4C58"/>
    <w:rsid w:val="11AB09B5"/>
    <w:rsid w:val="11C36B1F"/>
    <w:rsid w:val="11C52DC5"/>
    <w:rsid w:val="11F13A70"/>
    <w:rsid w:val="11F221C7"/>
    <w:rsid w:val="11F2605E"/>
    <w:rsid w:val="11F724E3"/>
    <w:rsid w:val="120D722B"/>
    <w:rsid w:val="120E398D"/>
    <w:rsid w:val="122227BF"/>
    <w:rsid w:val="12313173"/>
    <w:rsid w:val="12313682"/>
    <w:rsid w:val="12417561"/>
    <w:rsid w:val="124507C4"/>
    <w:rsid w:val="125C02AF"/>
    <w:rsid w:val="12613C4A"/>
    <w:rsid w:val="12747306"/>
    <w:rsid w:val="128157F4"/>
    <w:rsid w:val="12B566A2"/>
    <w:rsid w:val="12BB25EA"/>
    <w:rsid w:val="12C448B1"/>
    <w:rsid w:val="12C80F12"/>
    <w:rsid w:val="12F05187"/>
    <w:rsid w:val="12F12F8E"/>
    <w:rsid w:val="13082AF4"/>
    <w:rsid w:val="13142710"/>
    <w:rsid w:val="1335650B"/>
    <w:rsid w:val="133E1FA2"/>
    <w:rsid w:val="134640CA"/>
    <w:rsid w:val="1393557C"/>
    <w:rsid w:val="139377AA"/>
    <w:rsid w:val="13A44407"/>
    <w:rsid w:val="13BF1F88"/>
    <w:rsid w:val="13D61754"/>
    <w:rsid w:val="13E2730D"/>
    <w:rsid w:val="13F85ED3"/>
    <w:rsid w:val="140626B0"/>
    <w:rsid w:val="140C350F"/>
    <w:rsid w:val="14176DEC"/>
    <w:rsid w:val="14207DA2"/>
    <w:rsid w:val="142101C9"/>
    <w:rsid w:val="1426656E"/>
    <w:rsid w:val="143016E3"/>
    <w:rsid w:val="143164E8"/>
    <w:rsid w:val="14341A45"/>
    <w:rsid w:val="14677E98"/>
    <w:rsid w:val="146856DB"/>
    <w:rsid w:val="147E4E1C"/>
    <w:rsid w:val="14933F94"/>
    <w:rsid w:val="14A601B4"/>
    <w:rsid w:val="14AA0D30"/>
    <w:rsid w:val="14BA3B44"/>
    <w:rsid w:val="14BC5944"/>
    <w:rsid w:val="1504334D"/>
    <w:rsid w:val="15085477"/>
    <w:rsid w:val="15301F7D"/>
    <w:rsid w:val="15510701"/>
    <w:rsid w:val="15664CCA"/>
    <w:rsid w:val="15751E1E"/>
    <w:rsid w:val="159E0364"/>
    <w:rsid w:val="15A6321E"/>
    <w:rsid w:val="15A93A1E"/>
    <w:rsid w:val="15B93CF7"/>
    <w:rsid w:val="15BC393E"/>
    <w:rsid w:val="15D36B14"/>
    <w:rsid w:val="16053674"/>
    <w:rsid w:val="16146EAD"/>
    <w:rsid w:val="161A451C"/>
    <w:rsid w:val="161E395E"/>
    <w:rsid w:val="1621543B"/>
    <w:rsid w:val="1624624B"/>
    <w:rsid w:val="16362556"/>
    <w:rsid w:val="163E1726"/>
    <w:rsid w:val="164E09AC"/>
    <w:rsid w:val="165D4EE7"/>
    <w:rsid w:val="165F31F4"/>
    <w:rsid w:val="1668038E"/>
    <w:rsid w:val="167F1A6B"/>
    <w:rsid w:val="16971C37"/>
    <w:rsid w:val="16BC7A59"/>
    <w:rsid w:val="16BE14E7"/>
    <w:rsid w:val="16BE34FA"/>
    <w:rsid w:val="16E22E32"/>
    <w:rsid w:val="16ED632E"/>
    <w:rsid w:val="1717031D"/>
    <w:rsid w:val="171E4E0F"/>
    <w:rsid w:val="174C5C53"/>
    <w:rsid w:val="175D47C3"/>
    <w:rsid w:val="17A3379A"/>
    <w:rsid w:val="17AA17F9"/>
    <w:rsid w:val="17BB6387"/>
    <w:rsid w:val="17BC2D29"/>
    <w:rsid w:val="17CE15BC"/>
    <w:rsid w:val="17E30A34"/>
    <w:rsid w:val="18001707"/>
    <w:rsid w:val="1808589E"/>
    <w:rsid w:val="18222DA8"/>
    <w:rsid w:val="18272F04"/>
    <w:rsid w:val="183338BA"/>
    <w:rsid w:val="18473583"/>
    <w:rsid w:val="18524953"/>
    <w:rsid w:val="186600A5"/>
    <w:rsid w:val="18794B37"/>
    <w:rsid w:val="18881E90"/>
    <w:rsid w:val="188B47DF"/>
    <w:rsid w:val="18916DBC"/>
    <w:rsid w:val="18AA3C15"/>
    <w:rsid w:val="18C07826"/>
    <w:rsid w:val="18C459C9"/>
    <w:rsid w:val="18C77023"/>
    <w:rsid w:val="18D61672"/>
    <w:rsid w:val="18EF66F3"/>
    <w:rsid w:val="18FD3C01"/>
    <w:rsid w:val="19195D82"/>
    <w:rsid w:val="191C7DE1"/>
    <w:rsid w:val="19343FC3"/>
    <w:rsid w:val="19414FE0"/>
    <w:rsid w:val="194A216C"/>
    <w:rsid w:val="194C63DF"/>
    <w:rsid w:val="19517451"/>
    <w:rsid w:val="196D1879"/>
    <w:rsid w:val="19894C4A"/>
    <w:rsid w:val="19902294"/>
    <w:rsid w:val="199B578D"/>
    <w:rsid w:val="199D3E22"/>
    <w:rsid w:val="19A676CD"/>
    <w:rsid w:val="19B34CEE"/>
    <w:rsid w:val="19C57B31"/>
    <w:rsid w:val="19CE54E8"/>
    <w:rsid w:val="19DA0E66"/>
    <w:rsid w:val="19E971DB"/>
    <w:rsid w:val="1A0868DE"/>
    <w:rsid w:val="1A1F3D9C"/>
    <w:rsid w:val="1A386BB6"/>
    <w:rsid w:val="1A3E0B9C"/>
    <w:rsid w:val="1A641248"/>
    <w:rsid w:val="1A69798E"/>
    <w:rsid w:val="1A6B178B"/>
    <w:rsid w:val="1A777E45"/>
    <w:rsid w:val="1A980FA1"/>
    <w:rsid w:val="1AB47408"/>
    <w:rsid w:val="1AD90120"/>
    <w:rsid w:val="1ADD7704"/>
    <w:rsid w:val="1AEB035A"/>
    <w:rsid w:val="1AF0114F"/>
    <w:rsid w:val="1B0C3664"/>
    <w:rsid w:val="1B136BC2"/>
    <w:rsid w:val="1B1C5890"/>
    <w:rsid w:val="1B1D0ABE"/>
    <w:rsid w:val="1B2F4D83"/>
    <w:rsid w:val="1B304188"/>
    <w:rsid w:val="1B304996"/>
    <w:rsid w:val="1B363B76"/>
    <w:rsid w:val="1B394ECA"/>
    <w:rsid w:val="1B401513"/>
    <w:rsid w:val="1B6F2A95"/>
    <w:rsid w:val="1B7011A6"/>
    <w:rsid w:val="1B785235"/>
    <w:rsid w:val="1B792ACF"/>
    <w:rsid w:val="1B840862"/>
    <w:rsid w:val="1B894395"/>
    <w:rsid w:val="1BB55613"/>
    <w:rsid w:val="1BC27E9A"/>
    <w:rsid w:val="1BC50E0F"/>
    <w:rsid w:val="1BC6758D"/>
    <w:rsid w:val="1BC84BF9"/>
    <w:rsid w:val="1BCA1AE9"/>
    <w:rsid w:val="1BD968B0"/>
    <w:rsid w:val="1BE008E5"/>
    <w:rsid w:val="1BE426E0"/>
    <w:rsid w:val="1BEF5EDC"/>
    <w:rsid w:val="1BF3045F"/>
    <w:rsid w:val="1C0C63DC"/>
    <w:rsid w:val="1C136791"/>
    <w:rsid w:val="1C171374"/>
    <w:rsid w:val="1C2E7658"/>
    <w:rsid w:val="1C3911E9"/>
    <w:rsid w:val="1C460024"/>
    <w:rsid w:val="1C4928ED"/>
    <w:rsid w:val="1C545CAF"/>
    <w:rsid w:val="1C706707"/>
    <w:rsid w:val="1C8F4549"/>
    <w:rsid w:val="1C923280"/>
    <w:rsid w:val="1C9B1094"/>
    <w:rsid w:val="1C9D7829"/>
    <w:rsid w:val="1CA25487"/>
    <w:rsid w:val="1CAD7144"/>
    <w:rsid w:val="1CD05B49"/>
    <w:rsid w:val="1CD53375"/>
    <w:rsid w:val="1CD770E1"/>
    <w:rsid w:val="1CDF3C35"/>
    <w:rsid w:val="1CE24559"/>
    <w:rsid w:val="1CE7284C"/>
    <w:rsid w:val="1CED64E7"/>
    <w:rsid w:val="1CF655C7"/>
    <w:rsid w:val="1CF70CE3"/>
    <w:rsid w:val="1D0E4D1B"/>
    <w:rsid w:val="1D0F64B4"/>
    <w:rsid w:val="1D103F06"/>
    <w:rsid w:val="1D201166"/>
    <w:rsid w:val="1D3214B5"/>
    <w:rsid w:val="1D383DB3"/>
    <w:rsid w:val="1D387361"/>
    <w:rsid w:val="1D387D1B"/>
    <w:rsid w:val="1D5A4782"/>
    <w:rsid w:val="1D623037"/>
    <w:rsid w:val="1D672CB3"/>
    <w:rsid w:val="1D7C0925"/>
    <w:rsid w:val="1D817975"/>
    <w:rsid w:val="1D8D6595"/>
    <w:rsid w:val="1D906641"/>
    <w:rsid w:val="1D93356C"/>
    <w:rsid w:val="1D951979"/>
    <w:rsid w:val="1DA8336C"/>
    <w:rsid w:val="1DAF110E"/>
    <w:rsid w:val="1DB61054"/>
    <w:rsid w:val="1DB87467"/>
    <w:rsid w:val="1DC94431"/>
    <w:rsid w:val="1DD028C9"/>
    <w:rsid w:val="1DF402E5"/>
    <w:rsid w:val="1E0F2F88"/>
    <w:rsid w:val="1E107489"/>
    <w:rsid w:val="1E120047"/>
    <w:rsid w:val="1E2456FC"/>
    <w:rsid w:val="1E2B042A"/>
    <w:rsid w:val="1E387717"/>
    <w:rsid w:val="1E4314E9"/>
    <w:rsid w:val="1E5227F5"/>
    <w:rsid w:val="1E5841ED"/>
    <w:rsid w:val="1E5939DF"/>
    <w:rsid w:val="1E5B1486"/>
    <w:rsid w:val="1E6C2CB1"/>
    <w:rsid w:val="1E802C45"/>
    <w:rsid w:val="1E845937"/>
    <w:rsid w:val="1E86604F"/>
    <w:rsid w:val="1E8B2478"/>
    <w:rsid w:val="1EA55F87"/>
    <w:rsid w:val="1EB14C1F"/>
    <w:rsid w:val="1EBB4C20"/>
    <w:rsid w:val="1EC57AB3"/>
    <w:rsid w:val="1ECE40F1"/>
    <w:rsid w:val="1EF33AAB"/>
    <w:rsid w:val="1EF93282"/>
    <w:rsid w:val="1EFC05DA"/>
    <w:rsid w:val="1F242409"/>
    <w:rsid w:val="1F316BB4"/>
    <w:rsid w:val="1F336463"/>
    <w:rsid w:val="1F342CDC"/>
    <w:rsid w:val="1F4E1AE0"/>
    <w:rsid w:val="1F5838AB"/>
    <w:rsid w:val="1F721347"/>
    <w:rsid w:val="1F724421"/>
    <w:rsid w:val="1F8122F8"/>
    <w:rsid w:val="1F8B39C7"/>
    <w:rsid w:val="1F8C1569"/>
    <w:rsid w:val="1FA17CC2"/>
    <w:rsid w:val="1FD5645B"/>
    <w:rsid w:val="1FD866E0"/>
    <w:rsid w:val="1FEA282E"/>
    <w:rsid w:val="1FF92872"/>
    <w:rsid w:val="1FFE4976"/>
    <w:rsid w:val="200945DD"/>
    <w:rsid w:val="200B03E4"/>
    <w:rsid w:val="200E293D"/>
    <w:rsid w:val="201802D4"/>
    <w:rsid w:val="203E1903"/>
    <w:rsid w:val="203E1A00"/>
    <w:rsid w:val="20571955"/>
    <w:rsid w:val="20594713"/>
    <w:rsid w:val="20623C07"/>
    <w:rsid w:val="20632091"/>
    <w:rsid w:val="20900DEF"/>
    <w:rsid w:val="209B6228"/>
    <w:rsid w:val="20C60ED2"/>
    <w:rsid w:val="20C936CA"/>
    <w:rsid w:val="20CA3D8E"/>
    <w:rsid w:val="20D220E2"/>
    <w:rsid w:val="20F544F1"/>
    <w:rsid w:val="21203D8A"/>
    <w:rsid w:val="2148186B"/>
    <w:rsid w:val="21701F90"/>
    <w:rsid w:val="21776D10"/>
    <w:rsid w:val="21866291"/>
    <w:rsid w:val="218F0CEB"/>
    <w:rsid w:val="218F78F2"/>
    <w:rsid w:val="21A55BAA"/>
    <w:rsid w:val="21D50133"/>
    <w:rsid w:val="21EA64FE"/>
    <w:rsid w:val="22145011"/>
    <w:rsid w:val="223D4452"/>
    <w:rsid w:val="223F0861"/>
    <w:rsid w:val="22442034"/>
    <w:rsid w:val="224F77DA"/>
    <w:rsid w:val="227347E3"/>
    <w:rsid w:val="227D4749"/>
    <w:rsid w:val="22812FB7"/>
    <w:rsid w:val="228D26CE"/>
    <w:rsid w:val="229E476C"/>
    <w:rsid w:val="22B66C67"/>
    <w:rsid w:val="22B96619"/>
    <w:rsid w:val="22C32A6D"/>
    <w:rsid w:val="22C9349D"/>
    <w:rsid w:val="22CF4CB9"/>
    <w:rsid w:val="22E5714F"/>
    <w:rsid w:val="22E640D2"/>
    <w:rsid w:val="22F9307D"/>
    <w:rsid w:val="22FF181D"/>
    <w:rsid w:val="23017A9F"/>
    <w:rsid w:val="23073234"/>
    <w:rsid w:val="23153D35"/>
    <w:rsid w:val="231859C4"/>
    <w:rsid w:val="233651B2"/>
    <w:rsid w:val="233C5C01"/>
    <w:rsid w:val="234F51B0"/>
    <w:rsid w:val="23655593"/>
    <w:rsid w:val="237119E0"/>
    <w:rsid w:val="23873CA0"/>
    <w:rsid w:val="239B7C6E"/>
    <w:rsid w:val="23A668C2"/>
    <w:rsid w:val="23AC083E"/>
    <w:rsid w:val="23C56A83"/>
    <w:rsid w:val="23CC14AA"/>
    <w:rsid w:val="23D87A5D"/>
    <w:rsid w:val="23F81D1C"/>
    <w:rsid w:val="23F87AE8"/>
    <w:rsid w:val="24004EF0"/>
    <w:rsid w:val="241C168B"/>
    <w:rsid w:val="242403FF"/>
    <w:rsid w:val="24361C71"/>
    <w:rsid w:val="2443382C"/>
    <w:rsid w:val="244706D0"/>
    <w:rsid w:val="244E4876"/>
    <w:rsid w:val="2455798C"/>
    <w:rsid w:val="246E4FE1"/>
    <w:rsid w:val="247771B1"/>
    <w:rsid w:val="24797436"/>
    <w:rsid w:val="24893698"/>
    <w:rsid w:val="248A0DA1"/>
    <w:rsid w:val="248B0DC9"/>
    <w:rsid w:val="24EF440E"/>
    <w:rsid w:val="25191A92"/>
    <w:rsid w:val="25290357"/>
    <w:rsid w:val="253C3B25"/>
    <w:rsid w:val="255657E1"/>
    <w:rsid w:val="255973A9"/>
    <w:rsid w:val="255F5B0A"/>
    <w:rsid w:val="2562495D"/>
    <w:rsid w:val="2565212F"/>
    <w:rsid w:val="25664EB1"/>
    <w:rsid w:val="2573629D"/>
    <w:rsid w:val="257B7E43"/>
    <w:rsid w:val="257E4B14"/>
    <w:rsid w:val="257F631A"/>
    <w:rsid w:val="2581181F"/>
    <w:rsid w:val="258471C2"/>
    <w:rsid w:val="258B7C76"/>
    <w:rsid w:val="259D492D"/>
    <w:rsid w:val="25A120E6"/>
    <w:rsid w:val="25A62926"/>
    <w:rsid w:val="25A7022D"/>
    <w:rsid w:val="25AA772C"/>
    <w:rsid w:val="25BD0276"/>
    <w:rsid w:val="25E2513A"/>
    <w:rsid w:val="25F45922"/>
    <w:rsid w:val="25FD2F48"/>
    <w:rsid w:val="260419A0"/>
    <w:rsid w:val="262D4206"/>
    <w:rsid w:val="262E21CA"/>
    <w:rsid w:val="2650449B"/>
    <w:rsid w:val="26523500"/>
    <w:rsid w:val="2657371E"/>
    <w:rsid w:val="26713F63"/>
    <w:rsid w:val="26753166"/>
    <w:rsid w:val="267C5A99"/>
    <w:rsid w:val="2682148D"/>
    <w:rsid w:val="26874807"/>
    <w:rsid w:val="268D22B5"/>
    <w:rsid w:val="269240CC"/>
    <w:rsid w:val="26955595"/>
    <w:rsid w:val="269A47B4"/>
    <w:rsid w:val="26CC2C30"/>
    <w:rsid w:val="26EC7F5B"/>
    <w:rsid w:val="27175BDC"/>
    <w:rsid w:val="271B5FAA"/>
    <w:rsid w:val="271E071C"/>
    <w:rsid w:val="272B00CD"/>
    <w:rsid w:val="27381EB7"/>
    <w:rsid w:val="27391B86"/>
    <w:rsid w:val="27504A85"/>
    <w:rsid w:val="275E5E47"/>
    <w:rsid w:val="27924AA1"/>
    <w:rsid w:val="27962E21"/>
    <w:rsid w:val="2796479F"/>
    <w:rsid w:val="279768B3"/>
    <w:rsid w:val="279A19EA"/>
    <w:rsid w:val="279C172C"/>
    <w:rsid w:val="27A565BD"/>
    <w:rsid w:val="27B169B4"/>
    <w:rsid w:val="27B911ED"/>
    <w:rsid w:val="27C54989"/>
    <w:rsid w:val="27D27F60"/>
    <w:rsid w:val="27E744FA"/>
    <w:rsid w:val="27E83986"/>
    <w:rsid w:val="27F44081"/>
    <w:rsid w:val="27F83B89"/>
    <w:rsid w:val="27FE146D"/>
    <w:rsid w:val="283A041C"/>
    <w:rsid w:val="283E36E3"/>
    <w:rsid w:val="284675E2"/>
    <w:rsid w:val="284E0B22"/>
    <w:rsid w:val="28543497"/>
    <w:rsid w:val="285964FE"/>
    <w:rsid w:val="28630B61"/>
    <w:rsid w:val="286C012F"/>
    <w:rsid w:val="28801A49"/>
    <w:rsid w:val="288A740B"/>
    <w:rsid w:val="289B5942"/>
    <w:rsid w:val="289F43E5"/>
    <w:rsid w:val="28B77612"/>
    <w:rsid w:val="28BB465F"/>
    <w:rsid w:val="28DD5583"/>
    <w:rsid w:val="28EA0128"/>
    <w:rsid w:val="28EE3B49"/>
    <w:rsid w:val="28FF185C"/>
    <w:rsid w:val="29012269"/>
    <w:rsid w:val="290B3CDD"/>
    <w:rsid w:val="291451AB"/>
    <w:rsid w:val="29157417"/>
    <w:rsid w:val="291E50DC"/>
    <w:rsid w:val="29285E0F"/>
    <w:rsid w:val="29324D22"/>
    <w:rsid w:val="293D797A"/>
    <w:rsid w:val="29505C1F"/>
    <w:rsid w:val="29516A39"/>
    <w:rsid w:val="29590599"/>
    <w:rsid w:val="295D585C"/>
    <w:rsid w:val="29632CC6"/>
    <w:rsid w:val="297158AB"/>
    <w:rsid w:val="29807966"/>
    <w:rsid w:val="298714AD"/>
    <w:rsid w:val="29C02FCD"/>
    <w:rsid w:val="29C10231"/>
    <w:rsid w:val="29C63807"/>
    <w:rsid w:val="29D82305"/>
    <w:rsid w:val="29EB45D3"/>
    <w:rsid w:val="29F940E1"/>
    <w:rsid w:val="2A0312F6"/>
    <w:rsid w:val="2A07685B"/>
    <w:rsid w:val="2A2569D8"/>
    <w:rsid w:val="2A2F7528"/>
    <w:rsid w:val="2A392EFC"/>
    <w:rsid w:val="2A3E46F3"/>
    <w:rsid w:val="2A5338A7"/>
    <w:rsid w:val="2A7975D0"/>
    <w:rsid w:val="2A7B46D0"/>
    <w:rsid w:val="2A7E694A"/>
    <w:rsid w:val="2A7F12E2"/>
    <w:rsid w:val="2A88405F"/>
    <w:rsid w:val="2AC03F74"/>
    <w:rsid w:val="2ACD4D90"/>
    <w:rsid w:val="2ADC43C4"/>
    <w:rsid w:val="2AE07B98"/>
    <w:rsid w:val="2B0D7B3A"/>
    <w:rsid w:val="2B160173"/>
    <w:rsid w:val="2B17222B"/>
    <w:rsid w:val="2B1B36C2"/>
    <w:rsid w:val="2B262263"/>
    <w:rsid w:val="2B2D7A14"/>
    <w:rsid w:val="2B4701CA"/>
    <w:rsid w:val="2B62668E"/>
    <w:rsid w:val="2B7874BE"/>
    <w:rsid w:val="2B7A42C1"/>
    <w:rsid w:val="2B82668D"/>
    <w:rsid w:val="2B8F49BB"/>
    <w:rsid w:val="2BBA10FA"/>
    <w:rsid w:val="2BBF0C02"/>
    <w:rsid w:val="2BDD28EB"/>
    <w:rsid w:val="2BF43094"/>
    <w:rsid w:val="2BF909AA"/>
    <w:rsid w:val="2C0757B7"/>
    <w:rsid w:val="2C365068"/>
    <w:rsid w:val="2C4B5707"/>
    <w:rsid w:val="2C57786C"/>
    <w:rsid w:val="2C595430"/>
    <w:rsid w:val="2C660130"/>
    <w:rsid w:val="2C6B03A2"/>
    <w:rsid w:val="2C95017E"/>
    <w:rsid w:val="2C9B2015"/>
    <w:rsid w:val="2CA1010B"/>
    <w:rsid w:val="2CAE33C9"/>
    <w:rsid w:val="2CB9711D"/>
    <w:rsid w:val="2CD62921"/>
    <w:rsid w:val="2CF3363A"/>
    <w:rsid w:val="2D0009BD"/>
    <w:rsid w:val="2D000C25"/>
    <w:rsid w:val="2D0F4DB4"/>
    <w:rsid w:val="2D1F79A4"/>
    <w:rsid w:val="2D2D36A5"/>
    <w:rsid w:val="2D365B16"/>
    <w:rsid w:val="2D3D34A6"/>
    <w:rsid w:val="2D47011F"/>
    <w:rsid w:val="2D51670C"/>
    <w:rsid w:val="2D557C2D"/>
    <w:rsid w:val="2D5646DC"/>
    <w:rsid w:val="2D6D2070"/>
    <w:rsid w:val="2D9D0838"/>
    <w:rsid w:val="2DB652A4"/>
    <w:rsid w:val="2DB943B8"/>
    <w:rsid w:val="2DBB2419"/>
    <w:rsid w:val="2DBF7001"/>
    <w:rsid w:val="2DC26166"/>
    <w:rsid w:val="2DEA2F76"/>
    <w:rsid w:val="2DF041FF"/>
    <w:rsid w:val="2DF76E1B"/>
    <w:rsid w:val="2E0A69BF"/>
    <w:rsid w:val="2E0C1219"/>
    <w:rsid w:val="2E10357E"/>
    <w:rsid w:val="2E144C9C"/>
    <w:rsid w:val="2E177A17"/>
    <w:rsid w:val="2E1B30B3"/>
    <w:rsid w:val="2E1E59CA"/>
    <w:rsid w:val="2E3E487D"/>
    <w:rsid w:val="2E41360C"/>
    <w:rsid w:val="2E475DA4"/>
    <w:rsid w:val="2E607FBE"/>
    <w:rsid w:val="2E615CAF"/>
    <w:rsid w:val="2E64456A"/>
    <w:rsid w:val="2E7264C5"/>
    <w:rsid w:val="2E7653DE"/>
    <w:rsid w:val="2E784538"/>
    <w:rsid w:val="2E7B7058"/>
    <w:rsid w:val="2E842882"/>
    <w:rsid w:val="2E8C6A3D"/>
    <w:rsid w:val="2EB508B8"/>
    <w:rsid w:val="2EC45F4F"/>
    <w:rsid w:val="2ED06B9A"/>
    <w:rsid w:val="2ED71BB4"/>
    <w:rsid w:val="2EDB413D"/>
    <w:rsid w:val="2F04472C"/>
    <w:rsid w:val="2F066396"/>
    <w:rsid w:val="2F1835B8"/>
    <w:rsid w:val="2F184426"/>
    <w:rsid w:val="2F2655A5"/>
    <w:rsid w:val="2F2B2982"/>
    <w:rsid w:val="2F30138F"/>
    <w:rsid w:val="2F4B573E"/>
    <w:rsid w:val="2F5628C1"/>
    <w:rsid w:val="2F5A61EE"/>
    <w:rsid w:val="2F6E6218"/>
    <w:rsid w:val="2F81781A"/>
    <w:rsid w:val="2FBA6AB0"/>
    <w:rsid w:val="2FDA5233"/>
    <w:rsid w:val="2FDA56AD"/>
    <w:rsid w:val="2FDC3277"/>
    <w:rsid w:val="30091058"/>
    <w:rsid w:val="30186987"/>
    <w:rsid w:val="302E6035"/>
    <w:rsid w:val="30396B3B"/>
    <w:rsid w:val="303B5C37"/>
    <w:rsid w:val="303D3D8D"/>
    <w:rsid w:val="30410449"/>
    <w:rsid w:val="304B34C7"/>
    <w:rsid w:val="304F51A4"/>
    <w:rsid w:val="30687159"/>
    <w:rsid w:val="306F3884"/>
    <w:rsid w:val="307953E8"/>
    <w:rsid w:val="307B44AD"/>
    <w:rsid w:val="30907ADE"/>
    <w:rsid w:val="30926BF6"/>
    <w:rsid w:val="309A0DD7"/>
    <w:rsid w:val="309A76B3"/>
    <w:rsid w:val="30A61A4B"/>
    <w:rsid w:val="30AE1C64"/>
    <w:rsid w:val="30C02678"/>
    <w:rsid w:val="30D06AF0"/>
    <w:rsid w:val="30DC1248"/>
    <w:rsid w:val="30E16401"/>
    <w:rsid w:val="30F760DD"/>
    <w:rsid w:val="310500E0"/>
    <w:rsid w:val="31405015"/>
    <w:rsid w:val="31537EEC"/>
    <w:rsid w:val="315E7D16"/>
    <w:rsid w:val="316F0F32"/>
    <w:rsid w:val="31736100"/>
    <w:rsid w:val="31773981"/>
    <w:rsid w:val="3182709C"/>
    <w:rsid w:val="31842F7F"/>
    <w:rsid w:val="318A4231"/>
    <w:rsid w:val="318E2782"/>
    <w:rsid w:val="319C4759"/>
    <w:rsid w:val="319C6FC9"/>
    <w:rsid w:val="31EF357C"/>
    <w:rsid w:val="31FF09AE"/>
    <w:rsid w:val="3205097C"/>
    <w:rsid w:val="32081170"/>
    <w:rsid w:val="320C3878"/>
    <w:rsid w:val="32114E7D"/>
    <w:rsid w:val="3219245E"/>
    <w:rsid w:val="32257FD7"/>
    <w:rsid w:val="323677EC"/>
    <w:rsid w:val="323827BE"/>
    <w:rsid w:val="32495754"/>
    <w:rsid w:val="324B3D08"/>
    <w:rsid w:val="32502547"/>
    <w:rsid w:val="32541D1E"/>
    <w:rsid w:val="32595004"/>
    <w:rsid w:val="32605AA8"/>
    <w:rsid w:val="32615E04"/>
    <w:rsid w:val="326849A2"/>
    <w:rsid w:val="326B0F6E"/>
    <w:rsid w:val="328126D8"/>
    <w:rsid w:val="32996BB0"/>
    <w:rsid w:val="32A04DB4"/>
    <w:rsid w:val="32AD00CE"/>
    <w:rsid w:val="32B9541F"/>
    <w:rsid w:val="32BF1468"/>
    <w:rsid w:val="32D07FAA"/>
    <w:rsid w:val="32D40497"/>
    <w:rsid w:val="32DE0BF1"/>
    <w:rsid w:val="32E158F1"/>
    <w:rsid w:val="32E5677D"/>
    <w:rsid w:val="330301A0"/>
    <w:rsid w:val="33031007"/>
    <w:rsid w:val="330A1B9B"/>
    <w:rsid w:val="330C77B6"/>
    <w:rsid w:val="331A0228"/>
    <w:rsid w:val="332B32E7"/>
    <w:rsid w:val="33341058"/>
    <w:rsid w:val="333C4070"/>
    <w:rsid w:val="33652BA0"/>
    <w:rsid w:val="338032CF"/>
    <w:rsid w:val="33870D2A"/>
    <w:rsid w:val="33995B41"/>
    <w:rsid w:val="339F3BDD"/>
    <w:rsid w:val="33A54598"/>
    <w:rsid w:val="33A9773C"/>
    <w:rsid w:val="33E93AE7"/>
    <w:rsid w:val="33FB47B2"/>
    <w:rsid w:val="33FE062C"/>
    <w:rsid w:val="340D123D"/>
    <w:rsid w:val="340D402A"/>
    <w:rsid w:val="34117F4A"/>
    <w:rsid w:val="34157A69"/>
    <w:rsid w:val="341A32AC"/>
    <w:rsid w:val="342F04EE"/>
    <w:rsid w:val="343278F3"/>
    <w:rsid w:val="343773FE"/>
    <w:rsid w:val="344314AC"/>
    <w:rsid w:val="344352BB"/>
    <w:rsid w:val="345F13D2"/>
    <w:rsid w:val="346614E2"/>
    <w:rsid w:val="346F44E7"/>
    <w:rsid w:val="3477121B"/>
    <w:rsid w:val="348A07C0"/>
    <w:rsid w:val="349E74CF"/>
    <w:rsid w:val="34BC5B3B"/>
    <w:rsid w:val="34C33940"/>
    <w:rsid w:val="34CE5612"/>
    <w:rsid w:val="34D55580"/>
    <w:rsid w:val="34DA288E"/>
    <w:rsid w:val="34E07C21"/>
    <w:rsid w:val="34E11C57"/>
    <w:rsid w:val="34E43EEA"/>
    <w:rsid w:val="34F14865"/>
    <w:rsid w:val="34F445A8"/>
    <w:rsid w:val="34F47C15"/>
    <w:rsid w:val="34F540BD"/>
    <w:rsid w:val="34FF3C2C"/>
    <w:rsid w:val="35063B46"/>
    <w:rsid w:val="351C3CD0"/>
    <w:rsid w:val="352F1E92"/>
    <w:rsid w:val="353763F9"/>
    <w:rsid w:val="353B6682"/>
    <w:rsid w:val="353C79F3"/>
    <w:rsid w:val="353F5F9A"/>
    <w:rsid w:val="354D44F6"/>
    <w:rsid w:val="35600779"/>
    <w:rsid w:val="35645586"/>
    <w:rsid w:val="356B79DE"/>
    <w:rsid w:val="3581198D"/>
    <w:rsid w:val="35843E04"/>
    <w:rsid w:val="35866FAD"/>
    <w:rsid w:val="35976ED7"/>
    <w:rsid w:val="35980087"/>
    <w:rsid w:val="35B3142E"/>
    <w:rsid w:val="35B45E55"/>
    <w:rsid w:val="35B543C3"/>
    <w:rsid w:val="35B84DAB"/>
    <w:rsid w:val="35C52894"/>
    <w:rsid w:val="35E92FD2"/>
    <w:rsid w:val="35F036ED"/>
    <w:rsid w:val="35F11C61"/>
    <w:rsid w:val="35FB5BA7"/>
    <w:rsid w:val="36011523"/>
    <w:rsid w:val="36021E5F"/>
    <w:rsid w:val="36247A40"/>
    <w:rsid w:val="362A0DEB"/>
    <w:rsid w:val="36327AC4"/>
    <w:rsid w:val="3634601F"/>
    <w:rsid w:val="36496AF6"/>
    <w:rsid w:val="36547421"/>
    <w:rsid w:val="365A705F"/>
    <w:rsid w:val="367251E5"/>
    <w:rsid w:val="36903B9D"/>
    <w:rsid w:val="3696078B"/>
    <w:rsid w:val="369A723E"/>
    <w:rsid w:val="369C5F08"/>
    <w:rsid w:val="369E27EA"/>
    <w:rsid w:val="36C03B4D"/>
    <w:rsid w:val="36C301B0"/>
    <w:rsid w:val="36C40C39"/>
    <w:rsid w:val="36C95739"/>
    <w:rsid w:val="36D948F3"/>
    <w:rsid w:val="36DE6128"/>
    <w:rsid w:val="36E735CF"/>
    <w:rsid w:val="36FD0B04"/>
    <w:rsid w:val="370275A1"/>
    <w:rsid w:val="3717521E"/>
    <w:rsid w:val="37175E83"/>
    <w:rsid w:val="37215EFD"/>
    <w:rsid w:val="372E3F88"/>
    <w:rsid w:val="372F7F54"/>
    <w:rsid w:val="374754B1"/>
    <w:rsid w:val="374E45F3"/>
    <w:rsid w:val="375D3526"/>
    <w:rsid w:val="37624933"/>
    <w:rsid w:val="377870D5"/>
    <w:rsid w:val="378C7B63"/>
    <w:rsid w:val="379E4EC0"/>
    <w:rsid w:val="37A0093C"/>
    <w:rsid w:val="37A86561"/>
    <w:rsid w:val="37AC58D2"/>
    <w:rsid w:val="37AE7163"/>
    <w:rsid w:val="37C01AB5"/>
    <w:rsid w:val="37C409FA"/>
    <w:rsid w:val="37C8480D"/>
    <w:rsid w:val="37CB5E71"/>
    <w:rsid w:val="37EF4A8C"/>
    <w:rsid w:val="38107733"/>
    <w:rsid w:val="381200AE"/>
    <w:rsid w:val="3840510C"/>
    <w:rsid w:val="38525EC8"/>
    <w:rsid w:val="385C6D7B"/>
    <w:rsid w:val="385F25BB"/>
    <w:rsid w:val="386312E6"/>
    <w:rsid w:val="386609E8"/>
    <w:rsid w:val="387B2A25"/>
    <w:rsid w:val="38883DBF"/>
    <w:rsid w:val="38933FD6"/>
    <w:rsid w:val="389532F2"/>
    <w:rsid w:val="38A0575D"/>
    <w:rsid w:val="38B236B0"/>
    <w:rsid w:val="38B577A9"/>
    <w:rsid w:val="38B74C05"/>
    <w:rsid w:val="38CC421D"/>
    <w:rsid w:val="38D16635"/>
    <w:rsid w:val="38D373E7"/>
    <w:rsid w:val="38F53835"/>
    <w:rsid w:val="38FA57F0"/>
    <w:rsid w:val="390E100A"/>
    <w:rsid w:val="3936186D"/>
    <w:rsid w:val="393B6729"/>
    <w:rsid w:val="3941349E"/>
    <w:rsid w:val="39514E0B"/>
    <w:rsid w:val="39566F53"/>
    <w:rsid w:val="395941C6"/>
    <w:rsid w:val="397905D6"/>
    <w:rsid w:val="3986126F"/>
    <w:rsid w:val="39864DE3"/>
    <w:rsid w:val="39883EA5"/>
    <w:rsid w:val="399D5638"/>
    <w:rsid w:val="39B41C18"/>
    <w:rsid w:val="39B653E7"/>
    <w:rsid w:val="39B85B57"/>
    <w:rsid w:val="39C538F9"/>
    <w:rsid w:val="39C828C6"/>
    <w:rsid w:val="39D31839"/>
    <w:rsid w:val="39D51F97"/>
    <w:rsid w:val="39D7425E"/>
    <w:rsid w:val="39E76BD3"/>
    <w:rsid w:val="3A0B3CA2"/>
    <w:rsid w:val="3A255D6F"/>
    <w:rsid w:val="3A291776"/>
    <w:rsid w:val="3A4215EC"/>
    <w:rsid w:val="3A43382A"/>
    <w:rsid w:val="3A472CE0"/>
    <w:rsid w:val="3A4B4D4F"/>
    <w:rsid w:val="3A51108A"/>
    <w:rsid w:val="3A5C2A31"/>
    <w:rsid w:val="3A604CCB"/>
    <w:rsid w:val="3A6711EA"/>
    <w:rsid w:val="3A671BFD"/>
    <w:rsid w:val="3A6B021B"/>
    <w:rsid w:val="3A6C27C7"/>
    <w:rsid w:val="3A795855"/>
    <w:rsid w:val="3A7D78F3"/>
    <w:rsid w:val="3A7E7CFE"/>
    <w:rsid w:val="3A816547"/>
    <w:rsid w:val="3AB03D58"/>
    <w:rsid w:val="3ACC4FA5"/>
    <w:rsid w:val="3AD049E5"/>
    <w:rsid w:val="3AF31112"/>
    <w:rsid w:val="3AF71C4F"/>
    <w:rsid w:val="3B081792"/>
    <w:rsid w:val="3B0C28E2"/>
    <w:rsid w:val="3B211160"/>
    <w:rsid w:val="3B325752"/>
    <w:rsid w:val="3B352723"/>
    <w:rsid w:val="3B373B06"/>
    <w:rsid w:val="3B38435F"/>
    <w:rsid w:val="3B4113F9"/>
    <w:rsid w:val="3B4607AB"/>
    <w:rsid w:val="3B5A14DA"/>
    <w:rsid w:val="3B5B2A34"/>
    <w:rsid w:val="3B696D3C"/>
    <w:rsid w:val="3B6E2308"/>
    <w:rsid w:val="3B700B9E"/>
    <w:rsid w:val="3B7A70C3"/>
    <w:rsid w:val="3B7C5190"/>
    <w:rsid w:val="3B8C568A"/>
    <w:rsid w:val="3B8C6B52"/>
    <w:rsid w:val="3B9265F7"/>
    <w:rsid w:val="3BA24F6A"/>
    <w:rsid w:val="3BB36501"/>
    <w:rsid w:val="3BBA1B6C"/>
    <w:rsid w:val="3BC10F8A"/>
    <w:rsid w:val="3BCA0430"/>
    <w:rsid w:val="3BCA46DA"/>
    <w:rsid w:val="3C0B517A"/>
    <w:rsid w:val="3C0D7BA2"/>
    <w:rsid w:val="3C1464E6"/>
    <w:rsid w:val="3C1F3B0A"/>
    <w:rsid w:val="3C205B8C"/>
    <w:rsid w:val="3C2B04DC"/>
    <w:rsid w:val="3C2F5079"/>
    <w:rsid w:val="3C4B63F8"/>
    <w:rsid w:val="3C7C5EFC"/>
    <w:rsid w:val="3C820BF8"/>
    <w:rsid w:val="3C9D78A4"/>
    <w:rsid w:val="3CAC12EC"/>
    <w:rsid w:val="3CB974FB"/>
    <w:rsid w:val="3CD46E85"/>
    <w:rsid w:val="3CE21B20"/>
    <w:rsid w:val="3CFF2A56"/>
    <w:rsid w:val="3D0538C6"/>
    <w:rsid w:val="3D083C3D"/>
    <w:rsid w:val="3D0F0BF5"/>
    <w:rsid w:val="3D254DA7"/>
    <w:rsid w:val="3D367754"/>
    <w:rsid w:val="3D43371B"/>
    <w:rsid w:val="3D4C353F"/>
    <w:rsid w:val="3D4D01FD"/>
    <w:rsid w:val="3D533FE2"/>
    <w:rsid w:val="3D8116F1"/>
    <w:rsid w:val="3D842DB5"/>
    <w:rsid w:val="3D927E3F"/>
    <w:rsid w:val="3D99342D"/>
    <w:rsid w:val="3D9D6E8A"/>
    <w:rsid w:val="3DB623DC"/>
    <w:rsid w:val="3DBC2131"/>
    <w:rsid w:val="3DD03BFA"/>
    <w:rsid w:val="3DD76D85"/>
    <w:rsid w:val="3DD83ABF"/>
    <w:rsid w:val="3DDA437C"/>
    <w:rsid w:val="3DEE4CC1"/>
    <w:rsid w:val="3DF461A3"/>
    <w:rsid w:val="3DF94195"/>
    <w:rsid w:val="3E012B6B"/>
    <w:rsid w:val="3E0B6234"/>
    <w:rsid w:val="3E1516BF"/>
    <w:rsid w:val="3E211CFD"/>
    <w:rsid w:val="3E535C24"/>
    <w:rsid w:val="3E600BB4"/>
    <w:rsid w:val="3E8A2129"/>
    <w:rsid w:val="3E8C3990"/>
    <w:rsid w:val="3E917B3F"/>
    <w:rsid w:val="3ECD5D56"/>
    <w:rsid w:val="3ECD79B7"/>
    <w:rsid w:val="3ED72492"/>
    <w:rsid w:val="3EDA4D3F"/>
    <w:rsid w:val="3EED7085"/>
    <w:rsid w:val="3EFA21FA"/>
    <w:rsid w:val="3F0651F8"/>
    <w:rsid w:val="3F0B745A"/>
    <w:rsid w:val="3F1708AB"/>
    <w:rsid w:val="3F1A7616"/>
    <w:rsid w:val="3F305658"/>
    <w:rsid w:val="3F4C1C29"/>
    <w:rsid w:val="3F545C32"/>
    <w:rsid w:val="3F8A3D39"/>
    <w:rsid w:val="3F8D0174"/>
    <w:rsid w:val="3F966B9F"/>
    <w:rsid w:val="3F987717"/>
    <w:rsid w:val="3FA55C83"/>
    <w:rsid w:val="3FC551B7"/>
    <w:rsid w:val="3FC92BDE"/>
    <w:rsid w:val="3FD23300"/>
    <w:rsid w:val="3FF47042"/>
    <w:rsid w:val="3FF54785"/>
    <w:rsid w:val="3FFB4326"/>
    <w:rsid w:val="3FFC0AB7"/>
    <w:rsid w:val="3FFF0B26"/>
    <w:rsid w:val="4015659C"/>
    <w:rsid w:val="401D268F"/>
    <w:rsid w:val="40327B82"/>
    <w:rsid w:val="403D5DB4"/>
    <w:rsid w:val="40444047"/>
    <w:rsid w:val="40452250"/>
    <w:rsid w:val="404D460E"/>
    <w:rsid w:val="40501155"/>
    <w:rsid w:val="405229A9"/>
    <w:rsid w:val="405C35C7"/>
    <w:rsid w:val="407E4D25"/>
    <w:rsid w:val="409E45E2"/>
    <w:rsid w:val="40A52125"/>
    <w:rsid w:val="40B61FF8"/>
    <w:rsid w:val="40BB734D"/>
    <w:rsid w:val="40BD43A8"/>
    <w:rsid w:val="40BD702F"/>
    <w:rsid w:val="40C40C6F"/>
    <w:rsid w:val="40C7171A"/>
    <w:rsid w:val="40CD4E0B"/>
    <w:rsid w:val="40D2023E"/>
    <w:rsid w:val="40D724A1"/>
    <w:rsid w:val="40DD614D"/>
    <w:rsid w:val="40E72D37"/>
    <w:rsid w:val="40FE6CAA"/>
    <w:rsid w:val="411C7865"/>
    <w:rsid w:val="411D4155"/>
    <w:rsid w:val="412A1DFC"/>
    <w:rsid w:val="414141BA"/>
    <w:rsid w:val="415A1391"/>
    <w:rsid w:val="415E5B0A"/>
    <w:rsid w:val="418B295F"/>
    <w:rsid w:val="41945CF4"/>
    <w:rsid w:val="41965A41"/>
    <w:rsid w:val="41970D49"/>
    <w:rsid w:val="41B92A4F"/>
    <w:rsid w:val="41C964B4"/>
    <w:rsid w:val="41F92ABD"/>
    <w:rsid w:val="41FC1B6A"/>
    <w:rsid w:val="41FF2BF3"/>
    <w:rsid w:val="42125B2B"/>
    <w:rsid w:val="424D1C7F"/>
    <w:rsid w:val="425846A6"/>
    <w:rsid w:val="42624E34"/>
    <w:rsid w:val="427F218F"/>
    <w:rsid w:val="42840AD6"/>
    <w:rsid w:val="428B63CF"/>
    <w:rsid w:val="42911805"/>
    <w:rsid w:val="429A2964"/>
    <w:rsid w:val="42AF67D0"/>
    <w:rsid w:val="42BC0E70"/>
    <w:rsid w:val="42C245CE"/>
    <w:rsid w:val="42C27D1A"/>
    <w:rsid w:val="42C80ECA"/>
    <w:rsid w:val="42DD0E52"/>
    <w:rsid w:val="42DD3CD5"/>
    <w:rsid w:val="43055EB8"/>
    <w:rsid w:val="431627BC"/>
    <w:rsid w:val="431A0C24"/>
    <w:rsid w:val="431A5591"/>
    <w:rsid w:val="431B1E13"/>
    <w:rsid w:val="432F1853"/>
    <w:rsid w:val="43312904"/>
    <w:rsid w:val="43376426"/>
    <w:rsid w:val="434E1C20"/>
    <w:rsid w:val="43620283"/>
    <w:rsid w:val="4363286E"/>
    <w:rsid w:val="436928BF"/>
    <w:rsid w:val="4370065F"/>
    <w:rsid w:val="43963A25"/>
    <w:rsid w:val="4398403A"/>
    <w:rsid w:val="43A73BE3"/>
    <w:rsid w:val="43AE7A7E"/>
    <w:rsid w:val="43B470F6"/>
    <w:rsid w:val="43CF502D"/>
    <w:rsid w:val="43CF6F11"/>
    <w:rsid w:val="43DF5027"/>
    <w:rsid w:val="43F047E0"/>
    <w:rsid w:val="43FD6F00"/>
    <w:rsid w:val="440B02B4"/>
    <w:rsid w:val="441C5080"/>
    <w:rsid w:val="44233849"/>
    <w:rsid w:val="445B0426"/>
    <w:rsid w:val="44633603"/>
    <w:rsid w:val="44680AA6"/>
    <w:rsid w:val="446B500C"/>
    <w:rsid w:val="446E17AC"/>
    <w:rsid w:val="448508DF"/>
    <w:rsid w:val="448D7707"/>
    <w:rsid w:val="44A6656A"/>
    <w:rsid w:val="44BA3544"/>
    <w:rsid w:val="44BF18A2"/>
    <w:rsid w:val="44C345DC"/>
    <w:rsid w:val="44CE2123"/>
    <w:rsid w:val="44E23735"/>
    <w:rsid w:val="44EA77F7"/>
    <w:rsid w:val="45142C62"/>
    <w:rsid w:val="45357785"/>
    <w:rsid w:val="45387766"/>
    <w:rsid w:val="453A760F"/>
    <w:rsid w:val="453B3627"/>
    <w:rsid w:val="45461B58"/>
    <w:rsid w:val="45491A3E"/>
    <w:rsid w:val="45503B28"/>
    <w:rsid w:val="45620AD7"/>
    <w:rsid w:val="45853082"/>
    <w:rsid w:val="45891F3C"/>
    <w:rsid w:val="4590274A"/>
    <w:rsid w:val="45B276B2"/>
    <w:rsid w:val="45C0276F"/>
    <w:rsid w:val="45C14774"/>
    <w:rsid w:val="45DB6A4C"/>
    <w:rsid w:val="45DE4D7D"/>
    <w:rsid w:val="45EF2628"/>
    <w:rsid w:val="45EF3C1C"/>
    <w:rsid w:val="45FD0891"/>
    <w:rsid w:val="460C7309"/>
    <w:rsid w:val="46185D52"/>
    <w:rsid w:val="461D0E0F"/>
    <w:rsid w:val="462C285E"/>
    <w:rsid w:val="462E09E1"/>
    <w:rsid w:val="4639249F"/>
    <w:rsid w:val="463A0304"/>
    <w:rsid w:val="46483274"/>
    <w:rsid w:val="46497341"/>
    <w:rsid w:val="464A4975"/>
    <w:rsid w:val="465961E8"/>
    <w:rsid w:val="467C2D95"/>
    <w:rsid w:val="4695468D"/>
    <w:rsid w:val="469A6A31"/>
    <w:rsid w:val="46D95B7D"/>
    <w:rsid w:val="471553B4"/>
    <w:rsid w:val="47170524"/>
    <w:rsid w:val="471E6457"/>
    <w:rsid w:val="474C2F9B"/>
    <w:rsid w:val="475D0FD8"/>
    <w:rsid w:val="475F6267"/>
    <w:rsid w:val="4760207C"/>
    <w:rsid w:val="47743C9D"/>
    <w:rsid w:val="477F20C3"/>
    <w:rsid w:val="47906F17"/>
    <w:rsid w:val="47962F99"/>
    <w:rsid w:val="479A7A31"/>
    <w:rsid w:val="479B1699"/>
    <w:rsid w:val="47AA2928"/>
    <w:rsid w:val="47AF51BF"/>
    <w:rsid w:val="47B81E12"/>
    <w:rsid w:val="47BE42FB"/>
    <w:rsid w:val="47C87B80"/>
    <w:rsid w:val="47C937E9"/>
    <w:rsid w:val="47C97066"/>
    <w:rsid w:val="47D03B18"/>
    <w:rsid w:val="47DB1D58"/>
    <w:rsid w:val="47ED29D3"/>
    <w:rsid w:val="47EF74A3"/>
    <w:rsid w:val="47F50C9B"/>
    <w:rsid w:val="48047968"/>
    <w:rsid w:val="480C0327"/>
    <w:rsid w:val="48100B65"/>
    <w:rsid w:val="4834394A"/>
    <w:rsid w:val="484B1470"/>
    <w:rsid w:val="485A65F3"/>
    <w:rsid w:val="48654955"/>
    <w:rsid w:val="48812277"/>
    <w:rsid w:val="488C20FF"/>
    <w:rsid w:val="48987720"/>
    <w:rsid w:val="48AA0D47"/>
    <w:rsid w:val="48AB437A"/>
    <w:rsid w:val="48BB5E99"/>
    <w:rsid w:val="48CB567F"/>
    <w:rsid w:val="48E709AB"/>
    <w:rsid w:val="49074129"/>
    <w:rsid w:val="491E413A"/>
    <w:rsid w:val="492B5D1A"/>
    <w:rsid w:val="492E0653"/>
    <w:rsid w:val="49356195"/>
    <w:rsid w:val="493E72F4"/>
    <w:rsid w:val="49477CA3"/>
    <w:rsid w:val="4950278B"/>
    <w:rsid w:val="495D4FB7"/>
    <w:rsid w:val="495E6CC9"/>
    <w:rsid w:val="495F0F47"/>
    <w:rsid w:val="497378EC"/>
    <w:rsid w:val="49850611"/>
    <w:rsid w:val="499E6A18"/>
    <w:rsid w:val="49CA6D55"/>
    <w:rsid w:val="49D60BB0"/>
    <w:rsid w:val="49E47F0A"/>
    <w:rsid w:val="49FA45E7"/>
    <w:rsid w:val="4A003BBD"/>
    <w:rsid w:val="4A021D46"/>
    <w:rsid w:val="4A221E06"/>
    <w:rsid w:val="4A2C05A1"/>
    <w:rsid w:val="4A487A49"/>
    <w:rsid w:val="4A573BC6"/>
    <w:rsid w:val="4A661827"/>
    <w:rsid w:val="4A685CDC"/>
    <w:rsid w:val="4A6C7442"/>
    <w:rsid w:val="4A6E5FE8"/>
    <w:rsid w:val="4A794A5A"/>
    <w:rsid w:val="4A8D326D"/>
    <w:rsid w:val="4AAC7675"/>
    <w:rsid w:val="4ABB4EEC"/>
    <w:rsid w:val="4ABE4002"/>
    <w:rsid w:val="4AD3789D"/>
    <w:rsid w:val="4AE61558"/>
    <w:rsid w:val="4AE629A4"/>
    <w:rsid w:val="4AE71746"/>
    <w:rsid w:val="4AED326F"/>
    <w:rsid w:val="4AF93679"/>
    <w:rsid w:val="4B021885"/>
    <w:rsid w:val="4B0462D8"/>
    <w:rsid w:val="4B1163B5"/>
    <w:rsid w:val="4B1E0386"/>
    <w:rsid w:val="4B2A725A"/>
    <w:rsid w:val="4B2D27E3"/>
    <w:rsid w:val="4B327DA5"/>
    <w:rsid w:val="4B483ECE"/>
    <w:rsid w:val="4B4D5DE5"/>
    <w:rsid w:val="4B53713F"/>
    <w:rsid w:val="4B58385A"/>
    <w:rsid w:val="4B5918B4"/>
    <w:rsid w:val="4B5E178B"/>
    <w:rsid w:val="4B7D53C9"/>
    <w:rsid w:val="4B7E695E"/>
    <w:rsid w:val="4B85293F"/>
    <w:rsid w:val="4B8C7452"/>
    <w:rsid w:val="4B902502"/>
    <w:rsid w:val="4B9B344B"/>
    <w:rsid w:val="4BA41F5F"/>
    <w:rsid w:val="4BAA16FB"/>
    <w:rsid w:val="4BBE2F08"/>
    <w:rsid w:val="4BD56E97"/>
    <w:rsid w:val="4BDB55FA"/>
    <w:rsid w:val="4BF55F0B"/>
    <w:rsid w:val="4BF74ED8"/>
    <w:rsid w:val="4BFA030B"/>
    <w:rsid w:val="4C09252B"/>
    <w:rsid w:val="4C1713D3"/>
    <w:rsid w:val="4C3D55C6"/>
    <w:rsid w:val="4C427E43"/>
    <w:rsid w:val="4C4F261E"/>
    <w:rsid w:val="4C5962D9"/>
    <w:rsid w:val="4C5C6507"/>
    <w:rsid w:val="4C667A5B"/>
    <w:rsid w:val="4C687F40"/>
    <w:rsid w:val="4C823BCA"/>
    <w:rsid w:val="4C8A7DE1"/>
    <w:rsid w:val="4C9F1330"/>
    <w:rsid w:val="4CAB3457"/>
    <w:rsid w:val="4CE266C3"/>
    <w:rsid w:val="4CEF017B"/>
    <w:rsid w:val="4CF124C7"/>
    <w:rsid w:val="4CF70170"/>
    <w:rsid w:val="4CFA619E"/>
    <w:rsid w:val="4CFD777A"/>
    <w:rsid w:val="4D201110"/>
    <w:rsid w:val="4D3431C7"/>
    <w:rsid w:val="4D3A38EE"/>
    <w:rsid w:val="4D3F69A4"/>
    <w:rsid w:val="4D526F59"/>
    <w:rsid w:val="4D650150"/>
    <w:rsid w:val="4D6E11CA"/>
    <w:rsid w:val="4DA653F2"/>
    <w:rsid w:val="4DCC74BE"/>
    <w:rsid w:val="4DE03AC2"/>
    <w:rsid w:val="4DEF02BD"/>
    <w:rsid w:val="4DF03991"/>
    <w:rsid w:val="4DF221E2"/>
    <w:rsid w:val="4E002256"/>
    <w:rsid w:val="4E0911A0"/>
    <w:rsid w:val="4E0D72D8"/>
    <w:rsid w:val="4E1F24C4"/>
    <w:rsid w:val="4E2F0959"/>
    <w:rsid w:val="4E383ED6"/>
    <w:rsid w:val="4E5172B9"/>
    <w:rsid w:val="4E560D60"/>
    <w:rsid w:val="4E564593"/>
    <w:rsid w:val="4E5A2684"/>
    <w:rsid w:val="4E703F51"/>
    <w:rsid w:val="4E905710"/>
    <w:rsid w:val="4E942C0A"/>
    <w:rsid w:val="4E98220D"/>
    <w:rsid w:val="4EA02FF7"/>
    <w:rsid w:val="4EB7399D"/>
    <w:rsid w:val="4ECD2716"/>
    <w:rsid w:val="4ED96B17"/>
    <w:rsid w:val="4EDA695D"/>
    <w:rsid w:val="4EE05B39"/>
    <w:rsid w:val="4EE54AFA"/>
    <w:rsid w:val="4EE73AF5"/>
    <w:rsid w:val="4EE84EA5"/>
    <w:rsid w:val="4EEE4AF5"/>
    <w:rsid w:val="4EF82E0F"/>
    <w:rsid w:val="4F0B544D"/>
    <w:rsid w:val="4F1E4B12"/>
    <w:rsid w:val="4F301FB1"/>
    <w:rsid w:val="4F3A2B02"/>
    <w:rsid w:val="4F4F7329"/>
    <w:rsid w:val="4F5260B5"/>
    <w:rsid w:val="4F58224C"/>
    <w:rsid w:val="4F590A64"/>
    <w:rsid w:val="4F5A4045"/>
    <w:rsid w:val="4F5A7FFE"/>
    <w:rsid w:val="4F86143C"/>
    <w:rsid w:val="4F8B2726"/>
    <w:rsid w:val="4F8B4457"/>
    <w:rsid w:val="4F96196F"/>
    <w:rsid w:val="4FAE7560"/>
    <w:rsid w:val="4FB8672C"/>
    <w:rsid w:val="4FDA01F8"/>
    <w:rsid w:val="4FF1201A"/>
    <w:rsid w:val="4FF221C3"/>
    <w:rsid w:val="4FFA0634"/>
    <w:rsid w:val="500032A2"/>
    <w:rsid w:val="504C31A7"/>
    <w:rsid w:val="504E08AD"/>
    <w:rsid w:val="505C4D01"/>
    <w:rsid w:val="50654763"/>
    <w:rsid w:val="50664937"/>
    <w:rsid w:val="507419FE"/>
    <w:rsid w:val="507C7DBC"/>
    <w:rsid w:val="508A7F4D"/>
    <w:rsid w:val="508B1CA1"/>
    <w:rsid w:val="50A568E9"/>
    <w:rsid w:val="50AA168D"/>
    <w:rsid w:val="50AF4B30"/>
    <w:rsid w:val="50BC5CDC"/>
    <w:rsid w:val="50E74C38"/>
    <w:rsid w:val="50E76F7B"/>
    <w:rsid w:val="50EB303A"/>
    <w:rsid w:val="51025571"/>
    <w:rsid w:val="510819A0"/>
    <w:rsid w:val="51141BF6"/>
    <w:rsid w:val="51184A15"/>
    <w:rsid w:val="511D1BC3"/>
    <w:rsid w:val="51200E5F"/>
    <w:rsid w:val="5123009E"/>
    <w:rsid w:val="512548E9"/>
    <w:rsid w:val="512C2CA7"/>
    <w:rsid w:val="512D289E"/>
    <w:rsid w:val="514152FB"/>
    <w:rsid w:val="51434ED1"/>
    <w:rsid w:val="51606C08"/>
    <w:rsid w:val="516445A0"/>
    <w:rsid w:val="51752B27"/>
    <w:rsid w:val="518353A4"/>
    <w:rsid w:val="518956A9"/>
    <w:rsid w:val="519F6ACE"/>
    <w:rsid w:val="51C83642"/>
    <w:rsid w:val="51CF7B42"/>
    <w:rsid w:val="51DC0DF8"/>
    <w:rsid w:val="51DC3B47"/>
    <w:rsid w:val="52204D59"/>
    <w:rsid w:val="52490C2A"/>
    <w:rsid w:val="525505B5"/>
    <w:rsid w:val="52551CD7"/>
    <w:rsid w:val="5261544F"/>
    <w:rsid w:val="52675FFF"/>
    <w:rsid w:val="52B97B3D"/>
    <w:rsid w:val="52C504FB"/>
    <w:rsid w:val="52D50B77"/>
    <w:rsid w:val="52E13756"/>
    <w:rsid w:val="52E65840"/>
    <w:rsid w:val="52EF5C2D"/>
    <w:rsid w:val="52EF6429"/>
    <w:rsid w:val="52F061A9"/>
    <w:rsid w:val="52F171FD"/>
    <w:rsid w:val="52F47582"/>
    <w:rsid w:val="53354D0B"/>
    <w:rsid w:val="5371534A"/>
    <w:rsid w:val="53720C63"/>
    <w:rsid w:val="53760DD8"/>
    <w:rsid w:val="537700D3"/>
    <w:rsid w:val="53811681"/>
    <w:rsid w:val="538A520F"/>
    <w:rsid w:val="538C6CFB"/>
    <w:rsid w:val="53933E3F"/>
    <w:rsid w:val="53B418CC"/>
    <w:rsid w:val="53E421E6"/>
    <w:rsid w:val="53F32910"/>
    <w:rsid w:val="53F4098D"/>
    <w:rsid w:val="53FE04C8"/>
    <w:rsid w:val="540A36E6"/>
    <w:rsid w:val="540A49FF"/>
    <w:rsid w:val="54196F14"/>
    <w:rsid w:val="541F2E71"/>
    <w:rsid w:val="54206BE2"/>
    <w:rsid w:val="54297BB6"/>
    <w:rsid w:val="542A438F"/>
    <w:rsid w:val="54336DD4"/>
    <w:rsid w:val="543660C2"/>
    <w:rsid w:val="54375971"/>
    <w:rsid w:val="54453F00"/>
    <w:rsid w:val="544B34F5"/>
    <w:rsid w:val="544D196D"/>
    <w:rsid w:val="5478326E"/>
    <w:rsid w:val="547F6951"/>
    <w:rsid w:val="54854CE2"/>
    <w:rsid w:val="548965FC"/>
    <w:rsid w:val="549F015A"/>
    <w:rsid w:val="54AD1A5F"/>
    <w:rsid w:val="54AF4755"/>
    <w:rsid w:val="54C761C0"/>
    <w:rsid w:val="54D730B0"/>
    <w:rsid w:val="54DD1143"/>
    <w:rsid w:val="54E812EA"/>
    <w:rsid w:val="54F741A9"/>
    <w:rsid w:val="54F76B5C"/>
    <w:rsid w:val="55020A87"/>
    <w:rsid w:val="550341FE"/>
    <w:rsid w:val="55042014"/>
    <w:rsid w:val="550F1760"/>
    <w:rsid w:val="55210479"/>
    <w:rsid w:val="552A209A"/>
    <w:rsid w:val="55330F3B"/>
    <w:rsid w:val="55393BB8"/>
    <w:rsid w:val="55597050"/>
    <w:rsid w:val="55614C5E"/>
    <w:rsid w:val="556E6918"/>
    <w:rsid w:val="558C2621"/>
    <w:rsid w:val="55A0462E"/>
    <w:rsid w:val="55AA319D"/>
    <w:rsid w:val="55AD3652"/>
    <w:rsid w:val="55AE7B86"/>
    <w:rsid w:val="55B9606B"/>
    <w:rsid w:val="55DE0E54"/>
    <w:rsid w:val="55E20903"/>
    <w:rsid w:val="55E4027B"/>
    <w:rsid w:val="55E72AA0"/>
    <w:rsid w:val="55FF52A6"/>
    <w:rsid w:val="56061751"/>
    <w:rsid w:val="56095584"/>
    <w:rsid w:val="560E0C77"/>
    <w:rsid w:val="5633198E"/>
    <w:rsid w:val="563E5469"/>
    <w:rsid w:val="565F37E0"/>
    <w:rsid w:val="56600CBF"/>
    <w:rsid w:val="566755F7"/>
    <w:rsid w:val="56681618"/>
    <w:rsid w:val="566919C6"/>
    <w:rsid w:val="566C5546"/>
    <w:rsid w:val="567026EE"/>
    <w:rsid w:val="56745BC9"/>
    <w:rsid w:val="56CF2CD9"/>
    <w:rsid w:val="56CF2CF8"/>
    <w:rsid w:val="56D50BC3"/>
    <w:rsid w:val="56E34EAC"/>
    <w:rsid w:val="570203D1"/>
    <w:rsid w:val="571159E3"/>
    <w:rsid w:val="571D3ABE"/>
    <w:rsid w:val="571F6B78"/>
    <w:rsid w:val="57503DCA"/>
    <w:rsid w:val="57535899"/>
    <w:rsid w:val="57645BA3"/>
    <w:rsid w:val="576A1B6C"/>
    <w:rsid w:val="57791B8E"/>
    <w:rsid w:val="5790678A"/>
    <w:rsid w:val="57936854"/>
    <w:rsid w:val="579848F6"/>
    <w:rsid w:val="57A22474"/>
    <w:rsid w:val="57AF0A2B"/>
    <w:rsid w:val="57BD64A8"/>
    <w:rsid w:val="57C023F1"/>
    <w:rsid w:val="57C14981"/>
    <w:rsid w:val="57C43A36"/>
    <w:rsid w:val="57CA4EFA"/>
    <w:rsid w:val="57D97A34"/>
    <w:rsid w:val="57F62116"/>
    <w:rsid w:val="58101705"/>
    <w:rsid w:val="58335AD6"/>
    <w:rsid w:val="583D18B3"/>
    <w:rsid w:val="584265A5"/>
    <w:rsid w:val="58463AA4"/>
    <w:rsid w:val="584B27B3"/>
    <w:rsid w:val="58705777"/>
    <w:rsid w:val="58707FAE"/>
    <w:rsid w:val="58895B35"/>
    <w:rsid w:val="58B93305"/>
    <w:rsid w:val="58C83D7C"/>
    <w:rsid w:val="58D50625"/>
    <w:rsid w:val="58E7744A"/>
    <w:rsid w:val="58FE099B"/>
    <w:rsid w:val="5909370D"/>
    <w:rsid w:val="590B71FB"/>
    <w:rsid w:val="590D48EB"/>
    <w:rsid w:val="591079E9"/>
    <w:rsid w:val="591F6282"/>
    <w:rsid w:val="59422514"/>
    <w:rsid w:val="59495353"/>
    <w:rsid w:val="595034F8"/>
    <w:rsid w:val="595D2922"/>
    <w:rsid w:val="59634E7E"/>
    <w:rsid w:val="597265E6"/>
    <w:rsid w:val="5973088E"/>
    <w:rsid w:val="59A85569"/>
    <w:rsid w:val="59A90DF6"/>
    <w:rsid w:val="59B8686F"/>
    <w:rsid w:val="59B86AAB"/>
    <w:rsid w:val="59BF5B8E"/>
    <w:rsid w:val="59D027D3"/>
    <w:rsid w:val="59DE0C7A"/>
    <w:rsid w:val="59E56D7C"/>
    <w:rsid w:val="59E974BE"/>
    <w:rsid w:val="59F04D56"/>
    <w:rsid w:val="59F23350"/>
    <w:rsid w:val="5A125C89"/>
    <w:rsid w:val="5A126729"/>
    <w:rsid w:val="5A1B211E"/>
    <w:rsid w:val="5A1C4D0F"/>
    <w:rsid w:val="5A4F7A61"/>
    <w:rsid w:val="5A647D5B"/>
    <w:rsid w:val="5A730419"/>
    <w:rsid w:val="5A991C8F"/>
    <w:rsid w:val="5AA026B8"/>
    <w:rsid w:val="5AA116D7"/>
    <w:rsid w:val="5AB321D6"/>
    <w:rsid w:val="5AB42CEF"/>
    <w:rsid w:val="5AB74F92"/>
    <w:rsid w:val="5ACB49E4"/>
    <w:rsid w:val="5ACC4B5A"/>
    <w:rsid w:val="5ACF398D"/>
    <w:rsid w:val="5AE821DA"/>
    <w:rsid w:val="5AED557F"/>
    <w:rsid w:val="5AFD1904"/>
    <w:rsid w:val="5B0123E0"/>
    <w:rsid w:val="5B073454"/>
    <w:rsid w:val="5B20452B"/>
    <w:rsid w:val="5B2C0607"/>
    <w:rsid w:val="5B3034F1"/>
    <w:rsid w:val="5B424CC5"/>
    <w:rsid w:val="5B473097"/>
    <w:rsid w:val="5B63362E"/>
    <w:rsid w:val="5B731A53"/>
    <w:rsid w:val="5B755268"/>
    <w:rsid w:val="5B787102"/>
    <w:rsid w:val="5B79544A"/>
    <w:rsid w:val="5B9C2FC5"/>
    <w:rsid w:val="5BBC1172"/>
    <w:rsid w:val="5BC86521"/>
    <w:rsid w:val="5BCD3EA4"/>
    <w:rsid w:val="5C082709"/>
    <w:rsid w:val="5C14060C"/>
    <w:rsid w:val="5C2E582C"/>
    <w:rsid w:val="5C305498"/>
    <w:rsid w:val="5C372998"/>
    <w:rsid w:val="5C5A282E"/>
    <w:rsid w:val="5C7639BC"/>
    <w:rsid w:val="5C81534B"/>
    <w:rsid w:val="5C8C0864"/>
    <w:rsid w:val="5C907A9B"/>
    <w:rsid w:val="5C9A11AC"/>
    <w:rsid w:val="5CA65278"/>
    <w:rsid w:val="5CA80B46"/>
    <w:rsid w:val="5CBC6260"/>
    <w:rsid w:val="5CCC12AD"/>
    <w:rsid w:val="5CD12F06"/>
    <w:rsid w:val="5CD41448"/>
    <w:rsid w:val="5CE74FA9"/>
    <w:rsid w:val="5CF7084F"/>
    <w:rsid w:val="5D147937"/>
    <w:rsid w:val="5D1634FA"/>
    <w:rsid w:val="5D2040EF"/>
    <w:rsid w:val="5D3321D2"/>
    <w:rsid w:val="5D447125"/>
    <w:rsid w:val="5D614E5A"/>
    <w:rsid w:val="5D6F0EA6"/>
    <w:rsid w:val="5D7A4EBD"/>
    <w:rsid w:val="5D7B2AFB"/>
    <w:rsid w:val="5D8C5C75"/>
    <w:rsid w:val="5D916123"/>
    <w:rsid w:val="5D9D4948"/>
    <w:rsid w:val="5DA07441"/>
    <w:rsid w:val="5DAB4981"/>
    <w:rsid w:val="5DAF2ED6"/>
    <w:rsid w:val="5DCD5EDE"/>
    <w:rsid w:val="5DDD01B0"/>
    <w:rsid w:val="5DE31BF8"/>
    <w:rsid w:val="5DEE4FE1"/>
    <w:rsid w:val="5DEE7E4B"/>
    <w:rsid w:val="5DF434DB"/>
    <w:rsid w:val="5E040F9B"/>
    <w:rsid w:val="5E163DAD"/>
    <w:rsid w:val="5E18199F"/>
    <w:rsid w:val="5E276BBA"/>
    <w:rsid w:val="5E4A34BA"/>
    <w:rsid w:val="5E555E36"/>
    <w:rsid w:val="5E572B7B"/>
    <w:rsid w:val="5E715DE0"/>
    <w:rsid w:val="5E817F26"/>
    <w:rsid w:val="5EA248D0"/>
    <w:rsid w:val="5EC875D4"/>
    <w:rsid w:val="5ED929BD"/>
    <w:rsid w:val="5EEF44C3"/>
    <w:rsid w:val="5EF64B87"/>
    <w:rsid w:val="5EFE24CD"/>
    <w:rsid w:val="5EFE5752"/>
    <w:rsid w:val="5F1E02ED"/>
    <w:rsid w:val="5F5335CE"/>
    <w:rsid w:val="5F6123D2"/>
    <w:rsid w:val="5F7C6175"/>
    <w:rsid w:val="5F8C113D"/>
    <w:rsid w:val="5F9F1D72"/>
    <w:rsid w:val="5FA41C29"/>
    <w:rsid w:val="5FB55859"/>
    <w:rsid w:val="5FB74AC7"/>
    <w:rsid w:val="5FD1415C"/>
    <w:rsid w:val="5FDA5184"/>
    <w:rsid w:val="5FEE6A48"/>
    <w:rsid w:val="5FF46772"/>
    <w:rsid w:val="6028198E"/>
    <w:rsid w:val="602A2D2E"/>
    <w:rsid w:val="6060214E"/>
    <w:rsid w:val="6071387E"/>
    <w:rsid w:val="607207D7"/>
    <w:rsid w:val="607A75EB"/>
    <w:rsid w:val="60932B78"/>
    <w:rsid w:val="60B1182C"/>
    <w:rsid w:val="60B54E5F"/>
    <w:rsid w:val="60D67EB5"/>
    <w:rsid w:val="60E72435"/>
    <w:rsid w:val="60F12408"/>
    <w:rsid w:val="60F53DE8"/>
    <w:rsid w:val="60F915AE"/>
    <w:rsid w:val="61186844"/>
    <w:rsid w:val="61196AEE"/>
    <w:rsid w:val="612015DC"/>
    <w:rsid w:val="61202565"/>
    <w:rsid w:val="61386C42"/>
    <w:rsid w:val="613D3456"/>
    <w:rsid w:val="6161246C"/>
    <w:rsid w:val="616A09B6"/>
    <w:rsid w:val="617A09D3"/>
    <w:rsid w:val="617E2BD9"/>
    <w:rsid w:val="617E4052"/>
    <w:rsid w:val="61894B41"/>
    <w:rsid w:val="61A02A4C"/>
    <w:rsid w:val="61AB7F4F"/>
    <w:rsid w:val="61B7640D"/>
    <w:rsid w:val="61BA3500"/>
    <w:rsid w:val="61BC7327"/>
    <w:rsid w:val="61DE2022"/>
    <w:rsid w:val="61F12BA4"/>
    <w:rsid w:val="61F1712C"/>
    <w:rsid w:val="61FC795F"/>
    <w:rsid w:val="61FE4473"/>
    <w:rsid w:val="622A0453"/>
    <w:rsid w:val="62421C3F"/>
    <w:rsid w:val="62554D7B"/>
    <w:rsid w:val="626339C2"/>
    <w:rsid w:val="627F361F"/>
    <w:rsid w:val="62870321"/>
    <w:rsid w:val="62892F39"/>
    <w:rsid w:val="62923CFF"/>
    <w:rsid w:val="62A52639"/>
    <w:rsid w:val="62A75796"/>
    <w:rsid w:val="62C313EC"/>
    <w:rsid w:val="62D2532D"/>
    <w:rsid w:val="62D32926"/>
    <w:rsid w:val="62EB1C80"/>
    <w:rsid w:val="62F64459"/>
    <w:rsid w:val="62F76E32"/>
    <w:rsid w:val="6306529F"/>
    <w:rsid w:val="63243088"/>
    <w:rsid w:val="632B7CB6"/>
    <w:rsid w:val="632D6A8C"/>
    <w:rsid w:val="63326075"/>
    <w:rsid w:val="63577595"/>
    <w:rsid w:val="635953C4"/>
    <w:rsid w:val="636203F5"/>
    <w:rsid w:val="636D1281"/>
    <w:rsid w:val="636F05B2"/>
    <w:rsid w:val="638B05E2"/>
    <w:rsid w:val="63921C8F"/>
    <w:rsid w:val="639E2FFF"/>
    <w:rsid w:val="63B35481"/>
    <w:rsid w:val="63C546CA"/>
    <w:rsid w:val="63C73189"/>
    <w:rsid w:val="63C80685"/>
    <w:rsid w:val="63D27A4E"/>
    <w:rsid w:val="63D43500"/>
    <w:rsid w:val="641B128B"/>
    <w:rsid w:val="642518C9"/>
    <w:rsid w:val="642628D8"/>
    <w:rsid w:val="643353CE"/>
    <w:rsid w:val="64463885"/>
    <w:rsid w:val="645573E6"/>
    <w:rsid w:val="646C6942"/>
    <w:rsid w:val="646D325D"/>
    <w:rsid w:val="648101EB"/>
    <w:rsid w:val="64857D65"/>
    <w:rsid w:val="648A5198"/>
    <w:rsid w:val="64BB3691"/>
    <w:rsid w:val="64C649E5"/>
    <w:rsid w:val="64C971FC"/>
    <w:rsid w:val="64CC1BEF"/>
    <w:rsid w:val="64D17A33"/>
    <w:rsid w:val="64DB0DE6"/>
    <w:rsid w:val="65192F42"/>
    <w:rsid w:val="651C413F"/>
    <w:rsid w:val="651F176C"/>
    <w:rsid w:val="652354FE"/>
    <w:rsid w:val="65243799"/>
    <w:rsid w:val="652A1A23"/>
    <w:rsid w:val="652F0DE7"/>
    <w:rsid w:val="653730AD"/>
    <w:rsid w:val="65473BE4"/>
    <w:rsid w:val="654823B1"/>
    <w:rsid w:val="655D3F53"/>
    <w:rsid w:val="655E1C0E"/>
    <w:rsid w:val="65833318"/>
    <w:rsid w:val="658B7760"/>
    <w:rsid w:val="659514FA"/>
    <w:rsid w:val="659F4A38"/>
    <w:rsid w:val="65B4203E"/>
    <w:rsid w:val="65C562C1"/>
    <w:rsid w:val="65DA30E2"/>
    <w:rsid w:val="65E419EA"/>
    <w:rsid w:val="65EC5F5D"/>
    <w:rsid w:val="65ED6121"/>
    <w:rsid w:val="65EE7177"/>
    <w:rsid w:val="660D737A"/>
    <w:rsid w:val="6635457B"/>
    <w:rsid w:val="663743A7"/>
    <w:rsid w:val="663B78CC"/>
    <w:rsid w:val="664C4D93"/>
    <w:rsid w:val="66645598"/>
    <w:rsid w:val="66713242"/>
    <w:rsid w:val="66915BCA"/>
    <w:rsid w:val="66A57E71"/>
    <w:rsid w:val="66A76320"/>
    <w:rsid w:val="66BD4460"/>
    <w:rsid w:val="66BD4681"/>
    <w:rsid w:val="66D37DBF"/>
    <w:rsid w:val="66D47A94"/>
    <w:rsid w:val="66D82ABA"/>
    <w:rsid w:val="66E4759D"/>
    <w:rsid w:val="67080774"/>
    <w:rsid w:val="67126F49"/>
    <w:rsid w:val="67195D19"/>
    <w:rsid w:val="672361E3"/>
    <w:rsid w:val="673212A8"/>
    <w:rsid w:val="67485617"/>
    <w:rsid w:val="674B4F4A"/>
    <w:rsid w:val="67586F6C"/>
    <w:rsid w:val="67625F8A"/>
    <w:rsid w:val="676A3DA6"/>
    <w:rsid w:val="67773A51"/>
    <w:rsid w:val="67835FB2"/>
    <w:rsid w:val="679805D8"/>
    <w:rsid w:val="67A46064"/>
    <w:rsid w:val="67A46EF4"/>
    <w:rsid w:val="67B16006"/>
    <w:rsid w:val="67BC3FEE"/>
    <w:rsid w:val="67C77CC2"/>
    <w:rsid w:val="67CA7544"/>
    <w:rsid w:val="67CF598F"/>
    <w:rsid w:val="67D477F8"/>
    <w:rsid w:val="67DA1F38"/>
    <w:rsid w:val="67E118CD"/>
    <w:rsid w:val="67FF7C3A"/>
    <w:rsid w:val="68052609"/>
    <w:rsid w:val="681E1B1C"/>
    <w:rsid w:val="6829477F"/>
    <w:rsid w:val="682A1883"/>
    <w:rsid w:val="682F4FA9"/>
    <w:rsid w:val="68323C50"/>
    <w:rsid w:val="686332F5"/>
    <w:rsid w:val="68646588"/>
    <w:rsid w:val="68743ACA"/>
    <w:rsid w:val="687E7334"/>
    <w:rsid w:val="688232C2"/>
    <w:rsid w:val="68843A78"/>
    <w:rsid w:val="6892155A"/>
    <w:rsid w:val="689F0599"/>
    <w:rsid w:val="68B43376"/>
    <w:rsid w:val="68EE3897"/>
    <w:rsid w:val="68F053F6"/>
    <w:rsid w:val="68F43A1E"/>
    <w:rsid w:val="69145603"/>
    <w:rsid w:val="69184B75"/>
    <w:rsid w:val="69423186"/>
    <w:rsid w:val="6942555E"/>
    <w:rsid w:val="69432BE1"/>
    <w:rsid w:val="69492E1D"/>
    <w:rsid w:val="694A3C5C"/>
    <w:rsid w:val="694D728A"/>
    <w:rsid w:val="69832373"/>
    <w:rsid w:val="6988057F"/>
    <w:rsid w:val="699906A2"/>
    <w:rsid w:val="69AC12C2"/>
    <w:rsid w:val="69C411D0"/>
    <w:rsid w:val="69C62FFA"/>
    <w:rsid w:val="69D86C6D"/>
    <w:rsid w:val="69FA48D7"/>
    <w:rsid w:val="6A0D6DC9"/>
    <w:rsid w:val="6A341444"/>
    <w:rsid w:val="6A4A19BA"/>
    <w:rsid w:val="6A564EBF"/>
    <w:rsid w:val="6A582B8E"/>
    <w:rsid w:val="6A645FFB"/>
    <w:rsid w:val="6A6A2D90"/>
    <w:rsid w:val="6A701056"/>
    <w:rsid w:val="6A7A24EF"/>
    <w:rsid w:val="6A7B6932"/>
    <w:rsid w:val="6A7E361E"/>
    <w:rsid w:val="6A890DC5"/>
    <w:rsid w:val="6A8F3951"/>
    <w:rsid w:val="6A9A2282"/>
    <w:rsid w:val="6AAD6C66"/>
    <w:rsid w:val="6ABB292C"/>
    <w:rsid w:val="6AC46CE5"/>
    <w:rsid w:val="6ACD0D45"/>
    <w:rsid w:val="6ACF043E"/>
    <w:rsid w:val="6AD028DF"/>
    <w:rsid w:val="6AD9743D"/>
    <w:rsid w:val="6AF6368D"/>
    <w:rsid w:val="6AFE0C80"/>
    <w:rsid w:val="6B040407"/>
    <w:rsid w:val="6B055F08"/>
    <w:rsid w:val="6B083506"/>
    <w:rsid w:val="6B2873C2"/>
    <w:rsid w:val="6B2A0779"/>
    <w:rsid w:val="6B2B1D80"/>
    <w:rsid w:val="6B3111D5"/>
    <w:rsid w:val="6B3D3548"/>
    <w:rsid w:val="6B664EB6"/>
    <w:rsid w:val="6B6B0A44"/>
    <w:rsid w:val="6B936A01"/>
    <w:rsid w:val="6B947E09"/>
    <w:rsid w:val="6BA87D31"/>
    <w:rsid w:val="6BB72998"/>
    <w:rsid w:val="6BBC73BD"/>
    <w:rsid w:val="6BC066B1"/>
    <w:rsid w:val="6BD42604"/>
    <w:rsid w:val="6BE85BF1"/>
    <w:rsid w:val="6C033227"/>
    <w:rsid w:val="6C0B1660"/>
    <w:rsid w:val="6C133DDF"/>
    <w:rsid w:val="6C320084"/>
    <w:rsid w:val="6C391CC7"/>
    <w:rsid w:val="6C430889"/>
    <w:rsid w:val="6C533915"/>
    <w:rsid w:val="6C7F31BE"/>
    <w:rsid w:val="6C8071BA"/>
    <w:rsid w:val="6CBB7007"/>
    <w:rsid w:val="6CD91C0E"/>
    <w:rsid w:val="6CE01353"/>
    <w:rsid w:val="6CE176B9"/>
    <w:rsid w:val="6CEA7AAC"/>
    <w:rsid w:val="6CF00414"/>
    <w:rsid w:val="6CF02816"/>
    <w:rsid w:val="6CF35CFC"/>
    <w:rsid w:val="6CFA25E1"/>
    <w:rsid w:val="6D1030E8"/>
    <w:rsid w:val="6D2747F1"/>
    <w:rsid w:val="6D3F29A1"/>
    <w:rsid w:val="6D4149C8"/>
    <w:rsid w:val="6D544DC6"/>
    <w:rsid w:val="6D5D09E7"/>
    <w:rsid w:val="6D651DF3"/>
    <w:rsid w:val="6D7C57FB"/>
    <w:rsid w:val="6D9E263C"/>
    <w:rsid w:val="6D9E6AFC"/>
    <w:rsid w:val="6DD658EE"/>
    <w:rsid w:val="6DDD6E36"/>
    <w:rsid w:val="6DE276B3"/>
    <w:rsid w:val="6DE4548A"/>
    <w:rsid w:val="6DE714B6"/>
    <w:rsid w:val="6DEC1C21"/>
    <w:rsid w:val="6E0F1FEB"/>
    <w:rsid w:val="6E152319"/>
    <w:rsid w:val="6E155346"/>
    <w:rsid w:val="6E200829"/>
    <w:rsid w:val="6E3A7BFC"/>
    <w:rsid w:val="6E3B0BAF"/>
    <w:rsid w:val="6E3E0629"/>
    <w:rsid w:val="6E4E3E08"/>
    <w:rsid w:val="6E501AEB"/>
    <w:rsid w:val="6E7C11B5"/>
    <w:rsid w:val="6E7F556F"/>
    <w:rsid w:val="6E8C2E06"/>
    <w:rsid w:val="6E997C25"/>
    <w:rsid w:val="6E9C165A"/>
    <w:rsid w:val="6E9F07E1"/>
    <w:rsid w:val="6EA14A30"/>
    <w:rsid w:val="6EB6105A"/>
    <w:rsid w:val="6EC46D49"/>
    <w:rsid w:val="6EC629FF"/>
    <w:rsid w:val="6EC7282F"/>
    <w:rsid w:val="6ECA6C00"/>
    <w:rsid w:val="6F1C104C"/>
    <w:rsid w:val="6F26499B"/>
    <w:rsid w:val="6F2B25A1"/>
    <w:rsid w:val="6F2D024C"/>
    <w:rsid w:val="6F2D277B"/>
    <w:rsid w:val="6F2F3282"/>
    <w:rsid w:val="6F3F60CB"/>
    <w:rsid w:val="6F587A8E"/>
    <w:rsid w:val="6F5A7044"/>
    <w:rsid w:val="6F5D5506"/>
    <w:rsid w:val="6F600C59"/>
    <w:rsid w:val="6F703F1B"/>
    <w:rsid w:val="6F7E2770"/>
    <w:rsid w:val="6F8776A7"/>
    <w:rsid w:val="6F957D21"/>
    <w:rsid w:val="6F9A1B5B"/>
    <w:rsid w:val="6FA57C2A"/>
    <w:rsid w:val="6FC22E70"/>
    <w:rsid w:val="6FD175F7"/>
    <w:rsid w:val="6FD95378"/>
    <w:rsid w:val="6FF47B92"/>
    <w:rsid w:val="6FFD1488"/>
    <w:rsid w:val="700B44C9"/>
    <w:rsid w:val="70115CB9"/>
    <w:rsid w:val="70173431"/>
    <w:rsid w:val="703C1CAA"/>
    <w:rsid w:val="703E1108"/>
    <w:rsid w:val="70460ECD"/>
    <w:rsid w:val="704B7EBD"/>
    <w:rsid w:val="7051053C"/>
    <w:rsid w:val="707F7FC1"/>
    <w:rsid w:val="70830694"/>
    <w:rsid w:val="7092075C"/>
    <w:rsid w:val="70A16710"/>
    <w:rsid w:val="70AF49AD"/>
    <w:rsid w:val="70B14136"/>
    <w:rsid w:val="70CC6CCD"/>
    <w:rsid w:val="70E234A9"/>
    <w:rsid w:val="70E51433"/>
    <w:rsid w:val="70FC24C5"/>
    <w:rsid w:val="71081951"/>
    <w:rsid w:val="710C10AD"/>
    <w:rsid w:val="71195FA1"/>
    <w:rsid w:val="711F23C1"/>
    <w:rsid w:val="71252C8F"/>
    <w:rsid w:val="712D7A96"/>
    <w:rsid w:val="71334F8E"/>
    <w:rsid w:val="713954C7"/>
    <w:rsid w:val="713C2BF3"/>
    <w:rsid w:val="715517E0"/>
    <w:rsid w:val="715D55F4"/>
    <w:rsid w:val="71647A80"/>
    <w:rsid w:val="71682CDB"/>
    <w:rsid w:val="716D1C68"/>
    <w:rsid w:val="717C301D"/>
    <w:rsid w:val="718D2B25"/>
    <w:rsid w:val="71AC3CA8"/>
    <w:rsid w:val="71B24D30"/>
    <w:rsid w:val="71E67530"/>
    <w:rsid w:val="71F552A8"/>
    <w:rsid w:val="71FA60A3"/>
    <w:rsid w:val="71FD3369"/>
    <w:rsid w:val="7208350E"/>
    <w:rsid w:val="72142600"/>
    <w:rsid w:val="72264502"/>
    <w:rsid w:val="723358B2"/>
    <w:rsid w:val="72347B51"/>
    <w:rsid w:val="72356228"/>
    <w:rsid w:val="72363B93"/>
    <w:rsid w:val="72366F69"/>
    <w:rsid w:val="72546CCC"/>
    <w:rsid w:val="72571A57"/>
    <w:rsid w:val="7269077B"/>
    <w:rsid w:val="727F0C00"/>
    <w:rsid w:val="72981E43"/>
    <w:rsid w:val="729C3060"/>
    <w:rsid w:val="72AD5CE4"/>
    <w:rsid w:val="72BB344D"/>
    <w:rsid w:val="72BD396A"/>
    <w:rsid w:val="72E77D45"/>
    <w:rsid w:val="72EA334F"/>
    <w:rsid w:val="730440C9"/>
    <w:rsid w:val="730B241D"/>
    <w:rsid w:val="73100E1C"/>
    <w:rsid w:val="73225EEC"/>
    <w:rsid w:val="73236EBA"/>
    <w:rsid w:val="73242532"/>
    <w:rsid w:val="73480C9F"/>
    <w:rsid w:val="734C24BD"/>
    <w:rsid w:val="7356298F"/>
    <w:rsid w:val="7357002D"/>
    <w:rsid w:val="73576104"/>
    <w:rsid w:val="735A6C44"/>
    <w:rsid w:val="73764F03"/>
    <w:rsid w:val="73815738"/>
    <w:rsid w:val="73927989"/>
    <w:rsid w:val="739F3A97"/>
    <w:rsid w:val="73AF1694"/>
    <w:rsid w:val="73B673EF"/>
    <w:rsid w:val="73C8277D"/>
    <w:rsid w:val="73CE2AF2"/>
    <w:rsid w:val="73EF07B7"/>
    <w:rsid w:val="73F02366"/>
    <w:rsid w:val="73F07FEE"/>
    <w:rsid w:val="74057A07"/>
    <w:rsid w:val="742254DD"/>
    <w:rsid w:val="7437180D"/>
    <w:rsid w:val="74391D4B"/>
    <w:rsid w:val="74483CFE"/>
    <w:rsid w:val="744B0DA7"/>
    <w:rsid w:val="744D3074"/>
    <w:rsid w:val="74624CC6"/>
    <w:rsid w:val="746A5AD3"/>
    <w:rsid w:val="74723306"/>
    <w:rsid w:val="747A2CC8"/>
    <w:rsid w:val="747F3641"/>
    <w:rsid w:val="74B579B7"/>
    <w:rsid w:val="74B71E9C"/>
    <w:rsid w:val="74BB7061"/>
    <w:rsid w:val="74CE3EB2"/>
    <w:rsid w:val="74DB340A"/>
    <w:rsid w:val="74E82D21"/>
    <w:rsid w:val="750D23D7"/>
    <w:rsid w:val="750E03C1"/>
    <w:rsid w:val="751C6251"/>
    <w:rsid w:val="751E470B"/>
    <w:rsid w:val="753D7B6A"/>
    <w:rsid w:val="754026A2"/>
    <w:rsid w:val="754301AD"/>
    <w:rsid w:val="754E2F08"/>
    <w:rsid w:val="75500735"/>
    <w:rsid w:val="75670772"/>
    <w:rsid w:val="75671A3D"/>
    <w:rsid w:val="757C44C8"/>
    <w:rsid w:val="75961C87"/>
    <w:rsid w:val="759A09C5"/>
    <w:rsid w:val="75A6427E"/>
    <w:rsid w:val="75AF7DF9"/>
    <w:rsid w:val="75B243A7"/>
    <w:rsid w:val="75DE6DB1"/>
    <w:rsid w:val="75E16ABB"/>
    <w:rsid w:val="75E572CF"/>
    <w:rsid w:val="75FB07A2"/>
    <w:rsid w:val="75FF02E6"/>
    <w:rsid w:val="76046317"/>
    <w:rsid w:val="760617CC"/>
    <w:rsid w:val="761375E4"/>
    <w:rsid w:val="76217478"/>
    <w:rsid w:val="763C572C"/>
    <w:rsid w:val="7666354F"/>
    <w:rsid w:val="766B6ECD"/>
    <w:rsid w:val="767470B0"/>
    <w:rsid w:val="767E397C"/>
    <w:rsid w:val="76855EB9"/>
    <w:rsid w:val="7692691E"/>
    <w:rsid w:val="76996365"/>
    <w:rsid w:val="769A10D0"/>
    <w:rsid w:val="76C2349E"/>
    <w:rsid w:val="76CB35EC"/>
    <w:rsid w:val="76D054CE"/>
    <w:rsid w:val="76D10C55"/>
    <w:rsid w:val="76D276DD"/>
    <w:rsid w:val="76D85DAB"/>
    <w:rsid w:val="76EA2D88"/>
    <w:rsid w:val="76FC5ECA"/>
    <w:rsid w:val="77040C67"/>
    <w:rsid w:val="770C2851"/>
    <w:rsid w:val="773B587C"/>
    <w:rsid w:val="773F6299"/>
    <w:rsid w:val="77416C82"/>
    <w:rsid w:val="774271F2"/>
    <w:rsid w:val="77453760"/>
    <w:rsid w:val="77473689"/>
    <w:rsid w:val="77640DC4"/>
    <w:rsid w:val="77653D55"/>
    <w:rsid w:val="776A7D9F"/>
    <w:rsid w:val="77734AD9"/>
    <w:rsid w:val="77767106"/>
    <w:rsid w:val="77786FD4"/>
    <w:rsid w:val="77A954AE"/>
    <w:rsid w:val="77AB2363"/>
    <w:rsid w:val="77D71742"/>
    <w:rsid w:val="77E342D7"/>
    <w:rsid w:val="77F3466D"/>
    <w:rsid w:val="780127F5"/>
    <w:rsid w:val="7822274B"/>
    <w:rsid w:val="7840608D"/>
    <w:rsid w:val="78494C44"/>
    <w:rsid w:val="78594455"/>
    <w:rsid w:val="785A03C2"/>
    <w:rsid w:val="78786AB3"/>
    <w:rsid w:val="787D7B01"/>
    <w:rsid w:val="78927153"/>
    <w:rsid w:val="78970591"/>
    <w:rsid w:val="789C0A5C"/>
    <w:rsid w:val="78B065B0"/>
    <w:rsid w:val="78BD4113"/>
    <w:rsid w:val="78C33E4A"/>
    <w:rsid w:val="78F10DB2"/>
    <w:rsid w:val="7901119D"/>
    <w:rsid w:val="790177E9"/>
    <w:rsid w:val="790D3EA5"/>
    <w:rsid w:val="79106B12"/>
    <w:rsid w:val="791B2495"/>
    <w:rsid w:val="791D2A50"/>
    <w:rsid w:val="791E4915"/>
    <w:rsid w:val="79366F18"/>
    <w:rsid w:val="793E022D"/>
    <w:rsid w:val="793E56AD"/>
    <w:rsid w:val="79432736"/>
    <w:rsid w:val="79505D65"/>
    <w:rsid w:val="79660E81"/>
    <w:rsid w:val="797940FE"/>
    <w:rsid w:val="79866E7E"/>
    <w:rsid w:val="798A6A50"/>
    <w:rsid w:val="799A7341"/>
    <w:rsid w:val="79AA4A14"/>
    <w:rsid w:val="79AD792E"/>
    <w:rsid w:val="79B63FC9"/>
    <w:rsid w:val="79C16BC7"/>
    <w:rsid w:val="79C21E49"/>
    <w:rsid w:val="79C673FA"/>
    <w:rsid w:val="79DE02DD"/>
    <w:rsid w:val="79E07E40"/>
    <w:rsid w:val="79E13C8B"/>
    <w:rsid w:val="79EB5D1B"/>
    <w:rsid w:val="79FC6182"/>
    <w:rsid w:val="7A0A0885"/>
    <w:rsid w:val="7A0A6F4F"/>
    <w:rsid w:val="7A1D2D65"/>
    <w:rsid w:val="7A2E0A35"/>
    <w:rsid w:val="7A456F6D"/>
    <w:rsid w:val="7A526C88"/>
    <w:rsid w:val="7A5705CE"/>
    <w:rsid w:val="7A5D27C6"/>
    <w:rsid w:val="7A5F16CA"/>
    <w:rsid w:val="7A68409A"/>
    <w:rsid w:val="7A710D8E"/>
    <w:rsid w:val="7AB1300F"/>
    <w:rsid w:val="7AB45E26"/>
    <w:rsid w:val="7AB64E52"/>
    <w:rsid w:val="7ADA0EA4"/>
    <w:rsid w:val="7AE75FBC"/>
    <w:rsid w:val="7AFB6746"/>
    <w:rsid w:val="7AFC56DC"/>
    <w:rsid w:val="7B0D3216"/>
    <w:rsid w:val="7B345398"/>
    <w:rsid w:val="7B355131"/>
    <w:rsid w:val="7B590C27"/>
    <w:rsid w:val="7B6B24CD"/>
    <w:rsid w:val="7B6C5EAB"/>
    <w:rsid w:val="7B7814A8"/>
    <w:rsid w:val="7B814DD3"/>
    <w:rsid w:val="7B861DF2"/>
    <w:rsid w:val="7B864059"/>
    <w:rsid w:val="7B874BE4"/>
    <w:rsid w:val="7BA33013"/>
    <w:rsid w:val="7BB97642"/>
    <w:rsid w:val="7BF702E8"/>
    <w:rsid w:val="7BFA0FA5"/>
    <w:rsid w:val="7BFE2BF5"/>
    <w:rsid w:val="7C162A9E"/>
    <w:rsid w:val="7C177BEA"/>
    <w:rsid w:val="7C1908EC"/>
    <w:rsid w:val="7C206AB7"/>
    <w:rsid w:val="7C647A61"/>
    <w:rsid w:val="7C7B2256"/>
    <w:rsid w:val="7C8646F6"/>
    <w:rsid w:val="7C886A69"/>
    <w:rsid w:val="7C8F6150"/>
    <w:rsid w:val="7C9B11F5"/>
    <w:rsid w:val="7C9B46D0"/>
    <w:rsid w:val="7CA37E05"/>
    <w:rsid w:val="7CA95B93"/>
    <w:rsid w:val="7CBC0850"/>
    <w:rsid w:val="7CBC5897"/>
    <w:rsid w:val="7CD3681B"/>
    <w:rsid w:val="7CF20DD2"/>
    <w:rsid w:val="7CFF7134"/>
    <w:rsid w:val="7D1D1FC6"/>
    <w:rsid w:val="7D28646B"/>
    <w:rsid w:val="7D2D300E"/>
    <w:rsid w:val="7D4714AF"/>
    <w:rsid w:val="7D476185"/>
    <w:rsid w:val="7D7016BE"/>
    <w:rsid w:val="7D8603E2"/>
    <w:rsid w:val="7D9B3D45"/>
    <w:rsid w:val="7D9C553A"/>
    <w:rsid w:val="7DBB346B"/>
    <w:rsid w:val="7DD0508B"/>
    <w:rsid w:val="7DE4119D"/>
    <w:rsid w:val="7DEE5B58"/>
    <w:rsid w:val="7DEF4E30"/>
    <w:rsid w:val="7E0B1390"/>
    <w:rsid w:val="7E2B13AE"/>
    <w:rsid w:val="7E676A56"/>
    <w:rsid w:val="7E690FF4"/>
    <w:rsid w:val="7E947A7E"/>
    <w:rsid w:val="7ED03245"/>
    <w:rsid w:val="7ED25E9B"/>
    <w:rsid w:val="7ED37D6E"/>
    <w:rsid w:val="7F0A51A4"/>
    <w:rsid w:val="7F1A0C40"/>
    <w:rsid w:val="7F332C78"/>
    <w:rsid w:val="7F3F5D11"/>
    <w:rsid w:val="7F486A87"/>
    <w:rsid w:val="7F7D2EBD"/>
    <w:rsid w:val="7F8846F0"/>
    <w:rsid w:val="7FA36CA7"/>
    <w:rsid w:val="7FAD2052"/>
    <w:rsid w:val="7FD34F08"/>
    <w:rsid w:val="7FD51EFD"/>
    <w:rsid w:val="7FE04F3E"/>
    <w:rsid w:val="7FEA3B6F"/>
    <w:rsid w:val="BAFFAB79"/>
    <w:rsid w:val="DBEED555"/>
  </w:rsids>
  <m:mathPr>
    <m:brkBin m:val="before"/>
    <m:brkBinSub m:val="--"/>
    <m:smallFrac m:val="0"/>
    <m:dispDef/>
    <m:lMargin m:val="0"/>
    <m:rMargin m:val="0"/>
    <m:defJc m:val="centerGroup"/>
    <m:wrapIndent m:val="1440"/>
    <m:intLim m:val="subSup"/>
    <m:naryLim m:val="undOvr"/>
  </m:mathPr>
  <w:themeFontLang w:val="zh-CN" w:eastAsia="zh-CN" w:bidi="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uppressAutoHyphens/>
      <w:bidi w:val="0"/>
      <w:spacing w:before="0" w:after="0"/>
      <w:jc w:val="left"/>
    </w:pPr>
    <w:rPr>
      <w:rFonts w:ascii="Arial Unicode MS" w:hAnsi="Arial Unicode MS" w:eastAsia="Arial Unicode MS" w:cs="Arial Unicode MS"/>
      <w:color w:val="auto"/>
      <w:kern w:val="0"/>
      <w:sz w:val="22"/>
      <w:szCs w:val="22"/>
      <w:lang w:val="zh-CN" w:eastAsia="zh-CN" w:bidi="zh-CN"/>
    </w:rPr>
  </w:style>
  <w:style w:type="paragraph" w:styleId="2">
    <w:name w:val="heading 1"/>
    <w:basedOn w:val="1"/>
    <w:next w:val="1"/>
    <w:qFormat/>
    <w:uiPriority w:val="1"/>
    <w:pPr>
      <w:ind w:left="-40" w:firstLine="0"/>
      <w:outlineLvl w:val="0"/>
    </w:pPr>
    <w:rPr>
      <w:sz w:val="52"/>
      <w:szCs w:val="52"/>
    </w:rPr>
  </w:style>
  <w:style w:type="paragraph" w:styleId="3">
    <w:name w:val="heading 2"/>
    <w:basedOn w:val="1"/>
    <w:next w:val="1"/>
    <w:qFormat/>
    <w:uiPriority w:val="1"/>
    <w:pPr>
      <w:ind w:right="18" w:firstLine="0"/>
      <w:jc w:val="center"/>
      <w:outlineLvl w:val="1"/>
    </w:pPr>
    <w:rPr>
      <w:sz w:val="44"/>
      <w:szCs w:val="44"/>
    </w:rPr>
  </w:style>
  <w:style w:type="paragraph" w:styleId="4">
    <w:name w:val="heading 3"/>
    <w:basedOn w:val="1"/>
    <w:next w:val="1"/>
    <w:qFormat/>
    <w:uiPriority w:val="1"/>
    <w:pPr>
      <w:ind w:left="1" w:firstLine="0"/>
      <w:jc w:val="center"/>
      <w:outlineLvl w:val="2"/>
    </w:pPr>
    <w:rPr>
      <w:sz w:val="40"/>
      <w:szCs w:val="40"/>
    </w:rPr>
  </w:style>
  <w:style w:type="paragraph" w:styleId="5">
    <w:name w:val="heading 4"/>
    <w:basedOn w:val="1"/>
    <w:next w:val="1"/>
    <w:qFormat/>
    <w:uiPriority w:val="1"/>
    <w:pPr>
      <w:jc w:val="center"/>
      <w:outlineLvl w:val="3"/>
    </w:pPr>
    <w:rPr>
      <w:sz w:val="36"/>
      <w:szCs w:val="36"/>
    </w:rPr>
  </w:style>
  <w:style w:type="paragraph" w:styleId="6">
    <w:name w:val="heading 5"/>
    <w:basedOn w:val="1"/>
    <w:next w:val="1"/>
    <w:qFormat/>
    <w:uiPriority w:val="1"/>
    <w:pPr>
      <w:ind w:left="112" w:firstLine="0"/>
      <w:outlineLvl w:val="4"/>
    </w:pPr>
    <w:rPr>
      <w:sz w:val="33"/>
      <w:szCs w:val="33"/>
    </w:rPr>
  </w:style>
  <w:style w:type="character" w:default="1" w:styleId="14">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7">
    <w:name w:val="caption"/>
    <w:basedOn w:val="1"/>
    <w:next w:val="1"/>
    <w:qFormat/>
    <w:uiPriority w:val="0"/>
    <w:pPr>
      <w:suppressLineNumbers/>
      <w:spacing w:before="120" w:after="120"/>
    </w:pPr>
    <w:rPr>
      <w:i/>
      <w:iCs/>
      <w:sz w:val="24"/>
      <w:szCs w:val="24"/>
    </w:rPr>
  </w:style>
  <w:style w:type="paragraph" w:styleId="8">
    <w:name w:val="Body Text"/>
    <w:basedOn w:val="1"/>
    <w:qFormat/>
    <w:uiPriority w:val="1"/>
    <w:rPr>
      <w:sz w:val="32"/>
      <w:szCs w:val="32"/>
    </w:rPr>
  </w:style>
  <w:style w:type="paragraph" w:styleId="9">
    <w:name w:val="footer"/>
    <w:basedOn w:val="1"/>
    <w:qFormat/>
    <w:uiPriority w:val="0"/>
    <w:pPr>
      <w:tabs>
        <w:tab w:val="center" w:pos="4153"/>
        <w:tab w:val="right" w:pos="8306"/>
      </w:tabs>
      <w:snapToGrid w:val="0"/>
    </w:pPr>
    <w:rPr>
      <w:sz w:val="18"/>
      <w:szCs w:val="18"/>
    </w:rPr>
  </w:style>
  <w:style w:type="paragraph" w:styleId="10">
    <w:name w:val="header"/>
    <w:basedOn w:val="1"/>
    <w:qFormat/>
    <w:uiPriority w:val="0"/>
    <w:pPr>
      <w:pBdr>
        <w:bottom w:val="single" w:color="000000" w:sz="6" w:space="1"/>
      </w:pBdr>
      <w:tabs>
        <w:tab w:val="center" w:pos="4153"/>
        <w:tab w:val="right" w:pos="8306"/>
      </w:tabs>
      <w:snapToGrid w:val="0"/>
      <w:jc w:val="center"/>
    </w:pPr>
    <w:rPr>
      <w:sz w:val="18"/>
      <w:szCs w:val="18"/>
    </w:rPr>
  </w:style>
  <w:style w:type="paragraph" w:styleId="11">
    <w:name w:val="List"/>
    <w:basedOn w:val="8"/>
    <w:qFormat/>
    <w:uiPriority w:val="0"/>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
    <w:name w:val="编号符号"/>
    <w:qFormat/>
    <w:uiPriority w:val="0"/>
  </w:style>
  <w:style w:type="character" w:customStyle="1" w:styleId="16">
    <w:name w:val="页眉 字符"/>
    <w:basedOn w:val="14"/>
    <w:qFormat/>
    <w:uiPriority w:val="0"/>
    <w:rPr>
      <w:rFonts w:ascii="Arial Unicode MS" w:hAnsi="Arial Unicode MS" w:eastAsia="Arial Unicode MS" w:cs="Arial Unicode MS"/>
      <w:sz w:val="18"/>
      <w:szCs w:val="18"/>
      <w:lang w:val="zh-CN" w:bidi="zh-CN"/>
    </w:rPr>
  </w:style>
  <w:style w:type="character" w:customStyle="1" w:styleId="17">
    <w:name w:val="页脚 字符"/>
    <w:basedOn w:val="14"/>
    <w:qFormat/>
    <w:uiPriority w:val="0"/>
    <w:rPr>
      <w:rFonts w:ascii="Arial Unicode MS" w:hAnsi="Arial Unicode MS" w:eastAsia="Arial Unicode MS" w:cs="Arial Unicode MS"/>
      <w:sz w:val="18"/>
      <w:szCs w:val="18"/>
      <w:lang w:val="zh-CN" w:bidi="zh-CN"/>
    </w:rPr>
  </w:style>
  <w:style w:type="paragraph" w:customStyle="1" w:styleId="18">
    <w:name w:val="标题样式"/>
    <w:basedOn w:val="1"/>
    <w:next w:val="8"/>
    <w:qFormat/>
    <w:uiPriority w:val="0"/>
    <w:pPr>
      <w:keepNext/>
      <w:spacing w:before="240" w:after="120"/>
    </w:pPr>
    <w:rPr>
      <w:rFonts w:ascii="Liberation Sans" w:hAnsi="Liberation Sans"/>
      <w:sz w:val="28"/>
      <w:szCs w:val="28"/>
    </w:rPr>
  </w:style>
  <w:style w:type="paragraph" w:customStyle="1" w:styleId="19">
    <w:name w:val="索引"/>
    <w:basedOn w:val="1"/>
    <w:qFormat/>
    <w:uiPriority w:val="0"/>
    <w:pPr>
      <w:suppressLineNumbers/>
    </w:pPr>
  </w:style>
  <w:style w:type="paragraph" w:customStyle="1" w:styleId="20">
    <w:name w:val="页眉与页脚"/>
    <w:basedOn w:val="1"/>
    <w:qFormat/>
    <w:uiPriority w:val="0"/>
  </w:style>
  <w:style w:type="paragraph" w:customStyle="1" w:styleId="21">
    <w:name w:val="List Paragraph"/>
    <w:basedOn w:val="1"/>
    <w:qFormat/>
    <w:uiPriority w:val="1"/>
    <w:pPr>
      <w:ind w:left="2039" w:hanging="782"/>
    </w:pPr>
  </w:style>
  <w:style w:type="paragraph" w:customStyle="1" w:styleId="22">
    <w:name w:val="Table Paragraph"/>
    <w:basedOn w:val="1"/>
    <w:qFormat/>
    <w:uiPriority w:val="1"/>
    <w:rPr>
      <w:rFonts w:ascii="宋体" w:hAnsi="宋体" w:eastAsia="宋体" w:cs="宋体"/>
    </w:rPr>
  </w:style>
  <w:style w:type="paragraph" w:customStyle="1" w:styleId="23">
    <w:name w:val="表格内容"/>
    <w:basedOn w:val="1"/>
    <w:qFormat/>
    <w:uiPriority w:val="0"/>
    <w:pPr>
      <w:suppressLineNumbers/>
    </w:pPr>
  </w:style>
  <w:style w:type="paragraph" w:customStyle="1" w:styleId="24">
    <w:name w:val="表格标题"/>
    <w:basedOn w:val="23"/>
    <w:qFormat/>
    <w:uiPriority w:val="0"/>
    <w:pPr>
      <w:jc w:val="center"/>
    </w:pPr>
    <w:rPr>
      <w:b/>
      <w:bCs/>
    </w:rPr>
  </w:style>
  <w:style w:type="paragraph" w:customStyle="1" w:styleId="25">
    <w:name w:val="预格式化的文本"/>
    <w:basedOn w:val="1"/>
    <w:qFormat/>
    <w:uiPriority w:val="0"/>
    <w:rPr>
      <w:rFonts w:ascii="Liberation Mono" w:hAnsi="Liberation Mono" w:eastAsia="新宋体" w:cs="Liberation Mono"/>
      <w:sz w:val="20"/>
      <w:szCs w:val="20"/>
    </w:rPr>
  </w:style>
  <w:style w:type="table" w:customStyle="1" w:styleId="26">
    <w:name w:val="Table Normal"/>
    <w:unhideWhenUsed/>
    <w:qFormat/>
    <w:uiPriority w:val="2"/>
    <w:tblPr>
      <w:tblCellMar>
        <w:top w:w="0" w:type="dxa"/>
        <w:left w:w="0" w:type="dxa"/>
        <w:bottom w:w="0" w:type="dxa"/>
        <w:right w:w="0" w:type="dxa"/>
      </w:tblCellMar>
    </w:tbl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10" Target="footer5.xml" Type="http://schemas.openxmlformats.org/officeDocument/2006/relationships/footer"/><Relationship Id="rId11" Target="footer6.xml" Type="http://schemas.openxmlformats.org/officeDocument/2006/relationships/footer"/><Relationship Id="rId12" Target="footer7.xml" Type="http://schemas.openxmlformats.org/officeDocument/2006/relationships/footer"/><Relationship Id="rId13" Target="footer8.xml" Type="http://schemas.openxmlformats.org/officeDocument/2006/relationships/footer"/><Relationship Id="rId14" Target="footer9.xml" Type="http://schemas.openxmlformats.org/officeDocument/2006/relationships/footer"/><Relationship Id="rId15" Target="footer10.xml" Type="http://schemas.openxmlformats.org/officeDocument/2006/relationships/footer"/><Relationship Id="rId16" Target="footer11.xml" Type="http://schemas.openxmlformats.org/officeDocument/2006/relationships/footer"/><Relationship Id="rId17" Target="footer12.xml" Type="http://schemas.openxmlformats.org/officeDocument/2006/relationships/footer"/><Relationship Id="rId18" Target="footer13.xml" Type="http://schemas.openxmlformats.org/officeDocument/2006/relationships/footer"/><Relationship Id="rId19" Target="footer14.xml" Type="http://schemas.openxmlformats.org/officeDocument/2006/relationships/footer"/><Relationship Id="rId2" Target="settings.xml" Type="http://schemas.openxmlformats.org/officeDocument/2006/relationships/settings"/><Relationship Id="rId20" Target="footer15.xml" Type="http://schemas.openxmlformats.org/officeDocument/2006/relationships/footer"/><Relationship Id="rId21" Target="theme/theme1.xml" Type="http://schemas.openxmlformats.org/officeDocument/2006/relationships/theme"/><Relationship Id="rId22" Target="../customXml/item1.xml" Type="http://schemas.openxmlformats.org/officeDocument/2006/relationships/customXml"/><Relationship Id="rId23" Target="fontTable.xml" Type="http://schemas.openxmlformats.org/officeDocument/2006/relationships/fontTable"/><Relationship Id="rId24" Target="media/image1.jpeg" Type="http://schemas.openxmlformats.org/officeDocument/2006/relationships/image"/><Relationship Id="rId25" Target="media/image2.jpeg" Type="http://schemas.openxmlformats.org/officeDocument/2006/relationships/image"/><Relationship Id="rId3" Target="footnotes.xml" Type="http://schemas.openxmlformats.org/officeDocument/2006/relationships/footnotes"/><Relationship Id="rId4" Target="header1.xml" Type="http://schemas.openxmlformats.org/officeDocument/2006/relationships/header"/><Relationship Id="rId5" Target="header2.xml" Type="http://schemas.openxmlformats.org/officeDocument/2006/relationships/header"/><Relationship Id="rId6" Target="footer1.xml" Type="http://schemas.openxmlformats.org/officeDocument/2006/relationships/footer"/><Relationship Id="rId7" Target="footer2.xml" Type="http://schemas.openxmlformats.org/officeDocument/2006/relationships/footer"/><Relationship Id="rId8" Target="footer3.xml" Type="http://schemas.openxmlformats.org/officeDocument/2006/relationships/footer"/><Relationship Id="rId9" Target="footer4.xml" Type="http://schemas.openxmlformats.org/officeDocument/2006/relationships/footer"/></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7" textRotate="1"/>
    <customShpInfo spid="_x0000_s4113" textRotate="1"/>
    <customShpInfo spid="_x0000_s4111" textRotate="1"/>
    <customShpInfo spid="_x0000_s4112" textRotate="1"/>
    <customShpInfo spid="_x0000_s4099" textRotate="1"/>
    <customShpInfo spid="_x0000_s4100" textRotate="1"/>
    <customShpInfo spid="_x0000_s4101" textRotate="1"/>
    <customShpInfo spid="_x0000_s4102" textRotate="1"/>
    <customShpInfo spid="_x0000_s4103" textRotate="1"/>
    <customShpInfo spid="_x0000_s4104" textRotate="1"/>
    <customShpInfo spid="_x0000_s4105" textRotate="1"/>
    <customShpInfo spid="_x0000_s4106" textRotate="1"/>
    <customShpInfo spid="_x0000_s4107" textRotate="1"/>
    <customShpInfo spid="_x0000_s4108" textRotate="1"/>
    <customShpInfo spid="_x0000_s4110"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1913</Words>
  <Characters>6541</Characters>
  <Paragraphs>501</Paragraphs>
  <TotalTime>4</TotalTime>
  <ScaleCrop>false</ScaleCrop>
  <LinksUpToDate>false</LinksUpToDate>
  <CharactersWithSpaces>6558</CharactersWithSpaces>
  <Application>WPS Office_12.1.0.20305_F1E327BC-269C-435d-A152-05C5408002CA</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2021-04-16T03:22:00Z</dcterms:created>
  <dc:creator>陈长军(本处室套红)</dc:creator>
  <cp:lastModifiedBy>预决算公开</cp:lastModifiedBy>
  <dcterms:modified xsi:type="dcterms:W3CDTF">2025-02-27T06:18:55Z</dcterms:modified>
  <cp:revision>175</cp:revision>
  <dc:title>部门预算公开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2021-02-03T00:00:00Z</vt:filetime>
  </property>
  <property fmtid="{D5CDD505-2E9C-101B-9397-08002B2CF9AE}" pid="3" name="Creator">
    <vt:lpwstr>ÿþ¹eckýVEŒ⁄ech Y thV </vt:lpwstr>
  </property>
  <property fmtid="{D5CDD505-2E9C-101B-9397-08002B2CF9AE}" pid="4" name="ICV">
    <vt:lpwstr>C823B2FE72FE4DF285E985223D1A425B</vt:lpwstr>
  </property>
  <property fmtid="{D5CDD505-2E9C-101B-9397-08002B2CF9AE}" pid="5" name="KSOProductBuildVer">
    <vt:lpwstr>2052-12.1.0.20305</vt:lpwstr>
  </property>
  <property fmtid="{D5CDD505-2E9C-101B-9397-08002B2CF9AE}" pid="6" name="LastSaved">
    <vt:filetime>2021-04-15T00:00:00Z</vt:filetime>
  </property>
  <property fmtid="{D5CDD505-2E9C-101B-9397-08002B2CF9AE}" pid="7" name="KSOTemplateDocerSaveRecord">
    <vt:lpwstr>eyJoZGlkIjoiMjBmODA2NDVhMWEwODkwZDExMzkyOWZhZTcyZGM3OTQiLCJ1c2VySWQiOiIyMDI2NTc4ODUifQ==</vt:lpwstr>
  </property>
</Properties>
</file>