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ms-word.document.macroEnabled.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2FFDAE">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Times New Roman" w:hAnsi="Times New Roman" w:eastAsia="方正小标宋_GBK" w:cs="方正小标宋_GBK"/>
          <w:sz w:val="44"/>
          <w:szCs w:val="44"/>
          <w:lang w:eastAsia="zh-CN"/>
        </w:rPr>
      </w:pPr>
      <w:r>
        <w:rPr>
          <w:rFonts w:hint="eastAsia" w:ascii="Times New Roman" w:hAnsi="Times New Roman" w:eastAsia="方正小标宋_GBK" w:cs="方正小标宋_GBK"/>
          <w:sz w:val="44"/>
          <w:szCs w:val="44"/>
        </w:rPr>
        <w:t>江阴市居家养老援助服务“银龄卡”试点项目采购需求</w:t>
      </w:r>
      <w:r>
        <w:rPr>
          <w:rFonts w:hint="eastAsia" w:eastAsia="方正小标宋_GBK" w:cs="方正小标宋_GBK"/>
          <w:sz w:val="44"/>
          <w:szCs w:val="44"/>
          <w:lang w:eastAsia="zh-CN"/>
        </w:rPr>
        <w:t>（</w:t>
      </w:r>
      <w:r>
        <w:rPr>
          <w:rFonts w:hint="eastAsia" w:eastAsia="方正小标宋_GBK" w:cs="方正小标宋_GBK"/>
          <w:sz w:val="44"/>
          <w:szCs w:val="44"/>
          <w:lang w:val="en-US" w:eastAsia="zh-CN"/>
        </w:rPr>
        <w:t>征求意见稿</w:t>
      </w:r>
      <w:bookmarkStart w:id="1" w:name="_GoBack"/>
      <w:bookmarkEnd w:id="1"/>
      <w:r>
        <w:rPr>
          <w:rFonts w:hint="eastAsia" w:eastAsia="方正小标宋_GBK" w:cs="方正小标宋_GBK"/>
          <w:sz w:val="44"/>
          <w:szCs w:val="44"/>
          <w:lang w:eastAsia="zh-CN"/>
        </w:rPr>
        <w:t>）</w:t>
      </w:r>
    </w:p>
    <w:p w14:paraId="79A0C7A3">
      <w:pPr>
        <w:keepNext w:val="0"/>
        <w:keepLines w:val="0"/>
        <w:pageBreakBefore w:val="0"/>
        <w:widowControl w:val="0"/>
        <w:kinsoku/>
        <w:wordWrap/>
        <w:overflowPunct/>
        <w:topLinePunct w:val="0"/>
        <w:autoSpaceDE/>
        <w:autoSpaceDN/>
        <w:bidi w:val="0"/>
        <w:adjustRightInd/>
        <w:snapToGrid/>
        <w:spacing w:line="240" w:lineRule="auto"/>
        <w:ind w:firstLine="604" w:firstLineChars="200"/>
        <w:jc w:val="both"/>
        <w:textAlignment w:val="auto"/>
        <w:rPr>
          <w:rFonts w:hint="eastAsia" w:ascii="Times New Roman" w:hAnsi="Times New Roman" w:eastAsia="方正小标宋_GBK" w:cs="方正小标宋_GBK"/>
          <w:sz w:val="32"/>
          <w:szCs w:val="32"/>
        </w:rPr>
      </w:pPr>
    </w:p>
    <w:p w14:paraId="43E805ED">
      <w:pPr>
        <w:keepNext w:val="0"/>
        <w:keepLines w:val="0"/>
        <w:pageBreakBefore w:val="0"/>
        <w:widowControl w:val="0"/>
        <w:kinsoku/>
        <w:wordWrap/>
        <w:overflowPunct/>
        <w:topLinePunct w:val="0"/>
        <w:autoSpaceDE/>
        <w:autoSpaceDN/>
        <w:bidi w:val="0"/>
        <w:adjustRightInd/>
        <w:snapToGrid/>
        <w:spacing w:line="240" w:lineRule="auto"/>
        <w:ind w:firstLine="604" w:firstLineChars="200"/>
        <w:jc w:val="both"/>
        <w:textAlignment w:val="auto"/>
        <w:rPr>
          <w:rFonts w:hint="eastAsia" w:ascii="Times New Roman" w:hAnsi="Times New Roman" w:eastAsia="方正黑体_GBK" w:cs="方正黑体_GBK"/>
          <w:sz w:val="32"/>
          <w:szCs w:val="32"/>
        </w:rPr>
      </w:pPr>
      <w:r>
        <w:rPr>
          <w:rFonts w:hint="eastAsia" w:ascii="Times New Roman" w:hAnsi="Times New Roman" w:eastAsia="方正黑体_GBK" w:cs="方正黑体_GBK"/>
          <w:sz w:val="32"/>
          <w:szCs w:val="32"/>
        </w:rPr>
        <w:t>一、项目概况</w:t>
      </w:r>
    </w:p>
    <w:p w14:paraId="1ECD0EAD">
      <w:pPr>
        <w:keepNext w:val="0"/>
        <w:keepLines w:val="0"/>
        <w:pageBreakBefore w:val="0"/>
        <w:widowControl w:val="0"/>
        <w:kinsoku/>
        <w:wordWrap/>
        <w:overflowPunct/>
        <w:topLinePunct w:val="0"/>
        <w:autoSpaceDE/>
        <w:autoSpaceDN/>
        <w:bidi w:val="0"/>
        <w:adjustRightInd/>
        <w:snapToGrid/>
        <w:spacing w:line="240" w:lineRule="auto"/>
        <w:ind w:firstLine="604" w:firstLineChars="200"/>
        <w:jc w:val="both"/>
        <w:textAlignment w:val="auto"/>
        <w:rPr>
          <w:rFonts w:hint="eastAsia" w:ascii="Times New Roman" w:hAnsi="Times New Roman" w:eastAsia="方正仿宋_GBK" w:cs="方正仿宋_GBK"/>
          <w:sz w:val="32"/>
          <w:szCs w:val="32"/>
        </w:rPr>
      </w:pPr>
      <w:r>
        <w:rPr>
          <w:rFonts w:hint="eastAsia" w:ascii="Times New Roman" w:hAnsi="Times New Roman" w:eastAsia="方正楷体_GBK" w:cs="方正楷体_GBK"/>
          <w:sz w:val="32"/>
          <w:szCs w:val="32"/>
        </w:rPr>
        <w:t>1.1 项目名称</w:t>
      </w:r>
    </w:p>
    <w:p w14:paraId="1DEC259F">
      <w:pPr>
        <w:keepNext w:val="0"/>
        <w:keepLines w:val="0"/>
        <w:pageBreakBefore w:val="0"/>
        <w:widowControl w:val="0"/>
        <w:kinsoku/>
        <w:wordWrap/>
        <w:overflowPunct/>
        <w:topLinePunct w:val="0"/>
        <w:autoSpaceDE/>
        <w:autoSpaceDN/>
        <w:bidi w:val="0"/>
        <w:adjustRightInd/>
        <w:snapToGrid/>
        <w:spacing w:line="240" w:lineRule="auto"/>
        <w:ind w:firstLine="604" w:firstLineChars="200"/>
        <w:jc w:val="both"/>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江阴市居家养老援助服务“银龄卡”试点项目（框架协议采购）</w:t>
      </w:r>
    </w:p>
    <w:p w14:paraId="70C38D3A">
      <w:pPr>
        <w:keepNext w:val="0"/>
        <w:keepLines w:val="0"/>
        <w:pageBreakBefore w:val="0"/>
        <w:widowControl w:val="0"/>
        <w:kinsoku/>
        <w:wordWrap/>
        <w:overflowPunct/>
        <w:topLinePunct w:val="0"/>
        <w:autoSpaceDE/>
        <w:autoSpaceDN/>
        <w:bidi w:val="0"/>
        <w:adjustRightInd/>
        <w:snapToGrid/>
        <w:spacing w:line="240" w:lineRule="auto"/>
        <w:ind w:firstLine="604" w:firstLineChars="200"/>
        <w:jc w:val="both"/>
        <w:textAlignment w:val="auto"/>
        <w:rPr>
          <w:rFonts w:hint="eastAsia" w:ascii="Times New Roman" w:hAnsi="Times New Roman" w:eastAsia="方正楷体_GBK" w:cs="方正楷体_GBK"/>
          <w:sz w:val="32"/>
          <w:szCs w:val="32"/>
        </w:rPr>
      </w:pPr>
      <w:r>
        <w:rPr>
          <w:rFonts w:hint="eastAsia" w:ascii="Times New Roman" w:hAnsi="Times New Roman" w:eastAsia="方正楷体_GBK" w:cs="方正楷体_GBK"/>
          <w:sz w:val="32"/>
          <w:szCs w:val="32"/>
        </w:rPr>
        <w:t>1.2 预算金额</w:t>
      </w:r>
    </w:p>
    <w:p w14:paraId="2A0645E1">
      <w:pPr>
        <w:keepNext w:val="0"/>
        <w:keepLines w:val="0"/>
        <w:pageBreakBefore w:val="0"/>
        <w:widowControl w:val="0"/>
        <w:kinsoku/>
        <w:wordWrap/>
        <w:overflowPunct/>
        <w:topLinePunct w:val="0"/>
        <w:autoSpaceDE/>
        <w:autoSpaceDN/>
        <w:bidi w:val="0"/>
        <w:adjustRightInd/>
        <w:snapToGrid/>
        <w:spacing w:line="240" w:lineRule="auto"/>
        <w:ind w:firstLine="604" w:firstLineChars="200"/>
        <w:jc w:val="both"/>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2100万元/年</w:t>
      </w:r>
    </w:p>
    <w:p w14:paraId="3241A97C">
      <w:pPr>
        <w:keepNext w:val="0"/>
        <w:keepLines w:val="0"/>
        <w:pageBreakBefore w:val="0"/>
        <w:widowControl w:val="0"/>
        <w:kinsoku/>
        <w:wordWrap/>
        <w:overflowPunct/>
        <w:topLinePunct w:val="0"/>
        <w:autoSpaceDE/>
        <w:autoSpaceDN/>
        <w:bidi w:val="0"/>
        <w:adjustRightInd/>
        <w:snapToGrid/>
        <w:spacing w:line="240" w:lineRule="auto"/>
        <w:ind w:firstLine="604" w:firstLineChars="200"/>
        <w:jc w:val="both"/>
        <w:textAlignment w:val="auto"/>
        <w:rPr>
          <w:rFonts w:hint="eastAsia" w:ascii="Times New Roman" w:hAnsi="Times New Roman" w:eastAsia="方正楷体_GBK" w:cs="方正楷体_GBK"/>
          <w:sz w:val="32"/>
          <w:szCs w:val="32"/>
        </w:rPr>
      </w:pPr>
      <w:r>
        <w:rPr>
          <w:rFonts w:hint="eastAsia" w:ascii="Times New Roman" w:hAnsi="Times New Roman" w:eastAsia="方正楷体_GBK" w:cs="方正楷体_GBK"/>
          <w:sz w:val="32"/>
          <w:szCs w:val="32"/>
        </w:rPr>
        <w:t>1.3 采购方式</w:t>
      </w:r>
    </w:p>
    <w:p w14:paraId="6174D04F">
      <w:pPr>
        <w:keepNext w:val="0"/>
        <w:keepLines w:val="0"/>
        <w:pageBreakBefore w:val="0"/>
        <w:widowControl w:val="0"/>
        <w:kinsoku/>
        <w:wordWrap/>
        <w:overflowPunct/>
        <w:topLinePunct w:val="0"/>
        <w:autoSpaceDE/>
        <w:autoSpaceDN/>
        <w:bidi w:val="0"/>
        <w:adjustRightInd/>
        <w:snapToGrid/>
        <w:spacing w:line="240" w:lineRule="auto"/>
        <w:ind w:firstLine="604" w:firstLineChars="200"/>
        <w:jc w:val="both"/>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lang w:eastAsia="zh-CN"/>
        </w:rPr>
        <w:t>开放</w:t>
      </w:r>
      <w:r>
        <w:rPr>
          <w:rFonts w:hint="eastAsia" w:ascii="Times New Roman" w:hAnsi="Times New Roman" w:eastAsia="方正仿宋_GBK" w:cs="方正仿宋_GBK"/>
          <w:sz w:val="32"/>
          <w:szCs w:val="32"/>
        </w:rPr>
        <w:t>式框架协议采购</w:t>
      </w:r>
    </w:p>
    <w:p w14:paraId="392F8B6F">
      <w:pPr>
        <w:keepNext w:val="0"/>
        <w:keepLines w:val="0"/>
        <w:pageBreakBefore w:val="0"/>
        <w:widowControl w:val="0"/>
        <w:kinsoku/>
        <w:wordWrap/>
        <w:overflowPunct/>
        <w:topLinePunct w:val="0"/>
        <w:autoSpaceDE/>
        <w:autoSpaceDN/>
        <w:bidi w:val="0"/>
        <w:adjustRightInd/>
        <w:snapToGrid/>
        <w:spacing w:line="240" w:lineRule="auto"/>
        <w:ind w:firstLine="604" w:firstLineChars="200"/>
        <w:jc w:val="both"/>
        <w:textAlignment w:val="auto"/>
        <w:rPr>
          <w:rFonts w:hint="eastAsia" w:ascii="Times New Roman" w:hAnsi="Times New Roman" w:eastAsia="方正楷体_GBK" w:cs="方正楷体_GBK"/>
          <w:sz w:val="32"/>
          <w:szCs w:val="32"/>
        </w:rPr>
      </w:pPr>
      <w:r>
        <w:rPr>
          <w:rFonts w:hint="eastAsia" w:ascii="Times New Roman" w:hAnsi="Times New Roman" w:eastAsia="方正楷体_GBK" w:cs="方正楷体_GBK"/>
          <w:sz w:val="32"/>
          <w:szCs w:val="32"/>
          <w:lang w:val="en-US" w:eastAsia="zh-CN"/>
        </w:rPr>
        <w:t xml:space="preserve">1.4 </w:t>
      </w:r>
      <w:r>
        <w:rPr>
          <w:rFonts w:hint="eastAsia" w:ascii="Times New Roman" w:hAnsi="Times New Roman" w:eastAsia="方正楷体_GBK" w:cs="方正楷体_GBK"/>
          <w:sz w:val="32"/>
          <w:szCs w:val="32"/>
        </w:rPr>
        <w:t>采购活动时间安排</w:t>
      </w:r>
    </w:p>
    <w:p w14:paraId="0631FCAD">
      <w:pPr>
        <w:keepNext w:val="0"/>
        <w:keepLines w:val="0"/>
        <w:pageBreakBefore w:val="0"/>
        <w:widowControl w:val="0"/>
        <w:kinsoku/>
        <w:wordWrap/>
        <w:overflowPunct/>
        <w:topLinePunct w:val="0"/>
        <w:autoSpaceDE/>
        <w:autoSpaceDN/>
        <w:bidi w:val="0"/>
        <w:adjustRightInd/>
        <w:snapToGrid/>
        <w:spacing w:line="240" w:lineRule="auto"/>
        <w:ind w:firstLine="604" w:firstLineChars="200"/>
        <w:jc w:val="both"/>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根据2026年5月政府采购意向公告，本项目预计于2026年6月组织采购活动。</w:t>
      </w:r>
    </w:p>
    <w:p w14:paraId="2F974498">
      <w:pPr>
        <w:keepNext w:val="0"/>
        <w:keepLines w:val="0"/>
        <w:pageBreakBefore w:val="0"/>
        <w:widowControl w:val="0"/>
        <w:kinsoku/>
        <w:wordWrap/>
        <w:overflowPunct/>
        <w:topLinePunct w:val="0"/>
        <w:autoSpaceDE/>
        <w:autoSpaceDN/>
        <w:bidi w:val="0"/>
        <w:adjustRightInd/>
        <w:snapToGrid/>
        <w:spacing w:line="240" w:lineRule="auto"/>
        <w:ind w:firstLine="604" w:firstLineChars="200"/>
        <w:jc w:val="both"/>
        <w:textAlignment w:val="auto"/>
        <w:rPr>
          <w:rFonts w:hint="eastAsia" w:ascii="Times New Roman" w:hAnsi="Times New Roman" w:eastAsia="方正楷体_GBK" w:cs="方正楷体_GBK"/>
          <w:sz w:val="32"/>
          <w:szCs w:val="32"/>
        </w:rPr>
      </w:pPr>
      <w:r>
        <w:rPr>
          <w:rFonts w:hint="eastAsia" w:ascii="Times New Roman" w:hAnsi="Times New Roman" w:eastAsia="方正楷体_GBK" w:cs="方正楷体_GBK"/>
          <w:sz w:val="32"/>
          <w:szCs w:val="32"/>
          <w:lang w:val="en-US" w:eastAsia="zh-CN"/>
        </w:rPr>
        <w:t xml:space="preserve">1.5 </w:t>
      </w:r>
      <w:r>
        <w:rPr>
          <w:rFonts w:hint="eastAsia" w:ascii="Times New Roman" w:hAnsi="Times New Roman" w:eastAsia="方正楷体_GBK" w:cs="方正楷体_GBK"/>
          <w:sz w:val="32"/>
          <w:szCs w:val="32"/>
        </w:rPr>
        <w:t>采购组织形式</w:t>
      </w:r>
    </w:p>
    <w:p w14:paraId="6E162F4D">
      <w:pPr>
        <w:keepNext w:val="0"/>
        <w:keepLines w:val="0"/>
        <w:pageBreakBefore w:val="0"/>
        <w:widowControl w:val="0"/>
        <w:kinsoku/>
        <w:wordWrap/>
        <w:overflowPunct/>
        <w:topLinePunct w:val="0"/>
        <w:autoSpaceDE/>
        <w:autoSpaceDN/>
        <w:bidi w:val="0"/>
        <w:adjustRightInd/>
        <w:snapToGrid/>
        <w:spacing w:line="240" w:lineRule="auto"/>
        <w:ind w:firstLine="604" w:firstLineChars="200"/>
        <w:jc w:val="both"/>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委托</w:t>
      </w:r>
      <w:r>
        <w:rPr>
          <w:rFonts w:hint="eastAsia" w:ascii="Times New Roman" w:hAnsi="Times New Roman" w:eastAsia="方正仿宋_GBK" w:cs="方正仿宋_GBK"/>
          <w:sz w:val="32"/>
          <w:szCs w:val="32"/>
          <w:lang w:eastAsia="zh-CN"/>
        </w:rPr>
        <w:t>江阴市公共资源交易中心</w:t>
      </w:r>
      <w:r>
        <w:rPr>
          <w:rFonts w:hint="eastAsia" w:ascii="Times New Roman" w:hAnsi="Times New Roman" w:eastAsia="方正仿宋_GBK" w:cs="方正仿宋_GBK"/>
          <w:sz w:val="32"/>
          <w:szCs w:val="32"/>
        </w:rPr>
        <w:t>采购。</w:t>
      </w:r>
    </w:p>
    <w:p w14:paraId="347C1765">
      <w:pPr>
        <w:keepNext w:val="0"/>
        <w:keepLines w:val="0"/>
        <w:pageBreakBefore w:val="0"/>
        <w:widowControl w:val="0"/>
        <w:kinsoku/>
        <w:wordWrap/>
        <w:overflowPunct/>
        <w:topLinePunct w:val="0"/>
        <w:autoSpaceDE/>
        <w:autoSpaceDN/>
        <w:bidi w:val="0"/>
        <w:adjustRightInd/>
        <w:snapToGrid/>
        <w:spacing w:line="240" w:lineRule="auto"/>
        <w:ind w:firstLine="604" w:firstLineChars="200"/>
        <w:jc w:val="both"/>
        <w:textAlignment w:val="auto"/>
        <w:rPr>
          <w:rFonts w:hint="eastAsia" w:ascii="Times New Roman" w:hAnsi="Times New Roman" w:eastAsia="方正楷体_GBK" w:cs="方正楷体_GBK"/>
          <w:color w:val="auto"/>
          <w:sz w:val="32"/>
          <w:szCs w:val="32"/>
        </w:rPr>
      </w:pPr>
      <w:r>
        <w:rPr>
          <w:rFonts w:hint="eastAsia" w:ascii="Times New Roman" w:hAnsi="Times New Roman" w:eastAsia="方正楷体_GBK" w:cs="方正楷体_GBK"/>
          <w:color w:val="auto"/>
          <w:sz w:val="32"/>
          <w:szCs w:val="32"/>
          <w:lang w:val="en-US" w:eastAsia="zh-CN"/>
        </w:rPr>
        <w:t>1</w:t>
      </w:r>
      <w:r>
        <w:rPr>
          <w:rFonts w:hint="eastAsia" w:ascii="Times New Roman" w:hAnsi="Times New Roman" w:eastAsia="方正楷体_GBK" w:cs="方正楷体_GBK"/>
          <w:color w:val="auto"/>
          <w:sz w:val="32"/>
          <w:szCs w:val="32"/>
        </w:rPr>
        <w:t>.</w:t>
      </w:r>
      <w:r>
        <w:rPr>
          <w:rFonts w:hint="eastAsia" w:ascii="Times New Roman" w:hAnsi="Times New Roman" w:eastAsia="方正楷体_GBK" w:cs="方正楷体_GBK"/>
          <w:color w:val="auto"/>
          <w:sz w:val="32"/>
          <w:szCs w:val="32"/>
          <w:lang w:val="en-US" w:eastAsia="zh-CN"/>
        </w:rPr>
        <w:t xml:space="preserve">6 </w:t>
      </w:r>
      <w:r>
        <w:rPr>
          <w:rFonts w:hint="eastAsia" w:ascii="Times New Roman" w:hAnsi="Times New Roman" w:eastAsia="方正楷体_GBK" w:cs="方正楷体_GBK"/>
          <w:color w:val="auto"/>
          <w:sz w:val="32"/>
          <w:szCs w:val="32"/>
        </w:rPr>
        <w:t>采购包划分</w:t>
      </w:r>
    </w:p>
    <w:p w14:paraId="2F1B37B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04" w:firstLineChars="200"/>
        <w:jc w:val="both"/>
        <w:textAlignment w:val="auto"/>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rPr>
        <w:t>本项目</w:t>
      </w:r>
      <w:r>
        <w:rPr>
          <w:rFonts w:hint="eastAsia" w:ascii="Times New Roman" w:hAnsi="Times New Roman" w:eastAsia="方正仿宋_GBK" w:cs="方正仿宋_GBK"/>
          <w:color w:val="auto"/>
          <w:sz w:val="32"/>
          <w:szCs w:val="32"/>
          <w:lang w:eastAsia="zh-CN"/>
        </w:rPr>
        <w:t>分为两个</w:t>
      </w:r>
      <w:r>
        <w:rPr>
          <w:rFonts w:hint="eastAsia" w:ascii="Times New Roman" w:hAnsi="Times New Roman" w:eastAsia="方正仿宋_GBK" w:cs="方正仿宋_GBK"/>
          <w:color w:val="auto"/>
          <w:sz w:val="32"/>
          <w:szCs w:val="32"/>
        </w:rPr>
        <w:t>采购包。</w:t>
      </w:r>
      <w:r>
        <w:rPr>
          <w:rFonts w:hint="eastAsia" w:ascii="Times New Roman" w:hAnsi="Times New Roman" w:eastAsia="方正仿宋_GBK" w:cs="方正仿宋_GBK"/>
          <w:color w:val="auto"/>
          <w:sz w:val="32"/>
          <w:szCs w:val="32"/>
          <w:lang w:eastAsia="zh-CN"/>
        </w:rPr>
        <w:t>一是综合服务类，</w:t>
      </w:r>
      <w:r>
        <w:rPr>
          <w:rFonts w:hint="eastAsia" w:ascii="Times New Roman" w:hAnsi="Times New Roman" w:cs="方正仿宋_GBK"/>
          <w:color w:val="auto"/>
          <w:sz w:val="32"/>
          <w:szCs w:val="32"/>
          <w:lang w:eastAsia="zh-CN"/>
        </w:rPr>
        <w:t>拟定</w:t>
      </w:r>
      <w:r>
        <w:rPr>
          <w:rFonts w:hint="eastAsia" w:ascii="Times New Roman" w:hAnsi="Times New Roman" w:eastAsia="方正仿宋_GBK" w:cs="方正仿宋_GBK"/>
          <w:color w:val="auto"/>
          <w:sz w:val="32"/>
          <w:szCs w:val="32"/>
          <w:lang w:eastAsia="zh-CN"/>
        </w:rPr>
        <w:t>资金</w:t>
      </w:r>
      <w:r>
        <w:rPr>
          <w:rFonts w:hint="eastAsia" w:cs="方正仿宋_GBK"/>
          <w:color w:val="auto"/>
          <w:sz w:val="32"/>
          <w:szCs w:val="32"/>
          <w:lang w:val="en-US" w:eastAsia="zh-CN"/>
        </w:rPr>
        <w:t>2000</w:t>
      </w:r>
      <w:r>
        <w:rPr>
          <w:rFonts w:hint="eastAsia" w:ascii="Times New Roman" w:hAnsi="Times New Roman" w:eastAsia="方正仿宋_GBK" w:cs="方正仿宋_GBK"/>
          <w:color w:val="auto"/>
          <w:sz w:val="32"/>
          <w:szCs w:val="32"/>
          <w:lang w:val="en-US" w:eastAsia="zh-CN"/>
        </w:rPr>
        <w:t>万</w:t>
      </w:r>
      <w:r>
        <w:rPr>
          <w:rFonts w:hint="eastAsia" w:ascii="Times New Roman" w:hAnsi="Times New Roman" w:eastAsia="方正仿宋_GBK" w:cs="方正仿宋_GBK"/>
          <w:color w:val="auto"/>
          <w:sz w:val="32"/>
          <w:szCs w:val="32"/>
          <w:lang w:eastAsia="zh-CN"/>
        </w:rPr>
        <w:t>；二是医疗护理类，</w:t>
      </w:r>
      <w:r>
        <w:rPr>
          <w:rFonts w:hint="eastAsia" w:ascii="Times New Roman" w:hAnsi="Times New Roman" w:cs="方正仿宋_GBK"/>
          <w:color w:val="auto"/>
          <w:sz w:val="32"/>
          <w:szCs w:val="32"/>
          <w:lang w:eastAsia="zh-CN"/>
        </w:rPr>
        <w:t>拟定</w:t>
      </w:r>
      <w:r>
        <w:rPr>
          <w:rFonts w:hint="eastAsia" w:ascii="Times New Roman" w:hAnsi="Times New Roman" w:eastAsia="方正仿宋_GBK" w:cs="方正仿宋_GBK"/>
          <w:color w:val="auto"/>
          <w:sz w:val="32"/>
          <w:szCs w:val="32"/>
          <w:lang w:eastAsia="zh-CN"/>
        </w:rPr>
        <w:t>资金</w:t>
      </w:r>
      <w:r>
        <w:rPr>
          <w:rFonts w:hint="eastAsia" w:cs="方正仿宋_GBK"/>
          <w:color w:val="auto"/>
          <w:sz w:val="32"/>
          <w:szCs w:val="32"/>
          <w:lang w:val="en-US" w:eastAsia="zh-CN"/>
        </w:rPr>
        <w:t>1</w:t>
      </w:r>
      <w:r>
        <w:rPr>
          <w:rFonts w:hint="eastAsia" w:ascii="Times New Roman" w:hAnsi="Times New Roman" w:eastAsia="方正仿宋_GBK" w:cs="方正仿宋_GBK"/>
          <w:color w:val="auto"/>
          <w:sz w:val="32"/>
          <w:szCs w:val="32"/>
          <w:lang w:val="en-US" w:eastAsia="zh-CN"/>
        </w:rPr>
        <w:t>00万</w:t>
      </w:r>
      <w:r>
        <w:rPr>
          <w:rFonts w:hint="eastAsia" w:ascii="Times New Roman" w:hAnsi="Times New Roman" w:eastAsia="方正仿宋_GBK" w:cs="方正仿宋_GBK"/>
          <w:color w:val="auto"/>
          <w:sz w:val="32"/>
          <w:szCs w:val="32"/>
          <w:lang w:eastAsia="zh-CN"/>
        </w:rPr>
        <w:t>。</w:t>
      </w:r>
    </w:p>
    <w:p w14:paraId="1AB75A59">
      <w:pPr>
        <w:keepNext w:val="0"/>
        <w:keepLines w:val="0"/>
        <w:pageBreakBefore w:val="0"/>
        <w:widowControl w:val="0"/>
        <w:kinsoku/>
        <w:wordWrap/>
        <w:overflowPunct/>
        <w:topLinePunct w:val="0"/>
        <w:autoSpaceDE/>
        <w:autoSpaceDN/>
        <w:bidi w:val="0"/>
        <w:adjustRightInd/>
        <w:snapToGrid/>
        <w:spacing w:line="240" w:lineRule="auto"/>
        <w:ind w:firstLine="604" w:firstLineChars="200"/>
        <w:jc w:val="both"/>
        <w:textAlignment w:val="auto"/>
        <w:rPr>
          <w:rFonts w:hint="eastAsia" w:ascii="Times New Roman" w:hAnsi="Times New Roman" w:eastAsia="方正楷体_GBK" w:cs="方正楷体_GBK"/>
          <w:color w:val="auto"/>
          <w:sz w:val="32"/>
          <w:szCs w:val="32"/>
        </w:rPr>
      </w:pPr>
      <w:r>
        <w:rPr>
          <w:rFonts w:hint="eastAsia" w:ascii="Times New Roman" w:hAnsi="Times New Roman" w:eastAsia="方正楷体_GBK" w:cs="方正楷体_GBK"/>
          <w:color w:val="auto"/>
          <w:sz w:val="32"/>
          <w:szCs w:val="32"/>
        </w:rPr>
        <w:t>1.</w:t>
      </w:r>
      <w:r>
        <w:rPr>
          <w:rFonts w:hint="eastAsia" w:ascii="Times New Roman" w:hAnsi="Times New Roman" w:eastAsia="方正楷体_GBK" w:cs="方正楷体_GBK"/>
          <w:color w:val="auto"/>
          <w:sz w:val="32"/>
          <w:szCs w:val="32"/>
          <w:lang w:val="en-US" w:eastAsia="zh-CN"/>
        </w:rPr>
        <w:t>7</w:t>
      </w:r>
      <w:r>
        <w:rPr>
          <w:rFonts w:hint="eastAsia" w:ascii="Times New Roman" w:hAnsi="Times New Roman" w:eastAsia="方正楷体_GBK" w:cs="方正楷体_GBK"/>
          <w:color w:val="auto"/>
          <w:sz w:val="32"/>
          <w:szCs w:val="32"/>
        </w:rPr>
        <w:t xml:space="preserve"> </w:t>
      </w:r>
      <w:r>
        <w:rPr>
          <w:rFonts w:hint="eastAsia" w:ascii="Times New Roman" w:hAnsi="Times New Roman" w:eastAsia="方正楷体_GBK" w:cs="方正楷体_GBK"/>
          <w:color w:val="auto"/>
          <w:sz w:val="32"/>
          <w:szCs w:val="32"/>
          <w:lang w:eastAsia="zh-CN"/>
        </w:rPr>
        <w:t>服务</w:t>
      </w:r>
      <w:r>
        <w:rPr>
          <w:rFonts w:hint="eastAsia" w:ascii="Times New Roman" w:hAnsi="Times New Roman" w:eastAsia="方正楷体_GBK" w:cs="方正楷体_GBK"/>
          <w:color w:val="auto"/>
          <w:sz w:val="32"/>
          <w:szCs w:val="32"/>
        </w:rPr>
        <w:t>期限</w:t>
      </w:r>
    </w:p>
    <w:p w14:paraId="4BE75A81">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04" w:firstLineChars="200"/>
        <w:jc w:val="both"/>
        <w:textAlignment w:val="auto"/>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lang w:eastAsia="zh-CN"/>
        </w:rPr>
        <w:t>两</w:t>
      </w:r>
      <w:r>
        <w:rPr>
          <w:rFonts w:hint="eastAsia" w:ascii="Times New Roman" w:hAnsi="Times New Roman" w:eastAsia="方正仿宋_GBK" w:cs="方正仿宋_GBK"/>
          <w:color w:val="auto"/>
          <w:sz w:val="32"/>
          <w:szCs w:val="32"/>
        </w:rPr>
        <w:t>年</w:t>
      </w:r>
      <w:r>
        <w:rPr>
          <w:rFonts w:hint="eastAsia" w:ascii="Times New Roman" w:hAnsi="Times New Roman" w:eastAsia="方正仿宋_GBK" w:cs="方正仿宋_GBK"/>
          <w:color w:val="auto"/>
          <w:sz w:val="32"/>
          <w:szCs w:val="32"/>
          <w:lang w:eastAsia="zh-CN"/>
        </w:rPr>
        <w:t>。</w:t>
      </w:r>
      <w:r>
        <w:rPr>
          <w:rFonts w:hint="eastAsia" w:ascii="Times New Roman" w:hAnsi="Times New Roman" w:eastAsia="方正仿宋_GBK" w:cs="方正仿宋_GBK"/>
          <w:color w:val="auto"/>
          <w:sz w:val="32"/>
          <w:szCs w:val="32"/>
          <w:lang w:val="en-US" w:eastAsia="zh-CN"/>
        </w:rPr>
        <w:t>2026年8月1日至2028年7月31日</w:t>
      </w:r>
      <w:r>
        <w:rPr>
          <w:rFonts w:hint="eastAsia" w:ascii="Times New Roman" w:hAnsi="Times New Roman" w:eastAsia="方正仿宋_GBK" w:cs="方正仿宋_GBK"/>
          <w:color w:val="auto"/>
          <w:sz w:val="32"/>
          <w:szCs w:val="32"/>
        </w:rPr>
        <w:t>。</w:t>
      </w:r>
    </w:p>
    <w:p w14:paraId="43C9CC59">
      <w:pPr>
        <w:keepNext w:val="0"/>
        <w:keepLines w:val="0"/>
        <w:pageBreakBefore w:val="0"/>
        <w:widowControl w:val="0"/>
        <w:kinsoku/>
        <w:wordWrap/>
        <w:overflowPunct/>
        <w:topLinePunct w:val="0"/>
        <w:autoSpaceDE/>
        <w:autoSpaceDN/>
        <w:bidi w:val="0"/>
        <w:adjustRightInd/>
        <w:snapToGrid/>
        <w:spacing w:line="240" w:lineRule="auto"/>
        <w:ind w:firstLine="604" w:firstLineChars="200"/>
        <w:jc w:val="both"/>
        <w:textAlignment w:val="auto"/>
        <w:rPr>
          <w:rFonts w:hint="eastAsia" w:ascii="Times New Roman" w:hAnsi="Times New Roman" w:eastAsia="方正楷体_GBK" w:cs="方正楷体_GBK"/>
          <w:color w:val="auto"/>
          <w:sz w:val="32"/>
          <w:szCs w:val="32"/>
          <w:lang w:val="en-US" w:eastAsia="zh-CN"/>
        </w:rPr>
      </w:pPr>
      <w:r>
        <w:rPr>
          <w:rFonts w:hint="eastAsia" w:ascii="Times New Roman" w:hAnsi="Times New Roman" w:eastAsia="方正楷体_GBK" w:cs="方正楷体_GBK"/>
          <w:color w:val="auto"/>
          <w:sz w:val="32"/>
          <w:szCs w:val="32"/>
          <w:lang w:val="en-US" w:eastAsia="zh-CN"/>
        </w:rPr>
        <w:t>1.8 服务协议的签订</w:t>
      </w:r>
    </w:p>
    <w:p w14:paraId="52EE4860">
      <w:pPr>
        <w:keepNext w:val="0"/>
        <w:keepLines w:val="0"/>
        <w:pageBreakBefore w:val="0"/>
        <w:widowControl w:val="0"/>
        <w:kinsoku/>
        <w:wordWrap/>
        <w:overflowPunct/>
        <w:topLinePunct w:val="0"/>
        <w:autoSpaceDE/>
        <w:autoSpaceDN/>
        <w:bidi w:val="0"/>
        <w:adjustRightInd/>
        <w:snapToGrid/>
        <w:spacing w:line="240" w:lineRule="auto"/>
        <w:ind w:firstLine="604" w:firstLineChars="200"/>
        <w:jc w:val="both"/>
        <w:textAlignment w:val="auto"/>
        <w:rPr>
          <w:rFonts w:hint="default"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本协议不再签订书面框架协议，发布入围结果公告，视为签订框架协议。</w:t>
      </w:r>
    </w:p>
    <w:p w14:paraId="7BA03816">
      <w:pPr>
        <w:keepNext w:val="0"/>
        <w:keepLines w:val="0"/>
        <w:pageBreakBefore w:val="0"/>
        <w:widowControl w:val="0"/>
        <w:kinsoku/>
        <w:wordWrap/>
        <w:overflowPunct/>
        <w:topLinePunct w:val="0"/>
        <w:autoSpaceDE/>
        <w:autoSpaceDN/>
        <w:bidi w:val="0"/>
        <w:adjustRightInd/>
        <w:snapToGrid/>
        <w:spacing w:line="240" w:lineRule="auto"/>
        <w:ind w:firstLine="604" w:firstLineChars="200"/>
        <w:jc w:val="both"/>
        <w:textAlignment w:val="auto"/>
        <w:rPr>
          <w:rFonts w:hint="eastAsia" w:ascii="Times New Roman" w:hAnsi="Times New Roman" w:eastAsia="方正楷体_GBK" w:cs="方正楷体_GBK"/>
          <w:sz w:val="32"/>
          <w:szCs w:val="32"/>
          <w:lang w:eastAsia="zh-CN"/>
        </w:rPr>
      </w:pPr>
      <w:r>
        <w:rPr>
          <w:rFonts w:hint="eastAsia" w:ascii="Times New Roman" w:hAnsi="Times New Roman" w:eastAsia="方正楷体_GBK" w:cs="方正楷体_GBK"/>
          <w:sz w:val="32"/>
          <w:szCs w:val="32"/>
        </w:rPr>
        <w:t>1.</w:t>
      </w:r>
      <w:r>
        <w:rPr>
          <w:rFonts w:hint="eastAsia" w:ascii="Times New Roman" w:hAnsi="Times New Roman" w:eastAsia="方正楷体_GBK" w:cs="方正楷体_GBK"/>
          <w:sz w:val="32"/>
          <w:szCs w:val="32"/>
          <w:lang w:val="en-US" w:eastAsia="zh-CN"/>
        </w:rPr>
        <w:t xml:space="preserve">9 </w:t>
      </w:r>
      <w:r>
        <w:rPr>
          <w:rFonts w:hint="eastAsia" w:ascii="Times New Roman" w:hAnsi="Times New Roman" w:eastAsia="方正楷体_GBK" w:cs="方正楷体_GBK"/>
          <w:sz w:val="32"/>
          <w:szCs w:val="32"/>
        </w:rPr>
        <w:t>项目背景</w:t>
      </w:r>
    </w:p>
    <w:p w14:paraId="1A33D0F7">
      <w:pPr>
        <w:keepNext w:val="0"/>
        <w:keepLines w:val="0"/>
        <w:pageBreakBefore w:val="0"/>
        <w:widowControl w:val="0"/>
        <w:kinsoku/>
        <w:wordWrap/>
        <w:overflowPunct/>
        <w:topLinePunct w:val="0"/>
        <w:autoSpaceDE/>
        <w:autoSpaceDN/>
        <w:bidi w:val="0"/>
        <w:adjustRightInd/>
        <w:snapToGrid/>
        <w:spacing w:line="240" w:lineRule="auto"/>
        <w:ind w:firstLine="604" w:firstLineChars="200"/>
        <w:jc w:val="both"/>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随着我国人口老龄化的加剧，老年人口数量持续增长，养老服务需求日益旺盛。为提升老年群体的生活品质，增强其获得感与幸福感，</w:t>
      </w:r>
      <w:r>
        <w:rPr>
          <w:rFonts w:hint="eastAsia" w:ascii="Times New Roman" w:hAnsi="Times New Roman" w:eastAsia="方正仿宋_GBK" w:cs="方正仿宋_GBK"/>
          <w:sz w:val="32"/>
          <w:szCs w:val="32"/>
          <w:lang w:val="en-US" w:eastAsia="zh-CN"/>
        </w:rPr>
        <w:t>2025年7月，我市</w:t>
      </w:r>
      <w:r>
        <w:rPr>
          <w:rFonts w:hint="eastAsia" w:ascii="Times New Roman" w:hAnsi="Times New Roman" w:eastAsia="方正仿宋_GBK" w:cs="方正仿宋_GBK"/>
          <w:sz w:val="32"/>
          <w:szCs w:val="32"/>
          <w:lang w:eastAsia="zh-CN"/>
        </w:rPr>
        <w:t>启动居家</w:t>
      </w:r>
      <w:r>
        <w:rPr>
          <w:rFonts w:hint="eastAsia" w:ascii="Times New Roman" w:hAnsi="Times New Roman" w:eastAsia="方正仿宋_GBK" w:cs="方正仿宋_GBK"/>
          <w:sz w:val="32"/>
          <w:szCs w:val="32"/>
        </w:rPr>
        <w:t>养老</w:t>
      </w:r>
      <w:r>
        <w:rPr>
          <w:rFonts w:hint="eastAsia" w:ascii="Times New Roman" w:hAnsi="Times New Roman" w:eastAsia="方正仿宋_GBK" w:cs="方正仿宋_GBK"/>
          <w:sz w:val="32"/>
          <w:szCs w:val="32"/>
          <w:lang w:eastAsia="zh-CN"/>
        </w:rPr>
        <w:t>援助</w:t>
      </w:r>
      <w:r>
        <w:rPr>
          <w:rFonts w:hint="eastAsia" w:ascii="Times New Roman" w:hAnsi="Times New Roman" w:eastAsia="方正仿宋_GBK" w:cs="方正仿宋_GBK"/>
          <w:sz w:val="32"/>
          <w:szCs w:val="32"/>
        </w:rPr>
        <w:t>服务“银龄卡”</w:t>
      </w:r>
      <w:r>
        <w:rPr>
          <w:rFonts w:hint="eastAsia" w:ascii="Times New Roman" w:hAnsi="Times New Roman" w:eastAsia="方正仿宋_GBK" w:cs="方正仿宋_GBK"/>
          <w:sz w:val="32"/>
          <w:szCs w:val="32"/>
          <w:lang w:eastAsia="zh-CN"/>
        </w:rPr>
        <w:t>试点工作，</w:t>
      </w:r>
      <w:r>
        <w:rPr>
          <w:rFonts w:hint="eastAsia" w:ascii="Times New Roman" w:hAnsi="Times New Roman" w:eastAsia="方正仿宋_GBK" w:cs="方正仿宋_GBK"/>
          <w:sz w:val="32"/>
          <w:szCs w:val="32"/>
        </w:rPr>
        <w:t>通过整合社会资源，创新服务模式，满足老年人个性化、多样化</w:t>
      </w:r>
      <w:r>
        <w:rPr>
          <w:rFonts w:hint="eastAsia" w:ascii="Times New Roman" w:hAnsi="Times New Roman" w:eastAsia="方正仿宋_GBK" w:cs="方正仿宋_GBK"/>
          <w:sz w:val="32"/>
          <w:szCs w:val="32"/>
          <w:lang w:eastAsia="zh-CN"/>
        </w:rPr>
        <w:t>的</w:t>
      </w:r>
      <w:r>
        <w:rPr>
          <w:rFonts w:hint="eastAsia" w:ascii="Times New Roman" w:hAnsi="Times New Roman" w:eastAsia="方正仿宋_GBK" w:cs="方正仿宋_GBK"/>
          <w:sz w:val="32"/>
          <w:szCs w:val="32"/>
        </w:rPr>
        <w:t>服务需求。</w:t>
      </w:r>
    </w:p>
    <w:p w14:paraId="135FE639">
      <w:pPr>
        <w:keepNext w:val="0"/>
        <w:keepLines w:val="0"/>
        <w:pageBreakBefore w:val="0"/>
        <w:widowControl w:val="0"/>
        <w:kinsoku/>
        <w:wordWrap/>
        <w:overflowPunct/>
        <w:topLinePunct w:val="0"/>
        <w:autoSpaceDE/>
        <w:autoSpaceDN/>
        <w:bidi w:val="0"/>
        <w:adjustRightInd/>
        <w:snapToGrid/>
        <w:spacing w:line="240" w:lineRule="auto"/>
        <w:ind w:firstLine="604" w:firstLineChars="200"/>
        <w:jc w:val="both"/>
        <w:textAlignment w:val="auto"/>
        <w:rPr>
          <w:rFonts w:hint="eastAsia" w:ascii="Times New Roman" w:hAnsi="Times New Roman" w:eastAsia="方正黑体_GBK" w:cs="方正黑体_GBK"/>
          <w:sz w:val="32"/>
          <w:szCs w:val="32"/>
          <w:lang w:eastAsia="zh-CN"/>
        </w:rPr>
      </w:pPr>
      <w:r>
        <w:rPr>
          <w:rFonts w:hint="eastAsia" w:ascii="Times New Roman" w:hAnsi="Times New Roman" w:eastAsia="方正黑体_GBK" w:cs="方正黑体_GBK"/>
          <w:sz w:val="32"/>
          <w:szCs w:val="32"/>
        </w:rPr>
        <w:t>二、服务对象与补贴</w:t>
      </w:r>
      <w:r>
        <w:rPr>
          <w:rFonts w:hint="eastAsia" w:ascii="Times New Roman" w:hAnsi="Times New Roman" w:eastAsia="方正黑体_GBK" w:cs="方正黑体_GBK"/>
          <w:sz w:val="32"/>
          <w:szCs w:val="32"/>
          <w:lang w:eastAsia="zh-CN"/>
        </w:rPr>
        <w:t>内容</w:t>
      </w:r>
    </w:p>
    <w:p w14:paraId="28294A63">
      <w:pPr>
        <w:keepNext w:val="0"/>
        <w:keepLines w:val="0"/>
        <w:pageBreakBefore w:val="0"/>
        <w:widowControl w:val="0"/>
        <w:kinsoku/>
        <w:wordWrap/>
        <w:overflowPunct/>
        <w:topLinePunct w:val="0"/>
        <w:autoSpaceDE/>
        <w:autoSpaceDN/>
        <w:bidi w:val="0"/>
        <w:adjustRightInd/>
        <w:snapToGrid/>
        <w:spacing w:line="240" w:lineRule="auto"/>
        <w:ind w:firstLine="604" w:firstLineChars="200"/>
        <w:jc w:val="both"/>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服务对象及补贴</w:t>
      </w:r>
      <w:r>
        <w:rPr>
          <w:rFonts w:hint="eastAsia" w:ascii="Times New Roman" w:hAnsi="Times New Roman" w:eastAsia="方正仿宋_GBK" w:cs="方正仿宋_GBK"/>
          <w:sz w:val="32"/>
          <w:szCs w:val="32"/>
          <w:lang w:eastAsia="zh-CN"/>
        </w:rPr>
        <w:t>内容</w:t>
      </w:r>
      <w:r>
        <w:rPr>
          <w:rFonts w:hint="eastAsia" w:ascii="Times New Roman" w:hAnsi="Times New Roman" w:eastAsia="方正仿宋_GBK" w:cs="方正仿宋_GBK"/>
          <w:sz w:val="32"/>
          <w:szCs w:val="32"/>
        </w:rPr>
        <w:t>依据《江阴市居家养老援助服务</w:t>
      </w:r>
      <w:r>
        <w:rPr>
          <w:rFonts w:hint="eastAsia" w:ascii="Times New Roman" w:hAnsi="Times New Roman" w:eastAsia="方正仿宋_GBK" w:cs="方正仿宋_GBK"/>
          <w:sz w:val="32"/>
          <w:szCs w:val="32"/>
          <w:lang w:eastAsia="zh-CN"/>
        </w:rPr>
        <w:t>“银龄卡”试点实施方案</w:t>
      </w:r>
      <w:r>
        <w:rPr>
          <w:rFonts w:hint="eastAsia" w:ascii="Times New Roman" w:hAnsi="Times New Roman" w:eastAsia="方正仿宋_GBK" w:cs="方正仿宋_GBK"/>
          <w:sz w:val="32"/>
          <w:szCs w:val="32"/>
        </w:rPr>
        <w:t>》（澄民字〔202</w:t>
      </w:r>
      <w:r>
        <w:rPr>
          <w:rFonts w:hint="eastAsia" w:ascii="Times New Roman" w:hAnsi="Times New Roman" w:eastAsia="方正仿宋_GBK" w:cs="方正仿宋_GBK"/>
          <w:sz w:val="32"/>
          <w:szCs w:val="32"/>
          <w:lang w:val="en-US" w:eastAsia="zh-CN"/>
        </w:rPr>
        <w:t>5</w:t>
      </w:r>
      <w:r>
        <w:rPr>
          <w:rFonts w:hint="eastAsia" w:ascii="Times New Roman" w:hAnsi="Times New Roman" w:eastAsia="方正仿宋_GBK" w:cs="方正仿宋_GBK"/>
          <w:sz w:val="32"/>
          <w:szCs w:val="32"/>
        </w:rPr>
        <w:t>〕</w:t>
      </w:r>
      <w:r>
        <w:rPr>
          <w:rFonts w:hint="eastAsia" w:ascii="Times New Roman" w:hAnsi="Times New Roman" w:eastAsia="方正仿宋_GBK" w:cs="方正仿宋_GBK"/>
          <w:sz w:val="32"/>
          <w:szCs w:val="32"/>
          <w:lang w:val="en-US" w:eastAsia="zh-CN"/>
        </w:rPr>
        <w:t>28</w:t>
      </w:r>
      <w:r>
        <w:rPr>
          <w:rFonts w:hint="eastAsia" w:ascii="Times New Roman" w:hAnsi="Times New Roman" w:eastAsia="方正仿宋_GBK" w:cs="方正仿宋_GBK"/>
          <w:sz w:val="32"/>
          <w:szCs w:val="32"/>
        </w:rPr>
        <w:t>号）执行。后续如有政府相关部门出台更新的范围、标准，则按最新</w:t>
      </w:r>
      <w:r>
        <w:rPr>
          <w:rFonts w:hint="eastAsia" w:ascii="Times New Roman" w:hAnsi="Times New Roman" w:eastAsia="方正仿宋_GBK" w:cs="方正仿宋_GBK"/>
          <w:sz w:val="32"/>
          <w:szCs w:val="32"/>
          <w:lang w:eastAsia="zh-CN"/>
        </w:rPr>
        <w:t>标准</w:t>
      </w:r>
      <w:r>
        <w:rPr>
          <w:rFonts w:hint="eastAsia" w:ascii="Times New Roman" w:hAnsi="Times New Roman" w:eastAsia="方正仿宋_GBK" w:cs="方正仿宋_GBK"/>
          <w:sz w:val="32"/>
          <w:szCs w:val="32"/>
        </w:rPr>
        <w:t>和</w:t>
      </w:r>
      <w:r>
        <w:rPr>
          <w:rFonts w:hint="eastAsia" w:ascii="Times New Roman" w:hAnsi="Times New Roman" w:eastAsia="方正仿宋_GBK" w:cs="方正仿宋_GBK"/>
          <w:sz w:val="32"/>
          <w:szCs w:val="32"/>
          <w:lang w:eastAsia="zh-CN"/>
        </w:rPr>
        <w:t>内容</w:t>
      </w:r>
      <w:r>
        <w:rPr>
          <w:rFonts w:hint="eastAsia" w:ascii="Times New Roman" w:hAnsi="Times New Roman" w:eastAsia="方正仿宋_GBK" w:cs="方正仿宋_GBK"/>
          <w:sz w:val="32"/>
          <w:szCs w:val="32"/>
        </w:rPr>
        <w:t>执行。</w:t>
      </w:r>
    </w:p>
    <w:p w14:paraId="0E9B9F24">
      <w:pPr>
        <w:keepNext w:val="0"/>
        <w:keepLines w:val="0"/>
        <w:pageBreakBefore w:val="0"/>
        <w:widowControl w:val="0"/>
        <w:kinsoku/>
        <w:wordWrap/>
        <w:overflowPunct/>
        <w:topLinePunct w:val="0"/>
        <w:autoSpaceDE/>
        <w:autoSpaceDN/>
        <w:bidi w:val="0"/>
        <w:adjustRightInd/>
        <w:snapToGrid/>
        <w:spacing w:line="240" w:lineRule="auto"/>
        <w:ind w:firstLine="604" w:firstLineChars="200"/>
        <w:jc w:val="both"/>
        <w:textAlignment w:val="auto"/>
        <w:rPr>
          <w:rFonts w:hint="eastAsia" w:ascii="Times New Roman" w:hAnsi="Times New Roman" w:eastAsia="方正楷体_GBK" w:cs="方正楷体_GBK"/>
          <w:sz w:val="32"/>
          <w:szCs w:val="32"/>
        </w:rPr>
      </w:pPr>
      <w:r>
        <w:rPr>
          <w:rFonts w:hint="eastAsia" w:ascii="Times New Roman" w:hAnsi="Times New Roman" w:eastAsia="方正楷体_GBK" w:cs="方正楷体_GBK"/>
          <w:sz w:val="32"/>
          <w:szCs w:val="32"/>
        </w:rPr>
        <w:t>2.1 服务对象</w:t>
      </w:r>
    </w:p>
    <w:p w14:paraId="42076B3A">
      <w:pPr>
        <w:overflowPunct w:val="0"/>
        <w:spacing w:line="240" w:lineRule="auto"/>
        <w:ind w:firstLine="604" w:firstLineChars="200"/>
        <w:rPr>
          <w:rFonts w:eastAsia="方正楷体_GBK"/>
          <w:color w:val="auto"/>
          <w:szCs w:val="32"/>
        </w:rPr>
      </w:pPr>
      <w:r>
        <w:rPr>
          <w:rFonts w:hint="eastAsia" w:eastAsia="方正楷体_GBK"/>
          <w:color w:val="auto"/>
          <w:szCs w:val="32"/>
        </w:rPr>
        <w:t>具有本市户籍，实际居住在本市范围内，符合下列条件之一的老年人家庭，均可享受政府提供的居家</w:t>
      </w:r>
      <w:r>
        <w:rPr>
          <w:rFonts w:hint="eastAsia" w:eastAsia="方正楷体_GBK"/>
          <w:color w:val="auto"/>
          <w:szCs w:val="32"/>
          <w:lang w:val="en-US" w:eastAsia="zh-CN"/>
        </w:rPr>
        <w:t>养老</w:t>
      </w:r>
      <w:r>
        <w:rPr>
          <w:rFonts w:hint="eastAsia" w:eastAsia="方正楷体_GBK"/>
          <w:color w:val="auto"/>
          <w:szCs w:val="32"/>
        </w:rPr>
        <w:t>服务。</w:t>
      </w:r>
    </w:p>
    <w:p w14:paraId="48FC5B00">
      <w:pPr>
        <w:overflowPunct w:val="0"/>
        <w:spacing w:line="240" w:lineRule="auto"/>
        <w:ind w:firstLine="604" w:firstLineChars="200"/>
        <w:rPr>
          <w:color w:val="auto"/>
          <w:szCs w:val="32"/>
          <w:highlight w:val="none"/>
        </w:rPr>
      </w:pPr>
      <w:r>
        <w:rPr>
          <w:rFonts w:hint="eastAsia"/>
          <w:color w:val="auto"/>
          <w:szCs w:val="32"/>
          <w:highlight w:val="none"/>
        </w:rPr>
        <w:t>1</w:t>
      </w:r>
      <w:r>
        <w:rPr>
          <w:rFonts w:hint="eastAsia"/>
          <w:color w:val="auto"/>
          <w:szCs w:val="32"/>
          <w:highlight w:val="none"/>
          <w:lang w:eastAsia="zh-CN"/>
        </w:rPr>
        <w:t>．</w:t>
      </w:r>
      <w:r>
        <w:rPr>
          <w:rFonts w:hint="eastAsia"/>
          <w:color w:val="auto"/>
          <w:szCs w:val="32"/>
        </w:rPr>
        <w:t>60—69周岁的低保失能老人</w:t>
      </w:r>
      <w:r>
        <w:rPr>
          <w:rFonts w:hint="eastAsia"/>
          <w:color w:val="auto"/>
          <w:szCs w:val="32"/>
          <w:lang w:val="en-US" w:eastAsia="zh-CN"/>
        </w:rPr>
        <w:t>及</w:t>
      </w:r>
      <w:r>
        <w:rPr>
          <w:rFonts w:hint="eastAsia"/>
          <w:color w:val="auto"/>
          <w:szCs w:val="32"/>
          <w:highlight w:val="none"/>
        </w:rPr>
        <w:t>家庭成员均70周岁及以上的低保家庭、低收入家庭；</w:t>
      </w:r>
    </w:p>
    <w:p w14:paraId="1D169D9A">
      <w:pPr>
        <w:numPr>
          <w:ilvl w:val="0"/>
          <w:numId w:val="0"/>
        </w:numPr>
        <w:overflowPunct w:val="0"/>
        <w:spacing w:line="240" w:lineRule="auto"/>
        <w:ind w:firstLine="604" w:firstLineChars="200"/>
        <w:rPr>
          <w:rFonts w:hint="eastAsia"/>
          <w:color w:val="auto"/>
          <w:szCs w:val="32"/>
          <w:highlight w:val="none"/>
        </w:rPr>
      </w:pPr>
      <w:r>
        <w:rPr>
          <w:rFonts w:hint="eastAsia"/>
          <w:color w:val="auto"/>
          <w:szCs w:val="32"/>
          <w:highlight w:val="none"/>
          <w:lang w:val="en-US" w:eastAsia="zh-CN"/>
        </w:rPr>
        <w:t>2．</w:t>
      </w:r>
      <w:r>
        <w:rPr>
          <w:rFonts w:hint="eastAsia"/>
          <w:color w:val="auto"/>
          <w:szCs w:val="32"/>
          <w:highlight w:val="none"/>
        </w:rPr>
        <w:t>本市分散居住的特困老年人家庭；</w:t>
      </w:r>
    </w:p>
    <w:p w14:paraId="3DD215EC">
      <w:pPr>
        <w:overflowPunct w:val="0"/>
        <w:ind w:firstLine="604" w:firstLineChars="200"/>
        <w:rPr>
          <w:color w:val="auto"/>
          <w:szCs w:val="32"/>
          <w:highlight w:val="none"/>
        </w:rPr>
      </w:pPr>
      <w:r>
        <w:rPr>
          <w:rFonts w:hint="eastAsia"/>
          <w:color w:val="auto"/>
          <w:szCs w:val="32"/>
          <w:highlight w:val="none"/>
          <w:lang w:val="en-US" w:eastAsia="zh-CN"/>
        </w:rPr>
        <w:t>3．</w:t>
      </w:r>
      <w:r>
        <w:rPr>
          <w:rFonts w:hint="eastAsia"/>
          <w:color w:val="auto"/>
          <w:szCs w:val="32"/>
          <w:highlight w:val="none"/>
        </w:rPr>
        <w:t>70周岁及以上的独居老年人家庭；</w:t>
      </w:r>
    </w:p>
    <w:p w14:paraId="01154968">
      <w:pPr>
        <w:overflowPunct w:val="0"/>
        <w:ind w:firstLine="604" w:firstLineChars="200"/>
        <w:rPr>
          <w:color w:val="auto"/>
          <w:szCs w:val="32"/>
          <w:highlight w:val="none"/>
        </w:rPr>
      </w:pPr>
      <w:r>
        <w:rPr>
          <w:rFonts w:hint="eastAsia"/>
          <w:color w:val="auto"/>
          <w:szCs w:val="32"/>
          <w:highlight w:val="none"/>
        </w:rPr>
        <w:t>4</w:t>
      </w:r>
      <w:r>
        <w:rPr>
          <w:rFonts w:hint="eastAsia"/>
          <w:color w:val="auto"/>
          <w:szCs w:val="32"/>
          <w:highlight w:val="none"/>
          <w:lang w:eastAsia="zh-CN"/>
        </w:rPr>
        <w:t>．</w:t>
      </w:r>
      <w:r>
        <w:rPr>
          <w:rFonts w:hint="eastAsia"/>
          <w:color w:val="auto"/>
          <w:szCs w:val="32"/>
          <w:highlight w:val="none"/>
        </w:rPr>
        <w:t>家庭成员中有重度残疾对象（残疾等级为1级、2级，聋哑人除外）的纯老年人家庭；</w:t>
      </w:r>
    </w:p>
    <w:p w14:paraId="4195FB2B">
      <w:pPr>
        <w:overflowPunct w:val="0"/>
        <w:ind w:firstLine="604" w:firstLineChars="200"/>
        <w:rPr>
          <w:color w:val="auto"/>
          <w:szCs w:val="32"/>
        </w:rPr>
      </w:pPr>
      <w:r>
        <w:rPr>
          <w:rFonts w:hint="eastAsia"/>
          <w:color w:val="auto"/>
          <w:szCs w:val="32"/>
          <w:highlight w:val="none"/>
        </w:rPr>
        <w:t>5</w:t>
      </w:r>
      <w:r>
        <w:rPr>
          <w:rFonts w:hint="eastAsia"/>
          <w:color w:val="auto"/>
          <w:szCs w:val="32"/>
          <w:highlight w:val="none"/>
          <w:lang w:eastAsia="zh-CN"/>
        </w:rPr>
        <w:t>．</w:t>
      </w:r>
      <w:r>
        <w:rPr>
          <w:rFonts w:hint="eastAsia"/>
          <w:color w:val="auto"/>
          <w:szCs w:val="32"/>
          <w:highlight w:val="none"/>
        </w:rPr>
        <w:t>纳入计划生育特殊扶助制度的老年人家庭；</w:t>
      </w:r>
    </w:p>
    <w:p w14:paraId="4CE4A057">
      <w:pPr>
        <w:overflowPunct w:val="0"/>
        <w:ind w:firstLine="604" w:firstLineChars="200"/>
        <w:rPr>
          <w:color w:val="auto"/>
          <w:szCs w:val="32"/>
        </w:rPr>
      </w:pPr>
      <w:r>
        <w:rPr>
          <w:rFonts w:hint="eastAsia"/>
          <w:color w:val="auto"/>
          <w:szCs w:val="32"/>
        </w:rPr>
        <w:t>6</w:t>
      </w:r>
      <w:r>
        <w:rPr>
          <w:rFonts w:hint="eastAsia"/>
          <w:color w:val="auto"/>
          <w:szCs w:val="32"/>
          <w:lang w:eastAsia="zh-CN"/>
        </w:rPr>
        <w:t>．</w:t>
      </w:r>
      <w:r>
        <w:rPr>
          <w:rFonts w:hint="eastAsia"/>
          <w:color w:val="auto"/>
          <w:szCs w:val="32"/>
        </w:rPr>
        <w:t>家庭成员中有定期领取抚恤金或补助金的重点优抚对象的老年人家庭；</w:t>
      </w:r>
    </w:p>
    <w:p w14:paraId="204EF3B9">
      <w:pPr>
        <w:overflowPunct w:val="0"/>
        <w:ind w:firstLine="604" w:firstLineChars="200"/>
        <w:rPr>
          <w:color w:val="auto"/>
          <w:szCs w:val="32"/>
        </w:rPr>
      </w:pPr>
      <w:r>
        <w:rPr>
          <w:rFonts w:hint="eastAsia"/>
          <w:color w:val="auto"/>
          <w:szCs w:val="32"/>
        </w:rPr>
        <w:t>7</w:t>
      </w:r>
      <w:r>
        <w:rPr>
          <w:rFonts w:hint="eastAsia"/>
          <w:color w:val="auto"/>
          <w:szCs w:val="32"/>
          <w:lang w:eastAsia="zh-CN"/>
        </w:rPr>
        <w:t>．</w:t>
      </w:r>
      <w:r>
        <w:rPr>
          <w:rFonts w:hint="eastAsia"/>
          <w:color w:val="auto"/>
          <w:szCs w:val="32"/>
        </w:rPr>
        <w:t>家庭成员中有市级以上劳动模范的老年人家庭；</w:t>
      </w:r>
    </w:p>
    <w:p w14:paraId="672E1111">
      <w:pPr>
        <w:overflowPunct w:val="0"/>
        <w:ind w:firstLine="604" w:firstLineChars="200"/>
        <w:rPr>
          <w:rFonts w:hint="eastAsia" w:eastAsia="方正仿宋_GBK"/>
          <w:color w:val="auto"/>
          <w:szCs w:val="32"/>
          <w:lang w:val="en-US" w:eastAsia="zh-CN"/>
        </w:rPr>
      </w:pPr>
      <w:r>
        <w:rPr>
          <w:rFonts w:hint="eastAsia"/>
          <w:color w:val="auto"/>
          <w:szCs w:val="32"/>
        </w:rPr>
        <w:t>8</w:t>
      </w:r>
      <w:r>
        <w:rPr>
          <w:rFonts w:hint="eastAsia"/>
          <w:color w:val="auto"/>
          <w:szCs w:val="32"/>
          <w:lang w:eastAsia="zh-CN"/>
        </w:rPr>
        <w:t>．</w:t>
      </w:r>
      <w:r>
        <w:rPr>
          <w:rFonts w:hint="eastAsia"/>
          <w:color w:val="auto"/>
          <w:szCs w:val="32"/>
          <w:highlight w:val="none"/>
          <w:lang w:val="en-US" w:eastAsia="zh-CN"/>
        </w:rPr>
        <w:t>80</w:t>
      </w:r>
      <w:r>
        <w:rPr>
          <w:rFonts w:hint="eastAsia"/>
          <w:color w:val="auto"/>
          <w:szCs w:val="32"/>
          <w:highlight w:val="none"/>
        </w:rPr>
        <w:t>周岁及以上的老年人家庭</w:t>
      </w:r>
      <w:r>
        <w:rPr>
          <w:rFonts w:hint="eastAsia"/>
          <w:color w:val="auto"/>
          <w:szCs w:val="32"/>
          <w:highlight w:val="none"/>
          <w:lang w:eastAsia="zh-CN"/>
        </w:rPr>
        <w:t>。</w:t>
      </w:r>
    </w:p>
    <w:p w14:paraId="5273E0F5">
      <w:pPr>
        <w:keepNext w:val="0"/>
        <w:keepLines w:val="0"/>
        <w:pageBreakBefore w:val="0"/>
        <w:widowControl w:val="0"/>
        <w:kinsoku/>
        <w:wordWrap/>
        <w:overflowPunct/>
        <w:topLinePunct w:val="0"/>
        <w:autoSpaceDE/>
        <w:autoSpaceDN/>
        <w:bidi w:val="0"/>
        <w:adjustRightInd/>
        <w:snapToGrid/>
        <w:spacing w:line="240" w:lineRule="auto"/>
        <w:ind w:firstLine="604" w:firstLineChars="200"/>
        <w:jc w:val="both"/>
        <w:textAlignment w:val="auto"/>
        <w:rPr>
          <w:rFonts w:hint="eastAsia" w:ascii="Times New Roman" w:hAnsi="Times New Roman" w:eastAsia="方正楷体_GBK" w:cs="方正楷体_GBK"/>
          <w:sz w:val="32"/>
          <w:szCs w:val="32"/>
          <w:lang w:eastAsia="zh-CN"/>
        </w:rPr>
      </w:pPr>
      <w:r>
        <w:rPr>
          <w:rFonts w:hint="eastAsia" w:ascii="Times New Roman" w:hAnsi="Times New Roman" w:eastAsia="方正楷体_GBK" w:cs="方正楷体_GBK"/>
          <w:sz w:val="32"/>
          <w:szCs w:val="32"/>
        </w:rPr>
        <w:t>2.</w:t>
      </w:r>
      <w:r>
        <w:rPr>
          <w:rFonts w:hint="eastAsia" w:ascii="Times New Roman" w:hAnsi="Times New Roman" w:eastAsia="方正楷体_GBK" w:cs="方正楷体_GBK"/>
          <w:sz w:val="32"/>
          <w:szCs w:val="32"/>
          <w:lang w:val="en-US" w:eastAsia="zh-CN"/>
        </w:rPr>
        <w:t xml:space="preserve">2 </w:t>
      </w:r>
      <w:r>
        <w:rPr>
          <w:rFonts w:hint="eastAsia" w:ascii="Times New Roman" w:hAnsi="Times New Roman" w:eastAsia="方正楷体_GBK" w:cs="方正楷体_GBK"/>
          <w:sz w:val="32"/>
          <w:szCs w:val="32"/>
        </w:rPr>
        <w:t>补贴</w:t>
      </w:r>
      <w:r>
        <w:rPr>
          <w:rFonts w:hint="eastAsia" w:ascii="Times New Roman" w:hAnsi="Times New Roman" w:eastAsia="方正楷体_GBK" w:cs="方正楷体_GBK"/>
          <w:sz w:val="32"/>
          <w:szCs w:val="32"/>
          <w:lang w:eastAsia="zh-CN"/>
        </w:rPr>
        <w:t>标准</w:t>
      </w:r>
    </w:p>
    <w:p w14:paraId="5D0CB61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04" w:firstLineChars="200"/>
        <w:jc w:val="both"/>
        <w:textAlignment w:val="auto"/>
        <w:rPr>
          <w:rFonts w:hint="default" w:ascii="Times New Roman" w:hAnsi="Times New Roman" w:eastAsia="方正仿宋_GBK" w:cs="方正仿宋_GBK"/>
          <w:sz w:val="32"/>
          <w:szCs w:val="32"/>
          <w:lang w:val="en-US" w:eastAsia="zh-CN"/>
        </w:rPr>
      </w:pPr>
      <w:r>
        <w:rPr>
          <w:rFonts w:hint="default" w:ascii="Times New Roman" w:hAnsi="Times New Roman" w:eastAsia="方正仿宋_GBK" w:cs="方正仿宋_GBK"/>
          <w:sz w:val="32"/>
          <w:szCs w:val="32"/>
          <w:lang w:val="en-US" w:eastAsia="zh-CN"/>
        </w:rPr>
        <w:t>1．生活需全护理型的70周岁及以上分散居住特困老年人家庭和生活需全护理型的60周岁及以上低保老人给予每户每月9个工时，合计270元标准的服务；</w:t>
      </w:r>
    </w:p>
    <w:p w14:paraId="0E07695D">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604" w:firstLineChars="200"/>
        <w:jc w:val="both"/>
        <w:textAlignment w:val="auto"/>
        <w:rPr>
          <w:rFonts w:hint="default" w:ascii="Times New Roman" w:hAnsi="Times New Roman" w:eastAsia="方正仿宋_GBK" w:cs="方正仿宋_GBK"/>
          <w:sz w:val="32"/>
          <w:szCs w:val="32"/>
          <w:lang w:val="en-US" w:eastAsia="zh-CN"/>
        </w:rPr>
      </w:pPr>
      <w:r>
        <w:rPr>
          <w:rFonts w:hint="default" w:ascii="Times New Roman" w:hAnsi="Times New Roman" w:eastAsia="方正仿宋_GBK" w:cs="方正仿宋_GBK"/>
          <w:sz w:val="32"/>
          <w:szCs w:val="32"/>
          <w:lang w:val="en-US" w:eastAsia="zh-CN"/>
        </w:rPr>
        <w:t>2．生活需半护理型的70周岁及以上分散居住特困老年人家庭、生活需半护理型的60周岁及以上低保老人和生活需要全护理的低收入家庭，给予每户每月6个工时，合计180元标准的服务；</w:t>
      </w:r>
    </w:p>
    <w:p w14:paraId="475B097F">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604" w:firstLineChars="200"/>
        <w:jc w:val="both"/>
        <w:textAlignment w:val="auto"/>
        <w:rPr>
          <w:rFonts w:hint="default" w:ascii="Times New Roman" w:hAnsi="Times New Roman" w:eastAsia="方正仿宋_GBK" w:cs="方正仿宋_GBK"/>
          <w:sz w:val="32"/>
          <w:szCs w:val="32"/>
          <w:lang w:val="en-US" w:eastAsia="zh-CN"/>
        </w:rPr>
      </w:pPr>
      <w:r>
        <w:rPr>
          <w:rFonts w:hint="default" w:ascii="Times New Roman" w:hAnsi="Times New Roman" w:eastAsia="方正仿宋_GBK" w:cs="方正仿宋_GBK"/>
          <w:sz w:val="32"/>
          <w:szCs w:val="32"/>
          <w:lang w:val="en-US" w:eastAsia="zh-CN"/>
        </w:rPr>
        <w:t>3．其余类型给予每户每月2个工时，合计60元标准的服务；4．对家庭成员中具有2名及以上人员同时符合三种标准的，仅按户提供服务，服务工时不按符合条件人数累加，同时服务对象可按服务工时高的执行，但不得重复享受；</w:t>
      </w:r>
    </w:p>
    <w:p w14:paraId="4CC7D59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604" w:firstLineChars="200"/>
        <w:jc w:val="both"/>
        <w:textAlignment w:val="auto"/>
        <w:rPr>
          <w:rFonts w:hint="default" w:ascii="Times New Roman" w:hAnsi="Times New Roman" w:eastAsia="方正仿宋_GBK" w:cs="方正仿宋_GBK"/>
          <w:sz w:val="32"/>
          <w:szCs w:val="32"/>
          <w:lang w:val="en-US" w:eastAsia="zh-CN"/>
        </w:rPr>
      </w:pPr>
      <w:r>
        <w:rPr>
          <w:rFonts w:hint="default" w:ascii="Times New Roman" w:hAnsi="Times New Roman" w:eastAsia="方正仿宋_GBK" w:cs="方正仿宋_GBK"/>
          <w:sz w:val="32"/>
          <w:szCs w:val="32"/>
          <w:lang w:val="en-US" w:eastAsia="zh-CN"/>
        </w:rPr>
        <w:t>4．对不属于政府购买范围内的其他服务项目，老年人家庭确实需要的，可由其与服务机构另外签订服务协议并自行支付费用；</w:t>
      </w:r>
    </w:p>
    <w:p w14:paraId="2158A201">
      <w:pPr>
        <w:overflowPunct w:val="0"/>
        <w:ind w:firstLine="604" w:firstLineChars="200"/>
        <w:rPr>
          <w:color w:val="auto"/>
          <w:szCs w:val="32"/>
        </w:rPr>
      </w:pPr>
      <w:r>
        <w:rPr>
          <w:rFonts w:hint="eastAsia"/>
          <w:color w:val="auto"/>
          <w:szCs w:val="32"/>
        </w:rPr>
        <w:t>5．对不属于本办法规定政府购买范围内的其他服务项目，老年人家庭确实需要的，可由其与服务机构另外签订服务协议并自行支付费用；</w:t>
      </w:r>
    </w:p>
    <w:p w14:paraId="44D16097">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04" w:firstLineChars="200"/>
        <w:jc w:val="both"/>
        <w:textAlignment w:val="auto"/>
        <w:rPr>
          <w:rFonts w:hint="eastAsia" w:ascii="Times New Roman" w:hAnsi="Times New Roman" w:eastAsia="方正仿宋_GBK" w:cs="方正仿宋_GBK"/>
          <w:color w:val="auto"/>
          <w:sz w:val="32"/>
          <w:szCs w:val="32"/>
          <w:highlight w:val="none"/>
          <w:lang w:val="en-US" w:eastAsia="zh-CN"/>
        </w:rPr>
      </w:pPr>
      <w:r>
        <w:rPr>
          <w:rFonts w:hint="eastAsia" w:ascii="Times New Roman" w:hAnsi="Times New Roman" w:eastAsia="方正楷体_GBK" w:cs="方正楷体_GBK"/>
          <w:color w:val="auto"/>
          <w:sz w:val="32"/>
          <w:szCs w:val="32"/>
          <w:lang w:val="en-US" w:eastAsia="zh-CN"/>
        </w:rPr>
        <w:t>2.3. 补贴方式</w:t>
      </w:r>
    </w:p>
    <w:p w14:paraId="48DBCEB9">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04" w:firstLineChars="200"/>
        <w:jc w:val="both"/>
        <w:textAlignment w:val="auto"/>
        <w:rPr>
          <w:rFonts w:hint="eastAsia" w:ascii="Times New Roman" w:hAnsi="Times New Roman" w:eastAsia="方正仿宋_GBK" w:cs="方正仿宋_GBK"/>
          <w:color w:val="auto"/>
          <w:sz w:val="32"/>
          <w:szCs w:val="32"/>
          <w:highlight w:val="none"/>
          <w:lang w:val="en-US" w:eastAsia="zh-CN"/>
        </w:rPr>
      </w:pPr>
      <w:r>
        <w:rPr>
          <w:rFonts w:hint="default" w:ascii="Times New Roman" w:hAnsi="Times New Roman" w:eastAsia="方正仿宋_GBK" w:cs="方正仿宋_GBK"/>
          <w:color w:val="auto"/>
          <w:sz w:val="32"/>
          <w:szCs w:val="32"/>
          <w:highlight w:val="none"/>
          <w:lang w:val="en-US" w:eastAsia="zh-CN"/>
        </w:rPr>
        <w:t>项目中</w:t>
      </w:r>
      <w:r>
        <w:rPr>
          <w:rFonts w:hint="eastAsia" w:ascii="Times New Roman" w:hAnsi="Times New Roman" w:cs="方正仿宋_GBK"/>
          <w:color w:val="auto"/>
          <w:sz w:val="32"/>
          <w:szCs w:val="32"/>
          <w:highlight w:val="none"/>
          <w:lang w:val="en-US" w:eastAsia="zh-CN"/>
        </w:rPr>
        <w:t>1—</w:t>
      </w:r>
      <w:r>
        <w:rPr>
          <w:rFonts w:hint="eastAsia" w:cs="方正仿宋_GBK"/>
          <w:color w:val="auto"/>
          <w:sz w:val="32"/>
          <w:szCs w:val="32"/>
          <w:highlight w:val="none"/>
          <w:lang w:val="en-US" w:eastAsia="zh-CN"/>
        </w:rPr>
        <w:t>7</w:t>
      </w:r>
      <w:r>
        <w:rPr>
          <w:rFonts w:hint="eastAsia" w:ascii="Times New Roman" w:hAnsi="Times New Roman" w:cs="方正仿宋_GBK"/>
          <w:color w:val="auto"/>
          <w:sz w:val="32"/>
          <w:szCs w:val="32"/>
          <w:highlight w:val="none"/>
          <w:lang w:val="en-US" w:eastAsia="zh-CN"/>
        </w:rPr>
        <w:t>类老</w:t>
      </w:r>
      <w:r>
        <w:rPr>
          <w:rFonts w:hint="eastAsia" w:cs="方正仿宋_GBK"/>
          <w:color w:val="auto"/>
          <w:sz w:val="32"/>
          <w:szCs w:val="32"/>
          <w:highlight w:val="none"/>
          <w:lang w:val="en-US" w:eastAsia="zh-CN"/>
        </w:rPr>
        <w:t>年</w:t>
      </w:r>
      <w:r>
        <w:rPr>
          <w:rFonts w:hint="eastAsia" w:ascii="Times New Roman" w:hAnsi="Times New Roman" w:cs="方正仿宋_GBK"/>
          <w:color w:val="auto"/>
          <w:sz w:val="32"/>
          <w:szCs w:val="32"/>
          <w:highlight w:val="none"/>
          <w:lang w:val="en-US" w:eastAsia="zh-CN"/>
        </w:rPr>
        <w:t>人</w:t>
      </w:r>
      <w:r>
        <w:rPr>
          <w:rFonts w:hint="eastAsia" w:cs="方正仿宋_GBK"/>
          <w:color w:val="auto"/>
          <w:sz w:val="32"/>
          <w:szCs w:val="32"/>
          <w:highlight w:val="none"/>
          <w:lang w:val="en-US" w:eastAsia="zh-CN"/>
        </w:rPr>
        <w:t>家庭</w:t>
      </w:r>
      <w:r>
        <w:rPr>
          <w:rFonts w:hint="default" w:ascii="Times New Roman" w:hAnsi="Times New Roman" w:eastAsia="方正仿宋_GBK" w:cs="方正仿宋_GBK"/>
          <w:color w:val="auto"/>
          <w:sz w:val="32"/>
          <w:szCs w:val="32"/>
          <w:highlight w:val="none"/>
          <w:lang w:val="en-US" w:eastAsia="zh-CN"/>
        </w:rPr>
        <w:t>可全额享受补贴，</w:t>
      </w:r>
      <w:r>
        <w:rPr>
          <w:rFonts w:hint="eastAsia" w:ascii="Times New Roman" w:hAnsi="Times New Roman" w:eastAsia="方正仿宋_GBK" w:cs="方正仿宋_GBK"/>
          <w:color w:val="auto"/>
          <w:sz w:val="32"/>
          <w:szCs w:val="32"/>
          <w:highlight w:val="none"/>
          <w:lang w:val="en-US" w:eastAsia="zh-CN"/>
        </w:rPr>
        <w:t>最高每月60元</w:t>
      </w:r>
      <w:r>
        <w:rPr>
          <w:rFonts w:hint="eastAsia" w:ascii="Times New Roman" w:hAnsi="Times New Roman" w:cs="方正仿宋_GBK"/>
          <w:color w:val="auto"/>
          <w:sz w:val="32"/>
          <w:szCs w:val="32"/>
          <w:highlight w:val="none"/>
          <w:lang w:val="en-US" w:eastAsia="zh-CN"/>
        </w:rPr>
        <w:t>，</w:t>
      </w:r>
      <w:r>
        <w:rPr>
          <w:rFonts w:hint="default" w:ascii="Times New Roman" w:hAnsi="Times New Roman" w:eastAsia="方正仿宋_GBK" w:cs="方正仿宋_GBK"/>
          <w:color w:val="auto"/>
          <w:sz w:val="32"/>
          <w:szCs w:val="32"/>
          <w:highlight w:val="none"/>
          <w:lang w:val="en-US" w:eastAsia="zh-CN"/>
        </w:rPr>
        <w:t>超出部分自行承担。</w:t>
      </w:r>
      <w:r>
        <w:rPr>
          <w:rFonts w:hint="eastAsia" w:cs="方正仿宋_GBK"/>
          <w:color w:val="auto"/>
          <w:sz w:val="32"/>
          <w:szCs w:val="32"/>
          <w:highlight w:val="none"/>
          <w:lang w:val="en-US" w:eastAsia="zh-CN"/>
        </w:rPr>
        <w:t>第8类</w:t>
      </w:r>
      <w:r>
        <w:rPr>
          <w:rFonts w:hint="eastAsia" w:ascii="Times New Roman" w:hAnsi="Times New Roman" w:eastAsia="方正仿宋_GBK" w:cs="方正仿宋_GBK"/>
          <w:color w:val="auto"/>
          <w:sz w:val="32"/>
          <w:szCs w:val="32"/>
          <w:highlight w:val="none"/>
        </w:rPr>
        <w:t>80周岁及以上的老年人家庭</w:t>
      </w:r>
      <w:r>
        <w:rPr>
          <w:rFonts w:hint="eastAsia" w:cs="方正仿宋_GBK"/>
          <w:color w:val="auto"/>
          <w:sz w:val="32"/>
          <w:szCs w:val="32"/>
          <w:highlight w:val="none"/>
          <w:lang w:eastAsia="zh-CN"/>
        </w:rPr>
        <w:t>安全守护类可全额享受补贴；</w:t>
      </w:r>
      <w:r>
        <w:rPr>
          <w:rFonts w:hint="eastAsia" w:ascii="Times New Roman" w:hAnsi="Times New Roman" w:eastAsia="方正仿宋_GBK" w:cs="方正仿宋_GBK"/>
          <w:color w:val="auto"/>
          <w:sz w:val="32"/>
          <w:szCs w:val="32"/>
          <w:highlight w:val="none"/>
        </w:rPr>
        <w:t>基础类服务每月首单是全额享受补贴，从第二单开始是补80%，第三单是补60%，后面逐步减少</w:t>
      </w:r>
      <w:r>
        <w:rPr>
          <w:rFonts w:hint="default" w:ascii="Times New Roman" w:hAnsi="Times New Roman" w:eastAsia="方正仿宋_GBK" w:cs="方正仿宋_GBK"/>
          <w:color w:val="auto"/>
          <w:sz w:val="32"/>
          <w:szCs w:val="32"/>
          <w:highlight w:val="none"/>
          <w:lang w:val="en-US" w:eastAsia="zh-CN"/>
        </w:rPr>
        <w:t>按</w:t>
      </w:r>
      <w:r>
        <w:rPr>
          <w:rFonts w:hint="eastAsia" w:ascii="Times New Roman" w:hAnsi="Times New Roman" w:eastAsia="方正仿宋_GBK" w:cs="方正仿宋_GBK"/>
          <w:color w:val="auto"/>
          <w:sz w:val="32"/>
          <w:szCs w:val="32"/>
          <w:highlight w:val="none"/>
          <w:lang w:val="en-US" w:eastAsia="zh-CN"/>
        </w:rPr>
        <w:t>清单比例</w:t>
      </w:r>
      <w:r>
        <w:rPr>
          <w:rFonts w:hint="default" w:ascii="Times New Roman" w:hAnsi="Times New Roman" w:eastAsia="方正仿宋_GBK" w:cs="方正仿宋_GBK"/>
          <w:color w:val="auto"/>
          <w:sz w:val="32"/>
          <w:szCs w:val="32"/>
          <w:highlight w:val="none"/>
          <w:lang w:val="en-US" w:eastAsia="zh-CN"/>
        </w:rPr>
        <w:t>享受补贴，超出补贴部分自行承担。</w:t>
      </w:r>
    </w:p>
    <w:p w14:paraId="5EC6299B">
      <w:pPr>
        <w:keepNext w:val="0"/>
        <w:keepLines w:val="0"/>
        <w:pageBreakBefore w:val="0"/>
        <w:widowControl w:val="0"/>
        <w:kinsoku/>
        <w:wordWrap/>
        <w:overflowPunct/>
        <w:topLinePunct w:val="0"/>
        <w:autoSpaceDE/>
        <w:autoSpaceDN/>
        <w:bidi w:val="0"/>
        <w:adjustRightInd/>
        <w:snapToGrid/>
        <w:spacing w:line="240" w:lineRule="auto"/>
        <w:ind w:firstLine="604" w:firstLineChars="200"/>
        <w:jc w:val="both"/>
        <w:textAlignment w:val="auto"/>
        <w:rPr>
          <w:rFonts w:hint="eastAsia" w:ascii="Times New Roman" w:hAnsi="Times New Roman" w:eastAsia="方正楷体_GBK" w:cs="方正楷体_GBK"/>
          <w:sz w:val="32"/>
          <w:szCs w:val="32"/>
        </w:rPr>
      </w:pPr>
      <w:r>
        <w:rPr>
          <w:rFonts w:hint="eastAsia" w:ascii="Times New Roman" w:hAnsi="Times New Roman" w:eastAsia="方正楷体_GBK" w:cs="方正楷体_GBK"/>
          <w:sz w:val="32"/>
          <w:szCs w:val="32"/>
        </w:rPr>
        <w:t>2.</w:t>
      </w:r>
      <w:r>
        <w:rPr>
          <w:rFonts w:hint="eastAsia" w:ascii="Times New Roman" w:hAnsi="Times New Roman" w:eastAsia="方正楷体_GBK" w:cs="方正楷体_GBK"/>
          <w:sz w:val="32"/>
          <w:szCs w:val="32"/>
          <w:lang w:val="en-US" w:eastAsia="zh-CN"/>
        </w:rPr>
        <w:t xml:space="preserve">4 </w:t>
      </w:r>
      <w:r>
        <w:rPr>
          <w:rFonts w:hint="eastAsia" w:ascii="Times New Roman" w:hAnsi="Times New Roman" w:eastAsia="方正楷体_GBK" w:cs="方正楷体_GBK"/>
          <w:sz w:val="32"/>
          <w:szCs w:val="32"/>
        </w:rPr>
        <w:t>补贴机制</w:t>
      </w:r>
    </w:p>
    <w:p w14:paraId="07CCC69E">
      <w:pPr>
        <w:keepNext w:val="0"/>
        <w:keepLines w:val="0"/>
        <w:pageBreakBefore w:val="0"/>
        <w:widowControl w:val="0"/>
        <w:kinsoku/>
        <w:wordWrap/>
        <w:overflowPunct/>
        <w:topLinePunct w:val="0"/>
        <w:autoSpaceDE/>
        <w:autoSpaceDN/>
        <w:bidi w:val="0"/>
        <w:adjustRightInd/>
        <w:snapToGrid/>
        <w:spacing w:line="240" w:lineRule="auto"/>
        <w:ind w:firstLine="604" w:firstLineChars="200"/>
        <w:jc w:val="both"/>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积分制度：将政府对</w:t>
      </w:r>
      <w:r>
        <w:rPr>
          <w:rFonts w:hint="eastAsia" w:ascii="Times New Roman" w:hAnsi="Times New Roman" w:cs="方正仿宋_GBK"/>
          <w:sz w:val="32"/>
          <w:szCs w:val="32"/>
          <w:lang w:eastAsia="zh-CN"/>
        </w:rPr>
        <w:t>老人</w:t>
      </w:r>
      <w:r>
        <w:rPr>
          <w:rFonts w:hint="eastAsia" w:ascii="Times New Roman" w:hAnsi="Times New Roman" w:eastAsia="方正仿宋_GBK" w:cs="方正仿宋_GBK"/>
          <w:sz w:val="32"/>
          <w:szCs w:val="32"/>
        </w:rPr>
        <w:t>的</w:t>
      </w:r>
      <w:r>
        <w:rPr>
          <w:rFonts w:hint="eastAsia" w:ascii="Times New Roman" w:hAnsi="Times New Roman" w:cs="方正仿宋_GBK"/>
          <w:sz w:val="32"/>
          <w:szCs w:val="32"/>
          <w:lang w:eastAsia="zh-CN"/>
        </w:rPr>
        <w:t>服务</w:t>
      </w:r>
      <w:r>
        <w:rPr>
          <w:rFonts w:hint="eastAsia" w:ascii="Times New Roman" w:hAnsi="Times New Roman" w:eastAsia="方正仿宋_GBK" w:cs="方正仿宋_GBK"/>
          <w:sz w:val="32"/>
          <w:szCs w:val="32"/>
        </w:rPr>
        <w:t>补贴转化为1</w:t>
      </w:r>
      <w:r>
        <w:rPr>
          <w:rFonts w:hint="eastAsia" w:ascii="Times New Roman" w:hAnsi="Times New Roman" w:cs="方正仿宋_GBK"/>
          <w:sz w:val="32"/>
          <w:szCs w:val="32"/>
          <w:lang w:eastAsia="zh-CN"/>
        </w:rPr>
        <w:t>：</w:t>
      </w:r>
      <w:r>
        <w:rPr>
          <w:rFonts w:hint="eastAsia" w:ascii="Times New Roman" w:hAnsi="Times New Roman" w:eastAsia="方正仿宋_GBK" w:cs="方正仿宋_GBK"/>
          <w:sz w:val="32"/>
          <w:szCs w:val="32"/>
        </w:rPr>
        <w:t>1等额积分，按月发放至老年人“银龄卡”专属账户。</w:t>
      </w:r>
    </w:p>
    <w:p w14:paraId="50895233">
      <w:pPr>
        <w:keepNext w:val="0"/>
        <w:keepLines w:val="0"/>
        <w:pageBreakBefore w:val="0"/>
        <w:widowControl w:val="0"/>
        <w:kinsoku/>
        <w:wordWrap/>
        <w:overflowPunct/>
        <w:topLinePunct w:val="0"/>
        <w:autoSpaceDE/>
        <w:autoSpaceDN/>
        <w:bidi w:val="0"/>
        <w:adjustRightInd/>
        <w:snapToGrid/>
        <w:spacing w:line="240" w:lineRule="auto"/>
        <w:ind w:firstLine="604" w:firstLineChars="200"/>
        <w:jc w:val="both"/>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积分管理：实行“按季累计、季末清零”制度，积分专款专用，不得折现或转赠。</w:t>
      </w:r>
    </w:p>
    <w:p w14:paraId="34DE419D">
      <w:pPr>
        <w:keepNext w:val="0"/>
        <w:keepLines w:val="0"/>
        <w:pageBreakBefore w:val="0"/>
        <w:widowControl w:val="0"/>
        <w:kinsoku/>
        <w:wordWrap/>
        <w:overflowPunct/>
        <w:topLinePunct w:val="0"/>
        <w:autoSpaceDE/>
        <w:autoSpaceDN/>
        <w:bidi w:val="0"/>
        <w:adjustRightInd/>
        <w:snapToGrid/>
        <w:spacing w:line="240" w:lineRule="auto"/>
        <w:ind w:firstLine="604" w:firstLineChars="200"/>
        <w:jc w:val="both"/>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资金保障：项目不固定分配服务对象，以“澄颐享”服务平台依据服务能力、服务质量在全市范围内进行派单。</w:t>
      </w:r>
    </w:p>
    <w:p w14:paraId="311B723C">
      <w:pPr>
        <w:keepNext w:val="0"/>
        <w:keepLines w:val="0"/>
        <w:pageBreakBefore w:val="0"/>
        <w:widowControl w:val="0"/>
        <w:kinsoku/>
        <w:wordWrap/>
        <w:overflowPunct/>
        <w:topLinePunct w:val="0"/>
        <w:autoSpaceDE/>
        <w:autoSpaceDN/>
        <w:bidi w:val="0"/>
        <w:adjustRightInd/>
        <w:snapToGrid/>
        <w:spacing w:line="240" w:lineRule="auto"/>
        <w:ind w:firstLine="604" w:firstLineChars="200"/>
        <w:jc w:val="both"/>
        <w:textAlignment w:val="auto"/>
        <w:rPr>
          <w:rFonts w:hint="eastAsia" w:ascii="Times New Roman" w:hAnsi="Times New Roman" w:eastAsia="方正黑体_GBK" w:cs="方正黑体_GBK"/>
          <w:sz w:val="32"/>
          <w:szCs w:val="32"/>
        </w:rPr>
      </w:pPr>
      <w:r>
        <w:rPr>
          <w:rFonts w:hint="eastAsia" w:ascii="Times New Roman" w:hAnsi="Times New Roman" w:eastAsia="方正黑体_GBK" w:cs="方正黑体_GBK"/>
          <w:sz w:val="32"/>
          <w:szCs w:val="32"/>
        </w:rPr>
        <w:t>三、服务内容</w:t>
      </w:r>
    </w:p>
    <w:p w14:paraId="63323811">
      <w:pPr>
        <w:keepNext w:val="0"/>
        <w:keepLines w:val="0"/>
        <w:pageBreakBefore w:val="0"/>
        <w:widowControl w:val="0"/>
        <w:kinsoku/>
        <w:wordWrap/>
        <w:overflowPunct/>
        <w:topLinePunct w:val="0"/>
        <w:autoSpaceDE/>
        <w:autoSpaceDN/>
        <w:bidi w:val="0"/>
        <w:adjustRightInd/>
        <w:snapToGrid/>
        <w:spacing w:line="240" w:lineRule="auto"/>
        <w:ind w:firstLine="604" w:firstLineChars="200"/>
        <w:jc w:val="both"/>
        <w:textAlignment w:val="auto"/>
        <w:rPr>
          <w:rFonts w:hint="eastAsia" w:ascii="Times New Roman" w:hAnsi="Times New Roman" w:eastAsia="方正楷体_GBK" w:cs="方正楷体_GBK"/>
          <w:sz w:val="32"/>
          <w:szCs w:val="32"/>
        </w:rPr>
      </w:pPr>
      <w:r>
        <w:rPr>
          <w:rFonts w:hint="eastAsia" w:ascii="Times New Roman" w:hAnsi="Times New Roman" w:eastAsia="方正楷体_GBK" w:cs="方正楷体_GBK"/>
          <w:sz w:val="32"/>
          <w:szCs w:val="32"/>
        </w:rPr>
        <w:t>3.1 服务项目大类</w:t>
      </w:r>
    </w:p>
    <w:p w14:paraId="3FD486F1">
      <w:pPr>
        <w:keepNext w:val="0"/>
        <w:keepLines w:val="0"/>
        <w:pageBreakBefore w:val="0"/>
        <w:widowControl w:val="0"/>
        <w:kinsoku/>
        <w:wordWrap/>
        <w:overflowPunct/>
        <w:topLinePunct w:val="0"/>
        <w:autoSpaceDE/>
        <w:autoSpaceDN/>
        <w:bidi w:val="0"/>
        <w:adjustRightInd/>
        <w:snapToGrid/>
        <w:spacing w:line="240" w:lineRule="auto"/>
        <w:ind w:firstLine="604" w:firstLineChars="200"/>
        <w:jc w:val="both"/>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服务项目覆盖7大类63项服务，涵盖以下领域：</w:t>
      </w:r>
    </w:p>
    <w:p w14:paraId="141FB25F">
      <w:pPr>
        <w:overflowPunct w:val="0"/>
        <w:ind w:firstLine="604" w:firstLineChars="200"/>
        <w:rPr>
          <w:rFonts w:hint="eastAsia" w:eastAsia="方正仿宋_GBK"/>
          <w:color w:val="auto"/>
          <w:szCs w:val="32"/>
          <w:lang w:val="en-US" w:eastAsia="zh-CN"/>
        </w:rPr>
      </w:pPr>
      <w:r>
        <w:rPr>
          <w:rFonts w:hint="eastAsia"/>
          <w:color w:val="auto"/>
          <w:szCs w:val="32"/>
          <w:lang w:val="en-US" w:eastAsia="zh-CN"/>
        </w:rPr>
        <w:t>（一）安全守护服务：</w:t>
      </w:r>
      <w:bookmarkStart w:id="0" w:name="OLE_LINK3"/>
      <w:r>
        <w:rPr>
          <w:rFonts w:hint="eastAsia"/>
          <w:color w:val="auto"/>
          <w:szCs w:val="32"/>
          <w:lang w:val="en-US" w:eastAsia="zh-CN"/>
        </w:rPr>
        <w:t>建立紧急支援服务热线，保持24小时在线畅通。通过线上线下的无缝对接，提供优质、快捷、全面的居家安全守护等服务。</w:t>
      </w:r>
    </w:p>
    <w:p w14:paraId="06BB76FC">
      <w:pPr>
        <w:overflowPunct w:val="0"/>
        <w:ind w:firstLine="604" w:firstLineChars="200"/>
        <w:rPr>
          <w:rFonts w:hint="default"/>
          <w:color w:val="auto"/>
          <w:szCs w:val="32"/>
          <w:lang w:val="en-US" w:eastAsia="zh-CN"/>
        </w:rPr>
      </w:pPr>
      <w:r>
        <w:rPr>
          <w:rFonts w:hint="eastAsia"/>
          <w:color w:val="auto"/>
          <w:szCs w:val="32"/>
          <w:lang w:val="en-US" w:eastAsia="zh-CN"/>
        </w:rPr>
        <w:t>（二）基础保障服务：为老年人提供基础的居家保洁、上门理发、洗发及修剪指甲等。</w:t>
      </w:r>
    </w:p>
    <w:p w14:paraId="54A291B0">
      <w:pPr>
        <w:overflowPunct w:val="0"/>
        <w:ind w:firstLine="604" w:firstLineChars="200"/>
        <w:rPr>
          <w:rFonts w:hint="eastAsia"/>
          <w:color w:val="auto"/>
          <w:szCs w:val="32"/>
          <w:lang w:val="en-US" w:eastAsia="zh-CN"/>
        </w:rPr>
      </w:pPr>
      <w:r>
        <w:rPr>
          <w:rFonts w:hint="eastAsia"/>
          <w:color w:val="auto"/>
          <w:szCs w:val="32"/>
          <w:lang w:val="en-US" w:eastAsia="zh-CN"/>
        </w:rPr>
        <w:t>（三）精神慰藉服务：通过谈心、咨询、专业的心理干预，为老年人提供心理疏导、精神关爱、心理和行为支持服务。</w:t>
      </w:r>
    </w:p>
    <w:p w14:paraId="54768378">
      <w:pPr>
        <w:overflowPunct w:val="0"/>
        <w:ind w:firstLine="604" w:firstLineChars="200"/>
        <w:rPr>
          <w:rFonts w:hint="eastAsia"/>
          <w:color w:val="auto"/>
          <w:szCs w:val="32"/>
          <w:lang w:val="en-US" w:eastAsia="zh-CN"/>
        </w:rPr>
      </w:pPr>
      <w:r>
        <w:rPr>
          <w:rFonts w:hint="eastAsia"/>
          <w:color w:val="auto"/>
          <w:szCs w:val="32"/>
          <w:lang w:val="en-US" w:eastAsia="zh-CN"/>
        </w:rPr>
        <w:t>（四）生活照护服务：为老年人提供日间照料和助餐、助洁、助浴、助行、助购等生活服务。</w:t>
      </w:r>
    </w:p>
    <w:p w14:paraId="67C60A15">
      <w:pPr>
        <w:overflowPunct w:val="0"/>
        <w:ind w:firstLine="604" w:firstLineChars="200"/>
        <w:rPr>
          <w:rFonts w:hint="eastAsia"/>
          <w:color w:val="auto"/>
          <w:szCs w:val="32"/>
          <w:lang w:val="en-US" w:eastAsia="zh-CN"/>
        </w:rPr>
      </w:pPr>
      <w:r>
        <w:rPr>
          <w:rFonts w:hint="eastAsia"/>
          <w:color w:val="auto"/>
          <w:szCs w:val="32"/>
          <w:lang w:val="en-US" w:eastAsia="zh-CN"/>
        </w:rPr>
        <w:t>（五）居家保洁服务：为老年人家庭提供居家、厨房、卫浴、等设备的清洗服务。</w:t>
      </w:r>
    </w:p>
    <w:p w14:paraId="552F8431">
      <w:pPr>
        <w:overflowPunct w:val="0"/>
        <w:ind w:firstLine="604" w:firstLineChars="200"/>
        <w:rPr>
          <w:rFonts w:hint="eastAsia"/>
          <w:color w:val="auto"/>
          <w:szCs w:val="32"/>
          <w:lang w:val="en-US" w:eastAsia="zh-CN"/>
        </w:rPr>
      </w:pPr>
      <w:r>
        <w:rPr>
          <w:rFonts w:hint="eastAsia"/>
          <w:color w:val="auto"/>
          <w:szCs w:val="32"/>
          <w:lang w:val="en-US" w:eastAsia="zh-CN"/>
        </w:rPr>
        <w:t>（六）医疗护理服务：为老年人家庭提供出院后更换导尿管、压疮护理、创口清理、人工造口、膀胱冲洗等基础护理服务。</w:t>
      </w:r>
    </w:p>
    <w:p w14:paraId="6806F2A7">
      <w:pPr>
        <w:overflowPunct w:val="0"/>
        <w:ind w:firstLine="604" w:firstLineChars="200"/>
        <w:rPr>
          <w:rFonts w:hint="eastAsia" w:eastAsia="方正仿宋_GBK"/>
          <w:color w:val="auto"/>
          <w:szCs w:val="32"/>
          <w:lang w:eastAsia="zh-CN"/>
        </w:rPr>
      </w:pPr>
      <w:r>
        <w:rPr>
          <w:rFonts w:hint="eastAsia"/>
          <w:color w:val="auto"/>
          <w:szCs w:val="32"/>
          <w:lang w:val="en-US" w:eastAsia="zh-CN"/>
        </w:rPr>
        <w:t>（七）康复护理服务：为老年人提供康复保健、医护协助、健康咨询服务，</w:t>
      </w:r>
      <w:r>
        <w:rPr>
          <w:rFonts w:hint="eastAsia"/>
          <w:color w:val="auto"/>
          <w:szCs w:val="32"/>
        </w:rPr>
        <w:t>指导老年人正确使用康复、保健仪器，提醒和帮助老年人按时服药，或陪同就医</w:t>
      </w:r>
      <w:r>
        <w:rPr>
          <w:rFonts w:hint="eastAsia"/>
          <w:color w:val="auto"/>
          <w:szCs w:val="32"/>
          <w:lang w:eastAsia="zh-CN"/>
        </w:rPr>
        <w:t>。</w:t>
      </w:r>
    </w:p>
    <w:bookmarkEnd w:id="0"/>
    <w:p w14:paraId="24A3D2F3">
      <w:pPr>
        <w:keepNext w:val="0"/>
        <w:keepLines w:val="0"/>
        <w:pageBreakBefore w:val="0"/>
        <w:widowControl w:val="0"/>
        <w:kinsoku/>
        <w:wordWrap/>
        <w:overflowPunct/>
        <w:topLinePunct w:val="0"/>
        <w:autoSpaceDE/>
        <w:autoSpaceDN/>
        <w:bidi w:val="0"/>
        <w:adjustRightInd/>
        <w:snapToGrid/>
        <w:spacing w:line="240" w:lineRule="auto"/>
        <w:ind w:firstLine="604" w:firstLineChars="200"/>
        <w:jc w:val="both"/>
        <w:textAlignment w:val="auto"/>
        <w:rPr>
          <w:rFonts w:hint="eastAsia" w:ascii="Times New Roman" w:hAnsi="Times New Roman" w:eastAsia="方正楷体_GBK" w:cs="方正楷体_GBK"/>
          <w:sz w:val="32"/>
          <w:szCs w:val="32"/>
        </w:rPr>
      </w:pPr>
      <w:r>
        <w:rPr>
          <w:rFonts w:hint="eastAsia" w:ascii="Times New Roman" w:hAnsi="Times New Roman" w:eastAsia="方正楷体_GBK" w:cs="方正楷体_GBK"/>
          <w:sz w:val="32"/>
          <w:szCs w:val="32"/>
        </w:rPr>
        <w:t>3.</w:t>
      </w:r>
      <w:r>
        <w:rPr>
          <w:rFonts w:hint="eastAsia" w:ascii="Times New Roman" w:hAnsi="Times New Roman" w:eastAsia="方正楷体_GBK" w:cs="方正楷体_GBK"/>
          <w:sz w:val="32"/>
          <w:szCs w:val="32"/>
          <w:lang w:val="en-US" w:eastAsia="zh-CN"/>
        </w:rPr>
        <w:t xml:space="preserve">2 </w:t>
      </w:r>
      <w:r>
        <w:rPr>
          <w:rFonts w:hint="eastAsia" w:ascii="Times New Roman" w:hAnsi="Times New Roman" w:eastAsia="方正楷体_GBK" w:cs="方正楷体_GBK"/>
          <w:sz w:val="32"/>
          <w:szCs w:val="32"/>
        </w:rPr>
        <w:t>服务标准</w:t>
      </w:r>
    </w:p>
    <w:p w14:paraId="0153DAFE">
      <w:pPr>
        <w:keepNext w:val="0"/>
        <w:keepLines w:val="0"/>
        <w:pageBreakBefore w:val="0"/>
        <w:widowControl w:val="0"/>
        <w:kinsoku/>
        <w:wordWrap/>
        <w:overflowPunct/>
        <w:topLinePunct w:val="0"/>
        <w:autoSpaceDE/>
        <w:autoSpaceDN/>
        <w:bidi w:val="0"/>
        <w:adjustRightInd/>
        <w:snapToGrid/>
        <w:spacing w:line="240" w:lineRule="auto"/>
        <w:ind w:firstLine="604" w:firstLineChars="200"/>
        <w:jc w:val="both"/>
        <w:textAlignment w:val="auto"/>
        <w:rPr>
          <w:rFonts w:hint="eastAsia" w:ascii="Times New Roman" w:hAnsi="Times New Roman" w:eastAsia="方正仿宋_GBK"/>
          <w:bCs/>
          <w:sz w:val="32"/>
          <w:szCs w:val="32"/>
        </w:rPr>
      </w:pPr>
      <w:r>
        <w:rPr>
          <w:rFonts w:hint="eastAsia" w:ascii="Times New Roman" w:hAnsi="Times New Roman" w:eastAsia="方正仿宋_GBK" w:cs="方正仿宋_GBK"/>
          <w:sz w:val="32"/>
          <w:szCs w:val="32"/>
        </w:rPr>
        <w:t>服务应符合《江苏省居家社区养老服务规范》《江阴市居家养老服务流程规范及评分标准》</w:t>
      </w:r>
      <w:r>
        <w:rPr>
          <w:rFonts w:hint="eastAsia" w:ascii="Times New Roman" w:hAnsi="Times New Roman" w:eastAsia="方正仿宋_GBK" w:cs="方正仿宋_GBK"/>
          <w:sz w:val="32"/>
          <w:szCs w:val="32"/>
          <w:lang w:eastAsia="zh-CN"/>
        </w:rPr>
        <w:t>等</w:t>
      </w:r>
      <w:r>
        <w:rPr>
          <w:rFonts w:hint="eastAsia" w:ascii="Times New Roman" w:hAnsi="Times New Roman" w:eastAsia="方正仿宋_GBK" w:cs="方正仿宋_GBK"/>
          <w:sz w:val="32"/>
          <w:szCs w:val="32"/>
        </w:rPr>
        <w:t>国家和地方相关标准要求。</w:t>
      </w:r>
      <w:r>
        <w:rPr>
          <w:rFonts w:hint="eastAsia" w:ascii="Times New Roman" w:hAnsi="Times New Roman" w:eastAsia="方正仿宋_GBK"/>
          <w:bCs/>
          <w:sz w:val="32"/>
          <w:szCs w:val="32"/>
        </w:rPr>
        <w:t>规范服务人员上门服务流程，并严格按照标准进行服务。</w:t>
      </w:r>
    </w:p>
    <w:p w14:paraId="22F3EAA8">
      <w:pPr>
        <w:keepNext w:val="0"/>
        <w:keepLines w:val="0"/>
        <w:pageBreakBefore w:val="0"/>
        <w:widowControl w:val="0"/>
        <w:kinsoku/>
        <w:wordWrap/>
        <w:overflowPunct/>
        <w:topLinePunct w:val="0"/>
        <w:autoSpaceDE/>
        <w:autoSpaceDN/>
        <w:bidi w:val="0"/>
        <w:adjustRightInd/>
        <w:snapToGrid/>
        <w:spacing w:line="240" w:lineRule="auto"/>
        <w:ind w:firstLine="604" w:firstLineChars="200"/>
        <w:jc w:val="both"/>
        <w:textAlignment w:val="auto"/>
        <w:rPr>
          <w:rFonts w:hint="eastAsia" w:ascii="Times New Roman" w:hAnsi="Times New Roman" w:eastAsia="方正楷体_GBK" w:cs="方正楷体_GBK"/>
          <w:color w:val="0000FF"/>
          <w:sz w:val="32"/>
          <w:szCs w:val="32"/>
          <w:lang w:val="en-US" w:eastAsia="zh-CN"/>
        </w:rPr>
      </w:pPr>
      <w:r>
        <w:rPr>
          <w:rFonts w:hint="eastAsia" w:ascii="Times New Roman" w:hAnsi="Times New Roman" w:eastAsia="方正楷体_GBK" w:cs="方正楷体_GBK"/>
          <w:color w:val="0000FF"/>
          <w:sz w:val="32"/>
          <w:szCs w:val="32"/>
          <w:lang w:val="en-US" w:eastAsia="zh-CN"/>
        </w:rPr>
        <w:t>3.3 服务清单</w:t>
      </w:r>
    </w:p>
    <w:p w14:paraId="4C770C15">
      <w:pPr>
        <w:keepNext w:val="0"/>
        <w:keepLines w:val="0"/>
        <w:widowControl/>
        <w:suppressLineNumbers w:val="0"/>
        <w:jc w:val="center"/>
        <w:textAlignment w:val="center"/>
        <w:rPr>
          <w:rFonts w:hint="eastAsia" w:ascii="Times New Roman" w:hAnsi="Times New Roman" w:eastAsia="方正黑体_GBK" w:cs="方正黑体_GBK"/>
          <w:b w:val="0"/>
          <w:bCs w:val="0"/>
          <w:i w:val="0"/>
          <w:iCs w:val="0"/>
          <w:color w:val="000000"/>
          <w:sz w:val="32"/>
          <w:szCs w:val="32"/>
          <w:u w:val="none"/>
        </w:rPr>
      </w:pPr>
      <w:r>
        <w:rPr>
          <w:rFonts w:hint="eastAsia" w:ascii="Times New Roman" w:hAnsi="Times New Roman" w:eastAsia="方正黑体_GBK" w:cs="方正黑体_GBK"/>
          <w:b w:val="0"/>
          <w:bCs w:val="0"/>
          <w:i w:val="0"/>
          <w:iCs w:val="0"/>
          <w:color w:val="000000"/>
          <w:kern w:val="0"/>
          <w:sz w:val="32"/>
          <w:szCs w:val="32"/>
          <w:u w:val="none"/>
          <w:lang w:val="en-US" w:eastAsia="zh-CN" w:bidi="ar"/>
        </w:rPr>
        <w:t>“银龄卡”服务清单（上门服务类）</w:t>
      </w:r>
    </w:p>
    <w:tbl>
      <w:tblPr>
        <w:tblStyle w:val="4"/>
        <w:tblW w:w="499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398"/>
        <w:gridCol w:w="635"/>
        <w:gridCol w:w="818"/>
        <w:gridCol w:w="2319"/>
        <w:gridCol w:w="1215"/>
        <w:gridCol w:w="2087"/>
        <w:gridCol w:w="1189"/>
      </w:tblGrid>
      <w:tr w14:paraId="5476B03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9" w:hRule="atLeast"/>
          <w:tblHeader/>
          <w:jc w:val="center"/>
        </w:trPr>
        <w:tc>
          <w:tcPr>
            <w:tcW w:w="229" w:type="pct"/>
            <w:shd w:val="clear" w:color="auto" w:fill="D9E1F2"/>
            <w:vAlign w:val="center"/>
          </w:tcPr>
          <w:p w14:paraId="43993EB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方正黑体_GBK" w:cs="方正黑体_GBK"/>
                <w:b w:val="0"/>
                <w:bCs w:val="0"/>
                <w:i w:val="0"/>
                <w:iCs w:val="0"/>
                <w:color w:val="000000"/>
                <w:sz w:val="20"/>
                <w:szCs w:val="20"/>
                <w:u w:val="none"/>
              </w:rPr>
            </w:pPr>
            <w:r>
              <w:rPr>
                <w:rFonts w:hint="eastAsia" w:ascii="Times New Roman" w:hAnsi="Times New Roman" w:eastAsia="方正黑体_GBK" w:cs="方正黑体_GBK"/>
                <w:b w:val="0"/>
                <w:bCs w:val="0"/>
                <w:i w:val="0"/>
                <w:iCs w:val="0"/>
                <w:color w:val="000000"/>
                <w:kern w:val="0"/>
                <w:sz w:val="20"/>
                <w:szCs w:val="20"/>
                <w:u w:val="none"/>
                <w:lang w:val="en-US" w:eastAsia="zh-CN" w:bidi="ar"/>
              </w:rPr>
              <w:t>序号</w:t>
            </w:r>
          </w:p>
        </w:tc>
        <w:tc>
          <w:tcPr>
            <w:tcW w:w="367" w:type="pct"/>
            <w:shd w:val="clear" w:color="auto" w:fill="D9E1F2"/>
            <w:vAlign w:val="center"/>
          </w:tcPr>
          <w:p w14:paraId="3A938C9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方正黑体_GBK" w:cs="方正黑体_GBK"/>
                <w:b w:val="0"/>
                <w:bCs w:val="0"/>
                <w:i w:val="0"/>
                <w:iCs w:val="0"/>
                <w:color w:val="000000"/>
                <w:sz w:val="20"/>
                <w:szCs w:val="20"/>
                <w:u w:val="none"/>
              </w:rPr>
            </w:pPr>
            <w:r>
              <w:rPr>
                <w:rFonts w:hint="eastAsia" w:ascii="Times New Roman" w:hAnsi="Times New Roman" w:eastAsia="方正黑体_GBK" w:cs="方正黑体_GBK"/>
                <w:b w:val="0"/>
                <w:bCs w:val="0"/>
                <w:i w:val="0"/>
                <w:iCs w:val="0"/>
                <w:color w:val="000000"/>
                <w:kern w:val="0"/>
                <w:sz w:val="20"/>
                <w:szCs w:val="20"/>
                <w:u w:val="none"/>
                <w:lang w:val="en-US" w:eastAsia="zh-CN" w:bidi="ar"/>
              </w:rPr>
              <w:t>服务类别</w:t>
            </w:r>
          </w:p>
        </w:tc>
        <w:tc>
          <w:tcPr>
            <w:tcW w:w="1810" w:type="pct"/>
            <w:gridSpan w:val="2"/>
            <w:shd w:val="clear" w:color="auto" w:fill="D9E1F2"/>
            <w:vAlign w:val="center"/>
          </w:tcPr>
          <w:p w14:paraId="24A0995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方正黑体_GBK" w:cs="方正黑体_GBK"/>
                <w:b w:val="0"/>
                <w:bCs w:val="0"/>
                <w:i w:val="0"/>
                <w:iCs w:val="0"/>
                <w:color w:val="000000"/>
                <w:sz w:val="20"/>
                <w:szCs w:val="20"/>
                <w:u w:val="none"/>
              </w:rPr>
            </w:pPr>
            <w:r>
              <w:rPr>
                <w:rFonts w:hint="eastAsia" w:ascii="Times New Roman" w:hAnsi="Times New Roman" w:eastAsia="方正黑体_GBK" w:cs="方正黑体_GBK"/>
                <w:b w:val="0"/>
                <w:bCs w:val="0"/>
                <w:i w:val="0"/>
                <w:iCs w:val="0"/>
                <w:color w:val="000000"/>
                <w:kern w:val="0"/>
                <w:sz w:val="20"/>
                <w:szCs w:val="20"/>
                <w:u w:val="none"/>
                <w:lang w:val="en-US" w:eastAsia="zh-CN" w:bidi="ar"/>
              </w:rPr>
              <w:t>服务明细</w:t>
            </w:r>
          </w:p>
        </w:tc>
        <w:tc>
          <w:tcPr>
            <w:tcW w:w="701" w:type="pct"/>
            <w:shd w:val="clear" w:color="auto" w:fill="D9E1F2"/>
            <w:noWrap/>
            <w:vAlign w:val="center"/>
          </w:tcPr>
          <w:p w14:paraId="41D6170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方正黑体_GBK" w:cs="方正黑体_GBK"/>
                <w:b w:val="0"/>
                <w:bCs w:val="0"/>
                <w:i w:val="0"/>
                <w:iCs w:val="0"/>
                <w:color w:val="000000"/>
                <w:sz w:val="20"/>
                <w:szCs w:val="20"/>
                <w:u w:val="none"/>
              </w:rPr>
            </w:pPr>
            <w:r>
              <w:rPr>
                <w:rFonts w:hint="eastAsia" w:ascii="Times New Roman" w:hAnsi="Times New Roman" w:eastAsia="方正黑体_GBK" w:cs="方正黑体_GBK"/>
                <w:b w:val="0"/>
                <w:bCs w:val="0"/>
                <w:i w:val="0"/>
                <w:iCs w:val="0"/>
                <w:color w:val="000000"/>
                <w:kern w:val="0"/>
                <w:sz w:val="20"/>
                <w:szCs w:val="20"/>
                <w:u w:val="none"/>
                <w:lang w:val="en-US" w:eastAsia="zh-CN" w:bidi="ar"/>
              </w:rPr>
              <w:t>指导价格</w:t>
            </w:r>
          </w:p>
        </w:tc>
        <w:tc>
          <w:tcPr>
            <w:tcW w:w="1204" w:type="pct"/>
            <w:shd w:val="clear" w:color="auto" w:fill="D9E1F2"/>
            <w:noWrap/>
            <w:vAlign w:val="center"/>
          </w:tcPr>
          <w:p w14:paraId="3458248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方正黑体_GBK" w:cs="方正黑体_GBK"/>
                <w:b w:val="0"/>
                <w:bCs w:val="0"/>
                <w:i w:val="0"/>
                <w:iCs w:val="0"/>
                <w:color w:val="000000"/>
                <w:sz w:val="20"/>
                <w:szCs w:val="20"/>
                <w:u w:val="none"/>
              </w:rPr>
            </w:pPr>
            <w:r>
              <w:rPr>
                <w:rFonts w:hint="eastAsia" w:ascii="Times New Roman" w:hAnsi="Times New Roman" w:eastAsia="方正黑体_GBK" w:cs="方正黑体_GBK"/>
                <w:b w:val="0"/>
                <w:bCs w:val="0"/>
                <w:i w:val="0"/>
                <w:iCs w:val="0"/>
                <w:color w:val="000000"/>
                <w:kern w:val="0"/>
                <w:sz w:val="20"/>
                <w:szCs w:val="20"/>
                <w:u w:val="none"/>
                <w:lang w:val="en-US" w:eastAsia="zh-CN" w:bidi="ar"/>
              </w:rPr>
              <w:t>补贴比例</w:t>
            </w:r>
          </w:p>
        </w:tc>
        <w:tc>
          <w:tcPr>
            <w:tcW w:w="686" w:type="pct"/>
            <w:shd w:val="clear" w:color="auto" w:fill="D9E1F2"/>
            <w:noWrap/>
            <w:vAlign w:val="center"/>
          </w:tcPr>
          <w:p w14:paraId="00A42B0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方正黑体_GBK" w:cs="方正黑体_GBK"/>
                <w:b w:val="0"/>
                <w:bCs w:val="0"/>
                <w:i w:val="0"/>
                <w:iCs w:val="0"/>
                <w:color w:val="000000"/>
                <w:sz w:val="20"/>
                <w:szCs w:val="20"/>
                <w:u w:val="none"/>
              </w:rPr>
            </w:pPr>
            <w:r>
              <w:rPr>
                <w:rFonts w:hint="eastAsia" w:ascii="Times New Roman" w:hAnsi="Times New Roman" w:eastAsia="方正黑体_GBK" w:cs="方正黑体_GBK"/>
                <w:b w:val="0"/>
                <w:bCs w:val="0"/>
                <w:i w:val="0"/>
                <w:iCs w:val="0"/>
                <w:color w:val="000000"/>
                <w:kern w:val="0"/>
                <w:sz w:val="20"/>
                <w:szCs w:val="20"/>
                <w:u w:val="none"/>
                <w:lang w:val="en-US" w:eastAsia="zh-CN" w:bidi="ar"/>
              </w:rPr>
              <w:t>最低时长</w:t>
            </w:r>
          </w:p>
        </w:tc>
      </w:tr>
      <w:tr w14:paraId="6CC2C3F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229" w:type="pct"/>
            <w:shd w:val="clear" w:color="auto" w:fill="FFFFFF"/>
            <w:noWrap/>
            <w:vAlign w:val="center"/>
          </w:tcPr>
          <w:p w14:paraId="4B6EE03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方正楷体_GBK" w:cs="方正楷体_GBK"/>
                <w:i w:val="0"/>
                <w:iCs w:val="0"/>
                <w:color w:val="000000"/>
                <w:sz w:val="20"/>
                <w:szCs w:val="20"/>
                <w:u w:val="none"/>
              </w:rPr>
            </w:pPr>
            <w:r>
              <w:rPr>
                <w:rFonts w:hint="eastAsia" w:ascii="Times New Roman" w:hAnsi="Times New Roman" w:eastAsia="方正楷体_GBK" w:cs="方正楷体_GBK"/>
                <w:i w:val="0"/>
                <w:iCs w:val="0"/>
                <w:color w:val="000000"/>
                <w:kern w:val="0"/>
                <w:sz w:val="20"/>
                <w:szCs w:val="20"/>
                <w:u w:val="none"/>
                <w:lang w:val="en-US" w:eastAsia="zh-CN" w:bidi="ar"/>
              </w:rPr>
              <w:t>1</w:t>
            </w:r>
          </w:p>
        </w:tc>
        <w:tc>
          <w:tcPr>
            <w:tcW w:w="367" w:type="pct"/>
            <w:shd w:val="clear" w:color="auto" w:fill="FFFFFF"/>
            <w:vAlign w:val="center"/>
          </w:tcPr>
          <w:p w14:paraId="1850B7F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方正楷体_GBK" w:cs="方正楷体_GBK"/>
                <w:i w:val="0"/>
                <w:iCs w:val="0"/>
                <w:color w:val="000000"/>
                <w:sz w:val="20"/>
                <w:szCs w:val="20"/>
                <w:u w:val="none"/>
              </w:rPr>
            </w:pPr>
            <w:r>
              <w:rPr>
                <w:rFonts w:hint="eastAsia" w:ascii="Times New Roman" w:hAnsi="Times New Roman" w:eastAsia="方正楷体_GBK" w:cs="方正楷体_GBK"/>
                <w:i w:val="0"/>
                <w:iCs w:val="0"/>
                <w:color w:val="000000"/>
                <w:kern w:val="0"/>
                <w:sz w:val="20"/>
                <w:szCs w:val="20"/>
                <w:u w:val="none"/>
                <w:lang w:val="en-US" w:eastAsia="zh-CN" w:bidi="ar"/>
              </w:rPr>
              <w:t>安全守护</w:t>
            </w:r>
          </w:p>
        </w:tc>
        <w:tc>
          <w:tcPr>
            <w:tcW w:w="1810" w:type="pct"/>
            <w:gridSpan w:val="2"/>
            <w:shd w:val="clear" w:color="auto" w:fill="FFFFFF"/>
            <w:vAlign w:val="center"/>
          </w:tcPr>
          <w:p w14:paraId="4094853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方正楷体_GBK" w:cs="方正楷体_GBK"/>
                <w:i w:val="0"/>
                <w:iCs w:val="0"/>
                <w:color w:val="000000"/>
                <w:sz w:val="20"/>
                <w:szCs w:val="20"/>
                <w:u w:val="none"/>
              </w:rPr>
            </w:pPr>
            <w:r>
              <w:rPr>
                <w:rFonts w:hint="eastAsia" w:ascii="Times New Roman" w:hAnsi="Times New Roman" w:eastAsia="方正楷体_GBK" w:cs="方正楷体_GBK"/>
                <w:i w:val="0"/>
                <w:iCs w:val="0"/>
                <w:color w:val="000000"/>
                <w:kern w:val="0"/>
                <w:sz w:val="20"/>
                <w:szCs w:val="20"/>
                <w:u w:val="none"/>
                <w:lang w:val="en-US" w:eastAsia="zh-CN" w:bidi="ar"/>
              </w:rPr>
              <w:t>紧急呼叫</w:t>
            </w:r>
          </w:p>
        </w:tc>
        <w:tc>
          <w:tcPr>
            <w:tcW w:w="701" w:type="pct"/>
            <w:shd w:val="clear" w:color="auto" w:fill="FFFFFF"/>
            <w:noWrap/>
            <w:vAlign w:val="center"/>
          </w:tcPr>
          <w:p w14:paraId="3E9D46E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方正楷体_GBK" w:cs="方正楷体_GBK"/>
                <w:i w:val="0"/>
                <w:iCs w:val="0"/>
                <w:color w:val="000000"/>
                <w:sz w:val="20"/>
                <w:szCs w:val="20"/>
                <w:u w:val="none"/>
              </w:rPr>
            </w:pPr>
            <w:r>
              <w:rPr>
                <w:rFonts w:hint="eastAsia" w:ascii="Times New Roman" w:hAnsi="Times New Roman" w:eastAsia="方正楷体_GBK" w:cs="方正楷体_GBK"/>
                <w:i w:val="0"/>
                <w:iCs w:val="0"/>
                <w:color w:val="000000"/>
                <w:kern w:val="0"/>
                <w:sz w:val="20"/>
                <w:szCs w:val="20"/>
                <w:u w:val="none"/>
                <w:lang w:val="en-US" w:eastAsia="zh-CN" w:bidi="ar"/>
              </w:rPr>
              <w:t>60元/月</w:t>
            </w:r>
          </w:p>
        </w:tc>
        <w:tc>
          <w:tcPr>
            <w:tcW w:w="1204" w:type="pct"/>
            <w:shd w:val="clear" w:color="auto" w:fill="FFFFFF"/>
            <w:noWrap/>
            <w:vAlign w:val="center"/>
          </w:tcPr>
          <w:p w14:paraId="0ED2189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方正楷体_GBK" w:cs="方正楷体_GBK"/>
                <w:i w:val="0"/>
                <w:iCs w:val="0"/>
                <w:color w:val="000000"/>
                <w:sz w:val="20"/>
                <w:szCs w:val="20"/>
                <w:u w:val="none"/>
              </w:rPr>
            </w:pPr>
            <w:r>
              <w:rPr>
                <w:rFonts w:hint="eastAsia" w:ascii="Times New Roman" w:hAnsi="Times New Roman" w:eastAsia="方正楷体_GBK" w:cs="方正楷体_GBK"/>
                <w:i w:val="0"/>
                <w:iCs w:val="0"/>
                <w:color w:val="000000"/>
                <w:kern w:val="0"/>
                <w:sz w:val="20"/>
                <w:szCs w:val="20"/>
                <w:u w:val="none"/>
                <w:lang w:val="en-US" w:eastAsia="zh-CN" w:bidi="ar"/>
              </w:rPr>
              <w:t>100%</w:t>
            </w:r>
          </w:p>
        </w:tc>
        <w:tc>
          <w:tcPr>
            <w:tcW w:w="686" w:type="pct"/>
            <w:shd w:val="clear" w:color="auto" w:fill="FFFFFF"/>
            <w:noWrap/>
            <w:vAlign w:val="center"/>
          </w:tcPr>
          <w:p w14:paraId="3356DF0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方正楷体_GBK" w:cs="方正楷体_GBK"/>
                <w:i w:val="0"/>
                <w:iCs w:val="0"/>
                <w:color w:val="000000"/>
                <w:sz w:val="20"/>
                <w:szCs w:val="20"/>
                <w:u w:val="none"/>
              </w:rPr>
            </w:pPr>
            <w:r>
              <w:rPr>
                <w:rFonts w:hint="eastAsia" w:ascii="Times New Roman" w:hAnsi="Times New Roman" w:eastAsia="方正楷体_GBK" w:cs="方正楷体_GBK"/>
                <w:i w:val="0"/>
                <w:iCs w:val="0"/>
                <w:color w:val="000000"/>
                <w:kern w:val="0"/>
                <w:sz w:val="20"/>
                <w:szCs w:val="20"/>
                <w:u w:val="none"/>
                <w:lang w:val="en-US" w:eastAsia="zh-CN" w:bidi="ar"/>
              </w:rPr>
              <w:t>24小时</w:t>
            </w:r>
          </w:p>
        </w:tc>
      </w:tr>
      <w:tr w14:paraId="63891BA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29" w:hRule="atLeast"/>
          <w:jc w:val="center"/>
        </w:trPr>
        <w:tc>
          <w:tcPr>
            <w:tcW w:w="229" w:type="pct"/>
            <w:vMerge w:val="restart"/>
            <w:shd w:val="clear" w:color="auto" w:fill="FFFFFF"/>
            <w:noWrap/>
            <w:vAlign w:val="center"/>
          </w:tcPr>
          <w:p w14:paraId="67FA979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方正楷体_GBK" w:cs="方正楷体_GBK"/>
                <w:i w:val="0"/>
                <w:iCs w:val="0"/>
                <w:color w:val="000000"/>
                <w:sz w:val="20"/>
                <w:szCs w:val="20"/>
                <w:u w:val="none"/>
              </w:rPr>
            </w:pPr>
            <w:r>
              <w:rPr>
                <w:rFonts w:hint="eastAsia" w:ascii="Times New Roman" w:hAnsi="Times New Roman" w:eastAsia="方正楷体_GBK" w:cs="方正楷体_GBK"/>
                <w:i w:val="0"/>
                <w:iCs w:val="0"/>
                <w:color w:val="000000"/>
                <w:kern w:val="0"/>
                <w:sz w:val="20"/>
                <w:szCs w:val="20"/>
                <w:u w:val="none"/>
                <w:lang w:val="en-US" w:eastAsia="zh-CN" w:bidi="ar"/>
              </w:rPr>
              <w:t>2</w:t>
            </w:r>
          </w:p>
        </w:tc>
        <w:tc>
          <w:tcPr>
            <w:tcW w:w="367" w:type="pct"/>
            <w:vMerge w:val="restart"/>
            <w:shd w:val="clear" w:color="auto" w:fill="FFFFFF"/>
            <w:vAlign w:val="center"/>
          </w:tcPr>
          <w:p w14:paraId="04F5D86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方正楷体_GBK" w:cs="方正楷体_GBK"/>
                <w:i w:val="0"/>
                <w:iCs w:val="0"/>
                <w:color w:val="000000"/>
                <w:sz w:val="20"/>
                <w:szCs w:val="20"/>
                <w:u w:val="none"/>
              </w:rPr>
            </w:pPr>
            <w:r>
              <w:rPr>
                <w:rFonts w:hint="eastAsia" w:ascii="Times New Roman" w:hAnsi="Times New Roman" w:eastAsia="方正楷体_GBK" w:cs="方正楷体_GBK"/>
                <w:i w:val="0"/>
                <w:iCs w:val="0"/>
                <w:color w:val="000000"/>
                <w:kern w:val="0"/>
                <w:sz w:val="20"/>
                <w:szCs w:val="20"/>
                <w:u w:val="none"/>
                <w:lang w:val="en-US" w:eastAsia="zh-CN" w:bidi="ar"/>
              </w:rPr>
              <w:t>基础类服务</w:t>
            </w:r>
          </w:p>
        </w:tc>
        <w:tc>
          <w:tcPr>
            <w:tcW w:w="1810" w:type="pct"/>
            <w:gridSpan w:val="2"/>
            <w:shd w:val="clear" w:color="auto" w:fill="auto"/>
            <w:vAlign w:val="center"/>
          </w:tcPr>
          <w:p w14:paraId="1AFC5C6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方正楷体_GBK" w:cs="方正楷体_GBK"/>
                <w:i w:val="0"/>
                <w:iCs w:val="0"/>
                <w:color w:val="000000"/>
                <w:sz w:val="20"/>
                <w:szCs w:val="20"/>
                <w:u w:val="none"/>
              </w:rPr>
            </w:pPr>
            <w:r>
              <w:rPr>
                <w:rFonts w:hint="eastAsia" w:ascii="Times New Roman" w:hAnsi="Times New Roman" w:eastAsia="方正楷体_GBK" w:cs="方正楷体_GBK"/>
                <w:i w:val="0"/>
                <w:iCs w:val="0"/>
                <w:color w:val="000000"/>
                <w:kern w:val="0"/>
                <w:sz w:val="20"/>
                <w:szCs w:val="20"/>
                <w:u w:val="none"/>
                <w:lang w:val="en-US" w:eastAsia="zh-CN" w:bidi="ar"/>
              </w:rPr>
              <w:t>居室清洁</w:t>
            </w:r>
          </w:p>
        </w:tc>
        <w:tc>
          <w:tcPr>
            <w:tcW w:w="701" w:type="pct"/>
            <w:shd w:val="clear" w:color="auto" w:fill="auto"/>
            <w:noWrap/>
            <w:vAlign w:val="center"/>
          </w:tcPr>
          <w:p w14:paraId="40B1E39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方正楷体_GBK" w:cs="方正楷体_GBK"/>
                <w:i w:val="0"/>
                <w:iCs w:val="0"/>
                <w:color w:val="000000"/>
                <w:sz w:val="20"/>
                <w:szCs w:val="20"/>
                <w:u w:val="none"/>
              </w:rPr>
            </w:pPr>
            <w:r>
              <w:rPr>
                <w:rFonts w:hint="eastAsia" w:ascii="Times New Roman" w:hAnsi="Times New Roman" w:eastAsia="方正楷体_GBK" w:cs="方正楷体_GBK"/>
                <w:i w:val="0"/>
                <w:iCs w:val="0"/>
                <w:color w:val="000000"/>
                <w:kern w:val="0"/>
                <w:sz w:val="20"/>
                <w:szCs w:val="20"/>
                <w:u w:val="none"/>
                <w:lang w:val="en-US" w:eastAsia="zh-CN" w:bidi="ar"/>
              </w:rPr>
              <w:t>30元/次</w:t>
            </w:r>
          </w:p>
        </w:tc>
        <w:tc>
          <w:tcPr>
            <w:tcW w:w="1204" w:type="pct"/>
            <w:vMerge w:val="restart"/>
            <w:shd w:val="clear" w:color="auto" w:fill="auto"/>
            <w:vAlign w:val="center"/>
          </w:tcPr>
          <w:p w14:paraId="5F56F1A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方正楷体_GBK" w:cs="方正楷体_GBK"/>
                <w:i w:val="0"/>
                <w:iCs w:val="0"/>
                <w:color w:val="000000"/>
                <w:kern w:val="0"/>
                <w:sz w:val="20"/>
                <w:szCs w:val="20"/>
                <w:u w:val="none"/>
                <w:lang w:val="en-US" w:eastAsia="zh-CN" w:bidi="ar"/>
              </w:rPr>
            </w:pPr>
            <w:r>
              <w:rPr>
                <w:rFonts w:hint="eastAsia" w:ascii="Times New Roman" w:hAnsi="Times New Roman" w:eastAsia="方正楷体_GBK" w:cs="方正楷体_GBK"/>
                <w:i w:val="0"/>
                <w:iCs w:val="0"/>
                <w:color w:val="000000"/>
                <w:kern w:val="0"/>
                <w:sz w:val="20"/>
                <w:szCs w:val="20"/>
                <w:u w:val="none"/>
                <w:lang w:val="en-US" w:eastAsia="zh-CN" w:bidi="ar"/>
              </w:rPr>
              <w:t>当月首单按100%补贴，</w:t>
            </w:r>
          </w:p>
          <w:p w14:paraId="2B7D176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方正楷体_GBK" w:cs="方正楷体_GBK"/>
                <w:i w:val="0"/>
                <w:iCs w:val="0"/>
                <w:color w:val="000000"/>
                <w:kern w:val="0"/>
                <w:sz w:val="20"/>
                <w:szCs w:val="20"/>
                <w:u w:val="none"/>
                <w:lang w:val="en-US" w:eastAsia="zh-CN" w:bidi="ar"/>
              </w:rPr>
            </w:pPr>
            <w:r>
              <w:rPr>
                <w:rFonts w:hint="eastAsia" w:ascii="Times New Roman" w:hAnsi="Times New Roman" w:eastAsia="方正楷体_GBK" w:cs="方正楷体_GBK"/>
                <w:i w:val="0"/>
                <w:iCs w:val="0"/>
                <w:color w:val="000000"/>
                <w:kern w:val="0"/>
                <w:sz w:val="20"/>
                <w:szCs w:val="20"/>
                <w:u w:val="none"/>
                <w:lang w:val="en-US" w:eastAsia="zh-CN" w:bidi="ar"/>
              </w:rPr>
              <w:t>第二单按80%补贴，</w:t>
            </w:r>
          </w:p>
          <w:p w14:paraId="7A769CE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方正楷体_GBK" w:cs="方正楷体_GBK"/>
                <w:i w:val="0"/>
                <w:iCs w:val="0"/>
                <w:color w:val="000000"/>
                <w:sz w:val="20"/>
                <w:szCs w:val="20"/>
                <w:u w:val="none"/>
              </w:rPr>
            </w:pPr>
            <w:r>
              <w:rPr>
                <w:rFonts w:hint="eastAsia" w:ascii="Times New Roman" w:hAnsi="Times New Roman" w:eastAsia="方正楷体_GBK" w:cs="方正楷体_GBK"/>
                <w:i w:val="0"/>
                <w:iCs w:val="0"/>
                <w:color w:val="000000"/>
                <w:kern w:val="0"/>
                <w:sz w:val="20"/>
                <w:szCs w:val="20"/>
                <w:u w:val="none"/>
                <w:lang w:val="en-US" w:eastAsia="zh-CN" w:bidi="ar"/>
              </w:rPr>
              <w:t>第三单按60%补贴</w:t>
            </w:r>
          </w:p>
        </w:tc>
        <w:tc>
          <w:tcPr>
            <w:tcW w:w="686" w:type="pct"/>
            <w:shd w:val="clear" w:color="auto" w:fill="auto"/>
            <w:noWrap/>
            <w:vAlign w:val="center"/>
          </w:tcPr>
          <w:p w14:paraId="1431742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方正楷体_GBK" w:cs="方正楷体_GBK"/>
                <w:i w:val="0"/>
                <w:iCs w:val="0"/>
                <w:color w:val="000000"/>
                <w:sz w:val="20"/>
                <w:szCs w:val="20"/>
                <w:u w:val="none"/>
              </w:rPr>
            </w:pPr>
            <w:r>
              <w:rPr>
                <w:rFonts w:hint="eastAsia" w:ascii="Times New Roman" w:hAnsi="Times New Roman" w:eastAsia="方正楷体_GBK" w:cs="方正楷体_GBK"/>
                <w:i w:val="0"/>
                <w:iCs w:val="0"/>
                <w:color w:val="000000"/>
                <w:kern w:val="0"/>
                <w:sz w:val="20"/>
                <w:szCs w:val="20"/>
                <w:u w:val="none"/>
                <w:lang w:val="en-US" w:eastAsia="zh-CN" w:bidi="ar"/>
              </w:rPr>
              <w:t>60分钟</w:t>
            </w:r>
          </w:p>
        </w:tc>
      </w:tr>
      <w:tr w14:paraId="6BD5DBA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229" w:type="pct"/>
            <w:vMerge w:val="continue"/>
            <w:shd w:val="clear" w:color="auto" w:fill="FFFFFF"/>
            <w:noWrap/>
            <w:vAlign w:val="center"/>
          </w:tcPr>
          <w:p w14:paraId="5282100F">
            <w:pPr>
              <w:keepNext w:val="0"/>
              <w:keepLines w:val="0"/>
              <w:pageBreakBefore w:val="0"/>
              <w:widowControl/>
              <w:kinsoku/>
              <w:wordWrap/>
              <w:overflowPunct/>
              <w:topLinePunct w:val="0"/>
              <w:autoSpaceDE/>
              <w:autoSpaceDN/>
              <w:bidi w:val="0"/>
              <w:adjustRightInd/>
              <w:snapToGrid/>
              <w:spacing w:line="0" w:lineRule="atLeast"/>
              <w:jc w:val="center"/>
              <w:rPr>
                <w:rFonts w:hint="eastAsia" w:ascii="Times New Roman" w:hAnsi="Times New Roman" w:eastAsia="方正楷体_GBK" w:cs="方正楷体_GBK"/>
                <w:i w:val="0"/>
                <w:iCs w:val="0"/>
                <w:color w:val="000000"/>
                <w:sz w:val="20"/>
                <w:szCs w:val="20"/>
                <w:u w:val="none"/>
              </w:rPr>
            </w:pPr>
          </w:p>
        </w:tc>
        <w:tc>
          <w:tcPr>
            <w:tcW w:w="367" w:type="pct"/>
            <w:vMerge w:val="continue"/>
            <w:shd w:val="clear" w:color="auto" w:fill="FFFFFF"/>
            <w:vAlign w:val="center"/>
          </w:tcPr>
          <w:p w14:paraId="146EE94B">
            <w:pPr>
              <w:keepNext w:val="0"/>
              <w:keepLines w:val="0"/>
              <w:pageBreakBefore w:val="0"/>
              <w:widowControl/>
              <w:kinsoku/>
              <w:wordWrap/>
              <w:overflowPunct/>
              <w:topLinePunct w:val="0"/>
              <w:autoSpaceDE/>
              <w:autoSpaceDN/>
              <w:bidi w:val="0"/>
              <w:adjustRightInd/>
              <w:snapToGrid/>
              <w:spacing w:line="0" w:lineRule="atLeast"/>
              <w:jc w:val="center"/>
              <w:rPr>
                <w:rFonts w:hint="eastAsia" w:ascii="Times New Roman" w:hAnsi="Times New Roman" w:eastAsia="方正楷体_GBK" w:cs="方正楷体_GBK"/>
                <w:i w:val="0"/>
                <w:iCs w:val="0"/>
                <w:color w:val="000000"/>
                <w:sz w:val="20"/>
                <w:szCs w:val="20"/>
                <w:u w:val="none"/>
              </w:rPr>
            </w:pPr>
          </w:p>
        </w:tc>
        <w:tc>
          <w:tcPr>
            <w:tcW w:w="1810" w:type="pct"/>
            <w:gridSpan w:val="2"/>
            <w:shd w:val="clear" w:color="auto" w:fill="auto"/>
            <w:vAlign w:val="center"/>
          </w:tcPr>
          <w:p w14:paraId="3ED07EC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方正楷体_GBK" w:cs="方正楷体_GBK"/>
                <w:i w:val="0"/>
                <w:iCs w:val="0"/>
                <w:color w:val="000000"/>
                <w:sz w:val="20"/>
                <w:szCs w:val="20"/>
                <w:u w:val="none"/>
              </w:rPr>
            </w:pPr>
            <w:r>
              <w:rPr>
                <w:rFonts w:hint="eastAsia" w:ascii="Times New Roman" w:hAnsi="Times New Roman" w:eastAsia="方正楷体_GBK" w:cs="方正楷体_GBK"/>
                <w:i w:val="0"/>
                <w:iCs w:val="0"/>
                <w:color w:val="000000"/>
                <w:kern w:val="0"/>
                <w:sz w:val="20"/>
                <w:szCs w:val="20"/>
                <w:u w:val="none"/>
                <w:lang w:val="en-US" w:eastAsia="zh-CN" w:bidi="ar"/>
              </w:rPr>
              <w:t>上门洗发、理发</w:t>
            </w:r>
          </w:p>
        </w:tc>
        <w:tc>
          <w:tcPr>
            <w:tcW w:w="701" w:type="pct"/>
            <w:shd w:val="clear" w:color="auto" w:fill="auto"/>
            <w:noWrap/>
            <w:vAlign w:val="center"/>
          </w:tcPr>
          <w:p w14:paraId="68B8B05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方正楷体_GBK" w:cs="方正楷体_GBK"/>
                <w:i w:val="0"/>
                <w:iCs w:val="0"/>
                <w:color w:val="000000"/>
                <w:sz w:val="20"/>
                <w:szCs w:val="20"/>
                <w:u w:val="none"/>
              </w:rPr>
            </w:pPr>
            <w:r>
              <w:rPr>
                <w:rFonts w:hint="eastAsia" w:ascii="Times New Roman" w:hAnsi="Times New Roman" w:eastAsia="方正楷体_GBK" w:cs="方正楷体_GBK"/>
                <w:i w:val="0"/>
                <w:iCs w:val="0"/>
                <w:color w:val="000000"/>
                <w:kern w:val="0"/>
                <w:sz w:val="20"/>
                <w:szCs w:val="20"/>
                <w:u w:val="none"/>
                <w:lang w:val="en-US" w:eastAsia="zh-CN" w:bidi="ar"/>
              </w:rPr>
              <w:t>30元/次</w:t>
            </w:r>
          </w:p>
        </w:tc>
        <w:tc>
          <w:tcPr>
            <w:tcW w:w="1204" w:type="pct"/>
            <w:vMerge w:val="continue"/>
            <w:shd w:val="clear" w:color="auto" w:fill="auto"/>
            <w:vAlign w:val="center"/>
          </w:tcPr>
          <w:p w14:paraId="2369099D">
            <w:pPr>
              <w:keepNext w:val="0"/>
              <w:keepLines w:val="0"/>
              <w:pageBreakBefore w:val="0"/>
              <w:widowControl/>
              <w:kinsoku/>
              <w:wordWrap/>
              <w:overflowPunct/>
              <w:topLinePunct w:val="0"/>
              <w:autoSpaceDE/>
              <w:autoSpaceDN/>
              <w:bidi w:val="0"/>
              <w:adjustRightInd/>
              <w:snapToGrid/>
              <w:spacing w:line="0" w:lineRule="atLeast"/>
              <w:jc w:val="center"/>
              <w:rPr>
                <w:rFonts w:hint="eastAsia" w:ascii="Times New Roman" w:hAnsi="Times New Roman" w:eastAsia="方正楷体_GBK" w:cs="方正楷体_GBK"/>
                <w:i w:val="0"/>
                <w:iCs w:val="0"/>
                <w:color w:val="000000"/>
                <w:sz w:val="20"/>
                <w:szCs w:val="20"/>
                <w:u w:val="none"/>
              </w:rPr>
            </w:pPr>
          </w:p>
        </w:tc>
        <w:tc>
          <w:tcPr>
            <w:tcW w:w="686" w:type="pct"/>
            <w:shd w:val="clear" w:color="auto" w:fill="auto"/>
            <w:noWrap/>
            <w:vAlign w:val="center"/>
          </w:tcPr>
          <w:p w14:paraId="3DF6632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方正楷体_GBK" w:cs="方正楷体_GBK"/>
                <w:i w:val="0"/>
                <w:iCs w:val="0"/>
                <w:color w:val="000000"/>
                <w:sz w:val="20"/>
                <w:szCs w:val="20"/>
                <w:u w:val="none"/>
              </w:rPr>
            </w:pPr>
            <w:r>
              <w:rPr>
                <w:rFonts w:hint="eastAsia" w:ascii="Times New Roman" w:hAnsi="Times New Roman" w:eastAsia="方正楷体_GBK" w:cs="方正楷体_GBK"/>
                <w:i w:val="0"/>
                <w:iCs w:val="0"/>
                <w:color w:val="000000"/>
                <w:kern w:val="0"/>
                <w:sz w:val="20"/>
                <w:szCs w:val="20"/>
                <w:u w:val="none"/>
                <w:lang w:val="en-US" w:eastAsia="zh-CN" w:bidi="ar"/>
              </w:rPr>
              <w:t>30分钟</w:t>
            </w:r>
          </w:p>
        </w:tc>
      </w:tr>
      <w:tr w14:paraId="29132D3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229" w:type="pct"/>
            <w:vMerge w:val="continue"/>
            <w:shd w:val="clear" w:color="auto" w:fill="FFFFFF"/>
            <w:noWrap/>
            <w:vAlign w:val="center"/>
          </w:tcPr>
          <w:p w14:paraId="1FCA4A76">
            <w:pPr>
              <w:keepNext w:val="0"/>
              <w:keepLines w:val="0"/>
              <w:pageBreakBefore w:val="0"/>
              <w:widowControl/>
              <w:kinsoku/>
              <w:wordWrap/>
              <w:overflowPunct/>
              <w:topLinePunct w:val="0"/>
              <w:autoSpaceDE/>
              <w:autoSpaceDN/>
              <w:bidi w:val="0"/>
              <w:adjustRightInd/>
              <w:snapToGrid/>
              <w:spacing w:line="0" w:lineRule="atLeast"/>
              <w:jc w:val="center"/>
              <w:rPr>
                <w:rFonts w:hint="eastAsia" w:ascii="Times New Roman" w:hAnsi="Times New Roman" w:eastAsia="方正楷体_GBK" w:cs="方正楷体_GBK"/>
                <w:i w:val="0"/>
                <w:iCs w:val="0"/>
                <w:color w:val="000000"/>
                <w:sz w:val="20"/>
                <w:szCs w:val="20"/>
                <w:u w:val="none"/>
              </w:rPr>
            </w:pPr>
          </w:p>
        </w:tc>
        <w:tc>
          <w:tcPr>
            <w:tcW w:w="367" w:type="pct"/>
            <w:vMerge w:val="continue"/>
            <w:shd w:val="clear" w:color="auto" w:fill="FFFFFF"/>
            <w:vAlign w:val="center"/>
          </w:tcPr>
          <w:p w14:paraId="7838A1C4">
            <w:pPr>
              <w:keepNext w:val="0"/>
              <w:keepLines w:val="0"/>
              <w:pageBreakBefore w:val="0"/>
              <w:widowControl/>
              <w:kinsoku/>
              <w:wordWrap/>
              <w:overflowPunct/>
              <w:topLinePunct w:val="0"/>
              <w:autoSpaceDE/>
              <w:autoSpaceDN/>
              <w:bidi w:val="0"/>
              <w:adjustRightInd/>
              <w:snapToGrid/>
              <w:spacing w:line="0" w:lineRule="atLeast"/>
              <w:jc w:val="center"/>
              <w:rPr>
                <w:rFonts w:hint="eastAsia" w:ascii="Times New Roman" w:hAnsi="Times New Roman" w:eastAsia="方正楷体_GBK" w:cs="方正楷体_GBK"/>
                <w:i w:val="0"/>
                <w:iCs w:val="0"/>
                <w:color w:val="000000"/>
                <w:sz w:val="20"/>
                <w:szCs w:val="20"/>
                <w:u w:val="none"/>
              </w:rPr>
            </w:pPr>
          </w:p>
        </w:tc>
        <w:tc>
          <w:tcPr>
            <w:tcW w:w="1810" w:type="pct"/>
            <w:gridSpan w:val="2"/>
            <w:shd w:val="clear" w:color="auto" w:fill="auto"/>
            <w:vAlign w:val="center"/>
          </w:tcPr>
          <w:p w14:paraId="1F56513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方正楷体_GBK" w:cs="方正楷体_GBK"/>
                <w:i w:val="0"/>
                <w:iCs w:val="0"/>
                <w:color w:val="000000"/>
                <w:sz w:val="20"/>
                <w:szCs w:val="20"/>
                <w:u w:val="none"/>
              </w:rPr>
            </w:pPr>
            <w:r>
              <w:rPr>
                <w:rFonts w:hint="eastAsia" w:ascii="Times New Roman" w:hAnsi="Times New Roman" w:eastAsia="方正楷体_GBK" w:cs="方正楷体_GBK"/>
                <w:i w:val="0"/>
                <w:iCs w:val="0"/>
                <w:color w:val="000000"/>
                <w:kern w:val="0"/>
                <w:sz w:val="20"/>
                <w:szCs w:val="20"/>
                <w:u w:val="none"/>
                <w:lang w:val="en-US" w:eastAsia="zh-CN" w:bidi="ar"/>
              </w:rPr>
              <w:t>洗脚剪指甲</w:t>
            </w:r>
          </w:p>
        </w:tc>
        <w:tc>
          <w:tcPr>
            <w:tcW w:w="701" w:type="pct"/>
            <w:shd w:val="clear" w:color="auto" w:fill="auto"/>
            <w:noWrap/>
            <w:vAlign w:val="center"/>
          </w:tcPr>
          <w:p w14:paraId="584A702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方正楷体_GBK" w:cs="方正楷体_GBK"/>
                <w:i w:val="0"/>
                <w:iCs w:val="0"/>
                <w:color w:val="000000"/>
                <w:sz w:val="20"/>
                <w:szCs w:val="20"/>
                <w:u w:val="none"/>
              </w:rPr>
            </w:pPr>
            <w:r>
              <w:rPr>
                <w:rFonts w:hint="eastAsia" w:ascii="Times New Roman" w:hAnsi="Times New Roman" w:eastAsia="方正楷体_GBK" w:cs="方正楷体_GBK"/>
                <w:i w:val="0"/>
                <w:iCs w:val="0"/>
                <w:color w:val="000000"/>
                <w:kern w:val="0"/>
                <w:sz w:val="20"/>
                <w:szCs w:val="20"/>
                <w:u w:val="none"/>
                <w:lang w:val="en-US" w:eastAsia="zh-CN" w:bidi="ar"/>
              </w:rPr>
              <w:t>30元/次</w:t>
            </w:r>
          </w:p>
        </w:tc>
        <w:tc>
          <w:tcPr>
            <w:tcW w:w="1204" w:type="pct"/>
            <w:vMerge w:val="continue"/>
            <w:shd w:val="clear" w:color="auto" w:fill="auto"/>
            <w:vAlign w:val="center"/>
          </w:tcPr>
          <w:p w14:paraId="09A1179A">
            <w:pPr>
              <w:keepNext w:val="0"/>
              <w:keepLines w:val="0"/>
              <w:pageBreakBefore w:val="0"/>
              <w:widowControl/>
              <w:kinsoku/>
              <w:wordWrap/>
              <w:overflowPunct/>
              <w:topLinePunct w:val="0"/>
              <w:autoSpaceDE/>
              <w:autoSpaceDN/>
              <w:bidi w:val="0"/>
              <w:adjustRightInd/>
              <w:snapToGrid/>
              <w:spacing w:line="0" w:lineRule="atLeast"/>
              <w:jc w:val="center"/>
              <w:rPr>
                <w:rFonts w:hint="eastAsia" w:ascii="Times New Roman" w:hAnsi="Times New Roman" w:eastAsia="方正楷体_GBK" w:cs="方正楷体_GBK"/>
                <w:i w:val="0"/>
                <w:iCs w:val="0"/>
                <w:color w:val="000000"/>
                <w:sz w:val="20"/>
                <w:szCs w:val="20"/>
                <w:u w:val="none"/>
              </w:rPr>
            </w:pPr>
          </w:p>
        </w:tc>
        <w:tc>
          <w:tcPr>
            <w:tcW w:w="686" w:type="pct"/>
            <w:shd w:val="clear" w:color="auto" w:fill="auto"/>
            <w:noWrap/>
            <w:vAlign w:val="center"/>
          </w:tcPr>
          <w:p w14:paraId="4F1F70F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方正楷体_GBK" w:cs="方正楷体_GBK"/>
                <w:i w:val="0"/>
                <w:iCs w:val="0"/>
                <w:color w:val="000000"/>
                <w:sz w:val="20"/>
                <w:szCs w:val="20"/>
                <w:u w:val="none"/>
              </w:rPr>
            </w:pPr>
            <w:r>
              <w:rPr>
                <w:rFonts w:hint="eastAsia" w:ascii="Times New Roman" w:hAnsi="Times New Roman" w:eastAsia="方正楷体_GBK" w:cs="方正楷体_GBK"/>
                <w:i w:val="0"/>
                <w:iCs w:val="0"/>
                <w:color w:val="000000"/>
                <w:kern w:val="0"/>
                <w:sz w:val="20"/>
                <w:szCs w:val="20"/>
                <w:u w:val="none"/>
                <w:lang w:val="en-US" w:eastAsia="zh-CN" w:bidi="ar"/>
              </w:rPr>
              <w:t>30分钟</w:t>
            </w:r>
          </w:p>
        </w:tc>
      </w:tr>
      <w:tr w14:paraId="05A3E6B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229" w:type="pct"/>
            <w:vMerge w:val="continue"/>
            <w:shd w:val="clear" w:color="auto" w:fill="FFFFFF"/>
            <w:noWrap/>
            <w:vAlign w:val="center"/>
          </w:tcPr>
          <w:p w14:paraId="7F8BE28C">
            <w:pPr>
              <w:keepNext w:val="0"/>
              <w:keepLines w:val="0"/>
              <w:pageBreakBefore w:val="0"/>
              <w:widowControl/>
              <w:kinsoku/>
              <w:wordWrap/>
              <w:overflowPunct/>
              <w:topLinePunct w:val="0"/>
              <w:autoSpaceDE/>
              <w:autoSpaceDN/>
              <w:bidi w:val="0"/>
              <w:adjustRightInd/>
              <w:snapToGrid/>
              <w:spacing w:line="0" w:lineRule="atLeast"/>
              <w:jc w:val="center"/>
              <w:rPr>
                <w:rFonts w:hint="eastAsia" w:ascii="Times New Roman" w:hAnsi="Times New Roman" w:eastAsia="方正楷体_GBK" w:cs="方正楷体_GBK"/>
                <w:i w:val="0"/>
                <w:iCs w:val="0"/>
                <w:color w:val="000000"/>
                <w:sz w:val="20"/>
                <w:szCs w:val="20"/>
                <w:u w:val="none"/>
              </w:rPr>
            </w:pPr>
          </w:p>
        </w:tc>
        <w:tc>
          <w:tcPr>
            <w:tcW w:w="367" w:type="pct"/>
            <w:vMerge w:val="continue"/>
            <w:shd w:val="clear" w:color="auto" w:fill="FFFFFF"/>
            <w:vAlign w:val="center"/>
          </w:tcPr>
          <w:p w14:paraId="15988806">
            <w:pPr>
              <w:keepNext w:val="0"/>
              <w:keepLines w:val="0"/>
              <w:pageBreakBefore w:val="0"/>
              <w:widowControl/>
              <w:kinsoku/>
              <w:wordWrap/>
              <w:overflowPunct/>
              <w:topLinePunct w:val="0"/>
              <w:autoSpaceDE/>
              <w:autoSpaceDN/>
              <w:bidi w:val="0"/>
              <w:adjustRightInd/>
              <w:snapToGrid/>
              <w:spacing w:line="0" w:lineRule="atLeast"/>
              <w:jc w:val="center"/>
              <w:rPr>
                <w:rFonts w:hint="eastAsia" w:ascii="Times New Roman" w:hAnsi="Times New Roman" w:eastAsia="方正楷体_GBK" w:cs="方正楷体_GBK"/>
                <w:i w:val="0"/>
                <w:iCs w:val="0"/>
                <w:color w:val="000000"/>
                <w:sz w:val="20"/>
                <w:szCs w:val="20"/>
                <w:u w:val="none"/>
              </w:rPr>
            </w:pPr>
          </w:p>
        </w:tc>
        <w:tc>
          <w:tcPr>
            <w:tcW w:w="1810" w:type="pct"/>
            <w:gridSpan w:val="2"/>
            <w:shd w:val="clear" w:color="auto" w:fill="auto"/>
            <w:vAlign w:val="center"/>
          </w:tcPr>
          <w:p w14:paraId="0F1362C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方正楷体_GBK" w:cs="方正楷体_GBK"/>
                <w:i w:val="0"/>
                <w:iCs w:val="0"/>
                <w:color w:val="000000"/>
                <w:kern w:val="0"/>
                <w:sz w:val="20"/>
                <w:szCs w:val="20"/>
                <w:u w:val="none"/>
                <w:lang w:val="en-US" w:eastAsia="zh-CN" w:bidi="ar"/>
              </w:rPr>
            </w:pPr>
            <w:r>
              <w:rPr>
                <w:rFonts w:hint="eastAsia" w:ascii="Times New Roman" w:hAnsi="Times New Roman" w:eastAsia="方正楷体_GBK" w:cs="方正楷体_GBK"/>
                <w:i w:val="0"/>
                <w:iCs w:val="0"/>
                <w:color w:val="000000"/>
                <w:kern w:val="0"/>
                <w:sz w:val="20"/>
                <w:szCs w:val="20"/>
                <w:u w:val="none"/>
                <w:lang w:val="en-US" w:eastAsia="zh-CN" w:bidi="ar"/>
              </w:rPr>
              <w:t>健康管理</w:t>
            </w:r>
          </w:p>
          <w:p w14:paraId="7A043A1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方正楷体_GBK" w:cs="方正楷体_GBK"/>
                <w:i w:val="0"/>
                <w:iCs w:val="0"/>
                <w:color w:val="000000"/>
                <w:sz w:val="20"/>
                <w:szCs w:val="20"/>
                <w:u w:val="none"/>
              </w:rPr>
            </w:pPr>
            <w:r>
              <w:rPr>
                <w:rFonts w:hint="eastAsia" w:ascii="Times New Roman" w:hAnsi="Times New Roman" w:eastAsia="方正楷体_GBK" w:cs="方正楷体_GBK"/>
                <w:i w:val="0"/>
                <w:iCs w:val="0"/>
                <w:color w:val="000000"/>
                <w:kern w:val="0"/>
                <w:sz w:val="20"/>
                <w:szCs w:val="20"/>
                <w:u w:val="none"/>
                <w:lang w:val="en-US" w:eastAsia="zh-CN" w:bidi="ar"/>
              </w:rPr>
              <w:t>（心率、血氧、血压监测；健康建档）</w:t>
            </w:r>
          </w:p>
        </w:tc>
        <w:tc>
          <w:tcPr>
            <w:tcW w:w="701" w:type="pct"/>
            <w:shd w:val="clear" w:color="auto" w:fill="auto"/>
            <w:noWrap/>
            <w:vAlign w:val="center"/>
          </w:tcPr>
          <w:p w14:paraId="0E859DF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方正楷体_GBK" w:cs="方正楷体_GBK"/>
                <w:i w:val="0"/>
                <w:iCs w:val="0"/>
                <w:color w:val="000000"/>
                <w:sz w:val="20"/>
                <w:szCs w:val="20"/>
                <w:u w:val="none"/>
              </w:rPr>
            </w:pPr>
            <w:r>
              <w:rPr>
                <w:rFonts w:hint="eastAsia" w:ascii="Times New Roman" w:hAnsi="Times New Roman" w:eastAsia="方正楷体_GBK" w:cs="方正楷体_GBK"/>
                <w:i w:val="0"/>
                <w:iCs w:val="0"/>
                <w:color w:val="000000"/>
                <w:kern w:val="0"/>
                <w:sz w:val="20"/>
                <w:szCs w:val="20"/>
                <w:u w:val="none"/>
                <w:lang w:val="en-US" w:eastAsia="zh-CN" w:bidi="ar"/>
              </w:rPr>
              <w:t>30元/次</w:t>
            </w:r>
          </w:p>
        </w:tc>
        <w:tc>
          <w:tcPr>
            <w:tcW w:w="1204" w:type="pct"/>
            <w:vMerge w:val="continue"/>
            <w:shd w:val="clear" w:color="auto" w:fill="auto"/>
            <w:vAlign w:val="center"/>
          </w:tcPr>
          <w:p w14:paraId="0EB27542">
            <w:pPr>
              <w:keepNext w:val="0"/>
              <w:keepLines w:val="0"/>
              <w:pageBreakBefore w:val="0"/>
              <w:widowControl/>
              <w:kinsoku/>
              <w:wordWrap/>
              <w:overflowPunct/>
              <w:topLinePunct w:val="0"/>
              <w:autoSpaceDE/>
              <w:autoSpaceDN/>
              <w:bidi w:val="0"/>
              <w:adjustRightInd/>
              <w:snapToGrid/>
              <w:spacing w:line="0" w:lineRule="atLeast"/>
              <w:jc w:val="center"/>
              <w:rPr>
                <w:rFonts w:hint="eastAsia" w:ascii="Times New Roman" w:hAnsi="Times New Roman" w:eastAsia="方正楷体_GBK" w:cs="方正楷体_GBK"/>
                <w:i w:val="0"/>
                <w:iCs w:val="0"/>
                <w:color w:val="000000"/>
                <w:sz w:val="20"/>
                <w:szCs w:val="20"/>
                <w:u w:val="none"/>
              </w:rPr>
            </w:pPr>
          </w:p>
        </w:tc>
        <w:tc>
          <w:tcPr>
            <w:tcW w:w="686" w:type="pct"/>
            <w:shd w:val="clear" w:color="auto" w:fill="auto"/>
            <w:noWrap/>
            <w:vAlign w:val="center"/>
          </w:tcPr>
          <w:p w14:paraId="020E7F2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方正楷体_GBK" w:cs="方正楷体_GBK"/>
                <w:i w:val="0"/>
                <w:iCs w:val="0"/>
                <w:color w:val="000000"/>
                <w:sz w:val="20"/>
                <w:szCs w:val="20"/>
                <w:u w:val="none"/>
              </w:rPr>
            </w:pPr>
            <w:r>
              <w:rPr>
                <w:rFonts w:hint="eastAsia" w:ascii="Times New Roman" w:hAnsi="Times New Roman" w:eastAsia="方正楷体_GBK" w:cs="方正楷体_GBK"/>
                <w:i w:val="0"/>
                <w:iCs w:val="0"/>
                <w:color w:val="000000"/>
                <w:kern w:val="0"/>
                <w:sz w:val="20"/>
                <w:szCs w:val="20"/>
                <w:u w:val="none"/>
                <w:lang w:val="en-US" w:eastAsia="zh-CN" w:bidi="ar"/>
              </w:rPr>
              <w:t>30分钟</w:t>
            </w:r>
          </w:p>
        </w:tc>
      </w:tr>
      <w:tr w14:paraId="34E9528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229" w:type="pct"/>
            <w:vMerge w:val="continue"/>
            <w:shd w:val="clear" w:color="auto" w:fill="FFFFFF"/>
            <w:noWrap/>
            <w:vAlign w:val="center"/>
          </w:tcPr>
          <w:p w14:paraId="4AED8474">
            <w:pPr>
              <w:keepNext w:val="0"/>
              <w:keepLines w:val="0"/>
              <w:pageBreakBefore w:val="0"/>
              <w:widowControl/>
              <w:kinsoku/>
              <w:wordWrap/>
              <w:overflowPunct/>
              <w:topLinePunct w:val="0"/>
              <w:autoSpaceDE/>
              <w:autoSpaceDN/>
              <w:bidi w:val="0"/>
              <w:adjustRightInd/>
              <w:snapToGrid/>
              <w:spacing w:line="0" w:lineRule="atLeast"/>
              <w:jc w:val="center"/>
              <w:rPr>
                <w:rFonts w:hint="eastAsia" w:ascii="Times New Roman" w:hAnsi="Times New Roman" w:eastAsia="方正楷体_GBK" w:cs="方正楷体_GBK"/>
                <w:i w:val="0"/>
                <w:iCs w:val="0"/>
                <w:color w:val="000000"/>
                <w:sz w:val="20"/>
                <w:szCs w:val="20"/>
                <w:u w:val="none"/>
              </w:rPr>
            </w:pPr>
          </w:p>
        </w:tc>
        <w:tc>
          <w:tcPr>
            <w:tcW w:w="367" w:type="pct"/>
            <w:vMerge w:val="continue"/>
            <w:shd w:val="clear" w:color="auto" w:fill="FFFFFF"/>
            <w:vAlign w:val="center"/>
          </w:tcPr>
          <w:p w14:paraId="7E696FCD">
            <w:pPr>
              <w:keepNext w:val="0"/>
              <w:keepLines w:val="0"/>
              <w:pageBreakBefore w:val="0"/>
              <w:widowControl/>
              <w:kinsoku/>
              <w:wordWrap/>
              <w:overflowPunct/>
              <w:topLinePunct w:val="0"/>
              <w:autoSpaceDE/>
              <w:autoSpaceDN/>
              <w:bidi w:val="0"/>
              <w:adjustRightInd/>
              <w:snapToGrid/>
              <w:spacing w:line="0" w:lineRule="atLeast"/>
              <w:jc w:val="center"/>
              <w:rPr>
                <w:rFonts w:hint="eastAsia" w:ascii="Times New Roman" w:hAnsi="Times New Roman" w:eastAsia="方正楷体_GBK" w:cs="方正楷体_GBK"/>
                <w:i w:val="0"/>
                <w:iCs w:val="0"/>
                <w:color w:val="000000"/>
                <w:sz w:val="20"/>
                <w:szCs w:val="20"/>
                <w:u w:val="none"/>
              </w:rPr>
            </w:pPr>
          </w:p>
        </w:tc>
        <w:tc>
          <w:tcPr>
            <w:tcW w:w="1810" w:type="pct"/>
            <w:gridSpan w:val="2"/>
            <w:shd w:val="clear" w:color="auto" w:fill="auto"/>
            <w:vAlign w:val="center"/>
          </w:tcPr>
          <w:p w14:paraId="154B77C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方正楷体_GBK" w:cs="方正楷体_GBK"/>
                <w:i w:val="0"/>
                <w:iCs w:val="0"/>
                <w:color w:val="000000"/>
                <w:sz w:val="20"/>
                <w:szCs w:val="20"/>
                <w:u w:val="none"/>
              </w:rPr>
            </w:pPr>
            <w:r>
              <w:rPr>
                <w:rFonts w:hint="eastAsia" w:ascii="Times New Roman" w:hAnsi="Times New Roman" w:eastAsia="方正楷体_GBK" w:cs="方正楷体_GBK"/>
                <w:i w:val="0"/>
                <w:iCs w:val="0"/>
                <w:color w:val="000000"/>
                <w:kern w:val="0"/>
                <w:sz w:val="20"/>
                <w:szCs w:val="20"/>
                <w:u w:val="none"/>
                <w:lang w:val="en-US" w:eastAsia="zh-CN" w:bidi="ar"/>
              </w:rPr>
              <w:t>中频理疗仪/红外线理疗灯</w:t>
            </w:r>
          </w:p>
        </w:tc>
        <w:tc>
          <w:tcPr>
            <w:tcW w:w="701" w:type="pct"/>
            <w:shd w:val="clear" w:color="auto" w:fill="auto"/>
            <w:vAlign w:val="center"/>
          </w:tcPr>
          <w:p w14:paraId="791D503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方正楷体_GBK" w:cs="方正楷体_GBK"/>
                <w:i w:val="0"/>
                <w:iCs w:val="0"/>
                <w:color w:val="000000"/>
                <w:sz w:val="20"/>
                <w:szCs w:val="20"/>
                <w:u w:val="none"/>
              </w:rPr>
            </w:pPr>
            <w:r>
              <w:rPr>
                <w:rFonts w:hint="eastAsia" w:ascii="Times New Roman" w:hAnsi="Times New Roman" w:eastAsia="方正楷体_GBK" w:cs="方正楷体_GBK"/>
                <w:i w:val="0"/>
                <w:iCs w:val="0"/>
                <w:color w:val="000000"/>
                <w:kern w:val="0"/>
                <w:sz w:val="20"/>
                <w:szCs w:val="20"/>
                <w:u w:val="none"/>
                <w:lang w:val="en-US" w:eastAsia="zh-CN" w:bidi="ar"/>
              </w:rPr>
              <w:t>80/次</w:t>
            </w:r>
          </w:p>
        </w:tc>
        <w:tc>
          <w:tcPr>
            <w:tcW w:w="1204" w:type="pct"/>
            <w:vMerge w:val="continue"/>
            <w:shd w:val="clear" w:color="auto" w:fill="auto"/>
            <w:vAlign w:val="center"/>
          </w:tcPr>
          <w:p w14:paraId="276FC506">
            <w:pPr>
              <w:keepNext w:val="0"/>
              <w:keepLines w:val="0"/>
              <w:pageBreakBefore w:val="0"/>
              <w:widowControl/>
              <w:kinsoku/>
              <w:wordWrap/>
              <w:overflowPunct/>
              <w:topLinePunct w:val="0"/>
              <w:autoSpaceDE/>
              <w:autoSpaceDN/>
              <w:bidi w:val="0"/>
              <w:adjustRightInd/>
              <w:snapToGrid/>
              <w:spacing w:line="0" w:lineRule="atLeast"/>
              <w:jc w:val="center"/>
              <w:rPr>
                <w:rFonts w:hint="eastAsia" w:ascii="Times New Roman" w:hAnsi="Times New Roman" w:eastAsia="方正楷体_GBK" w:cs="方正楷体_GBK"/>
                <w:i w:val="0"/>
                <w:iCs w:val="0"/>
                <w:color w:val="000000"/>
                <w:sz w:val="20"/>
                <w:szCs w:val="20"/>
                <w:u w:val="none"/>
              </w:rPr>
            </w:pPr>
          </w:p>
        </w:tc>
        <w:tc>
          <w:tcPr>
            <w:tcW w:w="686" w:type="pct"/>
            <w:shd w:val="clear" w:color="auto" w:fill="auto"/>
            <w:noWrap/>
            <w:vAlign w:val="center"/>
          </w:tcPr>
          <w:p w14:paraId="4ED39A7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方正楷体_GBK" w:cs="方正楷体_GBK"/>
                <w:i w:val="0"/>
                <w:iCs w:val="0"/>
                <w:color w:val="000000"/>
                <w:sz w:val="20"/>
                <w:szCs w:val="20"/>
                <w:u w:val="none"/>
              </w:rPr>
            </w:pPr>
            <w:r>
              <w:rPr>
                <w:rFonts w:hint="eastAsia" w:ascii="Times New Roman" w:hAnsi="Times New Roman" w:eastAsia="方正楷体_GBK" w:cs="方正楷体_GBK"/>
                <w:i w:val="0"/>
                <w:iCs w:val="0"/>
                <w:color w:val="000000"/>
                <w:kern w:val="0"/>
                <w:sz w:val="20"/>
                <w:szCs w:val="20"/>
                <w:u w:val="none"/>
                <w:lang w:val="en-US" w:eastAsia="zh-CN" w:bidi="ar"/>
              </w:rPr>
              <w:t>20分钟</w:t>
            </w:r>
          </w:p>
        </w:tc>
      </w:tr>
      <w:tr w14:paraId="06B0EA4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229" w:type="pct"/>
            <w:vMerge w:val="restart"/>
            <w:shd w:val="clear" w:color="auto" w:fill="FFFFFF"/>
            <w:noWrap/>
            <w:vAlign w:val="center"/>
          </w:tcPr>
          <w:p w14:paraId="5D7820E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方正楷体_GBK" w:cs="方正楷体_GBK"/>
                <w:i w:val="0"/>
                <w:iCs w:val="0"/>
                <w:color w:val="000000"/>
                <w:sz w:val="20"/>
                <w:szCs w:val="20"/>
                <w:u w:val="none"/>
              </w:rPr>
            </w:pPr>
            <w:r>
              <w:rPr>
                <w:rFonts w:hint="eastAsia" w:ascii="Times New Roman" w:hAnsi="Times New Roman" w:eastAsia="方正楷体_GBK" w:cs="方正楷体_GBK"/>
                <w:i w:val="0"/>
                <w:iCs w:val="0"/>
                <w:color w:val="000000"/>
                <w:kern w:val="0"/>
                <w:sz w:val="20"/>
                <w:szCs w:val="20"/>
                <w:u w:val="none"/>
                <w:lang w:val="en-US" w:eastAsia="zh-CN" w:bidi="ar"/>
              </w:rPr>
              <w:t>3</w:t>
            </w:r>
          </w:p>
        </w:tc>
        <w:tc>
          <w:tcPr>
            <w:tcW w:w="367" w:type="pct"/>
            <w:vMerge w:val="restart"/>
            <w:shd w:val="clear" w:color="auto" w:fill="FFFFFF"/>
            <w:vAlign w:val="center"/>
          </w:tcPr>
          <w:p w14:paraId="416FBB9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方正楷体_GBK" w:cs="方正楷体_GBK"/>
                <w:i w:val="0"/>
                <w:iCs w:val="0"/>
                <w:color w:val="000000"/>
                <w:sz w:val="20"/>
                <w:szCs w:val="20"/>
                <w:u w:val="none"/>
              </w:rPr>
            </w:pPr>
            <w:r>
              <w:rPr>
                <w:rFonts w:hint="eastAsia" w:ascii="Times New Roman" w:hAnsi="Times New Roman" w:eastAsia="方正楷体_GBK" w:cs="方正楷体_GBK"/>
                <w:i w:val="0"/>
                <w:iCs w:val="0"/>
                <w:color w:val="000000"/>
                <w:kern w:val="0"/>
                <w:sz w:val="20"/>
                <w:szCs w:val="20"/>
                <w:u w:val="none"/>
                <w:lang w:val="en-US" w:eastAsia="zh-CN" w:bidi="ar"/>
              </w:rPr>
              <w:t>生活照护服务</w:t>
            </w:r>
          </w:p>
        </w:tc>
        <w:tc>
          <w:tcPr>
            <w:tcW w:w="1810" w:type="pct"/>
            <w:gridSpan w:val="2"/>
            <w:shd w:val="clear" w:color="auto" w:fill="auto"/>
            <w:vAlign w:val="center"/>
          </w:tcPr>
          <w:p w14:paraId="5672342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方正楷体_GBK" w:cs="方正楷体_GBK"/>
                <w:i w:val="0"/>
                <w:iCs w:val="0"/>
                <w:color w:val="000000"/>
                <w:sz w:val="20"/>
                <w:szCs w:val="20"/>
                <w:u w:val="none"/>
              </w:rPr>
            </w:pPr>
            <w:r>
              <w:rPr>
                <w:rFonts w:hint="eastAsia" w:ascii="Times New Roman" w:hAnsi="Times New Roman" w:eastAsia="方正楷体_GBK" w:cs="方正楷体_GBK"/>
                <w:i w:val="0"/>
                <w:iCs w:val="0"/>
                <w:color w:val="000000"/>
                <w:kern w:val="0"/>
                <w:sz w:val="20"/>
                <w:szCs w:val="20"/>
                <w:u w:val="none"/>
                <w:lang w:val="en-US" w:eastAsia="zh-CN" w:bidi="ar"/>
              </w:rPr>
              <w:t>烹饪服务（四菜一汤内）</w:t>
            </w:r>
          </w:p>
        </w:tc>
        <w:tc>
          <w:tcPr>
            <w:tcW w:w="701" w:type="pct"/>
            <w:shd w:val="clear" w:color="auto" w:fill="auto"/>
            <w:vAlign w:val="center"/>
          </w:tcPr>
          <w:p w14:paraId="640B3F5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方正楷体_GBK" w:cs="方正楷体_GBK"/>
                <w:i w:val="0"/>
                <w:iCs w:val="0"/>
                <w:color w:val="000000"/>
                <w:sz w:val="20"/>
                <w:szCs w:val="20"/>
                <w:u w:val="none"/>
              </w:rPr>
            </w:pPr>
            <w:r>
              <w:rPr>
                <w:rFonts w:hint="eastAsia" w:ascii="Times New Roman" w:hAnsi="Times New Roman" w:eastAsia="方正楷体_GBK" w:cs="方正楷体_GBK"/>
                <w:i w:val="0"/>
                <w:iCs w:val="0"/>
                <w:color w:val="000000"/>
                <w:kern w:val="0"/>
                <w:sz w:val="20"/>
                <w:szCs w:val="20"/>
                <w:u w:val="none"/>
                <w:lang w:val="en-US" w:eastAsia="zh-CN" w:bidi="ar"/>
              </w:rPr>
              <w:t>60元/次</w:t>
            </w:r>
          </w:p>
        </w:tc>
        <w:tc>
          <w:tcPr>
            <w:tcW w:w="1204" w:type="pct"/>
            <w:shd w:val="clear" w:color="auto" w:fill="auto"/>
            <w:noWrap/>
            <w:vAlign w:val="center"/>
          </w:tcPr>
          <w:p w14:paraId="4AE16AB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方正楷体_GBK" w:cs="方正楷体_GBK"/>
                <w:i w:val="0"/>
                <w:iCs w:val="0"/>
                <w:color w:val="000000"/>
                <w:sz w:val="20"/>
                <w:szCs w:val="20"/>
                <w:u w:val="none"/>
              </w:rPr>
            </w:pPr>
            <w:r>
              <w:rPr>
                <w:rFonts w:hint="eastAsia" w:ascii="Times New Roman" w:hAnsi="Times New Roman" w:eastAsia="方正楷体_GBK" w:cs="方正楷体_GBK"/>
                <w:i w:val="0"/>
                <w:iCs w:val="0"/>
                <w:color w:val="000000"/>
                <w:kern w:val="0"/>
                <w:sz w:val="20"/>
                <w:szCs w:val="20"/>
                <w:u w:val="none"/>
                <w:lang w:val="en-US" w:eastAsia="zh-CN" w:bidi="ar"/>
              </w:rPr>
              <w:t>90%</w:t>
            </w:r>
          </w:p>
        </w:tc>
        <w:tc>
          <w:tcPr>
            <w:tcW w:w="686" w:type="pct"/>
            <w:shd w:val="clear" w:color="auto" w:fill="FFFFFF"/>
            <w:noWrap/>
            <w:vAlign w:val="center"/>
          </w:tcPr>
          <w:p w14:paraId="79F0173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方正楷体_GBK" w:cs="方正楷体_GBK"/>
                <w:i w:val="0"/>
                <w:iCs w:val="0"/>
                <w:color w:val="000000"/>
                <w:sz w:val="20"/>
                <w:szCs w:val="20"/>
                <w:u w:val="none"/>
              </w:rPr>
            </w:pPr>
            <w:r>
              <w:rPr>
                <w:rFonts w:hint="eastAsia" w:ascii="Times New Roman" w:hAnsi="Times New Roman" w:eastAsia="方正楷体_GBK" w:cs="方正楷体_GBK"/>
                <w:i w:val="0"/>
                <w:iCs w:val="0"/>
                <w:color w:val="000000"/>
                <w:kern w:val="0"/>
                <w:sz w:val="20"/>
                <w:szCs w:val="20"/>
                <w:u w:val="none"/>
                <w:lang w:val="en-US" w:eastAsia="zh-CN" w:bidi="ar"/>
              </w:rPr>
              <w:t>60分钟</w:t>
            </w:r>
          </w:p>
        </w:tc>
      </w:tr>
      <w:tr w14:paraId="2CB90A2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29" w:hRule="atLeast"/>
          <w:jc w:val="center"/>
        </w:trPr>
        <w:tc>
          <w:tcPr>
            <w:tcW w:w="229" w:type="pct"/>
            <w:vMerge w:val="continue"/>
            <w:shd w:val="clear" w:color="auto" w:fill="FFFFFF"/>
            <w:noWrap/>
            <w:vAlign w:val="center"/>
          </w:tcPr>
          <w:p w14:paraId="1D03DE61">
            <w:pPr>
              <w:keepNext w:val="0"/>
              <w:keepLines w:val="0"/>
              <w:pageBreakBefore w:val="0"/>
              <w:widowControl/>
              <w:kinsoku/>
              <w:wordWrap/>
              <w:overflowPunct/>
              <w:topLinePunct w:val="0"/>
              <w:autoSpaceDE/>
              <w:autoSpaceDN/>
              <w:bidi w:val="0"/>
              <w:adjustRightInd/>
              <w:snapToGrid/>
              <w:spacing w:line="0" w:lineRule="atLeast"/>
              <w:jc w:val="center"/>
              <w:rPr>
                <w:rFonts w:hint="eastAsia" w:ascii="Times New Roman" w:hAnsi="Times New Roman" w:eastAsia="方正楷体_GBK" w:cs="方正楷体_GBK"/>
                <w:i w:val="0"/>
                <w:iCs w:val="0"/>
                <w:color w:val="000000"/>
                <w:sz w:val="20"/>
                <w:szCs w:val="20"/>
                <w:u w:val="none"/>
              </w:rPr>
            </w:pPr>
          </w:p>
        </w:tc>
        <w:tc>
          <w:tcPr>
            <w:tcW w:w="367" w:type="pct"/>
            <w:vMerge w:val="continue"/>
            <w:shd w:val="clear" w:color="auto" w:fill="FFFFFF"/>
            <w:vAlign w:val="center"/>
          </w:tcPr>
          <w:p w14:paraId="41348CE0">
            <w:pPr>
              <w:keepNext w:val="0"/>
              <w:keepLines w:val="0"/>
              <w:pageBreakBefore w:val="0"/>
              <w:widowControl/>
              <w:kinsoku/>
              <w:wordWrap/>
              <w:overflowPunct/>
              <w:topLinePunct w:val="0"/>
              <w:autoSpaceDE/>
              <w:autoSpaceDN/>
              <w:bidi w:val="0"/>
              <w:adjustRightInd/>
              <w:snapToGrid/>
              <w:spacing w:line="0" w:lineRule="atLeast"/>
              <w:jc w:val="center"/>
              <w:rPr>
                <w:rFonts w:hint="eastAsia" w:ascii="Times New Roman" w:hAnsi="Times New Roman" w:eastAsia="方正楷体_GBK" w:cs="方正楷体_GBK"/>
                <w:i w:val="0"/>
                <w:iCs w:val="0"/>
                <w:color w:val="000000"/>
                <w:sz w:val="20"/>
                <w:szCs w:val="20"/>
                <w:u w:val="none"/>
              </w:rPr>
            </w:pPr>
          </w:p>
        </w:tc>
        <w:tc>
          <w:tcPr>
            <w:tcW w:w="1810" w:type="pct"/>
            <w:gridSpan w:val="2"/>
            <w:shd w:val="clear" w:color="auto" w:fill="auto"/>
            <w:vAlign w:val="center"/>
          </w:tcPr>
          <w:p w14:paraId="7807316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方正楷体_GBK" w:cs="方正楷体_GBK"/>
                <w:i w:val="0"/>
                <w:iCs w:val="0"/>
                <w:color w:val="000000"/>
                <w:sz w:val="20"/>
                <w:szCs w:val="20"/>
                <w:u w:val="none"/>
              </w:rPr>
            </w:pPr>
            <w:r>
              <w:rPr>
                <w:rFonts w:hint="eastAsia" w:ascii="Times New Roman" w:hAnsi="Times New Roman" w:eastAsia="方正楷体_GBK" w:cs="方正楷体_GBK"/>
                <w:i w:val="0"/>
                <w:iCs w:val="0"/>
                <w:color w:val="000000"/>
                <w:kern w:val="0"/>
                <w:sz w:val="20"/>
                <w:szCs w:val="20"/>
                <w:u w:val="none"/>
                <w:lang w:val="en-US" w:eastAsia="zh-CN" w:bidi="ar"/>
              </w:rPr>
              <w:t>协助就餐</w:t>
            </w:r>
          </w:p>
        </w:tc>
        <w:tc>
          <w:tcPr>
            <w:tcW w:w="701" w:type="pct"/>
            <w:shd w:val="clear" w:color="auto" w:fill="auto"/>
            <w:vAlign w:val="center"/>
          </w:tcPr>
          <w:p w14:paraId="307C489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方正楷体_GBK" w:cs="方正楷体_GBK"/>
                <w:i w:val="0"/>
                <w:iCs w:val="0"/>
                <w:color w:val="000000"/>
                <w:sz w:val="20"/>
                <w:szCs w:val="20"/>
                <w:u w:val="none"/>
              </w:rPr>
            </w:pPr>
            <w:r>
              <w:rPr>
                <w:rFonts w:hint="eastAsia" w:ascii="Times New Roman" w:hAnsi="Times New Roman" w:eastAsia="方正楷体_GBK" w:cs="方正楷体_GBK"/>
                <w:i w:val="0"/>
                <w:iCs w:val="0"/>
                <w:color w:val="000000"/>
                <w:kern w:val="0"/>
                <w:sz w:val="20"/>
                <w:szCs w:val="20"/>
                <w:u w:val="none"/>
                <w:lang w:val="en-US" w:eastAsia="zh-CN" w:bidi="ar"/>
              </w:rPr>
              <w:t>30元/次</w:t>
            </w:r>
          </w:p>
        </w:tc>
        <w:tc>
          <w:tcPr>
            <w:tcW w:w="1204" w:type="pct"/>
            <w:shd w:val="clear" w:color="auto" w:fill="auto"/>
            <w:noWrap/>
            <w:vAlign w:val="center"/>
          </w:tcPr>
          <w:p w14:paraId="4EB1C81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方正楷体_GBK" w:cs="方正楷体_GBK"/>
                <w:i w:val="0"/>
                <w:iCs w:val="0"/>
                <w:color w:val="000000"/>
                <w:sz w:val="20"/>
                <w:szCs w:val="20"/>
                <w:u w:val="none"/>
              </w:rPr>
            </w:pPr>
            <w:r>
              <w:rPr>
                <w:rFonts w:hint="eastAsia" w:ascii="Times New Roman" w:hAnsi="Times New Roman" w:eastAsia="方正楷体_GBK" w:cs="方正楷体_GBK"/>
                <w:i w:val="0"/>
                <w:iCs w:val="0"/>
                <w:color w:val="000000"/>
                <w:kern w:val="0"/>
                <w:sz w:val="20"/>
                <w:szCs w:val="20"/>
                <w:u w:val="none"/>
                <w:lang w:val="en-US" w:eastAsia="zh-CN" w:bidi="ar"/>
              </w:rPr>
              <w:t>90%</w:t>
            </w:r>
          </w:p>
        </w:tc>
        <w:tc>
          <w:tcPr>
            <w:tcW w:w="686" w:type="pct"/>
            <w:shd w:val="clear" w:color="auto" w:fill="FFFFFF"/>
            <w:noWrap/>
            <w:vAlign w:val="center"/>
          </w:tcPr>
          <w:p w14:paraId="47EA43E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方正楷体_GBK" w:cs="方正楷体_GBK"/>
                <w:i w:val="0"/>
                <w:iCs w:val="0"/>
                <w:color w:val="000000"/>
                <w:sz w:val="20"/>
                <w:szCs w:val="20"/>
                <w:u w:val="none"/>
              </w:rPr>
            </w:pPr>
            <w:r>
              <w:rPr>
                <w:rFonts w:hint="eastAsia" w:ascii="Times New Roman" w:hAnsi="Times New Roman" w:eastAsia="方正楷体_GBK" w:cs="方正楷体_GBK"/>
                <w:i w:val="0"/>
                <w:iCs w:val="0"/>
                <w:color w:val="000000"/>
                <w:kern w:val="0"/>
                <w:sz w:val="20"/>
                <w:szCs w:val="20"/>
                <w:u w:val="none"/>
                <w:lang w:val="en-US" w:eastAsia="zh-CN" w:bidi="ar"/>
              </w:rPr>
              <w:t>30分钟</w:t>
            </w:r>
          </w:p>
        </w:tc>
      </w:tr>
      <w:tr w14:paraId="068C52D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229" w:type="pct"/>
            <w:vMerge w:val="continue"/>
            <w:shd w:val="clear" w:color="auto" w:fill="FFFFFF"/>
            <w:noWrap/>
            <w:vAlign w:val="center"/>
          </w:tcPr>
          <w:p w14:paraId="30C9CC33">
            <w:pPr>
              <w:keepNext w:val="0"/>
              <w:keepLines w:val="0"/>
              <w:pageBreakBefore w:val="0"/>
              <w:widowControl/>
              <w:kinsoku/>
              <w:wordWrap/>
              <w:overflowPunct/>
              <w:topLinePunct w:val="0"/>
              <w:autoSpaceDE/>
              <w:autoSpaceDN/>
              <w:bidi w:val="0"/>
              <w:adjustRightInd/>
              <w:snapToGrid/>
              <w:spacing w:line="0" w:lineRule="atLeast"/>
              <w:jc w:val="center"/>
              <w:rPr>
                <w:rFonts w:hint="eastAsia" w:ascii="Times New Roman" w:hAnsi="Times New Roman" w:eastAsia="方正楷体_GBK" w:cs="方正楷体_GBK"/>
                <w:i w:val="0"/>
                <w:iCs w:val="0"/>
                <w:color w:val="000000"/>
                <w:sz w:val="20"/>
                <w:szCs w:val="20"/>
                <w:u w:val="none"/>
              </w:rPr>
            </w:pPr>
          </w:p>
        </w:tc>
        <w:tc>
          <w:tcPr>
            <w:tcW w:w="367" w:type="pct"/>
            <w:vMerge w:val="continue"/>
            <w:shd w:val="clear" w:color="auto" w:fill="FFFFFF"/>
            <w:vAlign w:val="center"/>
          </w:tcPr>
          <w:p w14:paraId="1404E348">
            <w:pPr>
              <w:keepNext w:val="0"/>
              <w:keepLines w:val="0"/>
              <w:pageBreakBefore w:val="0"/>
              <w:widowControl/>
              <w:kinsoku/>
              <w:wordWrap/>
              <w:overflowPunct/>
              <w:topLinePunct w:val="0"/>
              <w:autoSpaceDE/>
              <w:autoSpaceDN/>
              <w:bidi w:val="0"/>
              <w:adjustRightInd/>
              <w:snapToGrid/>
              <w:spacing w:line="0" w:lineRule="atLeast"/>
              <w:jc w:val="center"/>
              <w:rPr>
                <w:rFonts w:hint="eastAsia" w:ascii="Times New Roman" w:hAnsi="Times New Roman" w:eastAsia="方正楷体_GBK" w:cs="方正楷体_GBK"/>
                <w:i w:val="0"/>
                <w:iCs w:val="0"/>
                <w:color w:val="000000"/>
                <w:sz w:val="20"/>
                <w:szCs w:val="20"/>
                <w:u w:val="none"/>
              </w:rPr>
            </w:pPr>
          </w:p>
        </w:tc>
        <w:tc>
          <w:tcPr>
            <w:tcW w:w="1810" w:type="pct"/>
            <w:gridSpan w:val="2"/>
            <w:shd w:val="clear" w:color="auto" w:fill="auto"/>
            <w:vAlign w:val="center"/>
          </w:tcPr>
          <w:p w14:paraId="2080BD3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方正楷体_GBK" w:cs="方正楷体_GBK"/>
                <w:i w:val="0"/>
                <w:iCs w:val="0"/>
                <w:color w:val="000000"/>
                <w:sz w:val="20"/>
                <w:szCs w:val="20"/>
                <w:u w:val="none"/>
              </w:rPr>
            </w:pPr>
            <w:r>
              <w:rPr>
                <w:rFonts w:hint="eastAsia" w:ascii="Times New Roman" w:hAnsi="Times New Roman" w:eastAsia="方正楷体_GBK" w:cs="方正楷体_GBK"/>
                <w:i w:val="0"/>
                <w:iCs w:val="0"/>
                <w:color w:val="000000"/>
                <w:kern w:val="0"/>
                <w:sz w:val="20"/>
                <w:szCs w:val="20"/>
                <w:u w:val="none"/>
                <w:lang w:val="en-US" w:eastAsia="zh-CN" w:bidi="ar"/>
              </w:rPr>
              <w:t>头发焗油（不含焗油膏）</w:t>
            </w:r>
          </w:p>
        </w:tc>
        <w:tc>
          <w:tcPr>
            <w:tcW w:w="701" w:type="pct"/>
            <w:shd w:val="clear" w:color="auto" w:fill="auto"/>
            <w:vAlign w:val="center"/>
          </w:tcPr>
          <w:p w14:paraId="79FED46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方正楷体_GBK" w:cs="方正楷体_GBK"/>
                <w:i w:val="0"/>
                <w:iCs w:val="0"/>
                <w:color w:val="000000"/>
                <w:sz w:val="20"/>
                <w:szCs w:val="20"/>
                <w:u w:val="none"/>
              </w:rPr>
            </w:pPr>
            <w:r>
              <w:rPr>
                <w:rFonts w:hint="eastAsia" w:ascii="Times New Roman" w:hAnsi="Times New Roman" w:eastAsia="方正楷体_GBK" w:cs="方正楷体_GBK"/>
                <w:i w:val="0"/>
                <w:iCs w:val="0"/>
                <w:color w:val="000000"/>
                <w:kern w:val="0"/>
                <w:sz w:val="20"/>
                <w:szCs w:val="20"/>
                <w:u w:val="none"/>
                <w:lang w:val="en-US" w:eastAsia="zh-CN" w:bidi="ar"/>
              </w:rPr>
              <w:t>60元/次</w:t>
            </w:r>
          </w:p>
        </w:tc>
        <w:tc>
          <w:tcPr>
            <w:tcW w:w="1204" w:type="pct"/>
            <w:shd w:val="clear" w:color="auto" w:fill="auto"/>
            <w:noWrap/>
            <w:vAlign w:val="center"/>
          </w:tcPr>
          <w:p w14:paraId="468C59D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方正楷体_GBK" w:cs="方正楷体_GBK"/>
                <w:i w:val="0"/>
                <w:iCs w:val="0"/>
                <w:color w:val="000000"/>
                <w:sz w:val="20"/>
                <w:szCs w:val="20"/>
                <w:u w:val="none"/>
              </w:rPr>
            </w:pPr>
            <w:r>
              <w:rPr>
                <w:rFonts w:hint="eastAsia" w:ascii="Times New Roman" w:hAnsi="Times New Roman" w:eastAsia="方正楷体_GBK" w:cs="方正楷体_GBK"/>
                <w:i w:val="0"/>
                <w:iCs w:val="0"/>
                <w:color w:val="000000"/>
                <w:kern w:val="0"/>
                <w:sz w:val="20"/>
                <w:szCs w:val="20"/>
                <w:u w:val="none"/>
                <w:lang w:val="en-US" w:eastAsia="zh-CN" w:bidi="ar"/>
              </w:rPr>
              <w:t>90%</w:t>
            </w:r>
          </w:p>
        </w:tc>
        <w:tc>
          <w:tcPr>
            <w:tcW w:w="686" w:type="pct"/>
            <w:shd w:val="clear" w:color="auto" w:fill="FFFFFF"/>
            <w:noWrap/>
            <w:vAlign w:val="center"/>
          </w:tcPr>
          <w:p w14:paraId="5B87B38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方正楷体_GBK" w:cs="方正楷体_GBK"/>
                <w:i w:val="0"/>
                <w:iCs w:val="0"/>
                <w:color w:val="000000"/>
                <w:sz w:val="20"/>
                <w:szCs w:val="20"/>
                <w:u w:val="none"/>
              </w:rPr>
            </w:pPr>
            <w:r>
              <w:rPr>
                <w:rFonts w:hint="eastAsia" w:ascii="Times New Roman" w:hAnsi="Times New Roman" w:eastAsia="方正楷体_GBK" w:cs="方正楷体_GBK"/>
                <w:i w:val="0"/>
                <w:iCs w:val="0"/>
                <w:color w:val="000000"/>
                <w:kern w:val="0"/>
                <w:sz w:val="20"/>
                <w:szCs w:val="20"/>
                <w:u w:val="none"/>
                <w:lang w:val="en-US" w:eastAsia="zh-CN" w:bidi="ar"/>
              </w:rPr>
              <w:t>60分钟</w:t>
            </w:r>
          </w:p>
        </w:tc>
      </w:tr>
      <w:tr w14:paraId="5E4C62C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229" w:type="pct"/>
            <w:vMerge w:val="continue"/>
            <w:shd w:val="clear" w:color="auto" w:fill="FFFFFF"/>
            <w:noWrap/>
            <w:vAlign w:val="center"/>
          </w:tcPr>
          <w:p w14:paraId="5B3EB9C1">
            <w:pPr>
              <w:keepNext w:val="0"/>
              <w:keepLines w:val="0"/>
              <w:pageBreakBefore w:val="0"/>
              <w:widowControl/>
              <w:kinsoku/>
              <w:wordWrap/>
              <w:overflowPunct/>
              <w:topLinePunct w:val="0"/>
              <w:autoSpaceDE/>
              <w:autoSpaceDN/>
              <w:bidi w:val="0"/>
              <w:adjustRightInd/>
              <w:snapToGrid/>
              <w:spacing w:line="0" w:lineRule="atLeast"/>
              <w:jc w:val="center"/>
              <w:rPr>
                <w:rFonts w:hint="eastAsia" w:ascii="Times New Roman" w:hAnsi="Times New Roman" w:eastAsia="方正楷体_GBK" w:cs="方正楷体_GBK"/>
                <w:i w:val="0"/>
                <w:iCs w:val="0"/>
                <w:color w:val="000000"/>
                <w:sz w:val="20"/>
                <w:szCs w:val="20"/>
                <w:u w:val="none"/>
              </w:rPr>
            </w:pPr>
          </w:p>
        </w:tc>
        <w:tc>
          <w:tcPr>
            <w:tcW w:w="367" w:type="pct"/>
            <w:vMerge w:val="continue"/>
            <w:shd w:val="clear" w:color="auto" w:fill="FFFFFF"/>
            <w:vAlign w:val="center"/>
          </w:tcPr>
          <w:p w14:paraId="654FEF1E">
            <w:pPr>
              <w:keepNext w:val="0"/>
              <w:keepLines w:val="0"/>
              <w:pageBreakBefore w:val="0"/>
              <w:widowControl/>
              <w:kinsoku/>
              <w:wordWrap/>
              <w:overflowPunct/>
              <w:topLinePunct w:val="0"/>
              <w:autoSpaceDE/>
              <w:autoSpaceDN/>
              <w:bidi w:val="0"/>
              <w:adjustRightInd/>
              <w:snapToGrid/>
              <w:spacing w:line="0" w:lineRule="atLeast"/>
              <w:jc w:val="center"/>
              <w:rPr>
                <w:rFonts w:hint="eastAsia" w:ascii="Times New Roman" w:hAnsi="Times New Roman" w:eastAsia="方正楷体_GBK" w:cs="方正楷体_GBK"/>
                <w:i w:val="0"/>
                <w:iCs w:val="0"/>
                <w:color w:val="000000"/>
                <w:sz w:val="20"/>
                <w:szCs w:val="20"/>
                <w:u w:val="none"/>
              </w:rPr>
            </w:pPr>
          </w:p>
        </w:tc>
        <w:tc>
          <w:tcPr>
            <w:tcW w:w="1810" w:type="pct"/>
            <w:gridSpan w:val="2"/>
            <w:shd w:val="clear" w:color="auto" w:fill="auto"/>
            <w:vAlign w:val="center"/>
          </w:tcPr>
          <w:p w14:paraId="03D9049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方正楷体_GBK" w:cs="方正楷体_GBK"/>
                <w:i w:val="0"/>
                <w:iCs w:val="0"/>
                <w:color w:val="000000"/>
                <w:sz w:val="20"/>
                <w:szCs w:val="20"/>
                <w:u w:val="none"/>
              </w:rPr>
            </w:pPr>
            <w:r>
              <w:rPr>
                <w:rFonts w:hint="eastAsia" w:ascii="Times New Roman" w:hAnsi="Times New Roman" w:eastAsia="方正楷体_GBK" w:cs="方正楷体_GBK"/>
                <w:i w:val="0"/>
                <w:iCs w:val="0"/>
                <w:color w:val="000000"/>
                <w:kern w:val="0"/>
                <w:sz w:val="20"/>
                <w:szCs w:val="20"/>
                <w:u w:val="none"/>
                <w:lang w:val="en-US" w:eastAsia="zh-CN" w:bidi="ar"/>
              </w:rPr>
              <w:t>上门助浴（助浴师参与）</w:t>
            </w:r>
          </w:p>
        </w:tc>
        <w:tc>
          <w:tcPr>
            <w:tcW w:w="701" w:type="pct"/>
            <w:shd w:val="clear" w:color="auto" w:fill="auto"/>
            <w:vAlign w:val="center"/>
          </w:tcPr>
          <w:p w14:paraId="24A9785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方正楷体_GBK" w:cs="方正楷体_GBK"/>
                <w:i w:val="0"/>
                <w:iCs w:val="0"/>
                <w:color w:val="000000"/>
                <w:sz w:val="20"/>
                <w:szCs w:val="20"/>
                <w:u w:val="none"/>
              </w:rPr>
            </w:pPr>
            <w:r>
              <w:rPr>
                <w:rFonts w:hint="eastAsia" w:ascii="Times New Roman" w:hAnsi="Times New Roman" w:eastAsia="方正楷体_GBK" w:cs="方正楷体_GBK"/>
                <w:i w:val="0"/>
                <w:iCs w:val="0"/>
                <w:color w:val="000000"/>
                <w:kern w:val="0"/>
                <w:sz w:val="20"/>
                <w:szCs w:val="20"/>
                <w:u w:val="none"/>
                <w:lang w:val="en-US" w:eastAsia="zh-CN" w:bidi="ar"/>
              </w:rPr>
              <w:t>200元/次</w:t>
            </w:r>
          </w:p>
        </w:tc>
        <w:tc>
          <w:tcPr>
            <w:tcW w:w="1204" w:type="pct"/>
            <w:shd w:val="clear" w:color="auto" w:fill="auto"/>
            <w:noWrap/>
            <w:vAlign w:val="center"/>
          </w:tcPr>
          <w:p w14:paraId="6A0511D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方正楷体_GBK" w:cs="方正楷体_GBK"/>
                <w:i w:val="0"/>
                <w:iCs w:val="0"/>
                <w:color w:val="000000"/>
                <w:sz w:val="20"/>
                <w:szCs w:val="20"/>
                <w:u w:val="none"/>
              </w:rPr>
            </w:pPr>
            <w:r>
              <w:rPr>
                <w:rFonts w:hint="eastAsia" w:ascii="Times New Roman" w:hAnsi="Times New Roman" w:eastAsia="方正楷体_GBK" w:cs="方正楷体_GBK"/>
                <w:i w:val="0"/>
                <w:iCs w:val="0"/>
                <w:color w:val="000000"/>
                <w:kern w:val="0"/>
                <w:sz w:val="20"/>
                <w:szCs w:val="20"/>
                <w:u w:val="none"/>
                <w:lang w:val="en-US" w:eastAsia="zh-CN" w:bidi="ar"/>
              </w:rPr>
              <w:t>90%</w:t>
            </w:r>
          </w:p>
        </w:tc>
        <w:tc>
          <w:tcPr>
            <w:tcW w:w="686" w:type="pct"/>
            <w:shd w:val="clear" w:color="auto" w:fill="FFFFFF"/>
            <w:noWrap/>
            <w:vAlign w:val="center"/>
          </w:tcPr>
          <w:p w14:paraId="2E0B376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方正楷体_GBK" w:cs="方正楷体_GBK"/>
                <w:i w:val="0"/>
                <w:iCs w:val="0"/>
                <w:color w:val="000000"/>
                <w:sz w:val="20"/>
                <w:szCs w:val="20"/>
                <w:u w:val="none"/>
              </w:rPr>
            </w:pPr>
            <w:r>
              <w:rPr>
                <w:rFonts w:hint="eastAsia" w:ascii="Times New Roman" w:hAnsi="Times New Roman" w:eastAsia="方正楷体_GBK" w:cs="方正楷体_GBK"/>
                <w:i w:val="0"/>
                <w:iCs w:val="0"/>
                <w:color w:val="000000"/>
                <w:kern w:val="0"/>
                <w:sz w:val="20"/>
                <w:szCs w:val="20"/>
                <w:u w:val="none"/>
                <w:lang w:val="en-US" w:eastAsia="zh-CN" w:bidi="ar"/>
              </w:rPr>
              <w:t>90分钟</w:t>
            </w:r>
          </w:p>
        </w:tc>
      </w:tr>
      <w:tr w14:paraId="3A88F50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229" w:type="pct"/>
            <w:vMerge w:val="continue"/>
            <w:shd w:val="clear" w:color="auto" w:fill="FFFFFF"/>
            <w:noWrap/>
            <w:vAlign w:val="center"/>
          </w:tcPr>
          <w:p w14:paraId="31426012">
            <w:pPr>
              <w:keepNext w:val="0"/>
              <w:keepLines w:val="0"/>
              <w:pageBreakBefore w:val="0"/>
              <w:widowControl/>
              <w:kinsoku/>
              <w:wordWrap/>
              <w:overflowPunct/>
              <w:topLinePunct w:val="0"/>
              <w:autoSpaceDE/>
              <w:autoSpaceDN/>
              <w:bidi w:val="0"/>
              <w:adjustRightInd/>
              <w:snapToGrid/>
              <w:spacing w:line="0" w:lineRule="atLeast"/>
              <w:jc w:val="center"/>
              <w:rPr>
                <w:rFonts w:hint="eastAsia" w:ascii="Times New Roman" w:hAnsi="Times New Roman" w:eastAsia="方正楷体_GBK" w:cs="方正楷体_GBK"/>
                <w:i w:val="0"/>
                <w:iCs w:val="0"/>
                <w:color w:val="000000"/>
                <w:sz w:val="20"/>
                <w:szCs w:val="20"/>
                <w:u w:val="none"/>
              </w:rPr>
            </w:pPr>
          </w:p>
        </w:tc>
        <w:tc>
          <w:tcPr>
            <w:tcW w:w="367" w:type="pct"/>
            <w:vMerge w:val="continue"/>
            <w:shd w:val="clear" w:color="auto" w:fill="FFFFFF"/>
            <w:vAlign w:val="center"/>
          </w:tcPr>
          <w:p w14:paraId="1BF09BD9">
            <w:pPr>
              <w:keepNext w:val="0"/>
              <w:keepLines w:val="0"/>
              <w:pageBreakBefore w:val="0"/>
              <w:widowControl/>
              <w:kinsoku/>
              <w:wordWrap/>
              <w:overflowPunct/>
              <w:topLinePunct w:val="0"/>
              <w:autoSpaceDE/>
              <w:autoSpaceDN/>
              <w:bidi w:val="0"/>
              <w:adjustRightInd/>
              <w:snapToGrid/>
              <w:spacing w:line="0" w:lineRule="atLeast"/>
              <w:jc w:val="center"/>
              <w:rPr>
                <w:rFonts w:hint="eastAsia" w:ascii="Times New Roman" w:hAnsi="Times New Roman" w:eastAsia="方正楷体_GBK" w:cs="方正楷体_GBK"/>
                <w:i w:val="0"/>
                <w:iCs w:val="0"/>
                <w:color w:val="000000"/>
                <w:sz w:val="20"/>
                <w:szCs w:val="20"/>
                <w:u w:val="none"/>
              </w:rPr>
            </w:pPr>
          </w:p>
        </w:tc>
        <w:tc>
          <w:tcPr>
            <w:tcW w:w="1810" w:type="pct"/>
            <w:gridSpan w:val="2"/>
            <w:shd w:val="clear" w:color="auto" w:fill="auto"/>
            <w:vAlign w:val="center"/>
          </w:tcPr>
          <w:p w14:paraId="09B4C93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方正楷体_GBK" w:cs="方正楷体_GBK"/>
                <w:i w:val="0"/>
                <w:iCs w:val="0"/>
                <w:color w:val="000000"/>
                <w:sz w:val="20"/>
                <w:szCs w:val="20"/>
                <w:u w:val="none"/>
              </w:rPr>
            </w:pPr>
            <w:r>
              <w:rPr>
                <w:rFonts w:hint="eastAsia" w:ascii="Times New Roman" w:hAnsi="Times New Roman" w:eastAsia="方正楷体_GBK" w:cs="方正楷体_GBK"/>
                <w:i w:val="0"/>
                <w:iCs w:val="0"/>
                <w:color w:val="000000"/>
                <w:kern w:val="0"/>
                <w:sz w:val="20"/>
                <w:szCs w:val="20"/>
                <w:u w:val="none"/>
                <w:lang w:val="en-US" w:eastAsia="zh-CN" w:bidi="ar"/>
              </w:rPr>
              <w:t>上门助浴（医护人员参与）</w:t>
            </w:r>
          </w:p>
        </w:tc>
        <w:tc>
          <w:tcPr>
            <w:tcW w:w="701" w:type="pct"/>
            <w:shd w:val="clear" w:color="auto" w:fill="auto"/>
            <w:vAlign w:val="center"/>
          </w:tcPr>
          <w:p w14:paraId="3597ED6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方正楷体_GBK" w:cs="方正楷体_GBK"/>
                <w:i w:val="0"/>
                <w:iCs w:val="0"/>
                <w:color w:val="000000"/>
                <w:sz w:val="20"/>
                <w:szCs w:val="20"/>
                <w:u w:val="none"/>
              </w:rPr>
            </w:pPr>
            <w:r>
              <w:rPr>
                <w:rFonts w:hint="eastAsia" w:ascii="Times New Roman" w:hAnsi="Times New Roman" w:eastAsia="方正楷体_GBK" w:cs="方正楷体_GBK"/>
                <w:i w:val="0"/>
                <w:iCs w:val="0"/>
                <w:color w:val="000000"/>
                <w:kern w:val="0"/>
                <w:sz w:val="20"/>
                <w:szCs w:val="20"/>
                <w:u w:val="none"/>
                <w:lang w:val="en-US" w:eastAsia="zh-CN" w:bidi="ar"/>
              </w:rPr>
              <w:t>300元/次</w:t>
            </w:r>
          </w:p>
        </w:tc>
        <w:tc>
          <w:tcPr>
            <w:tcW w:w="1204" w:type="pct"/>
            <w:shd w:val="clear" w:color="auto" w:fill="auto"/>
            <w:noWrap/>
            <w:vAlign w:val="center"/>
          </w:tcPr>
          <w:p w14:paraId="7A377A7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方正楷体_GBK" w:cs="方正楷体_GBK"/>
                <w:i w:val="0"/>
                <w:iCs w:val="0"/>
                <w:color w:val="000000"/>
                <w:sz w:val="20"/>
                <w:szCs w:val="20"/>
                <w:u w:val="none"/>
              </w:rPr>
            </w:pPr>
            <w:r>
              <w:rPr>
                <w:rFonts w:hint="eastAsia" w:ascii="Times New Roman" w:hAnsi="Times New Roman" w:eastAsia="方正楷体_GBK" w:cs="方正楷体_GBK"/>
                <w:i w:val="0"/>
                <w:iCs w:val="0"/>
                <w:color w:val="000000"/>
                <w:kern w:val="0"/>
                <w:sz w:val="20"/>
                <w:szCs w:val="20"/>
                <w:u w:val="none"/>
                <w:lang w:val="en-US" w:eastAsia="zh-CN" w:bidi="ar"/>
              </w:rPr>
              <w:t>90%</w:t>
            </w:r>
          </w:p>
        </w:tc>
        <w:tc>
          <w:tcPr>
            <w:tcW w:w="686" w:type="pct"/>
            <w:shd w:val="clear" w:color="auto" w:fill="FFFFFF"/>
            <w:noWrap/>
            <w:vAlign w:val="center"/>
          </w:tcPr>
          <w:p w14:paraId="4AF88F5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方正楷体_GBK" w:cs="方正楷体_GBK"/>
                <w:i w:val="0"/>
                <w:iCs w:val="0"/>
                <w:color w:val="000000"/>
                <w:sz w:val="20"/>
                <w:szCs w:val="20"/>
                <w:u w:val="none"/>
              </w:rPr>
            </w:pPr>
            <w:r>
              <w:rPr>
                <w:rFonts w:hint="eastAsia" w:ascii="Times New Roman" w:hAnsi="Times New Roman" w:eastAsia="方正楷体_GBK" w:cs="方正楷体_GBK"/>
                <w:i w:val="0"/>
                <w:iCs w:val="0"/>
                <w:color w:val="000000"/>
                <w:kern w:val="0"/>
                <w:sz w:val="20"/>
                <w:szCs w:val="20"/>
                <w:u w:val="none"/>
                <w:lang w:val="en-US" w:eastAsia="zh-CN" w:bidi="ar"/>
              </w:rPr>
              <w:t>90分钟</w:t>
            </w:r>
          </w:p>
        </w:tc>
      </w:tr>
      <w:tr w14:paraId="2FB3F78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229" w:type="pct"/>
            <w:vMerge w:val="continue"/>
            <w:shd w:val="clear" w:color="auto" w:fill="FFFFFF"/>
            <w:noWrap/>
            <w:vAlign w:val="center"/>
          </w:tcPr>
          <w:p w14:paraId="62FEB381">
            <w:pPr>
              <w:keepNext w:val="0"/>
              <w:keepLines w:val="0"/>
              <w:pageBreakBefore w:val="0"/>
              <w:widowControl/>
              <w:kinsoku/>
              <w:wordWrap/>
              <w:overflowPunct/>
              <w:topLinePunct w:val="0"/>
              <w:autoSpaceDE/>
              <w:autoSpaceDN/>
              <w:bidi w:val="0"/>
              <w:adjustRightInd/>
              <w:snapToGrid/>
              <w:spacing w:line="0" w:lineRule="atLeast"/>
              <w:jc w:val="center"/>
              <w:rPr>
                <w:rFonts w:hint="eastAsia" w:ascii="Times New Roman" w:hAnsi="Times New Roman" w:eastAsia="方正楷体_GBK" w:cs="方正楷体_GBK"/>
                <w:i w:val="0"/>
                <w:iCs w:val="0"/>
                <w:color w:val="000000"/>
                <w:sz w:val="20"/>
                <w:szCs w:val="20"/>
                <w:u w:val="none"/>
              </w:rPr>
            </w:pPr>
          </w:p>
        </w:tc>
        <w:tc>
          <w:tcPr>
            <w:tcW w:w="367" w:type="pct"/>
            <w:vMerge w:val="continue"/>
            <w:shd w:val="clear" w:color="auto" w:fill="FFFFFF"/>
            <w:vAlign w:val="center"/>
          </w:tcPr>
          <w:p w14:paraId="6E7D24D1">
            <w:pPr>
              <w:keepNext w:val="0"/>
              <w:keepLines w:val="0"/>
              <w:pageBreakBefore w:val="0"/>
              <w:widowControl/>
              <w:kinsoku/>
              <w:wordWrap/>
              <w:overflowPunct/>
              <w:topLinePunct w:val="0"/>
              <w:autoSpaceDE/>
              <w:autoSpaceDN/>
              <w:bidi w:val="0"/>
              <w:adjustRightInd/>
              <w:snapToGrid/>
              <w:spacing w:line="0" w:lineRule="atLeast"/>
              <w:jc w:val="center"/>
              <w:rPr>
                <w:rFonts w:hint="eastAsia" w:ascii="Times New Roman" w:hAnsi="Times New Roman" w:eastAsia="方正楷体_GBK" w:cs="方正楷体_GBK"/>
                <w:i w:val="0"/>
                <w:iCs w:val="0"/>
                <w:color w:val="000000"/>
                <w:sz w:val="20"/>
                <w:szCs w:val="20"/>
                <w:u w:val="none"/>
              </w:rPr>
            </w:pPr>
          </w:p>
        </w:tc>
        <w:tc>
          <w:tcPr>
            <w:tcW w:w="1810" w:type="pct"/>
            <w:gridSpan w:val="2"/>
            <w:shd w:val="clear" w:color="auto" w:fill="auto"/>
            <w:vAlign w:val="center"/>
          </w:tcPr>
          <w:p w14:paraId="47F2098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方正楷体_GBK" w:cs="方正楷体_GBK"/>
                <w:i w:val="0"/>
                <w:iCs w:val="0"/>
                <w:color w:val="000000"/>
                <w:sz w:val="20"/>
                <w:szCs w:val="20"/>
                <w:u w:val="none"/>
              </w:rPr>
            </w:pPr>
            <w:r>
              <w:rPr>
                <w:rFonts w:hint="eastAsia" w:ascii="Times New Roman" w:hAnsi="Times New Roman" w:eastAsia="方正楷体_GBK" w:cs="方正楷体_GBK"/>
                <w:i w:val="0"/>
                <w:iCs w:val="0"/>
                <w:color w:val="000000"/>
                <w:kern w:val="0"/>
                <w:sz w:val="20"/>
                <w:szCs w:val="20"/>
                <w:u w:val="none"/>
                <w:lang w:val="en-US" w:eastAsia="zh-CN" w:bidi="ar"/>
              </w:rPr>
              <w:t>上门擦浴</w:t>
            </w:r>
          </w:p>
        </w:tc>
        <w:tc>
          <w:tcPr>
            <w:tcW w:w="701" w:type="pct"/>
            <w:shd w:val="clear" w:color="auto" w:fill="auto"/>
            <w:vAlign w:val="center"/>
          </w:tcPr>
          <w:p w14:paraId="0A88EF7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方正楷体_GBK" w:cs="方正楷体_GBK"/>
                <w:i w:val="0"/>
                <w:iCs w:val="0"/>
                <w:color w:val="000000"/>
                <w:sz w:val="20"/>
                <w:szCs w:val="20"/>
                <w:u w:val="none"/>
              </w:rPr>
            </w:pPr>
            <w:r>
              <w:rPr>
                <w:rFonts w:hint="eastAsia" w:ascii="Times New Roman" w:hAnsi="Times New Roman" w:eastAsia="方正楷体_GBK" w:cs="方正楷体_GBK"/>
                <w:i w:val="0"/>
                <w:iCs w:val="0"/>
                <w:color w:val="000000"/>
                <w:kern w:val="0"/>
                <w:sz w:val="20"/>
                <w:szCs w:val="20"/>
                <w:u w:val="none"/>
                <w:lang w:val="en-US" w:eastAsia="zh-CN" w:bidi="ar"/>
              </w:rPr>
              <w:t>60元/次</w:t>
            </w:r>
          </w:p>
        </w:tc>
        <w:tc>
          <w:tcPr>
            <w:tcW w:w="1204" w:type="pct"/>
            <w:shd w:val="clear" w:color="auto" w:fill="auto"/>
            <w:noWrap/>
            <w:vAlign w:val="center"/>
          </w:tcPr>
          <w:p w14:paraId="4DC86CC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方正楷体_GBK" w:cs="方正楷体_GBK"/>
                <w:i w:val="0"/>
                <w:iCs w:val="0"/>
                <w:color w:val="000000"/>
                <w:sz w:val="20"/>
                <w:szCs w:val="20"/>
                <w:u w:val="none"/>
              </w:rPr>
            </w:pPr>
            <w:r>
              <w:rPr>
                <w:rFonts w:hint="eastAsia" w:ascii="Times New Roman" w:hAnsi="Times New Roman" w:eastAsia="方正楷体_GBK" w:cs="方正楷体_GBK"/>
                <w:i w:val="0"/>
                <w:iCs w:val="0"/>
                <w:color w:val="000000"/>
                <w:kern w:val="0"/>
                <w:sz w:val="20"/>
                <w:szCs w:val="20"/>
                <w:u w:val="none"/>
                <w:lang w:val="en-US" w:eastAsia="zh-CN" w:bidi="ar"/>
              </w:rPr>
              <w:t>90%</w:t>
            </w:r>
          </w:p>
        </w:tc>
        <w:tc>
          <w:tcPr>
            <w:tcW w:w="686" w:type="pct"/>
            <w:shd w:val="clear" w:color="auto" w:fill="FFFFFF"/>
            <w:noWrap/>
            <w:vAlign w:val="center"/>
          </w:tcPr>
          <w:p w14:paraId="1FF0C9F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方正楷体_GBK" w:cs="方正楷体_GBK"/>
                <w:i w:val="0"/>
                <w:iCs w:val="0"/>
                <w:color w:val="000000"/>
                <w:sz w:val="20"/>
                <w:szCs w:val="20"/>
                <w:u w:val="none"/>
              </w:rPr>
            </w:pPr>
            <w:r>
              <w:rPr>
                <w:rFonts w:hint="eastAsia" w:ascii="Times New Roman" w:hAnsi="Times New Roman" w:eastAsia="方正楷体_GBK" w:cs="方正楷体_GBK"/>
                <w:i w:val="0"/>
                <w:iCs w:val="0"/>
                <w:color w:val="000000"/>
                <w:kern w:val="0"/>
                <w:sz w:val="20"/>
                <w:szCs w:val="20"/>
                <w:u w:val="none"/>
                <w:lang w:val="en-US" w:eastAsia="zh-CN" w:bidi="ar"/>
              </w:rPr>
              <w:t>45分钟</w:t>
            </w:r>
          </w:p>
        </w:tc>
      </w:tr>
      <w:tr w14:paraId="63ABFC4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229" w:type="pct"/>
            <w:vMerge w:val="continue"/>
            <w:shd w:val="clear" w:color="auto" w:fill="FFFFFF"/>
            <w:noWrap/>
            <w:vAlign w:val="center"/>
          </w:tcPr>
          <w:p w14:paraId="515944C1">
            <w:pPr>
              <w:keepNext w:val="0"/>
              <w:keepLines w:val="0"/>
              <w:pageBreakBefore w:val="0"/>
              <w:widowControl/>
              <w:kinsoku/>
              <w:wordWrap/>
              <w:overflowPunct/>
              <w:topLinePunct w:val="0"/>
              <w:autoSpaceDE/>
              <w:autoSpaceDN/>
              <w:bidi w:val="0"/>
              <w:adjustRightInd/>
              <w:snapToGrid/>
              <w:spacing w:line="0" w:lineRule="atLeast"/>
              <w:jc w:val="center"/>
              <w:rPr>
                <w:rFonts w:hint="eastAsia" w:ascii="Times New Roman" w:hAnsi="Times New Roman" w:eastAsia="方正楷体_GBK" w:cs="方正楷体_GBK"/>
                <w:i w:val="0"/>
                <w:iCs w:val="0"/>
                <w:color w:val="000000"/>
                <w:sz w:val="20"/>
                <w:szCs w:val="20"/>
                <w:u w:val="none"/>
              </w:rPr>
            </w:pPr>
          </w:p>
        </w:tc>
        <w:tc>
          <w:tcPr>
            <w:tcW w:w="367" w:type="pct"/>
            <w:vMerge w:val="continue"/>
            <w:shd w:val="clear" w:color="auto" w:fill="FFFFFF"/>
            <w:vAlign w:val="center"/>
          </w:tcPr>
          <w:p w14:paraId="602EAC43">
            <w:pPr>
              <w:keepNext w:val="0"/>
              <w:keepLines w:val="0"/>
              <w:pageBreakBefore w:val="0"/>
              <w:widowControl/>
              <w:kinsoku/>
              <w:wordWrap/>
              <w:overflowPunct/>
              <w:topLinePunct w:val="0"/>
              <w:autoSpaceDE/>
              <w:autoSpaceDN/>
              <w:bidi w:val="0"/>
              <w:adjustRightInd/>
              <w:snapToGrid/>
              <w:spacing w:line="0" w:lineRule="atLeast"/>
              <w:jc w:val="center"/>
              <w:rPr>
                <w:rFonts w:hint="eastAsia" w:ascii="Times New Roman" w:hAnsi="Times New Roman" w:eastAsia="方正楷体_GBK" w:cs="方正楷体_GBK"/>
                <w:i w:val="0"/>
                <w:iCs w:val="0"/>
                <w:color w:val="000000"/>
                <w:sz w:val="20"/>
                <w:szCs w:val="20"/>
                <w:u w:val="none"/>
              </w:rPr>
            </w:pPr>
          </w:p>
        </w:tc>
        <w:tc>
          <w:tcPr>
            <w:tcW w:w="1810" w:type="pct"/>
            <w:gridSpan w:val="2"/>
            <w:shd w:val="clear" w:color="auto" w:fill="auto"/>
            <w:vAlign w:val="center"/>
          </w:tcPr>
          <w:p w14:paraId="4E07E05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方正楷体_GBK" w:cs="方正楷体_GBK"/>
                <w:i w:val="0"/>
                <w:iCs w:val="0"/>
                <w:color w:val="000000"/>
                <w:kern w:val="0"/>
                <w:sz w:val="20"/>
                <w:szCs w:val="20"/>
                <w:u w:val="none"/>
                <w:lang w:val="en-US" w:eastAsia="zh-CN" w:bidi="ar"/>
              </w:rPr>
            </w:pPr>
            <w:r>
              <w:rPr>
                <w:rFonts w:hint="eastAsia" w:ascii="Times New Roman" w:hAnsi="Times New Roman" w:eastAsia="方正楷体_GBK" w:cs="方正楷体_GBK"/>
                <w:i w:val="0"/>
                <w:iCs w:val="0"/>
                <w:color w:val="000000"/>
                <w:kern w:val="0"/>
                <w:sz w:val="20"/>
                <w:szCs w:val="20"/>
                <w:u w:val="none"/>
                <w:lang w:val="en-US" w:eastAsia="zh-CN" w:bidi="ar"/>
              </w:rPr>
              <w:t>洗涤服务</w:t>
            </w:r>
          </w:p>
          <w:p w14:paraId="60BDE6D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方正楷体_GBK" w:cs="方正楷体_GBK"/>
                <w:i w:val="0"/>
                <w:iCs w:val="0"/>
                <w:color w:val="000000"/>
                <w:sz w:val="20"/>
                <w:szCs w:val="20"/>
                <w:u w:val="none"/>
              </w:rPr>
            </w:pPr>
            <w:r>
              <w:rPr>
                <w:rFonts w:hint="eastAsia" w:ascii="Times New Roman" w:hAnsi="Times New Roman" w:eastAsia="方正楷体_GBK" w:cs="方正楷体_GBK"/>
                <w:i w:val="0"/>
                <w:iCs w:val="0"/>
                <w:color w:val="000000"/>
                <w:kern w:val="0"/>
                <w:sz w:val="20"/>
                <w:szCs w:val="20"/>
                <w:u w:val="none"/>
                <w:lang w:val="en-US" w:eastAsia="zh-CN" w:bidi="ar"/>
              </w:rPr>
              <w:t>（大件清洗：被子、窗帘、沙发套、地毯、厚褥子、大件抱枕。）</w:t>
            </w:r>
          </w:p>
        </w:tc>
        <w:tc>
          <w:tcPr>
            <w:tcW w:w="701" w:type="pct"/>
            <w:shd w:val="clear" w:color="auto" w:fill="auto"/>
            <w:vAlign w:val="center"/>
          </w:tcPr>
          <w:p w14:paraId="2E91EE8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方正楷体_GBK" w:cs="方正楷体_GBK"/>
                <w:i w:val="0"/>
                <w:iCs w:val="0"/>
                <w:color w:val="000000"/>
                <w:sz w:val="20"/>
                <w:szCs w:val="20"/>
                <w:u w:val="none"/>
              </w:rPr>
            </w:pPr>
            <w:r>
              <w:rPr>
                <w:rFonts w:hint="eastAsia" w:ascii="Times New Roman" w:hAnsi="Times New Roman" w:eastAsia="方正楷体_GBK" w:cs="方正楷体_GBK"/>
                <w:i w:val="0"/>
                <w:iCs w:val="0"/>
                <w:color w:val="000000"/>
                <w:kern w:val="0"/>
                <w:sz w:val="20"/>
                <w:szCs w:val="20"/>
                <w:u w:val="none"/>
                <w:lang w:val="en-US" w:eastAsia="zh-CN" w:bidi="ar"/>
              </w:rPr>
              <w:t>60元/次</w:t>
            </w:r>
          </w:p>
        </w:tc>
        <w:tc>
          <w:tcPr>
            <w:tcW w:w="1204" w:type="pct"/>
            <w:shd w:val="clear" w:color="auto" w:fill="auto"/>
            <w:noWrap/>
            <w:vAlign w:val="center"/>
          </w:tcPr>
          <w:p w14:paraId="3AF5756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方正楷体_GBK" w:cs="方正楷体_GBK"/>
                <w:i w:val="0"/>
                <w:iCs w:val="0"/>
                <w:color w:val="000000"/>
                <w:sz w:val="20"/>
                <w:szCs w:val="20"/>
                <w:u w:val="none"/>
              </w:rPr>
            </w:pPr>
            <w:r>
              <w:rPr>
                <w:rFonts w:hint="eastAsia" w:ascii="Times New Roman" w:hAnsi="Times New Roman" w:eastAsia="方正楷体_GBK" w:cs="方正楷体_GBK"/>
                <w:i w:val="0"/>
                <w:iCs w:val="0"/>
                <w:color w:val="000000"/>
                <w:kern w:val="0"/>
                <w:sz w:val="20"/>
                <w:szCs w:val="20"/>
                <w:u w:val="none"/>
                <w:lang w:val="en-US" w:eastAsia="zh-CN" w:bidi="ar"/>
              </w:rPr>
              <w:t>90%</w:t>
            </w:r>
          </w:p>
        </w:tc>
        <w:tc>
          <w:tcPr>
            <w:tcW w:w="686" w:type="pct"/>
            <w:shd w:val="clear" w:color="auto" w:fill="FFFFFF"/>
            <w:noWrap/>
            <w:vAlign w:val="center"/>
          </w:tcPr>
          <w:p w14:paraId="5A863DD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方正楷体_GBK" w:cs="方正楷体_GBK"/>
                <w:i w:val="0"/>
                <w:iCs w:val="0"/>
                <w:color w:val="000000"/>
                <w:sz w:val="20"/>
                <w:szCs w:val="20"/>
                <w:u w:val="none"/>
              </w:rPr>
            </w:pPr>
            <w:r>
              <w:rPr>
                <w:rFonts w:hint="eastAsia" w:ascii="Times New Roman" w:hAnsi="Times New Roman" w:eastAsia="方正楷体_GBK" w:cs="方正楷体_GBK"/>
                <w:i w:val="0"/>
                <w:iCs w:val="0"/>
                <w:color w:val="000000"/>
                <w:kern w:val="0"/>
                <w:sz w:val="20"/>
                <w:szCs w:val="20"/>
                <w:u w:val="none"/>
                <w:lang w:val="en-US" w:eastAsia="zh-CN" w:bidi="ar"/>
              </w:rPr>
              <w:t>60分钟</w:t>
            </w:r>
          </w:p>
        </w:tc>
      </w:tr>
      <w:tr w14:paraId="7E7F842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229" w:type="pct"/>
            <w:vMerge w:val="continue"/>
            <w:shd w:val="clear" w:color="auto" w:fill="FFFFFF"/>
            <w:noWrap/>
            <w:vAlign w:val="center"/>
          </w:tcPr>
          <w:p w14:paraId="6416F45D">
            <w:pPr>
              <w:keepNext w:val="0"/>
              <w:keepLines w:val="0"/>
              <w:pageBreakBefore w:val="0"/>
              <w:widowControl/>
              <w:kinsoku/>
              <w:wordWrap/>
              <w:overflowPunct/>
              <w:topLinePunct w:val="0"/>
              <w:autoSpaceDE/>
              <w:autoSpaceDN/>
              <w:bidi w:val="0"/>
              <w:adjustRightInd/>
              <w:snapToGrid/>
              <w:spacing w:line="0" w:lineRule="atLeast"/>
              <w:jc w:val="center"/>
              <w:rPr>
                <w:rFonts w:hint="eastAsia" w:ascii="Times New Roman" w:hAnsi="Times New Roman" w:eastAsia="方正楷体_GBK" w:cs="方正楷体_GBK"/>
                <w:i w:val="0"/>
                <w:iCs w:val="0"/>
                <w:color w:val="000000"/>
                <w:sz w:val="20"/>
                <w:szCs w:val="20"/>
                <w:u w:val="none"/>
              </w:rPr>
            </w:pPr>
          </w:p>
        </w:tc>
        <w:tc>
          <w:tcPr>
            <w:tcW w:w="367" w:type="pct"/>
            <w:vMerge w:val="continue"/>
            <w:shd w:val="clear" w:color="auto" w:fill="FFFFFF"/>
            <w:vAlign w:val="center"/>
          </w:tcPr>
          <w:p w14:paraId="790DD3B7">
            <w:pPr>
              <w:keepNext w:val="0"/>
              <w:keepLines w:val="0"/>
              <w:pageBreakBefore w:val="0"/>
              <w:widowControl/>
              <w:kinsoku/>
              <w:wordWrap/>
              <w:overflowPunct/>
              <w:topLinePunct w:val="0"/>
              <w:autoSpaceDE/>
              <w:autoSpaceDN/>
              <w:bidi w:val="0"/>
              <w:adjustRightInd/>
              <w:snapToGrid/>
              <w:spacing w:line="0" w:lineRule="atLeast"/>
              <w:jc w:val="center"/>
              <w:rPr>
                <w:rFonts w:hint="eastAsia" w:ascii="Times New Roman" w:hAnsi="Times New Roman" w:eastAsia="方正楷体_GBK" w:cs="方正楷体_GBK"/>
                <w:i w:val="0"/>
                <w:iCs w:val="0"/>
                <w:color w:val="000000"/>
                <w:sz w:val="20"/>
                <w:szCs w:val="20"/>
                <w:u w:val="none"/>
              </w:rPr>
            </w:pPr>
          </w:p>
        </w:tc>
        <w:tc>
          <w:tcPr>
            <w:tcW w:w="1810" w:type="pct"/>
            <w:gridSpan w:val="2"/>
            <w:shd w:val="clear" w:color="auto" w:fill="auto"/>
            <w:vAlign w:val="center"/>
          </w:tcPr>
          <w:p w14:paraId="78427B1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方正楷体_GBK" w:cs="方正楷体_GBK"/>
                <w:i w:val="0"/>
                <w:iCs w:val="0"/>
                <w:color w:val="000000"/>
                <w:kern w:val="0"/>
                <w:sz w:val="20"/>
                <w:szCs w:val="20"/>
                <w:u w:val="none"/>
                <w:lang w:val="en-US" w:eastAsia="zh-CN" w:bidi="ar"/>
              </w:rPr>
            </w:pPr>
            <w:r>
              <w:rPr>
                <w:rFonts w:hint="eastAsia" w:ascii="Times New Roman" w:hAnsi="Times New Roman" w:eastAsia="方正楷体_GBK" w:cs="方正楷体_GBK"/>
                <w:i w:val="0"/>
                <w:iCs w:val="0"/>
                <w:color w:val="000000"/>
                <w:kern w:val="0"/>
                <w:sz w:val="20"/>
                <w:szCs w:val="20"/>
                <w:u w:val="none"/>
                <w:lang w:val="en-US" w:eastAsia="zh-CN" w:bidi="ar"/>
              </w:rPr>
              <w:t>洗涤服务</w:t>
            </w:r>
          </w:p>
          <w:p w14:paraId="239010A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方正楷体_GBK" w:cs="方正楷体_GBK"/>
                <w:i w:val="0"/>
                <w:iCs w:val="0"/>
                <w:color w:val="000000"/>
                <w:sz w:val="20"/>
                <w:szCs w:val="20"/>
                <w:u w:val="none"/>
              </w:rPr>
            </w:pPr>
            <w:r>
              <w:rPr>
                <w:rFonts w:hint="eastAsia" w:ascii="Times New Roman" w:hAnsi="Times New Roman" w:eastAsia="方正楷体_GBK" w:cs="方正楷体_GBK"/>
                <w:i w:val="0"/>
                <w:iCs w:val="0"/>
                <w:color w:val="000000"/>
                <w:kern w:val="0"/>
                <w:sz w:val="20"/>
                <w:szCs w:val="20"/>
                <w:u w:val="none"/>
                <w:lang w:val="en-US" w:eastAsia="zh-CN" w:bidi="ar"/>
              </w:rPr>
              <w:t>（小件清洗：日常外衣、裤子、床单、被套、枕套等常规可机洗衣物。）</w:t>
            </w:r>
          </w:p>
        </w:tc>
        <w:tc>
          <w:tcPr>
            <w:tcW w:w="701" w:type="pct"/>
            <w:shd w:val="clear" w:color="auto" w:fill="auto"/>
            <w:vAlign w:val="center"/>
          </w:tcPr>
          <w:p w14:paraId="220A626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方正楷体_GBK" w:cs="方正楷体_GBK"/>
                <w:i w:val="0"/>
                <w:iCs w:val="0"/>
                <w:color w:val="000000"/>
                <w:sz w:val="20"/>
                <w:szCs w:val="20"/>
                <w:u w:val="none"/>
              </w:rPr>
            </w:pPr>
            <w:r>
              <w:rPr>
                <w:rFonts w:hint="eastAsia" w:ascii="Times New Roman" w:hAnsi="Times New Roman" w:eastAsia="方正楷体_GBK" w:cs="方正楷体_GBK"/>
                <w:i w:val="0"/>
                <w:iCs w:val="0"/>
                <w:color w:val="000000"/>
                <w:kern w:val="0"/>
                <w:sz w:val="20"/>
                <w:szCs w:val="20"/>
                <w:u w:val="none"/>
                <w:lang w:val="en-US" w:eastAsia="zh-CN" w:bidi="ar"/>
              </w:rPr>
              <w:t>30元/次</w:t>
            </w:r>
          </w:p>
        </w:tc>
        <w:tc>
          <w:tcPr>
            <w:tcW w:w="1204" w:type="pct"/>
            <w:shd w:val="clear" w:color="auto" w:fill="auto"/>
            <w:noWrap/>
            <w:vAlign w:val="center"/>
          </w:tcPr>
          <w:p w14:paraId="32DA98B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方正楷体_GBK" w:cs="方正楷体_GBK"/>
                <w:i w:val="0"/>
                <w:iCs w:val="0"/>
                <w:color w:val="000000"/>
                <w:sz w:val="20"/>
                <w:szCs w:val="20"/>
                <w:u w:val="none"/>
              </w:rPr>
            </w:pPr>
            <w:r>
              <w:rPr>
                <w:rFonts w:hint="eastAsia" w:ascii="Times New Roman" w:hAnsi="Times New Roman" w:eastAsia="方正楷体_GBK" w:cs="方正楷体_GBK"/>
                <w:i w:val="0"/>
                <w:iCs w:val="0"/>
                <w:color w:val="000000"/>
                <w:kern w:val="0"/>
                <w:sz w:val="20"/>
                <w:szCs w:val="20"/>
                <w:u w:val="none"/>
                <w:lang w:val="en-US" w:eastAsia="zh-CN" w:bidi="ar"/>
              </w:rPr>
              <w:t>90%</w:t>
            </w:r>
          </w:p>
        </w:tc>
        <w:tc>
          <w:tcPr>
            <w:tcW w:w="686" w:type="pct"/>
            <w:shd w:val="clear" w:color="auto" w:fill="FFFFFF"/>
            <w:noWrap/>
            <w:vAlign w:val="center"/>
          </w:tcPr>
          <w:p w14:paraId="5E15E90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方正楷体_GBK" w:cs="方正楷体_GBK"/>
                <w:i w:val="0"/>
                <w:iCs w:val="0"/>
                <w:color w:val="000000"/>
                <w:sz w:val="20"/>
                <w:szCs w:val="20"/>
                <w:u w:val="none"/>
              </w:rPr>
            </w:pPr>
            <w:r>
              <w:rPr>
                <w:rFonts w:hint="eastAsia" w:ascii="Times New Roman" w:hAnsi="Times New Roman" w:eastAsia="方正楷体_GBK" w:cs="方正楷体_GBK"/>
                <w:i w:val="0"/>
                <w:iCs w:val="0"/>
                <w:color w:val="000000"/>
                <w:kern w:val="0"/>
                <w:sz w:val="20"/>
                <w:szCs w:val="20"/>
                <w:u w:val="none"/>
                <w:lang w:val="en-US" w:eastAsia="zh-CN" w:bidi="ar"/>
              </w:rPr>
              <w:t>60分钟</w:t>
            </w:r>
          </w:p>
        </w:tc>
      </w:tr>
      <w:tr w14:paraId="582E933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229" w:type="pct"/>
            <w:vMerge w:val="continue"/>
            <w:shd w:val="clear" w:color="auto" w:fill="FFFFFF"/>
            <w:noWrap/>
            <w:vAlign w:val="center"/>
          </w:tcPr>
          <w:p w14:paraId="670F2DB9">
            <w:pPr>
              <w:keepNext w:val="0"/>
              <w:keepLines w:val="0"/>
              <w:pageBreakBefore w:val="0"/>
              <w:widowControl/>
              <w:kinsoku/>
              <w:wordWrap/>
              <w:overflowPunct/>
              <w:topLinePunct w:val="0"/>
              <w:autoSpaceDE/>
              <w:autoSpaceDN/>
              <w:bidi w:val="0"/>
              <w:adjustRightInd/>
              <w:snapToGrid/>
              <w:spacing w:line="0" w:lineRule="atLeast"/>
              <w:jc w:val="center"/>
              <w:rPr>
                <w:rFonts w:hint="eastAsia" w:ascii="Times New Roman" w:hAnsi="Times New Roman" w:eastAsia="方正楷体_GBK" w:cs="方正楷体_GBK"/>
                <w:i w:val="0"/>
                <w:iCs w:val="0"/>
                <w:color w:val="000000"/>
                <w:sz w:val="20"/>
                <w:szCs w:val="20"/>
                <w:u w:val="none"/>
              </w:rPr>
            </w:pPr>
          </w:p>
        </w:tc>
        <w:tc>
          <w:tcPr>
            <w:tcW w:w="367" w:type="pct"/>
            <w:vMerge w:val="continue"/>
            <w:shd w:val="clear" w:color="auto" w:fill="FFFFFF"/>
            <w:vAlign w:val="center"/>
          </w:tcPr>
          <w:p w14:paraId="7424D088">
            <w:pPr>
              <w:keepNext w:val="0"/>
              <w:keepLines w:val="0"/>
              <w:pageBreakBefore w:val="0"/>
              <w:widowControl/>
              <w:kinsoku/>
              <w:wordWrap/>
              <w:overflowPunct/>
              <w:topLinePunct w:val="0"/>
              <w:autoSpaceDE/>
              <w:autoSpaceDN/>
              <w:bidi w:val="0"/>
              <w:adjustRightInd/>
              <w:snapToGrid/>
              <w:spacing w:line="0" w:lineRule="atLeast"/>
              <w:jc w:val="center"/>
              <w:rPr>
                <w:rFonts w:hint="eastAsia" w:ascii="Times New Roman" w:hAnsi="Times New Roman" w:eastAsia="方正楷体_GBK" w:cs="方正楷体_GBK"/>
                <w:i w:val="0"/>
                <w:iCs w:val="0"/>
                <w:color w:val="000000"/>
                <w:sz w:val="20"/>
                <w:szCs w:val="20"/>
                <w:u w:val="none"/>
              </w:rPr>
            </w:pPr>
          </w:p>
        </w:tc>
        <w:tc>
          <w:tcPr>
            <w:tcW w:w="1810" w:type="pct"/>
            <w:gridSpan w:val="2"/>
            <w:shd w:val="clear" w:color="auto" w:fill="auto"/>
            <w:vAlign w:val="center"/>
          </w:tcPr>
          <w:p w14:paraId="3DFBB61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方正楷体_GBK" w:cs="方正楷体_GBK"/>
                <w:i w:val="0"/>
                <w:iCs w:val="0"/>
                <w:color w:val="000000"/>
                <w:sz w:val="20"/>
                <w:szCs w:val="20"/>
                <w:u w:val="none"/>
              </w:rPr>
            </w:pPr>
            <w:r>
              <w:rPr>
                <w:rFonts w:hint="eastAsia" w:ascii="Times New Roman" w:hAnsi="Times New Roman" w:eastAsia="方正楷体_GBK" w:cs="方正楷体_GBK"/>
                <w:i w:val="0"/>
                <w:iCs w:val="0"/>
                <w:color w:val="000000"/>
                <w:kern w:val="0"/>
                <w:sz w:val="20"/>
                <w:szCs w:val="20"/>
                <w:u w:val="none"/>
                <w:lang w:val="en-US" w:eastAsia="zh-CN" w:bidi="ar"/>
              </w:rPr>
              <w:t>足疗服务（无药包）</w:t>
            </w:r>
          </w:p>
        </w:tc>
        <w:tc>
          <w:tcPr>
            <w:tcW w:w="701" w:type="pct"/>
            <w:shd w:val="clear" w:color="auto" w:fill="auto"/>
            <w:vAlign w:val="center"/>
          </w:tcPr>
          <w:p w14:paraId="23A678B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方正楷体_GBK" w:cs="方正楷体_GBK"/>
                <w:i w:val="0"/>
                <w:iCs w:val="0"/>
                <w:color w:val="000000"/>
                <w:sz w:val="20"/>
                <w:szCs w:val="20"/>
                <w:u w:val="none"/>
              </w:rPr>
            </w:pPr>
            <w:r>
              <w:rPr>
                <w:rFonts w:hint="eastAsia" w:ascii="Times New Roman" w:hAnsi="Times New Roman" w:eastAsia="方正楷体_GBK" w:cs="方正楷体_GBK"/>
                <w:i w:val="0"/>
                <w:iCs w:val="0"/>
                <w:color w:val="000000"/>
                <w:kern w:val="0"/>
                <w:sz w:val="20"/>
                <w:szCs w:val="20"/>
                <w:u w:val="none"/>
                <w:lang w:val="en-US" w:eastAsia="zh-CN" w:bidi="ar"/>
              </w:rPr>
              <w:t>60元/次</w:t>
            </w:r>
          </w:p>
        </w:tc>
        <w:tc>
          <w:tcPr>
            <w:tcW w:w="1204" w:type="pct"/>
            <w:shd w:val="clear" w:color="auto" w:fill="auto"/>
            <w:noWrap/>
            <w:vAlign w:val="center"/>
          </w:tcPr>
          <w:p w14:paraId="07E0DDB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方正楷体_GBK" w:cs="方正楷体_GBK"/>
                <w:i w:val="0"/>
                <w:iCs w:val="0"/>
                <w:color w:val="000000"/>
                <w:sz w:val="20"/>
                <w:szCs w:val="20"/>
                <w:u w:val="none"/>
              </w:rPr>
            </w:pPr>
            <w:r>
              <w:rPr>
                <w:rFonts w:hint="eastAsia" w:ascii="Times New Roman" w:hAnsi="Times New Roman" w:eastAsia="方正楷体_GBK" w:cs="方正楷体_GBK"/>
                <w:i w:val="0"/>
                <w:iCs w:val="0"/>
                <w:color w:val="000000"/>
                <w:kern w:val="0"/>
                <w:sz w:val="20"/>
                <w:szCs w:val="20"/>
                <w:u w:val="none"/>
                <w:lang w:val="en-US" w:eastAsia="zh-CN" w:bidi="ar"/>
              </w:rPr>
              <w:t>90%</w:t>
            </w:r>
          </w:p>
        </w:tc>
        <w:tc>
          <w:tcPr>
            <w:tcW w:w="686" w:type="pct"/>
            <w:shd w:val="clear" w:color="auto" w:fill="FFFFFF"/>
            <w:noWrap/>
            <w:vAlign w:val="center"/>
          </w:tcPr>
          <w:p w14:paraId="1BF7319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方正楷体_GBK" w:cs="方正楷体_GBK"/>
                <w:i w:val="0"/>
                <w:iCs w:val="0"/>
                <w:color w:val="000000"/>
                <w:sz w:val="20"/>
                <w:szCs w:val="20"/>
                <w:u w:val="none"/>
              </w:rPr>
            </w:pPr>
            <w:r>
              <w:rPr>
                <w:rFonts w:hint="eastAsia" w:ascii="Times New Roman" w:hAnsi="Times New Roman" w:eastAsia="方正楷体_GBK" w:cs="方正楷体_GBK"/>
                <w:i w:val="0"/>
                <w:iCs w:val="0"/>
                <w:color w:val="000000"/>
                <w:kern w:val="0"/>
                <w:sz w:val="20"/>
                <w:szCs w:val="20"/>
                <w:u w:val="none"/>
                <w:lang w:val="en-US" w:eastAsia="zh-CN" w:bidi="ar"/>
              </w:rPr>
              <w:t>60分钟</w:t>
            </w:r>
          </w:p>
        </w:tc>
      </w:tr>
      <w:tr w14:paraId="762E60F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229" w:type="pct"/>
            <w:vMerge w:val="continue"/>
            <w:shd w:val="clear" w:color="auto" w:fill="FFFFFF"/>
            <w:noWrap/>
            <w:vAlign w:val="center"/>
          </w:tcPr>
          <w:p w14:paraId="62D4CCF6">
            <w:pPr>
              <w:keepNext w:val="0"/>
              <w:keepLines w:val="0"/>
              <w:pageBreakBefore w:val="0"/>
              <w:widowControl/>
              <w:kinsoku/>
              <w:wordWrap/>
              <w:overflowPunct/>
              <w:topLinePunct w:val="0"/>
              <w:autoSpaceDE/>
              <w:autoSpaceDN/>
              <w:bidi w:val="0"/>
              <w:adjustRightInd/>
              <w:snapToGrid/>
              <w:spacing w:line="0" w:lineRule="atLeast"/>
              <w:jc w:val="center"/>
              <w:rPr>
                <w:rFonts w:hint="eastAsia" w:ascii="Times New Roman" w:hAnsi="Times New Roman" w:eastAsia="方正楷体_GBK" w:cs="方正楷体_GBK"/>
                <w:i w:val="0"/>
                <w:iCs w:val="0"/>
                <w:color w:val="000000"/>
                <w:sz w:val="20"/>
                <w:szCs w:val="20"/>
                <w:u w:val="none"/>
              </w:rPr>
            </w:pPr>
          </w:p>
        </w:tc>
        <w:tc>
          <w:tcPr>
            <w:tcW w:w="367" w:type="pct"/>
            <w:vMerge w:val="continue"/>
            <w:shd w:val="clear" w:color="auto" w:fill="FFFFFF"/>
            <w:vAlign w:val="center"/>
          </w:tcPr>
          <w:p w14:paraId="56C46AF1">
            <w:pPr>
              <w:keepNext w:val="0"/>
              <w:keepLines w:val="0"/>
              <w:pageBreakBefore w:val="0"/>
              <w:widowControl/>
              <w:kinsoku/>
              <w:wordWrap/>
              <w:overflowPunct/>
              <w:topLinePunct w:val="0"/>
              <w:autoSpaceDE/>
              <w:autoSpaceDN/>
              <w:bidi w:val="0"/>
              <w:adjustRightInd/>
              <w:snapToGrid/>
              <w:spacing w:line="0" w:lineRule="atLeast"/>
              <w:jc w:val="center"/>
              <w:rPr>
                <w:rFonts w:hint="eastAsia" w:ascii="Times New Roman" w:hAnsi="Times New Roman" w:eastAsia="方正楷体_GBK" w:cs="方正楷体_GBK"/>
                <w:i w:val="0"/>
                <w:iCs w:val="0"/>
                <w:color w:val="000000"/>
                <w:sz w:val="20"/>
                <w:szCs w:val="20"/>
                <w:u w:val="none"/>
              </w:rPr>
            </w:pPr>
          </w:p>
        </w:tc>
        <w:tc>
          <w:tcPr>
            <w:tcW w:w="1810" w:type="pct"/>
            <w:gridSpan w:val="2"/>
            <w:shd w:val="clear" w:color="auto" w:fill="auto"/>
            <w:vAlign w:val="center"/>
          </w:tcPr>
          <w:p w14:paraId="20C25C0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方正楷体_GBK" w:cs="方正楷体_GBK"/>
                <w:i w:val="0"/>
                <w:iCs w:val="0"/>
                <w:color w:val="000000"/>
                <w:sz w:val="20"/>
                <w:szCs w:val="20"/>
                <w:u w:val="none"/>
              </w:rPr>
            </w:pPr>
            <w:r>
              <w:rPr>
                <w:rFonts w:hint="eastAsia" w:ascii="Times New Roman" w:hAnsi="Times New Roman" w:eastAsia="方正楷体_GBK" w:cs="方正楷体_GBK"/>
                <w:i w:val="0"/>
                <w:iCs w:val="0"/>
                <w:color w:val="000000"/>
                <w:kern w:val="0"/>
                <w:sz w:val="20"/>
                <w:szCs w:val="20"/>
                <w:u w:val="none"/>
                <w:lang w:val="en-US" w:eastAsia="zh-CN" w:bidi="ar"/>
              </w:rPr>
              <w:t>足疗服务（含药包）</w:t>
            </w:r>
          </w:p>
        </w:tc>
        <w:tc>
          <w:tcPr>
            <w:tcW w:w="701" w:type="pct"/>
            <w:shd w:val="clear" w:color="auto" w:fill="auto"/>
            <w:vAlign w:val="center"/>
          </w:tcPr>
          <w:p w14:paraId="162157D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方正楷体_GBK" w:cs="方正楷体_GBK"/>
                <w:i w:val="0"/>
                <w:iCs w:val="0"/>
                <w:color w:val="000000"/>
                <w:sz w:val="20"/>
                <w:szCs w:val="20"/>
                <w:u w:val="none"/>
              </w:rPr>
            </w:pPr>
            <w:r>
              <w:rPr>
                <w:rFonts w:hint="eastAsia" w:ascii="Times New Roman" w:hAnsi="Times New Roman" w:eastAsia="方正楷体_GBK" w:cs="方正楷体_GBK"/>
                <w:i w:val="0"/>
                <w:iCs w:val="0"/>
                <w:color w:val="000000"/>
                <w:kern w:val="0"/>
                <w:sz w:val="20"/>
                <w:szCs w:val="20"/>
                <w:u w:val="none"/>
                <w:lang w:val="en-US" w:eastAsia="zh-CN" w:bidi="ar"/>
              </w:rPr>
              <w:t>80元/次</w:t>
            </w:r>
          </w:p>
        </w:tc>
        <w:tc>
          <w:tcPr>
            <w:tcW w:w="1204" w:type="pct"/>
            <w:shd w:val="clear" w:color="auto" w:fill="auto"/>
            <w:noWrap/>
            <w:vAlign w:val="center"/>
          </w:tcPr>
          <w:p w14:paraId="07D2AA4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方正楷体_GBK" w:cs="方正楷体_GBK"/>
                <w:i w:val="0"/>
                <w:iCs w:val="0"/>
                <w:color w:val="000000"/>
                <w:sz w:val="20"/>
                <w:szCs w:val="20"/>
                <w:u w:val="none"/>
              </w:rPr>
            </w:pPr>
            <w:r>
              <w:rPr>
                <w:rFonts w:hint="eastAsia" w:ascii="Times New Roman" w:hAnsi="Times New Roman" w:eastAsia="方正楷体_GBK" w:cs="方正楷体_GBK"/>
                <w:i w:val="0"/>
                <w:iCs w:val="0"/>
                <w:color w:val="000000"/>
                <w:kern w:val="0"/>
                <w:sz w:val="20"/>
                <w:szCs w:val="20"/>
                <w:u w:val="none"/>
                <w:lang w:val="en-US" w:eastAsia="zh-CN" w:bidi="ar"/>
              </w:rPr>
              <w:t>90%</w:t>
            </w:r>
          </w:p>
        </w:tc>
        <w:tc>
          <w:tcPr>
            <w:tcW w:w="686" w:type="pct"/>
            <w:shd w:val="clear" w:color="auto" w:fill="FFFFFF"/>
            <w:noWrap/>
            <w:vAlign w:val="center"/>
          </w:tcPr>
          <w:p w14:paraId="2EF56E1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方正楷体_GBK" w:cs="方正楷体_GBK"/>
                <w:i w:val="0"/>
                <w:iCs w:val="0"/>
                <w:color w:val="000000"/>
                <w:sz w:val="20"/>
                <w:szCs w:val="20"/>
                <w:u w:val="none"/>
              </w:rPr>
            </w:pPr>
            <w:r>
              <w:rPr>
                <w:rFonts w:hint="eastAsia" w:ascii="Times New Roman" w:hAnsi="Times New Roman" w:eastAsia="方正楷体_GBK" w:cs="方正楷体_GBK"/>
                <w:i w:val="0"/>
                <w:iCs w:val="0"/>
                <w:color w:val="000000"/>
                <w:kern w:val="0"/>
                <w:sz w:val="20"/>
                <w:szCs w:val="20"/>
                <w:u w:val="none"/>
                <w:lang w:val="en-US" w:eastAsia="zh-CN" w:bidi="ar"/>
              </w:rPr>
              <w:t>60分钟</w:t>
            </w:r>
          </w:p>
        </w:tc>
      </w:tr>
      <w:tr w14:paraId="6982E88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29" w:hRule="atLeast"/>
          <w:jc w:val="center"/>
        </w:trPr>
        <w:tc>
          <w:tcPr>
            <w:tcW w:w="229" w:type="pct"/>
            <w:vMerge w:val="continue"/>
            <w:shd w:val="clear" w:color="auto" w:fill="FFFFFF"/>
            <w:noWrap/>
            <w:vAlign w:val="center"/>
          </w:tcPr>
          <w:p w14:paraId="18708EA4">
            <w:pPr>
              <w:keepNext w:val="0"/>
              <w:keepLines w:val="0"/>
              <w:pageBreakBefore w:val="0"/>
              <w:widowControl/>
              <w:kinsoku/>
              <w:wordWrap/>
              <w:overflowPunct/>
              <w:topLinePunct w:val="0"/>
              <w:autoSpaceDE/>
              <w:autoSpaceDN/>
              <w:bidi w:val="0"/>
              <w:adjustRightInd/>
              <w:snapToGrid/>
              <w:spacing w:line="0" w:lineRule="atLeast"/>
              <w:jc w:val="center"/>
              <w:rPr>
                <w:rFonts w:hint="eastAsia" w:ascii="Times New Roman" w:hAnsi="Times New Roman" w:eastAsia="方正楷体_GBK" w:cs="方正楷体_GBK"/>
                <w:i w:val="0"/>
                <w:iCs w:val="0"/>
                <w:color w:val="000000"/>
                <w:sz w:val="20"/>
                <w:szCs w:val="20"/>
                <w:u w:val="none"/>
              </w:rPr>
            </w:pPr>
          </w:p>
        </w:tc>
        <w:tc>
          <w:tcPr>
            <w:tcW w:w="367" w:type="pct"/>
            <w:vMerge w:val="continue"/>
            <w:shd w:val="clear" w:color="auto" w:fill="FFFFFF"/>
            <w:vAlign w:val="center"/>
          </w:tcPr>
          <w:p w14:paraId="48813A5E">
            <w:pPr>
              <w:keepNext w:val="0"/>
              <w:keepLines w:val="0"/>
              <w:pageBreakBefore w:val="0"/>
              <w:widowControl/>
              <w:kinsoku/>
              <w:wordWrap/>
              <w:overflowPunct/>
              <w:topLinePunct w:val="0"/>
              <w:autoSpaceDE/>
              <w:autoSpaceDN/>
              <w:bidi w:val="0"/>
              <w:adjustRightInd/>
              <w:snapToGrid/>
              <w:spacing w:line="0" w:lineRule="atLeast"/>
              <w:jc w:val="center"/>
              <w:rPr>
                <w:rFonts w:hint="eastAsia" w:ascii="Times New Roman" w:hAnsi="Times New Roman" w:eastAsia="方正楷体_GBK" w:cs="方正楷体_GBK"/>
                <w:i w:val="0"/>
                <w:iCs w:val="0"/>
                <w:color w:val="000000"/>
                <w:sz w:val="20"/>
                <w:szCs w:val="20"/>
                <w:u w:val="none"/>
              </w:rPr>
            </w:pPr>
          </w:p>
        </w:tc>
        <w:tc>
          <w:tcPr>
            <w:tcW w:w="1810" w:type="pct"/>
            <w:gridSpan w:val="2"/>
            <w:shd w:val="clear" w:color="auto" w:fill="auto"/>
            <w:vAlign w:val="center"/>
          </w:tcPr>
          <w:p w14:paraId="55BE43A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方正楷体_GBK" w:cs="方正楷体_GBK"/>
                <w:i w:val="0"/>
                <w:iCs w:val="0"/>
                <w:color w:val="000000"/>
                <w:sz w:val="20"/>
                <w:szCs w:val="20"/>
                <w:u w:val="none"/>
              </w:rPr>
            </w:pPr>
            <w:r>
              <w:rPr>
                <w:rFonts w:hint="eastAsia" w:ascii="Times New Roman" w:hAnsi="Times New Roman" w:eastAsia="方正楷体_GBK" w:cs="方正楷体_GBK"/>
                <w:i w:val="0"/>
                <w:iCs w:val="0"/>
                <w:color w:val="000000"/>
                <w:kern w:val="0"/>
                <w:sz w:val="20"/>
                <w:szCs w:val="20"/>
                <w:u w:val="none"/>
                <w:lang w:val="en-US" w:eastAsia="zh-CN" w:bidi="ar"/>
              </w:rPr>
              <w:t>足疗按摩（普通技师）</w:t>
            </w:r>
          </w:p>
        </w:tc>
        <w:tc>
          <w:tcPr>
            <w:tcW w:w="701" w:type="pct"/>
            <w:shd w:val="clear" w:color="auto" w:fill="auto"/>
            <w:vAlign w:val="center"/>
          </w:tcPr>
          <w:p w14:paraId="0013172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方正楷体_GBK" w:cs="方正楷体_GBK"/>
                <w:i w:val="0"/>
                <w:iCs w:val="0"/>
                <w:color w:val="000000"/>
                <w:sz w:val="20"/>
                <w:szCs w:val="20"/>
                <w:u w:val="none"/>
              </w:rPr>
            </w:pPr>
            <w:r>
              <w:rPr>
                <w:rFonts w:hint="eastAsia" w:ascii="Times New Roman" w:hAnsi="Times New Roman" w:eastAsia="方正楷体_GBK" w:cs="方正楷体_GBK"/>
                <w:i w:val="0"/>
                <w:iCs w:val="0"/>
                <w:color w:val="000000"/>
                <w:kern w:val="0"/>
                <w:sz w:val="20"/>
                <w:szCs w:val="20"/>
                <w:u w:val="none"/>
                <w:lang w:val="en-US" w:eastAsia="zh-CN" w:bidi="ar"/>
              </w:rPr>
              <w:t>60元/次</w:t>
            </w:r>
          </w:p>
        </w:tc>
        <w:tc>
          <w:tcPr>
            <w:tcW w:w="1204" w:type="pct"/>
            <w:shd w:val="clear" w:color="auto" w:fill="auto"/>
            <w:noWrap/>
            <w:vAlign w:val="center"/>
          </w:tcPr>
          <w:p w14:paraId="7A94086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方正楷体_GBK" w:cs="方正楷体_GBK"/>
                <w:i w:val="0"/>
                <w:iCs w:val="0"/>
                <w:color w:val="000000"/>
                <w:sz w:val="20"/>
                <w:szCs w:val="20"/>
                <w:u w:val="none"/>
              </w:rPr>
            </w:pPr>
            <w:r>
              <w:rPr>
                <w:rFonts w:hint="eastAsia" w:ascii="Times New Roman" w:hAnsi="Times New Roman" w:eastAsia="方正楷体_GBK" w:cs="方正楷体_GBK"/>
                <w:i w:val="0"/>
                <w:iCs w:val="0"/>
                <w:color w:val="000000"/>
                <w:kern w:val="0"/>
                <w:sz w:val="20"/>
                <w:szCs w:val="20"/>
                <w:u w:val="none"/>
                <w:lang w:val="en-US" w:eastAsia="zh-CN" w:bidi="ar"/>
              </w:rPr>
              <w:t>90%</w:t>
            </w:r>
          </w:p>
        </w:tc>
        <w:tc>
          <w:tcPr>
            <w:tcW w:w="686" w:type="pct"/>
            <w:shd w:val="clear" w:color="auto" w:fill="FFFFFF"/>
            <w:noWrap/>
            <w:vAlign w:val="center"/>
          </w:tcPr>
          <w:p w14:paraId="3F2221B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方正楷体_GBK" w:cs="方正楷体_GBK"/>
                <w:i w:val="0"/>
                <w:iCs w:val="0"/>
                <w:color w:val="000000"/>
                <w:sz w:val="20"/>
                <w:szCs w:val="20"/>
                <w:u w:val="none"/>
              </w:rPr>
            </w:pPr>
            <w:r>
              <w:rPr>
                <w:rFonts w:hint="eastAsia" w:ascii="Times New Roman" w:hAnsi="Times New Roman" w:eastAsia="方正楷体_GBK" w:cs="方正楷体_GBK"/>
                <w:i w:val="0"/>
                <w:iCs w:val="0"/>
                <w:color w:val="000000"/>
                <w:kern w:val="0"/>
                <w:sz w:val="20"/>
                <w:szCs w:val="20"/>
                <w:u w:val="none"/>
                <w:lang w:val="en-US" w:eastAsia="zh-CN" w:bidi="ar"/>
              </w:rPr>
              <w:t>60分钟</w:t>
            </w:r>
          </w:p>
        </w:tc>
      </w:tr>
      <w:tr w14:paraId="6305F5B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229" w:type="pct"/>
            <w:vMerge w:val="continue"/>
            <w:shd w:val="clear" w:color="auto" w:fill="FFFFFF"/>
            <w:noWrap/>
            <w:vAlign w:val="center"/>
          </w:tcPr>
          <w:p w14:paraId="19806DBF">
            <w:pPr>
              <w:keepNext w:val="0"/>
              <w:keepLines w:val="0"/>
              <w:pageBreakBefore w:val="0"/>
              <w:widowControl/>
              <w:kinsoku/>
              <w:wordWrap/>
              <w:overflowPunct/>
              <w:topLinePunct w:val="0"/>
              <w:autoSpaceDE/>
              <w:autoSpaceDN/>
              <w:bidi w:val="0"/>
              <w:adjustRightInd/>
              <w:snapToGrid/>
              <w:spacing w:line="0" w:lineRule="atLeast"/>
              <w:jc w:val="center"/>
              <w:rPr>
                <w:rFonts w:hint="eastAsia" w:ascii="Times New Roman" w:hAnsi="Times New Roman" w:eastAsia="方正楷体_GBK" w:cs="方正楷体_GBK"/>
                <w:i w:val="0"/>
                <w:iCs w:val="0"/>
                <w:color w:val="000000"/>
                <w:sz w:val="20"/>
                <w:szCs w:val="20"/>
                <w:u w:val="none"/>
              </w:rPr>
            </w:pPr>
          </w:p>
        </w:tc>
        <w:tc>
          <w:tcPr>
            <w:tcW w:w="367" w:type="pct"/>
            <w:vMerge w:val="continue"/>
            <w:shd w:val="clear" w:color="auto" w:fill="FFFFFF"/>
            <w:vAlign w:val="center"/>
          </w:tcPr>
          <w:p w14:paraId="3B8BE72E">
            <w:pPr>
              <w:keepNext w:val="0"/>
              <w:keepLines w:val="0"/>
              <w:pageBreakBefore w:val="0"/>
              <w:widowControl/>
              <w:kinsoku/>
              <w:wordWrap/>
              <w:overflowPunct/>
              <w:topLinePunct w:val="0"/>
              <w:autoSpaceDE/>
              <w:autoSpaceDN/>
              <w:bidi w:val="0"/>
              <w:adjustRightInd/>
              <w:snapToGrid/>
              <w:spacing w:line="0" w:lineRule="atLeast"/>
              <w:jc w:val="center"/>
              <w:rPr>
                <w:rFonts w:hint="eastAsia" w:ascii="Times New Roman" w:hAnsi="Times New Roman" w:eastAsia="方正楷体_GBK" w:cs="方正楷体_GBK"/>
                <w:i w:val="0"/>
                <w:iCs w:val="0"/>
                <w:color w:val="000000"/>
                <w:sz w:val="20"/>
                <w:szCs w:val="20"/>
                <w:u w:val="none"/>
              </w:rPr>
            </w:pPr>
          </w:p>
        </w:tc>
        <w:tc>
          <w:tcPr>
            <w:tcW w:w="1810" w:type="pct"/>
            <w:gridSpan w:val="2"/>
            <w:shd w:val="clear" w:color="auto" w:fill="auto"/>
            <w:vAlign w:val="center"/>
          </w:tcPr>
          <w:p w14:paraId="13D39F4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方正楷体_GBK" w:cs="方正楷体_GBK"/>
                <w:i w:val="0"/>
                <w:iCs w:val="0"/>
                <w:color w:val="000000"/>
                <w:sz w:val="20"/>
                <w:szCs w:val="20"/>
                <w:u w:val="none"/>
              </w:rPr>
            </w:pPr>
            <w:r>
              <w:rPr>
                <w:rFonts w:hint="eastAsia" w:ascii="Times New Roman" w:hAnsi="Times New Roman" w:eastAsia="方正楷体_GBK" w:cs="方正楷体_GBK"/>
                <w:i w:val="0"/>
                <w:iCs w:val="0"/>
                <w:color w:val="000000"/>
                <w:kern w:val="0"/>
                <w:sz w:val="20"/>
                <w:szCs w:val="20"/>
                <w:u w:val="none"/>
                <w:lang w:val="en-US" w:eastAsia="zh-CN" w:bidi="ar"/>
              </w:rPr>
              <w:t>足疗按摩（金牌技师）</w:t>
            </w:r>
          </w:p>
        </w:tc>
        <w:tc>
          <w:tcPr>
            <w:tcW w:w="701" w:type="pct"/>
            <w:shd w:val="clear" w:color="auto" w:fill="auto"/>
            <w:vAlign w:val="center"/>
          </w:tcPr>
          <w:p w14:paraId="2BF5597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方正楷体_GBK" w:cs="方正楷体_GBK"/>
                <w:i w:val="0"/>
                <w:iCs w:val="0"/>
                <w:color w:val="000000"/>
                <w:sz w:val="20"/>
                <w:szCs w:val="20"/>
                <w:u w:val="none"/>
              </w:rPr>
            </w:pPr>
            <w:r>
              <w:rPr>
                <w:rFonts w:hint="eastAsia" w:ascii="Times New Roman" w:hAnsi="Times New Roman" w:eastAsia="方正楷体_GBK" w:cs="方正楷体_GBK"/>
                <w:i w:val="0"/>
                <w:iCs w:val="0"/>
                <w:color w:val="000000"/>
                <w:kern w:val="0"/>
                <w:sz w:val="20"/>
                <w:szCs w:val="20"/>
                <w:u w:val="none"/>
                <w:lang w:val="en-US" w:eastAsia="zh-CN" w:bidi="ar"/>
              </w:rPr>
              <w:t>100元/次</w:t>
            </w:r>
          </w:p>
        </w:tc>
        <w:tc>
          <w:tcPr>
            <w:tcW w:w="1204" w:type="pct"/>
            <w:shd w:val="clear" w:color="auto" w:fill="auto"/>
            <w:noWrap/>
            <w:vAlign w:val="center"/>
          </w:tcPr>
          <w:p w14:paraId="537D432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方正楷体_GBK" w:cs="方正楷体_GBK"/>
                <w:i w:val="0"/>
                <w:iCs w:val="0"/>
                <w:color w:val="000000"/>
                <w:sz w:val="20"/>
                <w:szCs w:val="20"/>
                <w:u w:val="none"/>
              </w:rPr>
            </w:pPr>
            <w:r>
              <w:rPr>
                <w:rFonts w:hint="eastAsia" w:ascii="Times New Roman" w:hAnsi="Times New Roman" w:eastAsia="方正楷体_GBK" w:cs="方正楷体_GBK"/>
                <w:i w:val="0"/>
                <w:iCs w:val="0"/>
                <w:color w:val="000000"/>
                <w:kern w:val="0"/>
                <w:sz w:val="20"/>
                <w:szCs w:val="20"/>
                <w:u w:val="none"/>
                <w:lang w:val="en-US" w:eastAsia="zh-CN" w:bidi="ar"/>
              </w:rPr>
              <w:t>90%</w:t>
            </w:r>
          </w:p>
        </w:tc>
        <w:tc>
          <w:tcPr>
            <w:tcW w:w="686" w:type="pct"/>
            <w:shd w:val="clear" w:color="auto" w:fill="FFFFFF"/>
            <w:noWrap/>
            <w:vAlign w:val="center"/>
          </w:tcPr>
          <w:p w14:paraId="484069C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方正楷体_GBK" w:cs="方正楷体_GBK"/>
                <w:i w:val="0"/>
                <w:iCs w:val="0"/>
                <w:color w:val="000000"/>
                <w:sz w:val="20"/>
                <w:szCs w:val="20"/>
                <w:u w:val="none"/>
              </w:rPr>
            </w:pPr>
            <w:r>
              <w:rPr>
                <w:rFonts w:hint="eastAsia" w:ascii="Times New Roman" w:hAnsi="Times New Roman" w:eastAsia="方正楷体_GBK" w:cs="方正楷体_GBK"/>
                <w:i w:val="0"/>
                <w:iCs w:val="0"/>
                <w:color w:val="000000"/>
                <w:kern w:val="0"/>
                <w:sz w:val="20"/>
                <w:szCs w:val="20"/>
                <w:u w:val="none"/>
                <w:lang w:val="en-US" w:eastAsia="zh-CN" w:bidi="ar"/>
              </w:rPr>
              <w:t>60分钟</w:t>
            </w:r>
          </w:p>
        </w:tc>
      </w:tr>
      <w:tr w14:paraId="0F01A9A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29" w:hRule="atLeast"/>
          <w:jc w:val="center"/>
        </w:trPr>
        <w:tc>
          <w:tcPr>
            <w:tcW w:w="229" w:type="pct"/>
            <w:vMerge w:val="continue"/>
            <w:shd w:val="clear" w:color="auto" w:fill="FFFFFF"/>
            <w:noWrap/>
            <w:vAlign w:val="center"/>
          </w:tcPr>
          <w:p w14:paraId="442D8E1B">
            <w:pPr>
              <w:keepNext w:val="0"/>
              <w:keepLines w:val="0"/>
              <w:pageBreakBefore w:val="0"/>
              <w:widowControl/>
              <w:kinsoku/>
              <w:wordWrap/>
              <w:overflowPunct/>
              <w:topLinePunct w:val="0"/>
              <w:autoSpaceDE/>
              <w:autoSpaceDN/>
              <w:bidi w:val="0"/>
              <w:adjustRightInd/>
              <w:snapToGrid/>
              <w:spacing w:line="0" w:lineRule="atLeast"/>
              <w:jc w:val="center"/>
              <w:rPr>
                <w:rFonts w:hint="eastAsia" w:ascii="Times New Roman" w:hAnsi="Times New Roman" w:eastAsia="方正楷体_GBK" w:cs="方正楷体_GBK"/>
                <w:i w:val="0"/>
                <w:iCs w:val="0"/>
                <w:color w:val="000000"/>
                <w:sz w:val="20"/>
                <w:szCs w:val="20"/>
                <w:u w:val="none"/>
              </w:rPr>
            </w:pPr>
          </w:p>
        </w:tc>
        <w:tc>
          <w:tcPr>
            <w:tcW w:w="367" w:type="pct"/>
            <w:vMerge w:val="continue"/>
            <w:shd w:val="clear" w:color="auto" w:fill="FFFFFF"/>
            <w:vAlign w:val="center"/>
          </w:tcPr>
          <w:p w14:paraId="2BBF3799">
            <w:pPr>
              <w:keepNext w:val="0"/>
              <w:keepLines w:val="0"/>
              <w:pageBreakBefore w:val="0"/>
              <w:widowControl/>
              <w:kinsoku/>
              <w:wordWrap/>
              <w:overflowPunct/>
              <w:topLinePunct w:val="0"/>
              <w:autoSpaceDE/>
              <w:autoSpaceDN/>
              <w:bidi w:val="0"/>
              <w:adjustRightInd/>
              <w:snapToGrid/>
              <w:spacing w:line="0" w:lineRule="atLeast"/>
              <w:jc w:val="center"/>
              <w:rPr>
                <w:rFonts w:hint="eastAsia" w:ascii="Times New Roman" w:hAnsi="Times New Roman" w:eastAsia="方正楷体_GBK" w:cs="方正楷体_GBK"/>
                <w:i w:val="0"/>
                <w:iCs w:val="0"/>
                <w:color w:val="000000"/>
                <w:sz w:val="20"/>
                <w:szCs w:val="20"/>
                <w:u w:val="none"/>
              </w:rPr>
            </w:pPr>
          </w:p>
        </w:tc>
        <w:tc>
          <w:tcPr>
            <w:tcW w:w="1810" w:type="pct"/>
            <w:gridSpan w:val="2"/>
            <w:shd w:val="clear" w:color="auto" w:fill="auto"/>
            <w:vAlign w:val="center"/>
          </w:tcPr>
          <w:p w14:paraId="3824688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方正楷体_GBK" w:cs="方正楷体_GBK"/>
                <w:i w:val="0"/>
                <w:iCs w:val="0"/>
                <w:color w:val="000000"/>
                <w:sz w:val="20"/>
                <w:szCs w:val="20"/>
                <w:u w:val="none"/>
              </w:rPr>
            </w:pPr>
            <w:r>
              <w:rPr>
                <w:rFonts w:hint="eastAsia" w:ascii="Times New Roman" w:hAnsi="Times New Roman" w:eastAsia="方正楷体_GBK" w:cs="方正楷体_GBK"/>
                <w:i w:val="0"/>
                <w:iCs w:val="0"/>
                <w:color w:val="000000"/>
                <w:kern w:val="0"/>
                <w:sz w:val="20"/>
                <w:szCs w:val="20"/>
                <w:u w:val="none"/>
                <w:lang w:val="en-US" w:eastAsia="zh-CN" w:bidi="ar"/>
              </w:rPr>
              <w:t>修脚三项（洗脚、泡脚、修脚）</w:t>
            </w:r>
          </w:p>
        </w:tc>
        <w:tc>
          <w:tcPr>
            <w:tcW w:w="701" w:type="pct"/>
            <w:shd w:val="clear" w:color="auto" w:fill="auto"/>
            <w:vAlign w:val="center"/>
          </w:tcPr>
          <w:p w14:paraId="074714E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方正楷体_GBK" w:cs="方正楷体_GBK"/>
                <w:i w:val="0"/>
                <w:iCs w:val="0"/>
                <w:color w:val="000000"/>
                <w:sz w:val="20"/>
                <w:szCs w:val="20"/>
                <w:u w:val="none"/>
              </w:rPr>
            </w:pPr>
            <w:r>
              <w:rPr>
                <w:rFonts w:hint="eastAsia" w:ascii="Times New Roman" w:hAnsi="Times New Roman" w:eastAsia="方正楷体_GBK" w:cs="方正楷体_GBK"/>
                <w:i w:val="0"/>
                <w:iCs w:val="0"/>
                <w:color w:val="000000"/>
                <w:kern w:val="0"/>
                <w:sz w:val="20"/>
                <w:szCs w:val="20"/>
                <w:u w:val="none"/>
                <w:lang w:val="en-US" w:eastAsia="zh-CN" w:bidi="ar"/>
              </w:rPr>
              <w:t>60元/次</w:t>
            </w:r>
          </w:p>
        </w:tc>
        <w:tc>
          <w:tcPr>
            <w:tcW w:w="1204" w:type="pct"/>
            <w:shd w:val="clear" w:color="auto" w:fill="auto"/>
            <w:noWrap/>
            <w:vAlign w:val="center"/>
          </w:tcPr>
          <w:p w14:paraId="364E7C5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方正楷体_GBK" w:cs="方正楷体_GBK"/>
                <w:i w:val="0"/>
                <w:iCs w:val="0"/>
                <w:color w:val="000000"/>
                <w:sz w:val="20"/>
                <w:szCs w:val="20"/>
                <w:u w:val="none"/>
              </w:rPr>
            </w:pPr>
            <w:r>
              <w:rPr>
                <w:rFonts w:hint="eastAsia" w:ascii="Times New Roman" w:hAnsi="Times New Roman" w:eastAsia="方正楷体_GBK" w:cs="方正楷体_GBK"/>
                <w:i w:val="0"/>
                <w:iCs w:val="0"/>
                <w:color w:val="000000"/>
                <w:kern w:val="0"/>
                <w:sz w:val="20"/>
                <w:szCs w:val="20"/>
                <w:u w:val="none"/>
                <w:lang w:val="en-US" w:eastAsia="zh-CN" w:bidi="ar"/>
              </w:rPr>
              <w:t>90%</w:t>
            </w:r>
          </w:p>
        </w:tc>
        <w:tc>
          <w:tcPr>
            <w:tcW w:w="686" w:type="pct"/>
            <w:shd w:val="clear" w:color="auto" w:fill="FFFFFF"/>
            <w:vAlign w:val="center"/>
          </w:tcPr>
          <w:p w14:paraId="4EA1CD8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方正楷体_GBK" w:cs="方正楷体_GBK"/>
                <w:i w:val="0"/>
                <w:iCs w:val="0"/>
                <w:color w:val="000000"/>
                <w:sz w:val="20"/>
                <w:szCs w:val="20"/>
                <w:u w:val="none"/>
              </w:rPr>
            </w:pPr>
            <w:r>
              <w:rPr>
                <w:rFonts w:hint="eastAsia" w:ascii="Times New Roman" w:hAnsi="Times New Roman" w:eastAsia="方正楷体_GBK" w:cs="方正楷体_GBK"/>
                <w:i w:val="0"/>
                <w:iCs w:val="0"/>
                <w:color w:val="000000"/>
                <w:kern w:val="0"/>
                <w:sz w:val="20"/>
                <w:szCs w:val="20"/>
                <w:u w:val="none"/>
                <w:lang w:val="en-US" w:eastAsia="zh-CN" w:bidi="ar"/>
              </w:rPr>
              <w:t>45分钟</w:t>
            </w:r>
          </w:p>
        </w:tc>
      </w:tr>
      <w:tr w14:paraId="0374CC3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229" w:type="pct"/>
            <w:vMerge w:val="restart"/>
            <w:shd w:val="clear" w:color="auto" w:fill="FFFFFF"/>
            <w:noWrap/>
            <w:vAlign w:val="center"/>
          </w:tcPr>
          <w:p w14:paraId="635F8BC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方正楷体_GBK" w:cs="方正楷体_GBK"/>
                <w:i w:val="0"/>
                <w:iCs w:val="0"/>
                <w:color w:val="000000"/>
                <w:sz w:val="20"/>
                <w:szCs w:val="20"/>
                <w:u w:val="none"/>
              </w:rPr>
            </w:pPr>
            <w:r>
              <w:rPr>
                <w:rFonts w:hint="eastAsia" w:ascii="Times New Roman" w:hAnsi="Times New Roman" w:eastAsia="方正楷体_GBK" w:cs="方正楷体_GBK"/>
                <w:i w:val="0"/>
                <w:iCs w:val="0"/>
                <w:color w:val="000000"/>
                <w:kern w:val="0"/>
                <w:sz w:val="20"/>
                <w:szCs w:val="20"/>
                <w:u w:val="none"/>
                <w:lang w:val="en-US" w:eastAsia="zh-CN" w:bidi="ar"/>
              </w:rPr>
              <w:t>3</w:t>
            </w:r>
          </w:p>
        </w:tc>
        <w:tc>
          <w:tcPr>
            <w:tcW w:w="367" w:type="pct"/>
            <w:vMerge w:val="restart"/>
            <w:shd w:val="clear" w:color="auto" w:fill="FFFFFF"/>
            <w:vAlign w:val="center"/>
          </w:tcPr>
          <w:p w14:paraId="4580336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方正楷体_GBK" w:cs="方正楷体_GBK"/>
                <w:i w:val="0"/>
                <w:iCs w:val="0"/>
                <w:color w:val="000000"/>
                <w:sz w:val="20"/>
                <w:szCs w:val="20"/>
                <w:u w:val="none"/>
              </w:rPr>
            </w:pPr>
            <w:r>
              <w:rPr>
                <w:rFonts w:hint="eastAsia" w:ascii="Times New Roman" w:hAnsi="Times New Roman" w:eastAsia="方正楷体_GBK" w:cs="方正楷体_GBK"/>
                <w:i w:val="0"/>
                <w:iCs w:val="0"/>
                <w:color w:val="000000"/>
                <w:kern w:val="0"/>
                <w:sz w:val="20"/>
                <w:szCs w:val="20"/>
                <w:u w:val="none"/>
                <w:lang w:val="en-US" w:eastAsia="zh-CN" w:bidi="ar"/>
              </w:rPr>
              <w:t>生活照护服务</w:t>
            </w:r>
          </w:p>
        </w:tc>
        <w:tc>
          <w:tcPr>
            <w:tcW w:w="472" w:type="pct"/>
            <w:vMerge w:val="restart"/>
            <w:shd w:val="clear" w:color="auto" w:fill="auto"/>
            <w:vAlign w:val="center"/>
          </w:tcPr>
          <w:p w14:paraId="4A76D77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方正楷体_GBK" w:cs="方正楷体_GBK"/>
                <w:i w:val="0"/>
                <w:iCs w:val="0"/>
                <w:color w:val="000000"/>
                <w:sz w:val="20"/>
                <w:szCs w:val="20"/>
                <w:u w:val="none"/>
              </w:rPr>
            </w:pPr>
            <w:r>
              <w:rPr>
                <w:rFonts w:hint="eastAsia" w:ascii="Times New Roman" w:hAnsi="Times New Roman" w:eastAsia="方正楷体_GBK" w:cs="方正楷体_GBK"/>
                <w:i w:val="0"/>
                <w:iCs w:val="0"/>
                <w:color w:val="000000"/>
                <w:kern w:val="0"/>
                <w:sz w:val="20"/>
                <w:szCs w:val="20"/>
                <w:u w:val="none"/>
                <w:lang w:val="en-US" w:eastAsia="zh-CN" w:bidi="ar"/>
              </w:rPr>
              <w:t>舒爽全身（针对失能老人）</w:t>
            </w:r>
          </w:p>
        </w:tc>
        <w:tc>
          <w:tcPr>
            <w:tcW w:w="1338" w:type="pct"/>
            <w:shd w:val="clear" w:color="auto" w:fill="auto"/>
            <w:vAlign w:val="center"/>
          </w:tcPr>
          <w:p w14:paraId="5CA39A5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方正楷体_GBK" w:cs="方正楷体_GBK"/>
                <w:i w:val="0"/>
                <w:iCs w:val="0"/>
                <w:color w:val="000000"/>
                <w:sz w:val="20"/>
                <w:szCs w:val="20"/>
                <w:u w:val="none"/>
              </w:rPr>
            </w:pPr>
            <w:r>
              <w:rPr>
                <w:rFonts w:hint="eastAsia" w:ascii="Times New Roman" w:hAnsi="Times New Roman" w:eastAsia="方正楷体_GBK" w:cs="方正楷体_GBK"/>
                <w:i w:val="0"/>
                <w:iCs w:val="0"/>
                <w:color w:val="000000"/>
                <w:kern w:val="0"/>
                <w:sz w:val="20"/>
                <w:szCs w:val="20"/>
                <w:u w:val="none"/>
                <w:lang w:val="en-US" w:eastAsia="zh-CN" w:bidi="ar"/>
              </w:rPr>
              <w:t>上门理发、洗发</w:t>
            </w:r>
          </w:p>
        </w:tc>
        <w:tc>
          <w:tcPr>
            <w:tcW w:w="701" w:type="pct"/>
            <w:shd w:val="clear" w:color="auto" w:fill="auto"/>
            <w:vAlign w:val="center"/>
          </w:tcPr>
          <w:p w14:paraId="0B1F3E6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方正楷体_GBK" w:cs="方正楷体_GBK"/>
                <w:i w:val="0"/>
                <w:iCs w:val="0"/>
                <w:color w:val="000000"/>
                <w:sz w:val="20"/>
                <w:szCs w:val="20"/>
                <w:u w:val="none"/>
              </w:rPr>
            </w:pPr>
            <w:r>
              <w:rPr>
                <w:rFonts w:hint="eastAsia" w:ascii="Times New Roman" w:hAnsi="Times New Roman" w:eastAsia="方正楷体_GBK" w:cs="方正楷体_GBK"/>
                <w:i w:val="0"/>
                <w:iCs w:val="0"/>
                <w:color w:val="000000"/>
                <w:kern w:val="0"/>
                <w:sz w:val="20"/>
                <w:szCs w:val="20"/>
                <w:u w:val="none"/>
                <w:lang w:val="en-US" w:eastAsia="zh-CN" w:bidi="ar"/>
              </w:rPr>
              <w:t>30元/次</w:t>
            </w:r>
          </w:p>
        </w:tc>
        <w:tc>
          <w:tcPr>
            <w:tcW w:w="1204" w:type="pct"/>
            <w:shd w:val="clear" w:color="auto" w:fill="auto"/>
            <w:noWrap/>
            <w:vAlign w:val="center"/>
          </w:tcPr>
          <w:p w14:paraId="3D496BC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方正楷体_GBK" w:cs="方正楷体_GBK"/>
                <w:i w:val="0"/>
                <w:iCs w:val="0"/>
                <w:color w:val="000000"/>
                <w:sz w:val="20"/>
                <w:szCs w:val="20"/>
                <w:u w:val="none"/>
              </w:rPr>
            </w:pPr>
            <w:r>
              <w:rPr>
                <w:rFonts w:hint="eastAsia" w:ascii="Times New Roman" w:hAnsi="Times New Roman" w:eastAsia="方正楷体_GBK" w:cs="方正楷体_GBK"/>
                <w:i w:val="0"/>
                <w:iCs w:val="0"/>
                <w:color w:val="000000"/>
                <w:kern w:val="0"/>
                <w:sz w:val="20"/>
                <w:szCs w:val="20"/>
                <w:u w:val="none"/>
                <w:lang w:val="en-US" w:eastAsia="zh-CN" w:bidi="ar"/>
              </w:rPr>
              <w:t>90%</w:t>
            </w:r>
          </w:p>
        </w:tc>
        <w:tc>
          <w:tcPr>
            <w:tcW w:w="686" w:type="pct"/>
            <w:shd w:val="clear" w:color="auto" w:fill="FFFFFF"/>
            <w:noWrap/>
            <w:vAlign w:val="center"/>
          </w:tcPr>
          <w:p w14:paraId="2ADF425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方正楷体_GBK" w:cs="方正楷体_GBK"/>
                <w:i w:val="0"/>
                <w:iCs w:val="0"/>
                <w:color w:val="000000"/>
                <w:sz w:val="20"/>
                <w:szCs w:val="20"/>
                <w:u w:val="none"/>
              </w:rPr>
            </w:pPr>
            <w:r>
              <w:rPr>
                <w:rFonts w:hint="eastAsia" w:ascii="Times New Roman" w:hAnsi="Times New Roman" w:eastAsia="方正楷体_GBK" w:cs="方正楷体_GBK"/>
                <w:i w:val="0"/>
                <w:iCs w:val="0"/>
                <w:color w:val="000000"/>
                <w:kern w:val="0"/>
                <w:sz w:val="20"/>
                <w:szCs w:val="20"/>
                <w:u w:val="none"/>
                <w:lang w:val="en-US" w:eastAsia="zh-CN" w:bidi="ar"/>
              </w:rPr>
              <w:t>30分钟</w:t>
            </w:r>
          </w:p>
        </w:tc>
      </w:tr>
      <w:tr w14:paraId="5057A2C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29" w:hRule="atLeast"/>
          <w:jc w:val="center"/>
        </w:trPr>
        <w:tc>
          <w:tcPr>
            <w:tcW w:w="229" w:type="pct"/>
            <w:vMerge w:val="continue"/>
            <w:shd w:val="clear" w:color="auto" w:fill="FFFFFF"/>
            <w:noWrap/>
            <w:vAlign w:val="center"/>
          </w:tcPr>
          <w:p w14:paraId="62E29791">
            <w:pPr>
              <w:keepNext w:val="0"/>
              <w:keepLines w:val="0"/>
              <w:pageBreakBefore w:val="0"/>
              <w:widowControl/>
              <w:kinsoku/>
              <w:wordWrap/>
              <w:overflowPunct/>
              <w:topLinePunct w:val="0"/>
              <w:autoSpaceDE/>
              <w:autoSpaceDN/>
              <w:bidi w:val="0"/>
              <w:adjustRightInd/>
              <w:snapToGrid/>
              <w:spacing w:line="0" w:lineRule="atLeast"/>
              <w:jc w:val="center"/>
              <w:rPr>
                <w:rFonts w:hint="eastAsia" w:ascii="Times New Roman" w:hAnsi="Times New Roman" w:eastAsia="方正楷体_GBK" w:cs="方正楷体_GBK"/>
                <w:i w:val="0"/>
                <w:iCs w:val="0"/>
                <w:color w:val="000000"/>
                <w:sz w:val="20"/>
                <w:szCs w:val="20"/>
                <w:u w:val="none"/>
              </w:rPr>
            </w:pPr>
          </w:p>
        </w:tc>
        <w:tc>
          <w:tcPr>
            <w:tcW w:w="367" w:type="pct"/>
            <w:vMerge w:val="continue"/>
            <w:shd w:val="clear" w:color="auto" w:fill="FFFFFF"/>
            <w:vAlign w:val="center"/>
          </w:tcPr>
          <w:p w14:paraId="3B9E9262">
            <w:pPr>
              <w:keepNext w:val="0"/>
              <w:keepLines w:val="0"/>
              <w:pageBreakBefore w:val="0"/>
              <w:widowControl/>
              <w:kinsoku/>
              <w:wordWrap/>
              <w:overflowPunct/>
              <w:topLinePunct w:val="0"/>
              <w:autoSpaceDE/>
              <w:autoSpaceDN/>
              <w:bidi w:val="0"/>
              <w:adjustRightInd/>
              <w:snapToGrid/>
              <w:spacing w:line="0" w:lineRule="atLeast"/>
              <w:jc w:val="center"/>
              <w:rPr>
                <w:rFonts w:hint="eastAsia" w:ascii="Times New Roman" w:hAnsi="Times New Roman" w:eastAsia="方正楷体_GBK" w:cs="方正楷体_GBK"/>
                <w:i w:val="0"/>
                <w:iCs w:val="0"/>
                <w:color w:val="000000"/>
                <w:sz w:val="20"/>
                <w:szCs w:val="20"/>
                <w:u w:val="none"/>
              </w:rPr>
            </w:pPr>
          </w:p>
        </w:tc>
        <w:tc>
          <w:tcPr>
            <w:tcW w:w="472" w:type="pct"/>
            <w:vMerge w:val="continue"/>
            <w:shd w:val="clear" w:color="auto" w:fill="auto"/>
            <w:vAlign w:val="center"/>
          </w:tcPr>
          <w:p w14:paraId="1E4214C0">
            <w:pPr>
              <w:keepNext w:val="0"/>
              <w:keepLines w:val="0"/>
              <w:pageBreakBefore w:val="0"/>
              <w:widowControl/>
              <w:kinsoku/>
              <w:wordWrap/>
              <w:overflowPunct/>
              <w:topLinePunct w:val="0"/>
              <w:autoSpaceDE/>
              <w:autoSpaceDN/>
              <w:bidi w:val="0"/>
              <w:adjustRightInd/>
              <w:snapToGrid/>
              <w:spacing w:line="0" w:lineRule="atLeast"/>
              <w:jc w:val="center"/>
              <w:rPr>
                <w:rFonts w:hint="eastAsia" w:ascii="Times New Roman" w:hAnsi="Times New Roman" w:eastAsia="方正楷体_GBK" w:cs="方正楷体_GBK"/>
                <w:i w:val="0"/>
                <w:iCs w:val="0"/>
                <w:color w:val="000000"/>
                <w:sz w:val="20"/>
                <w:szCs w:val="20"/>
                <w:u w:val="none"/>
              </w:rPr>
            </w:pPr>
          </w:p>
        </w:tc>
        <w:tc>
          <w:tcPr>
            <w:tcW w:w="1338" w:type="pct"/>
            <w:shd w:val="clear" w:color="auto" w:fill="auto"/>
            <w:vAlign w:val="center"/>
          </w:tcPr>
          <w:p w14:paraId="46CFEA0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方正楷体_GBK" w:cs="方正楷体_GBK"/>
                <w:i w:val="0"/>
                <w:iCs w:val="0"/>
                <w:color w:val="000000"/>
                <w:kern w:val="0"/>
                <w:sz w:val="20"/>
                <w:szCs w:val="20"/>
                <w:u w:val="none"/>
                <w:lang w:val="en-US" w:eastAsia="zh-CN" w:bidi="ar"/>
              </w:rPr>
            </w:pPr>
            <w:r>
              <w:rPr>
                <w:rFonts w:hint="eastAsia" w:ascii="Times New Roman" w:hAnsi="Times New Roman" w:eastAsia="方正楷体_GBK" w:cs="方正楷体_GBK"/>
                <w:i w:val="0"/>
                <w:iCs w:val="0"/>
                <w:color w:val="000000"/>
                <w:kern w:val="0"/>
                <w:sz w:val="20"/>
                <w:szCs w:val="20"/>
                <w:u w:val="none"/>
                <w:lang w:val="en-US" w:eastAsia="zh-CN" w:bidi="ar"/>
              </w:rPr>
              <w:t>修脚三项</w:t>
            </w:r>
          </w:p>
          <w:p w14:paraId="3BAAF07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方正楷体_GBK" w:cs="方正楷体_GBK"/>
                <w:i w:val="0"/>
                <w:iCs w:val="0"/>
                <w:color w:val="000000"/>
                <w:sz w:val="20"/>
                <w:szCs w:val="20"/>
                <w:u w:val="none"/>
              </w:rPr>
            </w:pPr>
            <w:r>
              <w:rPr>
                <w:rFonts w:hint="eastAsia" w:ascii="Times New Roman" w:hAnsi="Times New Roman" w:eastAsia="方正楷体_GBK" w:cs="方正楷体_GBK"/>
                <w:i w:val="0"/>
                <w:iCs w:val="0"/>
                <w:color w:val="000000"/>
                <w:kern w:val="0"/>
                <w:sz w:val="20"/>
                <w:szCs w:val="20"/>
                <w:u w:val="none"/>
                <w:lang w:val="en-US" w:eastAsia="zh-CN" w:bidi="ar"/>
              </w:rPr>
              <w:t>（洗脚+泡脚+修脚）</w:t>
            </w:r>
          </w:p>
        </w:tc>
        <w:tc>
          <w:tcPr>
            <w:tcW w:w="701" w:type="pct"/>
            <w:shd w:val="clear" w:color="auto" w:fill="auto"/>
            <w:vAlign w:val="center"/>
          </w:tcPr>
          <w:p w14:paraId="2B984C5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方正楷体_GBK" w:cs="方正楷体_GBK"/>
                <w:i w:val="0"/>
                <w:iCs w:val="0"/>
                <w:color w:val="000000"/>
                <w:sz w:val="20"/>
                <w:szCs w:val="20"/>
                <w:u w:val="none"/>
              </w:rPr>
            </w:pPr>
            <w:r>
              <w:rPr>
                <w:rFonts w:hint="eastAsia" w:ascii="Times New Roman" w:hAnsi="Times New Roman" w:eastAsia="方正楷体_GBK" w:cs="方正楷体_GBK"/>
                <w:i w:val="0"/>
                <w:iCs w:val="0"/>
                <w:color w:val="000000"/>
                <w:kern w:val="0"/>
                <w:sz w:val="20"/>
                <w:szCs w:val="20"/>
                <w:u w:val="none"/>
                <w:lang w:val="en-US" w:eastAsia="zh-CN" w:bidi="ar"/>
              </w:rPr>
              <w:t>60元/次</w:t>
            </w:r>
          </w:p>
        </w:tc>
        <w:tc>
          <w:tcPr>
            <w:tcW w:w="1204" w:type="pct"/>
            <w:shd w:val="clear" w:color="auto" w:fill="auto"/>
            <w:noWrap/>
            <w:vAlign w:val="center"/>
          </w:tcPr>
          <w:p w14:paraId="4ADC12A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方正楷体_GBK" w:cs="方正楷体_GBK"/>
                <w:i w:val="0"/>
                <w:iCs w:val="0"/>
                <w:color w:val="000000"/>
                <w:sz w:val="20"/>
                <w:szCs w:val="20"/>
                <w:u w:val="none"/>
              </w:rPr>
            </w:pPr>
            <w:r>
              <w:rPr>
                <w:rFonts w:hint="eastAsia" w:ascii="Times New Roman" w:hAnsi="Times New Roman" w:eastAsia="方正楷体_GBK" w:cs="方正楷体_GBK"/>
                <w:i w:val="0"/>
                <w:iCs w:val="0"/>
                <w:color w:val="000000"/>
                <w:kern w:val="0"/>
                <w:sz w:val="20"/>
                <w:szCs w:val="20"/>
                <w:u w:val="none"/>
                <w:lang w:val="en-US" w:eastAsia="zh-CN" w:bidi="ar"/>
              </w:rPr>
              <w:t>90%</w:t>
            </w:r>
          </w:p>
        </w:tc>
        <w:tc>
          <w:tcPr>
            <w:tcW w:w="686" w:type="pct"/>
            <w:shd w:val="clear" w:color="auto" w:fill="FFFFFF"/>
            <w:noWrap/>
            <w:vAlign w:val="center"/>
          </w:tcPr>
          <w:p w14:paraId="2A5F3FC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方正楷体_GBK" w:cs="方正楷体_GBK"/>
                <w:i w:val="0"/>
                <w:iCs w:val="0"/>
                <w:color w:val="000000"/>
                <w:sz w:val="20"/>
                <w:szCs w:val="20"/>
                <w:u w:val="none"/>
              </w:rPr>
            </w:pPr>
            <w:r>
              <w:rPr>
                <w:rFonts w:hint="eastAsia" w:ascii="Times New Roman" w:hAnsi="Times New Roman" w:eastAsia="方正楷体_GBK" w:cs="方正楷体_GBK"/>
                <w:i w:val="0"/>
                <w:iCs w:val="0"/>
                <w:color w:val="000000"/>
                <w:kern w:val="0"/>
                <w:sz w:val="20"/>
                <w:szCs w:val="20"/>
                <w:u w:val="none"/>
                <w:lang w:val="en-US" w:eastAsia="zh-CN" w:bidi="ar"/>
              </w:rPr>
              <w:t>45分钟</w:t>
            </w:r>
          </w:p>
        </w:tc>
      </w:tr>
      <w:tr w14:paraId="1E63A49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29" w:hRule="atLeast"/>
          <w:jc w:val="center"/>
        </w:trPr>
        <w:tc>
          <w:tcPr>
            <w:tcW w:w="229" w:type="pct"/>
            <w:vMerge w:val="continue"/>
            <w:shd w:val="clear" w:color="auto" w:fill="FFFFFF"/>
            <w:noWrap/>
            <w:vAlign w:val="center"/>
          </w:tcPr>
          <w:p w14:paraId="401C0800">
            <w:pPr>
              <w:keepNext w:val="0"/>
              <w:keepLines w:val="0"/>
              <w:pageBreakBefore w:val="0"/>
              <w:widowControl/>
              <w:kinsoku/>
              <w:wordWrap/>
              <w:overflowPunct/>
              <w:topLinePunct w:val="0"/>
              <w:autoSpaceDE/>
              <w:autoSpaceDN/>
              <w:bidi w:val="0"/>
              <w:adjustRightInd/>
              <w:snapToGrid/>
              <w:spacing w:line="0" w:lineRule="atLeast"/>
              <w:jc w:val="center"/>
              <w:rPr>
                <w:rFonts w:hint="eastAsia" w:ascii="Times New Roman" w:hAnsi="Times New Roman" w:eastAsia="方正楷体_GBK" w:cs="方正楷体_GBK"/>
                <w:i w:val="0"/>
                <w:iCs w:val="0"/>
                <w:color w:val="000000"/>
                <w:sz w:val="20"/>
                <w:szCs w:val="20"/>
                <w:u w:val="none"/>
              </w:rPr>
            </w:pPr>
          </w:p>
        </w:tc>
        <w:tc>
          <w:tcPr>
            <w:tcW w:w="367" w:type="pct"/>
            <w:vMerge w:val="continue"/>
            <w:shd w:val="clear" w:color="auto" w:fill="FFFFFF"/>
            <w:vAlign w:val="center"/>
          </w:tcPr>
          <w:p w14:paraId="64971A4F">
            <w:pPr>
              <w:keepNext w:val="0"/>
              <w:keepLines w:val="0"/>
              <w:pageBreakBefore w:val="0"/>
              <w:widowControl/>
              <w:kinsoku/>
              <w:wordWrap/>
              <w:overflowPunct/>
              <w:topLinePunct w:val="0"/>
              <w:autoSpaceDE/>
              <w:autoSpaceDN/>
              <w:bidi w:val="0"/>
              <w:adjustRightInd/>
              <w:snapToGrid/>
              <w:spacing w:line="0" w:lineRule="atLeast"/>
              <w:jc w:val="center"/>
              <w:rPr>
                <w:rFonts w:hint="eastAsia" w:ascii="Times New Roman" w:hAnsi="Times New Roman" w:eastAsia="方正楷体_GBK" w:cs="方正楷体_GBK"/>
                <w:i w:val="0"/>
                <w:iCs w:val="0"/>
                <w:color w:val="000000"/>
                <w:sz w:val="20"/>
                <w:szCs w:val="20"/>
                <w:u w:val="none"/>
              </w:rPr>
            </w:pPr>
          </w:p>
        </w:tc>
        <w:tc>
          <w:tcPr>
            <w:tcW w:w="1810" w:type="pct"/>
            <w:gridSpan w:val="2"/>
            <w:shd w:val="clear" w:color="auto" w:fill="FFFFFF"/>
            <w:vAlign w:val="center"/>
          </w:tcPr>
          <w:p w14:paraId="41253FC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方正楷体_GBK" w:cs="方正楷体_GBK"/>
                <w:i w:val="0"/>
                <w:iCs w:val="0"/>
                <w:color w:val="000000"/>
                <w:kern w:val="0"/>
                <w:sz w:val="20"/>
                <w:szCs w:val="20"/>
                <w:u w:val="none"/>
                <w:lang w:val="en-US" w:eastAsia="zh-CN" w:bidi="ar"/>
              </w:rPr>
            </w:pPr>
            <w:r>
              <w:rPr>
                <w:rFonts w:hint="eastAsia" w:ascii="Times New Roman" w:hAnsi="Times New Roman" w:eastAsia="方正楷体_GBK" w:cs="方正楷体_GBK"/>
                <w:i w:val="0"/>
                <w:iCs w:val="0"/>
                <w:color w:val="000000"/>
                <w:kern w:val="0"/>
                <w:sz w:val="20"/>
                <w:szCs w:val="20"/>
                <w:u w:val="none"/>
                <w:lang w:val="en-US" w:eastAsia="zh-CN" w:bidi="ar"/>
              </w:rPr>
              <w:t>陪诊服务</w:t>
            </w:r>
          </w:p>
          <w:p w14:paraId="4AFA8DD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方正楷体_GBK" w:cs="方正楷体_GBK"/>
                <w:i w:val="0"/>
                <w:iCs w:val="0"/>
                <w:color w:val="000000"/>
                <w:sz w:val="20"/>
                <w:szCs w:val="20"/>
                <w:u w:val="none"/>
              </w:rPr>
            </w:pPr>
            <w:r>
              <w:rPr>
                <w:rFonts w:hint="eastAsia" w:ascii="Times New Roman" w:hAnsi="Times New Roman" w:eastAsia="方正楷体_GBK" w:cs="方正楷体_GBK"/>
                <w:i w:val="0"/>
                <w:iCs w:val="0"/>
                <w:color w:val="000000"/>
                <w:kern w:val="0"/>
                <w:sz w:val="20"/>
                <w:szCs w:val="20"/>
                <w:u w:val="none"/>
                <w:lang w:val="en-US" w:eastAsia="zh-CN" w:bidi="ar"/>
              </w:rPr>
              <w:t>（服务人员：陪诊师/医护人员，不含交通费）</w:t>
            </w:r>
          </w:p>
        </w:tc>
        <w:tc>
          <w:tcPr>
            <w:tcW w:w="701" w:type="pct"/>
            <w:shd w:val="clear" w:color="auto" w:fill="FFFFFF"/>
            <w:vAlign w:val="center"/>
          </w:tcPr>
          <w:p w14:paraId="12DEDC2C">
            <w:pPr>
              <w:keepNext w:val="0"/>
              <w:keepLines w:val="0"/>
              <w:pageBreakBefore w:val="0"/>
              <w:widowControl/>
              <w:suppressLineNumbers w:val="0"/>
              <w:kinsoku/>
              <w:wordWrap/>
              <w:overflowPunct/>
              <w:topLinePunct w:val="0"/>
              <w:autoSpaceDE/>
              <w:autoSpaceDN/>
              <w:bidi w:val="0"/>
              <w:adjustRightInd/>
              <w:snapToGrid/>
              <w:spacing w:line="0" w:lineRule="atLeast"/>
              <w:ind w:left="-151" w:leftChars="-50" w:right="-151" w:rightChars="-50"/>
              <w:jc w:val="center"/>
              <w:textAlignment w:val="center"/>
              <w:rPr>
                <w:rFonts w:hint="eastAsia" w:ascii="Times New Roman" w:hAnsi="Times New Roman" w:eastAsia="方正楷体_GBK" w:cs="方正楷体_GBK"/>
                <w:i w:val="0"/>
                <w:iCs w:val="0"/>
                <w:color w:val="000000"/>
                <w:kern w:val="0"/>
                <w:sz w:val="20"/>
                <w:szCs w:val="20"/>
                <w:u w:val="none"/>
                <w:lang w:val="en-US" w:eastAsia="zh-CN" w:bidi="ar"/>
              </w:rPr>
            </w:pPr>
            <w:r>
              <w:rPr>
                <w:rFonts w:hint="eastAsia" w:ascii="Times New Roman" w:hAnsi="Times New Roman" w:eastAsia="方正楷体_GBK" w:cs="方正楷体_GBK"/>
                <w:i w:val="0"/>
                <w:iCs w:val="0"/>
                <w:color w:val="000000"/>
                <w:kern w:val="0"/>
                <w:sz w:val="20"/>
                <w:szCs w:val="20"/>
                <w:u w:val="none"/>
                <w:lang w:val="en-US" w:eastAsia="zh-CN" w:bidi="ar"/>
              </w:rPr>
              <w:t>120元/次</w:t>
            </w:r>
          </w:p>
          <w:p w14:paraId="56C94D75">
            <w:pPr>
              <w:keepNext w:val="0"/>
              <w:keepLines w:val="0"/>
              <w:pageBreakBefore w:val="0"/>
              <w:widowControl/>
              <w:suppressLineNumbers w:val="0"/>
              <w:kinsoku/>
              <w:wordWrap/>
              <w:overflowPunct/>
              <w:topLinePunct w:val="0"/>
              <w:autoSpaceDE/>
              <w:autoSpaceDN/>
              <w:bidi w:val="0"/>
              <w:adjustRightInd/>
              <w:snapToGrid/>
              <w:spacing w:line="0" w:lineRule="atLeast"/>
              <w:ind w:left="-151" w:leftChars="-50" w:right="-151" w:rightChars="-50"/>
              <w:jc w:val="center"/>
              <w:textAlignment w:val="center"/>
              <w:rPr>
                <w:rFonts w:hint="eastAsia" w:ascii="Times New Roman" w:hAnsi="Times New Roman" w:eastAsia="方正楷体_GBK" w:cs="方正楷体_GBK"/>
                <w:i w:val="0"/>
                <w:iCs w:val="0"/>
                <w:color w:val="000000"/>
                <w:sz w:val="20"/>
                <w:szCs w:val="20"/>
                <w:u w:val="none"/>
              </w:rPr>
            </w:pPr>
            <w:r>
              <w:rPr>
                <w:rFonts w:hint="eastAsia" w:ascii="Times New Roman" w:hAnsi="Times New Roman" w:eastAsia="方正楷体_GBK" w:cs="方正楷体_GBK"/>
                <w:i w:val="0"/>
                <w:iCs w:val="0"/>
                <w:color w:val="000000"/>
                <w:kern w:val="0"/>
                <w:sz w:val="20"/>
                <w:szCs w:val="20"/>
                <w:u w:val="none"/>
                <w:lang w:val="en-US" w:eastAsia="zh-CN" w:bidi="ar"/>
              </w:rPr>
              <w:t>（最低3小时）</w:t>
            </w:r>
          </w:p>
        </w:tc>
        <w:tc>
          <w:tcPr>
            <w:tcW w:w="1204" w:type="pct"/>
            <w:shd w:val="clear" w:color="auto" w:fill="auto"/>
            <w:noWrap/>
            <w:vAlign w:val="center"/>
          </w:tcPr>
          <w:p w14:paraId="7BED382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方正楷体_GBK" w:cs="方正楷体_GBK"/>
                <w:i w:val="0"/>
                <w:iCs w:val="0"/>
                <w:color w:val="000000"/>
                <w:sz w:val="20"/>
                <w:szCs w:val="20"/>
                <w:u w:val="none"/>
              </w:rPr>
            </w:pPr>
            <w:r>
              <w:rPr>
                <w:rFonts w:hint="eastAsia" w:ascii="Times New Roman" w:hAnsi="Times New Roman" w:eastAsia="方正楷体_GBK" w:cs="方正楷体_GBK"/>
                <w:i w:val="0"/>
                <w:iCs w:val="0"/>
                <w:color w:val="000000"/>
                <w:kern w:val="0"/>
                <w:sz w:val="20"/>
                <w:szCs w:val="20"/>
                <w:u w:val="none"/>
                <w:lang w:val="en-US" w:eastAsia="zh-CN" w:bidi="ar"/>
              </w:rPr>
              <w:t>90%</w:t>
            </w:r>
          </w:p>
        </w:tc>
        <w:tc>
          <w:tcPr>
            <w:tcW w:w="686" w:type="pct"/>
            <w:shd w:val="clear" w:color="auto" w:fill="FFFFFF"/>
            <w:noWrap/>
            <w:vAlign w:val="center"/>
          </w:tcPr>
          <w:p w14:paraId="4D42A409">
            <w:pPr>
              <w:keepNext w:val="0"/>
              <w:keepLines w:val="0"/>
              <w:pageBreakBefore w:val="0"/>
              <w:widowControl/>
              <w:kinsoku/>
              <w:wordWrap/>
              <w:overflowPunct/>
              <w:topLinePunct w:val="0"/>
              <w:autoSpaceDE/>
              <w:autoSpaceDN/>
              <w:bidi w:val="0"/>
              <w:adjustRightInd/>
              <w:snapToGrid/>
              <w:spacing w:line="0" w:lineRule="atLeast"/>
              <w:jc w:val="center"/>
              <w:rPr>
                <w:rFonts w:hint="eastAsia" w:ascii="Times New Roman" w:hAnsi="Times New Roman" w:eastAsia="方正楷体_GBK" w:cs="方正楷体_GBK"/>
                <w:i w:val="0"/>
                <w:iCs w:val="0"/>
                <w:color w:val="000000"/>
                <w:sz w:val="20"/>
                <w:szCs w:val="20"/>
                <w:u w:val="none"/>
              </w:rPr>
            </w:pPr>
          </w:p>
        </w:tc>
      </w:tr>
      <w:tr w14:paraId="31BF328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29" w:hRule="atLeast"/>
          <w:jc w:val="center"/>
        </w:trPr>
        <w:tc>
          <w:tcPr>
            <w:tcW w:w="229" w:type="pct"/>
            <w:vMerge w:val="continue"/>
            <w:shd w:val="clear" w:color="auto" w:fill="FFFFFF"/>
            <w:noWrap/>
            <w:vAlign w:val="center"/>
          </w:tcPr>
          <w:p w14:paraId="08BD93AF">
            <w:pPr>
              <w:keepNext w:val="0"/>
              <w:keepLines w:val="0"/>
              <w:pageBreakBefore w:val="0"/>
              <w:widowControl/>
              <w:kinsoku/>
              <w:wordWrap/>
              <w:overflowPunct/>
              <w:topLinePunct w:val="0"/>
              <w:autoSpaceDE/>
              <w:autoSpaceDN/>
              <w:bidi w:val="0"/>
              <w:adjustRightInd/>
              <w:snapToGrid/>
              <w:spacing w:line="0" w:lineRule="atLeast"/>
              <w:jc w:val="center"/>
              <w:rPr>
                <w:rFonts w:hint="eastAsia" w:ascii="Times New Roman" w:hAnsi="Times New Roman" w:eastAsia="方正楷体_GBK" w:cs="方正楷体_GBK"/>
                <w:i w:val="0"/>
                <w:iCs w:val="0"/>
                <w:color w:val="000000"/>
                <w:sz w:val="20"/>
                <w:szCs w:val="20"/>
                <w:u w:val="none"/>
              </w:rPr>
            </w:pPr>
          </w:p>
        </w:tc>
        <w:tc>
          <w:tcPr>
            <w:tcW w:w="367" w:type="pct"/>
            <w:vMerge w:val="continue"/>
            <w:shd w:val="clear" w:color="auto" w:fill="FFFFFF"/>
            <w:vAlign w:val="center"/>
          </w:tcPr>
          <w:p w14:paraId="2BF687F0">
            <w:pPr>
              <w:keepNext w:val="0"/>
              <w:keepLines w:val="0"/>
              <w:pageBreakBefore w:val="0"/>
              <w:widowControl/>
              <w:kinsoku/>
              <w:wordWrap/>
              <w:overflowPunct/>
              <w:topLinePunct w:val="0"/>
              <w:autoSpaceDE/>
              <w:autoSpaceDN/>
              <w:bidi w:val="0"/>
              <w:adjustRightInd/>
              <w:snapToGrid/>
              <w:spacing w:line="0" w:lineRule="atLeast"/>
              <w:jc w:val="center"/>
              <w:rPr>
                <w:rFonts w:hint="eastAsia" w:ascii="Times New Roman" w:hAnsi="Times New Roman" w:eastAsia="方正楷体_GBK" w:cs="方正楷体_GBK"/>
                <w:i w:val="0"/>
                <w:iCs w:val="0"/>
                <w:color w:val="000000"/>
                <w:sz w:val="20"/>
                <w:szCs w:val="20"/>
                <w:u w:val="none"/>
              </w:rPr>
            </w:pPr>
          </w:p>
        </w:tc>
        <w:tc>
          <w:tcPr>
            <w:tcW w:w="1810" w:type="pct"/>
            <w:gridSpan w:val="2"/>
            <w:shd w:val="clear" w:color="auto" w:fill="FFFFFF"/>
            <w:vAlign w:val="center"/>
          </w:tcPr>
          <w:p w14:paraId="1B17646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方正楷体_GBK" w:cs="方正楷体_GBK"/>
                <w:i w:val="0"/>
                <w:iCs w:val="0"/>
                <w:color w:val="000000"/>
                <w:sz w:val="20"/>
                <w:szCs w:val="20"/>
                <w:u w:val="none"/>
              </w:rPr>
            </w:pPr>
            <w:r>
              <w:rPr>
                <w:rFonts w:hint="eastAsia" w:ascii="Times New Roman" w:hAnsi="Times New Roman" w:eastAsia="方正楷体_GBK" w:cs="方正楷体_GBK"/>
                <w:i w:val="0"/>
                <w:iCs w:val="0"/>
                <w:color w:val="000000"/>
                <w:kern w:val="0"/>
                <w:sz w:val="20"/>
                <w:szCs w:val="20"/>
                <w:u w:val="none"/>
                <w:lang w:val="en-US" w:eastAsia="zh-CN" w:bidi="ar"/>
              </w:rPr>
              <w:t>日间陪护（8：00——20：00）</w:t>
            </w:r>
          </w:p>
        </w:tc>
        <w:tc>
          <w:tcPr>
            <w:tcW w:w="701" w:type="pct"/>
            <w:shd w:val="clear" w:color="auto" w:fill="FFFFFF"/>
            <w:vAlign w:val="center"/>
          </w:tcPr>
          <w:p w14:paraId="66279742">
            <w:pPr>
              <w:keepNext w:val="0"/>
              <w:keepLines w:val="0"/>
              <w:pageBreakBefore w:val="0"/>
              <w:widowControl/>
              <w:suppressLineNumbers w:val="0"/>
              <w:kinsoku/>
              <w:wordWrap/>
              <w:overflowPunct/>
              <w:topLinePunct w:val="0"/>
              <w:autoSpaceDE/>
              <w:autoSpaceDN/>
              <w:bidi w:val="0"/>
              <w:adjustRightInd/>
              <w:snapToGrid/>
              <w:spacing w:line="0" w:lineRule="atLeast"/>
              <w:ind w:left="-151" w:leftChars="-50" w:right="-151" w:rightChars="-50"/>
              <w:jc w:val="center"/>
              <w:textAlignment w:val="center"/>
              <w:rPr>
                <w:rFonts w:hint="eastAsia" w:ascii="Times New Roman" w:hAnsi="Times New Roman" w:eastAsia="方正楷体_GBK" w:cs="方正楷体_GBK"/>
                <w:i w:val="0"/>
                <w:iCs w:val="0"/>
                <w:color w:val="000000"/>
                <w:sz w:val="20"/>
                <w:szCs w:val="20"/>
                <w:u w:val="none"/>
              </w:rPr>
            </w:pPr>
            <w:r>
              <w:rPr>
                <w:rFonts w:hint="eastAsia" w:ascii="Times New Roman" w:hAnsi="Times New Roman" w:eastAsia="方正楷体_GBK" w:cs="方正楷体_GBK"/>
                <w:i w:val="0"/>
                <w:iCs w:val="0"/>
                <w:color w:val="000000"/>
                <w:kern w:val="0"/>
                <w:sz w:val="20"/>
                <w:szCs w:val="20"/>
                <w:u w:val="none"/>
                <w:lang w:val="en-US" w:eastAsia="zh-CN" w:bidi="ar"/>
              </w:rPr>
              <w:t>150元/12小时</w:t>
            </w:r>
          </w:p>
        </w:tc>
        <w:tc>
          <w:tcPr>
            <w:tcW w:w="1204" w:type="pct"/>
            <w:shd w:val="clear" w:color="auto" w:fill="auto"/>
            <w:noWrap/>
            <w:vAlign w:val="center"/>
          </w:tcPr>
          <w:p w14:paraId="5675A22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方正楷体_GBK" w:cs="方正楷体_GBK"/>
                <w:i w:val="0"/>
                <w:iCs w:val="0"/>
                <w:color w:val="000000"/>
                <w:sz w:val="20"/>
                <w:szCs w:val="20"/>
                <w:u w:val="none"/>
              </w:rPr>
            </w:pPr>
            <w:r>
              <w:rPr>
                <w:rFonts w:hint="eastAsia" w:ascii="Times New Roman" w:hAnsi="Times New Roman" w:eastAsia="方正楷体_GBK" w:cs="方正楷体_GBK"/>
                <w:i w:val="0"/>
                <w:iCs w:val="0"/>
                <w:color w:val="000000"/>
                <w:kern w:val="0"/>
                <w:sz w:val="20"/>
                <w:szCs w:val="20"/>
                <w:u w:val="none"/>
                <w:lang w:val="en-US" w:eastAsia="zh-CN" w:bidi="ar"/>
              </w:rPr>
              <w:t>90%</w:t>
            </w:r>
          </w:p>
        </w:tc>
        <w:tc>
          <w:tcPr>
            <w:tcW w:w="686" w:type="pct"/>
            <w:shd w:val="clear" w:color="auto" w:fill="FFFFFF"/>
            <w:noWrap/>
            <w:vAlign w:val="center"/>
          </w:tcPr>
          <w:p w14:paraId="79E30B37">
            <w:pPr>
              <w:keepNext w:val="0"/>
              <w:keepLines w:val="0"/>
              <w:pageBreakBefore w:val="0"/>
              <w:widowControl/>
              <w:kinsoku/>
              <w:wordWrap/>
              <w:overflowPunct/>
              <w:topLinePunct w:val="0"/>
              <w:autoSpaceDE/>
              <w:autoSpaceDN/>
              <w:bidi w:val="0"/>
              <w:adjustRightInd/>
              <w:snapToGrid/>
              <w:spacing w:line="0" w:lineRule="atLeast"/>
              <w:jc w:val="center"/>
              <w:rPr>
                <w:rFonts w:hint="eastAsia" w:ascii="Times New Roman" w:hAnsi="Times New Roman" w:eastAsia="方正楷体_GBK" w:cs="方正楷体_GBK"/>
                <w:i w:val="0"/>
                <w:iCs w:val="0"/>
                <w:color w:val="000000"/>
                <w:sz w:val="20"/>
                <w:szCs w:val="20"/>
                <w:u w:val="none"/>
              </w:rPr>
            </w:pPr>
          </w:p>
        </w:tc>
      </w:tr>
      <w:tr w14:paraId="36E4CA6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229" w:type="pct"/>
            <w:vMerge w:val="continue"/>
            <w:shd w:val="clear" w:color="auto" w:fill="FFFFFF"/>
            <w:noWrap/>
            <w:vAlign w:val="center"/>
          </w:tcPr>
          <w:p w14:paraId="1ED60455">
            <w:pPr>
              <w:keepNext w:val="0"/>
              <w:keepLines w:val="0"/>
              <w:pageBreakBefore w:val="0"/>
              <w:widowControl/>
              <w:kinsoku/>
              <w:wordWrap/>
              <w:overflowPunct/>
              <w:topLinePunct w:val="0"/>
              <w:autoSpaceDE/>
              <w:autoSpaceDN/>
              <w:bidi w:val="0"/>
              <w:adjustRightInd/>
              <w:snapToGrid/>
              <w:spacing w:line="0" w:lineRule="atLeast"/>
              <w:jc w:val="center"/>
              <w:rPr>
                <w:rFonts w:hint="eastAsia" w:ascii="Times New Roman" w:hAnsi="Times New Roman" w:eastAsia="方正楷体_GBK" w:cs="方正楷体_GBK"/>
                <w:i w:val="0"/>
                <w:iCs w:val="0"/>
                <w:color w:val="000000"/>
                <w:sz w:val="20"/>
                <w:szCs w:val="20"/>
                <w:u w:val="none"/>
              </w:rPr>
            </w:pPr>
          </w:p>
        </w:tc>
        <w:tc>
          <w:tcPr>
            <w:tcW w:w="367" w:type="pct"/>
            <w:vMerge w:val="continue"/>
            <w:shd w:val="clear" w:color="auto" w:fill="FFFFFF"/>
            <w:vAlign w:val="center"/>
          </w:tcPr>
          <w:p w14:paraId="708E7B0C">
            <w:pPr>
              <w:keepNext w:val="0"/>
              <w:keepLines w:val="0"/>
              <w:pageBreakBefore w:val="0"/>
              <w:widowControl/>
              <w:kinsoku/>
              <w:wordWrap/>
              <w:overflowPunct/>
              <w:topLinePunct w:val="0"/>
              <w:autoSpaceDE/>
              <w:autoSpaceDN/>
              <w:bidi w:val="0"/>
              <w:adjustRightInd/>
              <w:snapToGrid/>
              <w:spacing w:line="0" w:lineRule="atLeast"/>
              <w:jc w:val="center"/>
              <w:rPr>
                <w:rFonts w:hint="eastAsia" w:ascii="Times New Roman" w:hAnsi="Times New Roman" w:eastAsia="方正楷体_GBK" w:cs="方正楷体_GBK"/>
                <w:i w:val="0"/>
                <w:iCs w:val="0"/>
                <w:color w:val="000000"/>
                <w:sz w:val="20"/>
                <w:szCs w:val="20"/>
                <w:u w:val="none"/>
              </w:rPr>
            </w:pPr>
          </w:p>
        </w:tc>
        <w:tc>
          <w:tcPr>
            <w:tcW w:w="1810" w:type="pct"/>
            <w:gridSpan w:val="2"/>
            <w:shd w:val="clear" w:color="auto" w:fill="FFFFFF"/>
            <w:vAlign w:val="center"/>
          </w:tcPr>
          <w:p w14:paraId="0F045D5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方正楷体_GBK" w:cs="方正楷体_GBK"/>
                <w:i w:val="0"/>
                <w:iCs w:val="0"/>
                <w:color w:val="000000"/>
                <w:kern w:val="0"/>
                <w:sz w:val="20"/>
                <w:szCs w:val="20"/>
                <w:u w:val="none"/>
                <w:lang w:val="en-US" w:eastAsia="zh-CN" w:bidi="ar"/>
              </w:rPr>
            </w:pPr>
            <w:r>
              <w:rPr>
                <w:rFonts w:hint="eastAsia" w:ascii="Times New Roman" w:hAnsi="Times New Roman" w:eastAsia="方正楷体_GBK" w:cs="方正楷体_GBK"/>
                <w:i w:val="0"/>
                <w:iCs w:val="0"/>
                <w:color w:val="000000"/>
                <w:kern w:val="0"/>
                <w:sz w:val="20"/>
                <w:szCs w:val="20"/>
                <w:u w:val="none"/>
                <w:lang w:val="en-US" w:eastAsia="zh-CN" w:bidi="ar"/>
              </w:rPr>
              <w:t>非急救转运</w:t>
            </w:r>
          </w:p>
          <w:p w14:paraId="3D2BB77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方正楷体_GBK" w:cs="方正楷体_GBK"/>
                <w:i w:val="0"/>
                <w:iCs w:val="0"/>
                <w:color w:val="000000"/>
                <w:sz w:val="20"/>
                <w:szCs w:val="20"/>
                <w:u w:val="none"/>
              </w:rPr>
            </w:pPr>
            <w:r>
              <w:rPr>
                <w:rFonts w:hint="eastAsia" w:ascii="Times New Roman" w:hAnsi="Times New Roman" w:eastAsia="方正楷体_GBK" w:cs="方正楷体_GBK"/>
                <w:i w:val="0"/>
                <w:iCs w:val="0"/>
                <w:color w:val="000000"/>
                <w:kern w:val="0"/>
                <w:sz w:val="20"/>
                <w:szCs w:val="20"/>
                <w:u w:val="none"/>
                <w:lang w:val="en-US" w:eastAsia="zh-CN" w:bidi="ar"/>
              </w:rPr>
              <w:t>（3公里内，超出部分10元/公里）</w:t>
            </w:r>
          </w:p>
        </w:tc>
        <w:tc>
          <w:tcPr>
            <w:tcW w:w="701" w:type="pct"/>
            <w:shd w:val="clear" w:color="auto" w:fill="FFFFFF"/>
            <w:vAlign w:val="center"/>
          </w:tcPr>
          <w:p w14:paraId="3E8A521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方正楷体_GBK" w:cs="方正楷体_GBK"/>
                <w:i w:val="0"/>
                <w:iCs w:val="0"/>
                <w:color w:val="000000"/>
                <w:sz w:val="20"/>
                <w:szCs w:val="20"/>
                <w:u w:val="none"/>
              </w:rPr>
            </w:pPr>
            <w:r>
              <w:rPr>
                <w:rFonts w:hint="eastAsia" w:ascii="Times New Roman" w:hAnsi="Times New Roman" w:eastAsia="方正楷体_GBK" w:cs="方正楷体_GBK"/>
                <w:i w:val="0"/>
                <w:iCs w:val="0"/>
                <w:color w:val="000000"/>
                <w:kern w:val="0"/>
                <w:sz w:val="20"/>
                <w:szCs w:val="20"/>
                <w:u w:val="none"/>
                <w:lang w:val="en-US" w:eastAsia="zh-CN" w:bidi="ar"/>
              </w:rPr>
              <w:t>150元/次</w:t>
            </w:r>
          </w:p>
        </w:tc>
        <w:tc>
          <w:tcPr>
            <w:tcW w:w="1204" w:type="pct"/>
            <w:shd w:val="clear" w:color="auto" w:fill="auto"/>
            <w:noWrap/>
            <w:vAlign w:val="center"/>
          </w:tcPr>
          <w:p w14:paraId="72E840B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方正楷体_GBK" w:cs="方正楷体_GBK"/>
                <w:i w:val="0"/>
                <w:iCs w:val="0"/>
                <w:color w:val="000000"/>
                <w:sz w:val="20"/>
                <w:szCs w:val="20"/>
                <w:u w:val="none"/>
              </w:rPr>
            </w:pPr>
            <w:r>
              <w:rPr>
                <w:rFonts w:hint="eastAsia" w:ascii="Times New Roman" w:hAnsi="Times New Roman" w:eastAsia="方正楷体_GBK" w:cs="方正楷体_GBK"/>
                <w:i w:val="0"/>
                <w:iCs w:val="0"/>
                <w:color w:val="000000"/>
                <w:kern w:val="0"/>
                <w:sz w:val="20"/>
                <w:szCs w:val="20"/>
                <w:u w:val="none"/>
                <w:lang w:val="en-US" w:eastAsia="zh-CN" w:bidi="ar"/>
              </w:rPr>
              <w:t>90%</w:t>
            </w:r>
          </w:p>
        </w:tc>
        <w:tc>
          <w:tcPr>
            <w:tcW w:w="686" w:type="pct"/>
            <w:shd w:val="clear" w:color="auto" w:fill="FFFFFF"/>
            <w:noWrap/>
            <w:vAlign w:val="center"/>
          </w:tcPr>
          <w:p w14:paraId="08FD9DD6">
            <w:pPr>
              <w:keepNext w:val="0"/>
              <w:keepLines w:val="0"/>
              <w:pageBreakBefore w:val="0"/>
              <w:widowControl/>
              <w:kinsoku/>
              <w:wordWrap/>
              <w:overflowPunct/>
              <w:topLinePunct w:val="0"/>
              <w:autoSpaceDE/>
              <w:autoSpaceDN/>
              <w:bidi w:val="0"/>
              <w:adjustRightInd/>
              <w:snapToGrid/>
              <w:spacing w:line="0" w:lineRule="atLeast"/>
              <w:jc w:val="center"/>
              <w:rPr>
                <w:rFonts w:hint="eastAsia" w:ascii="Times New Roman" w:hAnsi="Times New Roman" w:eastAsia="方正楷体_GBK" w:cs="方正楷体_GBK"/>
                <w:i w:val="0"/>
                <w:iCs w:val="0"/>
                <w:color w:val="000000"/>
                <w:sz w:val="20"/>
                <w:szCs w:val="20"/>
                <w:u w:val="none"/>
              </w:rPr>
            </w:pPr>
          </w:p>
        </w:tc>
      </w:tr>
      <w:tr w14:paraId="0297998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229" w:type="pct"/>
            <w:vMerge w:val="restart"/>
            <w:shd w:val="clear" w:color="auto" w:fill="FFFFFF"/>
            <w:noWrap/>
            <w:vAlign w:val="center"/>
          </w:tcPr>
          <w:p w14:paraId="173C9F1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方正楷体_GBK" w:cs="方正楷体_GBK"/>
                <w:i w:val="0"/>
                <w:iCs w:val="0"/>
                <w:color w:val="000000"/>
                <w:sz w:val="20"/>
                <w:szCs w:val="20"/>
                <w:u w:val="none"/>
              </w:rPr>
            </w:pPr>
            <w:r>
              <w:rPr>
                <w:rFonts w:hint="eastAsia" w:ascii="Times New Roman" w:hAnsi="Times New Roman" w:eastAsia="方正楷体_GBK" w:cs="方正楷体_GBK"/>
                <w:i w:val="0"/>
                <w:iCs w:val="0"/>
                <w:color w:val="000000"/>
                <w:kern w:val="0"/>
                <w:sz w:val="20"/>
                <w:szCs w:val="20"/>
                <w:u w:val="none"/>
                <w:lang w:val="en-US" w:eastAsia="zh-CN" w:bidi="ar"/>
              </w:rPr>
              <w:t>4</w:t>
            </w:r>
          </w:p>
        </w:tc>
        <w:tc>
          <w:tcPr>
            <w:tcW w:w="367" w:type="pct"/>
            <w:vMerge w:val="restart"/>
            <w:shd w:val="clear" w:color="auto" w:fill="FFFFFF"/>
            <w:vAlign w:val="center"/>
          </w:tcPr>
          <w:p w14:paraId="20C873D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方正楷体_GBK" w:cs="方正楷体_GBK"/>
                <w:i w:val="0"/>
                <w:iCs w:val="0"/>
                <w:color w:val="000000"/>
                <w:sz w:val="20"/>
                <w:szCs w:val="20"/>
                <w:u w:val="none"/>
              </w:rPr>
            </w:pPr>
            <w:r>
              <w:rPr>
                <w:rFonts w:hint="eastAsia" w:ascii="Times New Roman" w:hAnsi="Times New Roman" w:eastAsia="方正楷体_GBK" w:cs="方正楷体_GBK"/>
                <w:i w:val="0"/>
                <w:iCs w:val="0"/>
                <w:color w:val="000000"/>
                <w:kern w:val="0"/>
                <w:sz w:val="20"/>
                <w:szCs w:val="20"/>
                <w:u w:val="none"/>
                <w:lang w:val="en-US" w:eastAsia="zh-CN" w:bidi="ar"/>
              </w:rPr>
              <w:t>居家保洁服务</w:t>
            </w:r>
          </w:p>
        </w:tc>
        <w:tc>
          <w:tcPr>
            <w:tcW w:w="1810" w:type="pct"/>
            <w:gridSpan w:val="2"/>
            <w:shd w:val="clear" w:color="auto" w:fill="FFFFFF"/>
            <w:vAlign w:val="center"/>
          </w:tcPr>
          <w:p w14:paraId="3797E65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方正楷体_GBK" w:cs="方正楷体_GBK"/>
                <w:i w:val="0"/>
                <w:iCs w:val="0"/>
                <w:color w:val="000000"/>
                <w:sz w:val="20"/>
                <w:szCs w:val="20"/>
                <w:u w:val="none"/>
              </w:rPr>
            </w:pPr>
            <w:r>
              <w:rPr>
                <w:rFonts w:hint="eastAsia" w:ascii="Times New Roman" w:hAnsi="Times New Roman" w:eastAsia="方正楷体_GBK" w:cs="方正楷体_GBK"/>
                <w:i w:val="0"/>
                <w:iCs w:val="0"/>
                <w:color w:val="000000"/>
                <w:kern w:val="0"/>
                <w:sz w:val="20"/>
                <w:szCs w:val="20"/>
                <w:u w:val="none"/>
                <w:lang w:val="en-US" w:eastAsia="zh-CN" w:bidi="ar"/>
              </w:rPr>
              <w:t>精细化居家保洁</w:t>
            </w:r>
          </w:p>
        </w:tc>
        <w:tc>
          <w:tcPr>
            <w:tcW w:w="701" w:type="pct"/>
            <w:shd w:val="clear" w:color="auto" w:fill="FFFFFF"/>
            <w:vAlign w:val="center"/>
          </w:tcPr>
          <w:p w14:paraId="4CADC5F0">
            <w:pPr>
              <w:keepNext w:val="0"/>
              <w:keepLines w:val="0"/>
              <w:pageBreakBefore w:val="0"/>
              <w:widowControl/>
              <w:suppressLineNumbers w:val="0"/>
              <w:kinsoku/>
              <w:wordWrap/>
              <w:overflowPunct/>
              <w:topLinePunct w:val="0"/>
              <w:autoSpaceDE/>
              <w:autoSpaceDN/>
              <w:bidi w:val="0"/>
              <w:adjustRightInd/>
              <w:snapToGrid/>
              <w:spacing w:line="0" w:lineRule="atLeast"/>
              <w:ind w:left="-151" w:leftChars="-50" w:right="-151" w:rightChars="-50"/>
              <w:jc w:val="center"/>
              <w:textAlignment w:val="center"/>
              <w:rPr>
                <w:rFonts w:hint="eastAsia" w:ascii="Times New Roman" w:hAnsi="Times New Roman" w:eastAsia="方正楷体_GBK" w:cs="方正楷体_GBK"/>
                <w:i w:val="0"/>
                <w:iCs w:val="0"/>
                <w:color w:val="000000"/>
                <w:sz w:val="20"/>
                <w:szCs w:val="20"/>
                <w:u w:val="none"/>
              </w:rPr>
            </w:pPr>
            <w:r>
              <w:rPr>
                <w:rFonts w:hint="eastAsia" w:ascii="Times New Roman" w:hAnsi="Times New Roman" w:eastAsia="方正楷体_GBK" w:cs="方正楷体_GBK"/>
                <w:i w:val="0"/>
                <w:iCs w:val="0"/>
                <w:color w:val="000000"/>
                <w:kern w:val="0"/>
                <w:sz w:val="20"/>
                <w:szCs w:val="20"/>
                <w:u w:val="none"/>
                <w:lang w:val="en-US" w:eastAsia="zh-CN" w:bidi="ar"/>
              </w:rPr>
              <w:t>120元/2小时</w:t>
            </w:r>
          </w:p>
        </w:tc>
        <w:tc>
          <w:tcPr>
            <w:tcW w:w="1204" w:type="pct"/>
            <w:shd w:val="clear" w:color="auto" w:fill="FFFFFF"/>
            <w:noWrap/>
            <w:vAlign w:val="center"/>
          </w:tcPr>
          <w:p w14:paraId="4392EB0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方正楷体_GBK" w:cs="方正楷体_GBK"/>
                <w:i w:val="0"/>
                <w:iCs w:val="0"/>
                <w:color w:val="000000"/>
                <w:sz w:val="20"/>
                <w:szCs w:val="20"/>
                <w:u w:val="none"/>
              </w:rPr>
            </w:pPr>
            <w:r>
              <w:rPr>
                <w:rFonts w:hint="eastAsia" w:ascii="Times New Roman" w:hAnsi="Times New Roman" w:eastAsia="方正楷体_GBK" w:cs="方正楷体_GBK"/>
                <w:i w:val="0"/>
                <w:iCs w:val="0"/>
                <w:color w:val="000000"/>
                <w:kern w:val="0"/>
                <w:sz w:val="20"/>
                <w:szCs w:val="20"/>
                <w:u w:val="none"/>
                <w:lang w:val="en-US" w:eastAsia="zh-CN" w:bidi="ar"/>
              </w:rPr>
              <w:t>60%</w:t>
            </w:r>
          </w:p>
        </w:tc>
        <w:tc>
          <w:tcPr>
            <w:tcW w:w="686" w:type="pct"/>
            <w:shd w:val="clear" w:color="auto" w:fill="FFFFFF"/>
            <w:noWrap/>
            <w:vAlign w:val="center"/>
          </w:tcPr>
          <w:p w14:paraId="0DABEF50">
            <w:pPr>
              <w:keepNext w:val="0"/>
              <w:keepLines w:val="0"/>
              <w:pageBreakBefore w:val="0"/>
              <w:widowControl/>
              <w:kinsoku/>
              <w:wordWrap/>
              <w:overflowPunct/>
              <w:topLinePunct w:val="0"/>
              <w:autoSpaceDE/>
              <w:autoSpaceDN/>
              <w:bidi w:val="0"/>
              <w:adjustRightInd/>
              <w:snapToGrid/>
              <w:spacing w:line="0" w:lineRule="atLeast"/>
              <w:jc w:val="center"/>
              <w:rPr>
                <w:rFonts w:hint="eastAsia" w:ascii="Times New Roman" w:hAnsi="Times New Roman" w:eastAsia="方正楷体_GBK" w:cs="方正楷体_GBK"/>
                <w:i w:val="0"/>
                <w:iCs w:val="0"/>
                <w:color w:val="000000"/>
                <w:sz w:val="20"/>
                <w:szCs w:val="20"/>
                <w:u w:val="none"/>
              </w:rPr>
            </w:pPr>
          </w:p>
        </w:tc>
      </w:tr>
      <w:tr w14:paraId="0CBDF60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229" w:type="pct"/>
            <w:vMerge w:val="continue"/>
            <w:shd w:val="clear" w:color="auto" w:fill="FFFFFF"/>
            <w:noWrap/>
            <w:vAlign w:val="center"/>
          </w:tcPr>
          <w:p w14:paraId="2DF04356">
            <w:pPr>
              <w:keepNext w:val="0"/>
              <w:keepLines w:val="0"/>
              <w:pageBreakBefore w:val="0"/>
              <w:widowControl/>
              <w:kinsoku/>
              <w:wordWrap/>
              <w:overflowPunct/>
              <w:topLinePunct w:val="0"/>
              <w:autoSpaceDE/>
              <w:autoSpaceDN/>
              <w:bidi w:val="0"/>
              <w:adjustRightInd/>
              <w:snapToGrid/>
              <w:spacing w:line="0" w:lineRule="atLeast"/>
              <w:jc w:val="center"/>
              <w:rPr>
                <w:rFonts w:hint="eastAsia" w:ascii="Times New Roman" w:hAnsi="Times New Roman" w:eastAsia="方正楷体_GBK" w:cs="方正楷体_GBK"/>
                <w:i w:val="0"/>
                <w:iCs w:val="0"/>
                <w:color w:val="000000"/>
                <w:sz w:val="20"/>
                <w:szCs w:val="20"/>
                <w:u w:val="none"/>
              </w:rPr>
            </w:pPr>
          </w:p>
        </w:tc>
        <w:tc>
          <w:tcPr>
            <w:tcW w:w="367" w:type="pct"/>
            <w:vMerge w:val="continue"/>
            <w:shd w:val="clear" w:color="auto" w:fill="FFFFFF"/>
            <w:vAlign w:val="center"/>
          </w:tcPr>
          <w:p w14:paraId="46D1ACF0">
            <w:pPr>
              <w:keepNext w:val="0"/>
              <w:keepLines w:val="0"/>
              <w:pageBreakBefore w:val="0"/>
              <w:widowControl/>
              <w:kinsoku/>
              <w:wordWrap/>
              <w:overflowPunct/>
              <w:topLinePunct w:val="0"/>
              <w:autoSpaceDE/>
              <w:autoSpaceDN/>
              <w:bidi w:val="0"/>
              <w:adjustRightInd/>
              <w:snapToGrid/>
              <w:spacing w:line="0" w:lineRule="atLeast"/>
              <w:jc w:val="center"/>
              <w:rPr>
                <w:rFonts w:hint="eastAsia" w:ascii="Times New Roman" w:hAnsi="Times New Roman" w:eastAsia="方正楷体_GBK" w:cs="方正楷体_GBK"/>
                <w:i w:val="0"/>
                <w:iCs w:val="0"/>
                <w:color w:val="000000"/>
                <w:sz w:val="20"/>
                <w:szCs w:val="20"/>
                <w:u w:val="none"/>
              </w:rPr>
            </w:pPr>
          </w:p>
        </w:tc>
        <w:tc>
          <w:tcPr>
            <w:tcW w:w="1810" w:type="pct"/>
            <w:gridSpan w:val="2"/>
            <w:shd w:val="clear" w:color="auto" w:fill="FFFFFF"/>
            <w:vAlign w:val="center"/>
          </w:tcPr>
          <w:p w14:paraId="302DD7F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方正楷体_GBK" w:cs="方正楷体_GBK"/>
                <w:i w:val="0"/>
                <w:iCs w:val="0"/>
                <w:color w:val="000000"/>
                <w:sz w:val="20"/>
                <w:szCs w:val="20"/>
                <w:u w:val="none"/>
              </w:rPr>
            </w:pPr>
            <w:r>
              <w:rPr>
                <w:rFonts w:hint="eastAsia" w:ascii="Times New Roman" w:hAnsi="Times New Roman" w:eastAsia="方正楷体_GBK" w:cs="方正楷体_GBK"/>
                <w:i w:val="0"/>
                <w:iCs w:val="0"/>
                <w:color w:val="000000"/>
                <w:kern w:val="0"/>
                <w:sz w:val="20"/>
                <w:szCs w:val="20"/>
                <w:u w:val="none"/>
                <w:lang w:val="en-US" w:eastAsia="zh-CN" w:bidi="ar"/>
              </w:rPr>
              <w:t>全屋居家保洁</w:t>
            </w:r>
          </w:p>
        </w:tc>
        <w:tc>
          <w:tcPr>
            <w:tcW w:w="701" w:type="pct"/>
            <w:shd w:val="clear" w:color="auto" w:fill="FFFFFF"/>
            <w:vAlign w:val="center"/>
          </w:tcPr>
          <w:p w14:paraId="06E112FF">
            <w:pPr>
              <w:keepNext w:val="0"/>
              <w:keepLines w:val="0"/>
              <w:pageBreakBefore w:val="0"/>
              <w:widowControl/>
              <w:suppressLineNumbers w:val="0"/>
              <w:kinsoku/>
              <w:wordWrap/>
              <w:overflowPunct/>
              <w:topLinePunct w:val="0"/>
              <w:autoSpaceDE/>
              <w:autoSpaceDN/>
              <w:bidi w:val="0"/>
              <w:adjustRightInd/>
              <w:snapToGrid/>
              <w:spacing w:line="0" w:lineRule="atLeast"/>
              <w:ind w:left="-151" w:leftChars="-50" w:right="-151" w:rightChars="-50"/>
              <w:jc w:val="center"/>
              <w:textAlignment w:val="center"/>
              <w:rPr>
                <w:rFonts w:hint="eastAsia" w:ascii="Times New Roman" w:hAnsi="Times New Roman" w:eastAsia="方正楷体_GBK" w:cs="方正楷体_GBK"/>
                <w:i w:val="0"/>
                <w:iCs w:val="0"/>
                <w:color w:val="000000"/>
                <w:sz w:val="20"/>
                <w:szCs w:val="20"/>
                <w:u w:val="none"/>
              </w:rPr>
            </w:pPr>
            <w:r>
              <w:rPr>
                <w:rFonts w:hint="eastAsia" w:ascii="Times New Roman" w:hAnsi="Times New Roman" w:eastAsia="方正楷体_GBK" w:cs="方正楷体_GBK"/>
                <w:i w:val="0"/>
                <w:iCs w:val="0"/>
                <w:color w:val="000000"/>
                <w:kern w:val="0"/>
                <w:sz w:val="20"/>
                <w:szCs w:val="20"/>
                <w:u w:val="none"/>
                <w:lang w:val="en-US" w:eastAsia="zh-CN" w:bidi="ar"/>
              </w:rPr>
              <w:t>220元/4小时</w:t>
            </w:r>
          </w:p>
        </w:tc>
        <w:tc>
          <w:tcPr>
            <w:tcW w:w="1204" w:type="pct"/>
            <w:shd w:val="clear" w:color="auto" w:fill="FFFFFF"/>
            <w:noWrap/>
            <w:vAlign w:val="center"/>
          </w:tcPr>
          <w:p w14:paraId="06EB271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方正楷体_GBK" w:cs="方正楷体_GBK"/>
                <w:i w:val="0"/>
                <w:iCs w:val="0"/>
                <w:color w:val="000000"/>
                <w:sz w:val="20"/>
                <w:szCs w:val="20"/>
                <w:u w:val="none"/>
              </w:rPr>
            </w:pPr>
            <w:r>
              <w:rPr>
                <w:rFonts w:hint="eastAsia" w:ascii="Times New Roman" w:hAnsi="Times New Roman" w:eastAsia="方正楷体_GBK" w:cs="方正楷体_GBK"/>
                <w:i w:val="0"/>
                <w:iCs w:val="0"/>
                <w:color w:val="000000"/>
                <w:kern w:val="0"/>
                <w:sz w:val="20"/>
                <w:szCs w:val="20"/>
                <w:u w:val="none"/>
                <w:lang w:val="en-US" w:eastAsia="zh-CN" w:bidi="ar"/>
              </w:rPr>
              <w:t>60%</w:t>
            </w:r>
          </w:p>
        </w:tc>
        <w:tc>
          <w:tcPr>
            <w:tcW w:w="686" w:type="pct"/>
            <w:shd w:val="clear" w:color="auto" w:fill="FFFFFF"/>
            <w:noWrap/>
            <w:vAlign w:val="center"/>
          </w:tcPr>
          <w:p w14:paraId="18DA96C3">
            <w:pPr>
              <w:keepNext w:val="0"/>
              <w:keepLines w:val="0"/>
              <w:pageBreakBefore w:val="0"/>
              <w:widowControl/>
              <w:kinsoku/>
              <w:wordWrap/>
              <w:overflowPunct/>
              <w:topLinePunct w:val="0"/>
              <w:autoSpaceDE/>
              <w:autoSpaceDN/>
              <w:bidi w:val="0"/>
              <w:adjustRightInd/>
              <w:snapToGrid/>
              <w:spacing w:line="0" w:lineRule="atLeast"/>
              <w:jc w:val="center"/>
              <w:rPr>
                <w:rFonts w:hint="eastAsia" w:ascii="Times New Roman" w:hAnsi="Times New Roman" w:eastAsia="方正楷体_GBK" w:cs="方正楷体_GBK"/>
                <w:i w:val="0"/>
                <w:iCs w:val="0"/>
                <w:color w:val="000000"/>
                <w:sz w:val="20"/>
                <w:szCs w:val="20"/>
                <w:u w:val="none"/>
              </w:rPr>
            </w:pPr>
          </w:p>
        </w:tc>
      </w:tr>
      <w:tr w14:paraId="32F18DC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29" w:hRule="atLeast"/>
          <w:jc w:val="center"/>
        </w:trPr>
        <w:tc>
          <w:tcPr>
            <w:tcW w:w="229" w:type="pct"/>
            <w:vMerge w:val="continue"/>
            <w:shd w:val="clear" w:color="auto" w:fill="FFFFFF"/>
            <w:noWrap/>
            <w:vAlign w:val="center"/>
          </w:tcPr>
          <w:p w14:paraId="591932BE">
            <w:pPr>
              <w:keepNext w:val="0"/>
              <w:keepLines w:val="0"/>
              <w:pageBreakBefore w:val="0"/>
              <w:widowControl/>
              <w:kinsoku/>
              <w:wordWrap/>
              <w:overflowPunct/>
              <w:topLinePunct w:val="0"/>
              <w:autoSpaceDE/>
              <w:autoSpaceDN/>
              <w:bidi w:val="0"/>
              <w:adjustRightInd/>
              <w:snapToGrid/>
              <w:spacing w:line="0" w:lineRule="atLeast"/>
              <w:jc w:val="center"/>
              <w:rPr>
                <w:rFonts w:hint="eastAsia" w:ascii="Times New Roman" w:hAnsi="Times New Roman" w:eastAsia="方正楷体_GBK" w:cs="方正楷体_GBK"/>
                <w:i w:val="0"/>
                <w:iCs w:val="0"/>
                <w:color w:val="000000"/>
                <w:sz w:val="20"/>
                <w:szCs w:val="20"/>
                <w:u w:val="none"/>
              </w:rPr>
            </w:pPr>
          </w:p>
        </w:tc>
        <w:tc>
          <w:tcPr>
            <w:tcW w:w="367" w:type="pct"/>
            <w:vMerge w:val="continue"/>
            <w:shd w:val="clear" w:color="auto" w:fill="FFFFFF"/>
            <w:vAlign w:val="center"/>
          </w:tcPr>
          <w:p w14:paraId="3BEEB13C">
            <w:pPr>
              <w:keepNext w:val="0"/>
              <w:keepLines w:val="0"/>
              <w:pageBreakBefore w:val="0"/>
              <w:widowControl/>
              <w:kinsoku/>
              <w:wordWrap/>
              <w:overflowPunct/>
              <w:topLinePunct w:val="0"/>
              <w:autoSpaceDE/>
              <w:autoSpaceDN/>
              <w:bidi w:val="0"/>
              <w:adjustRightInd/>
              <w:snapToGrid/>
              <w:spacing w:line="0" w:lineRule="atLeast"/>
              <w:jc w:val="center"/>
              <w:rPr>
                <w:rFonts w:hint="eastAsia" w:ascii="Times New Roman" w:hAnsi="Times New Roman" w:eastAsia="方正楷体_GBK" w:cs="方正楷体_GBK"/>
                <w:i w:val="0"/>
                <w:iCs w:val="0"/>
                <w:color w:val="000000"/>
                <w:sz w:val="20"/>
                <w:szCs w:val="20"/>
                <w:u w:val="none"/>
              </w:rPr>
            </w:pPr>
          </w:p>
        </w:tc>
        <w:tc>
          <w:tcPr>
            <w:tcW w:w="1810" w:type="pct"/>
            <w:gridSpan w:val="2"/>
            <w:shd w:val="clear" w:color="auto" w:fill="FFFFFF"/>
            <w:vAlign w:val="center"/>
          </w:tcPr>
          <w:p w14:paraId="0E72282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方正楷体_GBK" w:cs="方正楷体_GBK"/>
                <w:i w:val="0"/>
                <w:iCs w:val="0"/>
                <w:color w:val="000000"/>
                <w:sz w:val="20"/>
                <w:szCs w:val="20"/>
                <w:u w:val="none"/>
              </w:rPr>
            </w:pPr>
            <w:r>
              <w:rPr>
                <w:rFonts w:hint="eastAsia" w:ascii="Times New Roman" w:hAnsi="Times New Roman" w:eastAsia="方正楷体_GBK" w:cs="方正楷体_GBK"/>
                <w:i w:val="0"/>
                <w:iCs w:val="0"/>
                <w:color w:val="000000"/>
                <w:kern w:val="0"/>
                <w:sz w:val="20"/>
                <w:szCs w:val="20"/>
                <w:u w:val="none"/>
                <w:lang w:val="en-US" w:eastAsia="zh-CN" w:bidi="ar"/>
              </w:rPr>
              <w:t>≥2.5H厨房深度清洁</w:t>
            </w:r>
          </w:p>
        </w:tc>
        <w:tc>
          <w:tcPr>
            <w:tcW w:w="701" w:type="pct"/>
            <w:shd w:val="clear" w:color="auto" w:fill="FFFFFF"/>
            <w:vAlign w:val="center"/>
          </w:tcPr>
          <w:p w14:paraId="31B0BE3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方正楷体_GBK" w:cs="方正楷体_GBK"/>
                <w:i w:val="0"/>
                <w:iCs w:val="0"/>
                <w:color w:val="000000"/>
                <w:sz w:val="20"/>
                <w:szCs w:val="20"/>
                <w:u w:val="none"/>
              </w:rPr>
            </w:pPr>
            <w:r>
              <w:rPr>
                <w:rFonts w:hint="eastAsia" w:ascii="Times New Roman" w:hAnsi="Times New Roman" w:eastAsia="方正楷体_GBK" w:cs="方正楷体_GBK"/>
                <w:i w:val="0"/>
                <w:iCs w:val="0"/>
                <w:color w:val="000000"/>
                <w:kern w:val="0"/>
                <w:sz w:val="20"/>
                <w:szCs w:val="20"/>
                <w:u w:val="none"/>
                <w:lang w:val="en-US" w:eastAsia="zh-CN" w:bidi="ar"/>
              </w:rPr>
              <w:t>300元/次</w:t>
            </w:r>
          </w:p>
        </w:tc>
        <w:tc>
          <w:tcPr>
            <w:tcW w:w="1204" w:type="pct"/>
            <w:shd w:val="clear" w:color="auto" w:fill="FFFFFF"/>
            <w:noWrap/>
            <w:vAlign w:val="center"/>
          </w:tcPr>
          <w:p w14:paraId="3943E36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方正楷体_GBK" w:cs="方正楷体_GBK"/>
                <w:i w:val="0"/>
                <w:iCs w:val="0"/>
                <w:color w:val="000000"/>
                <w:sz w:val="20"/>
                <w:szCs w:val="20"/>
                <w:u w:val="none"/>
              </w:rPr>
            </w:pPr>
            <w:r>
              <w:rPr>
                <w:rFonts w:hint="eastAsia" w:ascii="Times New Roman" w:hAnsi="Times New Roman" w:eastAsia="方正楷体_GBK" w:cs="方正楷体_GBK"/>
                <w:i w:val="0"/>
                <w:iCs w:val="0"/>
                <w:color w:val="000000"/>
                <w:kern w:val="0"/>
                <w:sz w:val="20"/>
                <w:szCs w:val="20"/>
                <w:u w:val="none"/>
                <w:lang w:val="en-US" w:eastAsia="zh-CN" w:bidi="ar"/>
              </w:rPr>
              <w:t>60%</w:t>
            </w:r>
          </w:p>
        </w:tc>
        <w:tc>
          <w:tcPr>
            <w:tcW w:w="686" w:type="pct"/>
            <w:shd w:val="clear" w:color="auto" w:fill="FFFFFF"/>
            <w:noWrap/>
            <w:vAlign w:val="center"/>
          </w:tcPr>
          <w:p w14:paraId="162CBB2B">
            <w:pPr>
              <w:keepNext w:val="0"/>
              <w:keepLines w:val="0"/>
              <w:pageBreakBefore w:val="0"/>
              <w:widowControl/>
              <w:kinsoku/>
              <w:wordWrap/>
              <w:overflowPunct/>
              <w:topLinePunct w:val="0"/>
              <w:autoSpaceDE/>
              <w:autoSpaceDN/>
              <w:bidi w:val="0"/>
              <w:adjustRightInd/>
              <w:snapToGrid/>
              <w:spacing w:line="0" w:lineRule="atLeast"/>
              <w:jc w:val="center"/>
              <w:rPr>
                <w:rFonts w:hint="eastAsia" w:ascii="Times New Roman" w:hAnsi="Times New Roman" w:eastAsia="方正楷体_GBK" w:cs="方正楷体_GBK"/>
                <w:i w:val="0"/>
                <w:iCs w:val="0"/>
                <w:color w:val="000000"/>
                <w:sz w:val="20"/>
                <w:szCs w:val="20"/>
                <w:u w:val="none"/>
              </w:rPr>
            </w:pPr>
          </w:p>
        </w:tc>
      </w:tr>
      <w:tr w14:paraId="0E450CB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229" w:type="pct"/>
            <w:vMerge w:val="continue"/>
            <w:shd w:val="clear" w:color="auto" w:fill="FFFFFF"/>
            <w:noWrap/>
            <w:vAlign w:val="center"/>
          </w:tcPr>
          <w:p w14:paraId="765AD33E">
            <w:pPr>
              <w:keepNext w:val="0"/>
              <w:keepLines w:val="0"/>
              <w:pageBreakBefore w:val="0"/>
              <w:widowControl/>
              <w:kinsoku/>
              <w:wordWrap/>
              <w:overflowPunct/>
              <w:topLinePunct w:val="0"/>
              <w:autoSpaceDE/>
              <w:autoSpaceDN/>
              <w:bidi w:val="0"/>
              <w:adjustRightInd/>
              <w:snapToGrid/>
              <w:spacing w:line="0" w:lineRule="atLeast"/>
              <w:jc w:val="center"/>
              <w:rPr>
                <w:rFonts w:hint="eastAsia" w:ascii="Times New Roman" w:hAnsi="Times New Roman" w:eastAsia="方正楷体_GBK" w:cs="方正楷体_GBK"/>
                <w:i w:val="0"/>
                <w:iCs w:val="0"/>
                <w:color w:val="000000"/>
                <w:sz w:val="20"/>
                <w:szCs w:val="20"/>
                <w:u w:val="none"/>
              </w:rPr>
            </w:pPr>
          </w:p>
        </w:tc>
        <w:tc>
          <w:tcPr>
            <w:tcW w:w="367" w:type="pct"/>
            <w:vMerge w:val="continue"/>
            <w:shd w:val="clear" w:color="auto" w:fill="FFFFFF"/>
            <w:vAlign w:val="center"/>
          </w:tcPr>
          <w:p w14:paraId="5D37DC91">
            <w:pPr>
              <w:keepNext w:val="0"/>
              <w:keepLines w:val="0"/>
              <w:pageBreakBefore w:val="0"/>
              <w:widowControl/>
              <w:kinsoku/>
              <w:wordWrap/>
              <w:overflowPunct/>
              <w:topLinePunct w:val="0"/>
              <w:autoSpaceDE/>
              <w:autoSpaceDN/>
              <w:bidi w:val="0"/>
              <w:adjustRightInd/>
              <w:snapToGrid/>
              <w:spacing w:line="0" w:lineRule="atLeast"/>
              <w:jc w:val="center"/>
              <w:rPr>
                <w:rFonts w:hint="eastAsia" w:ascii="Times New Roman" w:hAnsi="Times New Roman" w:eastAsia="方正楷体_GBK" w:cs="方正楷体_GBK"/>
                <w:i w:val="0"/>
                <w:iCs w:val="0"/>
                <w:color w:val="000000"/>
                <w:sz w:val="20"/>
                <w:szCs w:val="20"/>
                <w:u w:val="none"/>
              </w:rPr>
            </w:pPr>
          </w:p>
        </w:tc>
        <w:tc>
          <w:tcPr>
            <w:tcW w:w="1810" w:type="pct"/>
            <w:gridSpan w:val="2"/>
            <w:shd w:val="clear" w:color="auto" w:fill="FFFFFF"/>
            <w:vAlign w:val="center"/>
          </w:tcPr>
          <w:p w14:paraId="5A9DC82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方正楷体_GBK" w:cs="方正楷体_GBK"/>
                <w:i w:val="0"/>
                <w:iCs w:val="0"/>
                <w:color w:val="000000"/>
                <w:sz w:val="20"/>
                <w:szCs w:val="20"/>
                <w:u w:val="none"/>
              </w:rPr>
            </w:pPr>
            <w:r>
              <w:rPr>
                <w:rFonts w:hint="eastAsia" w:ascii="Times New Roman" w:hAnsi="Times New Roman" w:eastAsia="方正楷体_GBK" w:cs="方正楷体_GBK"/>
                <w:i w:val="0"/>
                <w:iCs w:val="0"/>
                <w:color w:val="000000"/>
                <w:kern w:val="0"/>
                <w:sz w:val="20"/>
                <w:szCs w:val="20"/>
                <w:u w:val="none"/>
                <w:lang w:val="en-US" w:eastAsia="zh-CN" w:bidi="ar"/>
              </w:rPr>
              <w:t>≥2.5H卫浴深度清洁</w:t>
            </w:r>
          </w:p>
        </w:tc>
        <w:tc>
          <w:tcPr>
            <w:tcW w:w="701" w:type="pct"/>
            <w:shd w:val="clear" w:color="auto" w:fill="FFFFFF"/>
            <w:vAlign w:val="center"/>
          </w:tcPr>
          <w:p w14:paraId="385A504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方正楷体_GBK" w:cs="方正楷体_GBK"/>
                <w:i w:val="0"/>
                <w:iCs w:val="0"/>
                <w:color w:val="000000"/>
                <w:sz w:val="20"/>
                <w:szCs w:val="20"/>
                <w:u w:val="none"/>
              </w:rPr>
            </w:pPr>
            <w:r>
              <w:rPr>
                <w:rFonts w:hint="eastAsia" w:ascii="Times New Roman" w:hAnsi="Times New Roman" w:eastAsia="方正楷体_GBK" w:cs="方正楷体_GBK"/>
                <w:i w:val="0"/>
                <w:iCs w:val="0"/>
                <w:color w:val="000000"/>
                <w:kern w:val="0"/>
                <w:sz w:val="20"/>
                <w:szCs w:val="20"/>
                <w:u w:val="none"/>
                <w:lang w:val="en-US" w:eastAsia="zh-CN" w:bidi="ar"/>
              </w:rPr>
              <w:t>300元/次</w:t>
            </w:r>
          </w:p>
        </w:tc>
        <w:tc>
          <w:tcPr>
            <w:tcW w:w="1204" w:type="pct"/>
            <w:shd w:val="clear" w:color="auto" w:fill="FFFFFF"/>
            <w:noWrap/>
            <w:vAlign w:val="center"/>
          </w:tcPr>
          <w:p w14:paraId="71F36A3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方正楷体_GBK" w:cs="方正楷体_GBK"/>
                <w:i w:val="0"/>
                <w:iCs w:val="0"/>
                <w:color w:val="000000"/>
                <w:sz w:val="20"/>
                <w:szCs w:val="20"/>
                <w:u w:val="none"/>
              </w:rPr>
            </w:pPr>
            <w:r>
              <w:rPr>
                <w:rFonts w:hint="eastAsia" w:ascii="Times New Roman" w:hAnsi="Times New Roman" w:eastAsia="方正楷体_GBK" w:cs="方正楷体_GBK"/>
                <w:i w:val="0"/>
                <w:iCs w:val="0"/>
                <w:color w:val="000000"/>
                <w:kern w:val="0"/>
                <w:sz w:val="20"/>
                <w:szCs w:val="20"/>
                <w:u w:val="none"/>
                <w:lang w:val="en-US" w:eastAsia="zh-CN" w:bidi="ar"/>
              </w:rPr>
              <w:t>60%</w:t>
            </w:r>
          </w:p>
        </w:tc>
        <w:tc>
          <w:tcPr>
            <w:tcW w:w="686" w:type="pct"/>
            <w:shd w:val="clear" w:color="auto" w:fill="FFFFFF"/>
            <w:noWrap/>
            <w:vAlign w:val="center"/>
          </w:tcPr>
          <w:p w14:paraId="35E7760C">
            <w:pPr>
              <w:keepNext w:val="0"/>
              <w:keepLines w:val="0"/>
              <w:pageBreakBefore w:val="0"/>
              <w:widowControl/>
              <w:kinsoku/>
              <w:wordWrap/>
              <w:overflowPunct/>
              <w:topLinePunct w:val="0"/>
              <w:autoSpaceDE/>
              <w:autoSpaceDN/>
              <w:bidi w:val="0"/>
              <w:adjustRightInd/>
              <w:snapToGrid/>
              <w:spacing w:line="0" w:lineRule="atLeast"/>
              <w:jc w:val="center"/>
              <w:rPr>
                <w:rFonts w:hint="eastAsia" w:ascii="Times New Roman" w:hAnsi="Times New Roman" w:eastAsia="方正楷体_GBK" w:cs="方正楷体_GBK"/>
                <w:i w:val="0"/>
                <w:iCs w:val="0"/>
                <w:color w:val="000000"/>
                <w:sz w:val="20"/>
                <w:szCs w:val="20"/>
                <w:u w:val="none"/>
              </w:rPr>
            </w:pPr>
          </w:p>
        </w:tc>
      </w:tr>
      <w:tr w14:paraId="595308B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229" w:type="pct"/>
            <w:vMerge w:val="continue"/>
            <w:shd w:val="clear" w:color="auto" w:fill="FFFFFF"/>
            <w:noWrap/>
            <w:vAlign w:val="center"/>
          </w:tcPr>
          <w:p w14:paraId="46D0BB08">
            <w:pPr>
              <w:keepNext w:val="0"/>
              <w:keepLines w:val="0"/>
              <w:pageBreakBefore w:val="0"/>
              <w:widowControl/>
              <w:kinsoku/>
              <w:wordWrap/>
              <w:overflowPunct/>
              <w:topLinePunct w:val="0"/>
              <w:autoSpaceDE/>
              <w:autoSpaceDN/>
              <w:bidi w:val="0"/>
              <w:adjustRightInd/>
              <w:snapToGrid/>
              <w:spacing w:line="0" w:lineRule="atLeast"/>
              <w:jc w:val="center"/>
              <w:rPr>
                <w:rFonts w:hint="eastAsia" w:ascii="Times New Roman" w:hAnsi="Times New Roman" w:eastAsia="方正楷体_GBK" w:cs="方正楷体_GBK"/>
                <w:i w:val="0"/>
                <w:iCs w:val="0"/>
                <w:color w:val="000000"/>
                <w:sz w:val="20"/>
                <w:szCs w:val="20"/>
                <w:u w:val="none"/>
              </w:rPr>
            </w:pPr>
          </w:p>
        </w:tc>
        <w:tc>
          <w:tcPr>
            <w:tcW w:w="367" w:type="pct"/>
            <w:vMerge w:val="continue"/>
            <w:shd w:val="clear" w:color="auto" w:fill="FFFFFF"/>
            <w:vAlign w:val="center"/>
          </w:tcPr>
          <w:p w14:paraId="25A12FAD">
            <w:pPr>
              <w:keepNext w:val="0"/>
              <w:keepLines w:val="0"/>
              <w:pageBreakBefore w:val="0"/>
              <w:widowControl/>
              <w:kinsoku/>
              <w:wordWrap/>
              <w:overflowPunct/>
              <w:topLinePunct w:val="0"/>
              <w:autoSpaceDE/>
              <w:autoSpaceDN/>
              <w:bidi w:val="0"/>
              <w:adjustRightInd/>
              <w:snapToGrid/>
              <w:spacing w:line="0" w:lineRule="atLeast"/>
              <w:jc w:val="center"/>
              <w:rPr>
                <w:rFonts w:hint="eastAsia" w:ascii="Times New Roman" w:hAnsi="Times New Roman" w:eastAsia="方正楷体_GBK" w:cs="方正楷体_GBK"/>
                <w:i w:val="0"/>
                <w:iCs w:val="0"/>
                <w:color w:val="000000"/>
                <w:sz w:val="20"/>
                <w:szCs w:val="20"/>
                <w:u w:val="none"/>
              </w:rPr>
            </w:pPr>
          </w:p>
        </w:tc>
        <w:tc>
          <w:tcPr>
            <w:tcW w:w="1810" w:type="pct"/>
            <w:gridSpan w:val="2"/>
            <w:shd w:val="clear" w:color="auto" w:fill="FFFFFF"/>
            <w:vAlign w:val="center"/>
          </w:tcPr>
          <w:p w14:paraId="4035004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方正楷体_GBK" w:cs="方正楷体_GBK"/>
                <w:i w:val="0"/>
                <w:iCs w:val="0"/>
                <w:color w:val="000000"/>
                <w:sz w:val="20"/>
                <w:szCs w:val="20"/>
                <w:u w:val="none"/>
              </w:rPr>
            </w:pPr>
            <w:r>
              <w:rPr>
                <w:rFonts w:hint="eastAsia" w:ascii="Times New Roman" w:hAnsi="Times New Roman" w:eastAsia="方正楷体_GBK" w:cs="方正楷体_GBK"/>
                <w:i w:val="0"/>
                <w:iCs w:val="0"/>
                <w:color w:val="000000"/>
                <w:kern w:val="0"/>
                <w:sz w:val="20"/>
                <w:szCs w:val="20"/>
                <w:u w:val="none"/>
                <w:lang w:val="en-US" w:eastAsia="zh-CN" w:bidi="ar"/>
              </w:rPr>
              <w:t>双面精细擦玻璃</w:t>
            </w:r>
          </w:p>
        </w:tc>
        <w:tc>
          <w:tcPr>
            <w:tcW w:w="701" w:type="pct"/>
            <w:shd w:val="clear" w:color="auto" w:fill="FFFFFF"/>
            <w:vAlign w:val="center"/>
          </w:tcPr>
          <w:p w14:paraId="79A0E99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方正楷体_GBK" w:cs="方正楷体_GBK"/>
                <w:i w:val="0"/>
                <w:iCs w:val="0"/>
                <w:color w:val="000000"/>
                <w:sz w:val="20"/>
                <w:szCs w:val="20"/>
                <w:u w:val="none"/>
              </w:rPr>
            </w:pPr>
            <w:r>
              <w:rPr>
                <w:rFonts w:hint="eastAsia" w:ascii="Times New Roman" w:hAnsi="Times New Roman" w:eastAsia="方正楷体_GBK" w:cs="方正楷体_GBK"/>
                <w:i w:val="0"/>
                <w:iCs w:val="0"/>
                <w:color w:val="000000"/>
                <w:kern w:val="0"/>
                <w:sz w:val="20"/>
                <w:szCs w:val="20"/>
                <w:u w:val="none"/>
                <w:lang w:val="en-US" w:eastAsia="zh-CN" w:bidi="ar"/>
              </w:rPr>
              <w:t>2.5元/平方</w:t>
            </w:r>
          </w:p>
        </w:tc>
        <w:tc>
          <w:tcPr>
            <w:tcW w:w="1204" w:type="pct"/>
            <w:shd w:val="clear" w:color="auto" w:fill="FFFFFF"/>
            <w:noWrap/>
            <w:vAlign w:val="center"/>
          </w:tcPr>
          <w:p w14:paraId="60BA26C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方正楷体_GBK" w:cs="方正楷体_GBK"/>
                <w:i w:val="0"/>
                <w:iCs w:val="0"/>
                <w:color w:val="000000"/>
                <w:sz w:val="20"/>
                <w:szCs w:val="20"/>
                <w:u w:val="none"/>
              </w:rPr>
            </w:pPr>
            <w:r>
              <w:rPr>
                <w:rFonts w:hint="eastAsia" w:ascii="Times New Roman" w:hAnsi="Times New Roman" w:eastAsia="方正楷体_GBK" w:cs="方正楷体_GBK"/>
                <w:i w:val="0"/>
                <w:iCs w:val="0"/>
                <w:color w:val="000000"/>
                <w:kern w:val="0"/>
                <w:sz w:val="20"/>
                <w:szCs w:val="20"/>
                <w:u w:val="none"/>
                <w:lang w:val="en-US" w:eastAsia="zh-CN" w:bidi="ar"/>
              </w:rPr>
              <w:t>60%</w:t>
            </w:r>
          </w:p>
        </w:tc>
        <w:tc>
          <w:tcPr>
            <w:tcW w:w="686" w:type="pct"/>
            <w:shd w:val="clear" w:color="auto" w:fill="FFFFFF"/>
            <w:noWrap/>
            <w:vAlign w:val="center"/>
          </w:tcPr>
          <w:p w14:paraId="2A1C219F">
            <w:pPr>
              <w:keepNext w:val="0"/>
              <w:keepLines w:val="0"/>
              <w:pageBreakBefore w:val="0"/>
              <w:widowControl/>
              <w:kinsoku/>
              <w:wordWrap/>
              <w:overflowPunct/>
              <w:topLinePunct w:val="0"/>
              <w:autoSpaceDE/>
              <w:autoSpaceDN/>
              <w:bidi w:val="0"/>
              <w:adjustRightInd/>
              <w:snapToGrid/>
              <w:spacing w:line="0" w:lineRule="atLeast"/>
              <w:jc w:val="center"/>
              <w:rPr>
                <w:rFonts w:hint="eastAsia" w:ascii="Times New Roman" w:hAnsi="Times New Roman" w:eastAsia="方正楷体_GBK" w:cs="方正楷体_GBK"/>
                <w:i w:val="0"/>
                <w:iCs w:val="0"/>
                <w:color w:val="000000"/>
                <w:sz w:val="20"/>
                <w:szCs w:val="20"/>
                <w:u w:val="none"/>
              </w:rPr>
            </w:pPr>
          </w:p>
        </w:tc>
      </w:tr>
      <w:tr w14:paraId="5E82152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29" w:hRule="atLeast"/>
          <w:jc w:val="center"/>
        </w:trPr>
        <w:tc>
          <w:tcPr>
            <w:tcW w:w="229" w:type="pct"/>
            <w:vMerge w:val="continue"/>
            <w:shd w:val="clear" w:color="auto" w:fill="FFFFFF"/>
            <w:noWrap/>
            <w:vAlign w:val="center"/>
          </w:tcPr>
          <w:p w14:paraId="2BAB17EE">
            <w:pPr>
              <w:keepNext w:val="0"/>
              <w:keepLines w:val="0"/>
              <w:pageBreakBefore w:val="0"/>
              <w:widowControl/>
              <w:kinsoku/>
              <w:wordWrap/>
              <w:overflowPunct/>
              <w:topLinePunct w:val="0"/>
              <w:autoSpaceDE/>
              <w:autoSpaceDN/>
              <w:bidi w:val="0"/>
              <w:adjustRightInd/>
              <w:snapToGrid/>
              <w:spacing w:line="0" w:lineRule="atLeast"/>
              <w:jc w:val="center"/>
              <w:rPr>
                <w:rFonts w:hint="eastAsia" w:ascii="Times New Roman" w:hAnsi="Times New Roman" w:eastAsia="方正楷体_GBK" w:cs="方正楷体_GBK"/>
                <w:i w:val="0"/>
                <w:iCs w:val="0"/>
                <w:color w:val="000000"/>
                <w:sz w:val="20"/>
                <w:szCs w:val="20"/>
                <w:u w:val="none"/>
              </w:rPr>
            </w:pPr>
          </w:p>
        </w:tc>
        <w:tc>
          <w:tcPr>
            <w:tcW w:w="367" w:type="pct"/>
            <w:vMerge w:val="continue"/>
            <w:shd w:val="clear" w:color="auto" w:fill="FFFFFF"/>
            <w:vAlign w:val="center"/>
          </w:tcPr>
          <w:p w14:paraId="61FF980C">
            <w:pPr>
              <w:keepNext w:val="0"/>
              <w:keepLines w:val="0"/>
              <w:pageBreakBefore w:val="0"/>
              <w:widowControl/>
              <w:kinsoku/>
              <w:wordWrap/>
              <w:overflowPunct/>
              <w:topLinePunct w:val="0"/>
              <w:autoSpaceDE/>
              <w:autoSpaceDN/>
              <w:bidi w:val="0"/>
              <w:adjustRightInd/>
              <w:snapToGrid/>
              <w:spacing w:line="0" w:lineRule="atLeast"/>
              <w:jc w:val="center"/>
              <w:rPr>
                <w:rFonts w:hint="eastAsia" w:ascii="Times New Roman" w:hAnsi="Times New Roman" w:eastAsia="方正楷体_GBK" w:cs="方正楷体_GBK"/>
                <w:i w:val="0"/>
                <w:iCs w:val="0"/>
                <w:color w:val="000000"/>
                <w:sz w:val="20"/>
                <w:szCs w:val="20"/>
                <w:u w:val="none"/>
              </w:rPr>
            </w:pPr>
          </w:p>
        </w:tc>
        <w:tc>
          <w:tcPr>
            <w:tcW w:w="1810" w:type="pct"/>
            <w:gridSpan w:val="2"/>
            <w:shd w:val="clear" w:color="auto" w:fill="FFFFFF"/>
            <w:vAlign w:val="center"/>
          </w:tcPr>
          <w:p w14:paraId="15CC651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方正楷体_GBK" w:cs="方正楷体_GBK"/>
                <w:i w:val="0"/>
                <w:iCs w:val="0"/>
                <w:color w:val="000000"/>
                <w:sz w:val="20"/>
                <w:szCs w:val="20"/>
                <w:u w:val="none"/>
              </w:rPr>
            </w:pPr>
            <w:r>
              <w:rPr>
                <w:rFonts w:hint="eastAsia" w:ascii="Times New Roman" w:hAnsi="Times New Roman" w:eastAsia="方正楷体_GBK" w:cs="方正楷体_GBK"/>
                <w:i w:val="0"/>
                <w:iCs w:val="0"/>
                <w:color w:val="000000"/>
                <w:kern w:val="0"/>
                <w:sz w:val="20"/>
                <w:szCs w:val="20"/>
                <w:u w:val="none"/>
                <w:lang w:val="en-US" w:eastAsia="zh-CN" w:bidi="ar"/>
              </w:rPr>
              <w:t>两门冰箱深度清洗</w:t>
            </w:r>
          </w:p>
        </w:tc>
        <w:tc>
          <w:tcPr>
            <w:tcW w:w="701" w:type="pct"/>
            <w:shd w:val="clear" w:color="auto" w:fill="FFFFFF"/>
            <w:vAlign w:val="center"/>
          </w:tcPr>
          <w:p w14:paraId="2959D13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方正楷体_GBK" w:cs="方正楷体_GBK"/>
                <w:i w:val="0"/>
                <w:iCs w:val="0"/>
                <w:color w:val="000000"/>
                <w:sz w:val="20"/>
                <w:szCs w:val="20"/>
                <w:u w:val="none"/>
              </w:rPr>
            </w:pPr>
            <w:r>
              <w:rPr>
                <w:rFonts w:hint="eastAsia" w:ascii="Times New Roman" w:hAnsi="Times New Roman" w:eastAsia="方正楷体_GBK" w:cs="方正楷体_GBK"/>
                <w:i w:val="0"/>
                <w:iCs w:val="0"/>
                <w:color w:val="000000"/>
                <w:kern w:val="0"/>
                <w:sz w:val="20"/>
                <w:szCs w:val="20"/>
                <w:u w:val="none"/>
                <w:lang w:val="en-US" w:eastAsia="zh-CN" w:bidi="ar"/>
              </w:rPr>
              <w:t>120元/台</w:t>
            </w:r>
          </w:p>
        </w:tc>
        <w:tc>
          <w:tcPr>
            <w:tcW w:w="1204" w:type="pct"/>
            <w:shd w:val="clear" w:color="auto" w:fill="FFFFFF"/>
            <w:noWrap/>
            <w:vAlign w:val="center"/>
          </w:tcPr>
          <w:p w14:paraId="3433EBA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方正楷体_GBK" w:cs="方正楷体_GBK"/>
                <w:i w:val="0"/>
                <w:iCs w:val="0"/>
                <w:color w:val="000000"/>
                <w:sz w:val="20"/>
                <w:szCs w:val="20"/>
                <w:u w:val="none"/>
              </w:rPr>
            </w:pPr>
            <w:r>
              <w:rPr>
                <w:rFonts w:hint="eastAsia" w:ascii="Times New Roman" w:hAnsi="Times New Roman" w:eastAsia="方正楷体_GBK" w:cs="方正楷体_GBK"/>
                <w:i w:val="0"/>
                <w:iCs w:val="0"/>
                <w:color w:val="000000"/>
                <w:kern w:val="0"/>
                <w:sz w:val="20"/>
                <w:szCs w:val="20"/>
                <w:u w:val="none"/>
                <w:lang w:val="en-US" w:eastAsia="zh-CN" w:bidi="ar"/>
              </w:rPr>
              <w:t>60%</w:t>
            </w:r>
          </w:p>
        </w:tc>
        <w:tc>
          <w:tcPr>
            <w:tcW w:w="686" w:type="pct"/>
            <w:shd w:val="clear" w:color="auto" w:fill="FFFFFF"/>
            <w:noWrap/>
            <w:vAlign w:val="center"/>
          </w:tcPr>
          <w:p w14:paraId="63D40DAB">
            <w:pPr>
              <w:keepNext w:val="0"/>
              <w:keepLines w:val="0"/>
              <w:pageBreakBefore w:val="0"/>
              <w:widowControl/>
              <w:kinsoku/>
              <w:wordWrap/>
              <w:overflowPunct/>
              <w:topLinePunct w:val="0"/>
              <w:autoSpaceDE/>
              <w:autoSpaceDN/>
              <w:bidi w:val="0"/>
              <w:adjustRightInd/>
              <w:snapToGrid/>
              <w:spacing w:line="0" w:lineRule="atLeast"/>
              <w:jc w:val="center"/>
              <w:rPr>
                <w:rFonts w:hint="eastAsia" w:ascii="Times New Roman" w:hAnsi="Times New Roman" w:eastAsia="方正楷体_GBK" w:cs="方正楷体_GBK"/>
                <w:i w:val="0"/>
                <w:iCs w:val="0"/>
                <w:color w:val="000000"/>
                <w:sz w:val="20"/>
                <w:szCs w:val="20"/>
                <w:u w:val="none"/>
              </w:rPr>
            </w:pPr>
          </w:p>
        </w:tc>
      </w:tr>
      <w:tr w14:paraId="2FF925D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229" w:type="pct"/>
            <w:vMerge w:val="continue"/>
            <w:shd w:val="clear" w:color="auto" w:fill="FFFFFF"/>
            <w:noWrap/>
            <w:vAlign w:val="center"/>
          </w:tcPr>
          <w:p w14:paraId="6D83AA2C">
            <w:pPr>
              <w:keepNext w:val="0"/>
              <w:keepLines w:val="0"/>
              <w:pageBreakBefore w:val="0"/>
              <w:widowControl/>
              <w:kinsoku/>
              <w:wordWrap/>
              <w:overflowPunct/>
              <w:topLinePunct w:val="0"/>
              <w:autoSpaceDE/>
              <w:autoSpaceDN/>
              <w:bidi w:val="0"/>
              <w:adjustRightInd/>
              <w:snapToGrid/>
              <w:spacing w:line="0" w:lineRule="atLeast"/>
              <w:jc w:val="center"/>
              <w:rPr>
                <w:rFonts w:hint="eastAsia" w:ascii="Times New Roman" w:hAnsi="Times New Roman" w:eastAsia="方正楷体_GBK" w:cs="方正楷体_GBK"/>
                <w:i w:val="0"/>
                <w:iCs w:val="0"/>
                <w:color w:val="000000"/>
                <w:sz w:val="20"/>
                <w:szCs w:val="20"/>
                <w:u w:val="none"/>
              </w:rPr>
            </w:pPr>
          </w:p>
        </w:tc>
        <w:tc>
          <w:tcPr>
            <w:tcW w:w="367" w:type="pct"/>
            <w:vMerge w:val="continue"/>
            <w:shd w:val="clear" w:color="auto" w:fill="FFFFFF"/>
            <w:vAlign w:val="center"/>
          </w:tcPr>
          <w:p w14:paraId="53C69E53">
            <w:pPr>
              <w:keepNext w:val="0"/>
              <w:keepLines w:val="0"/>
              <w:pageBreakBefore w:val="0"/>
              <w:widowControl/>
              <w:kinsoku/>
              <w:wordWrap/>
              <w:overflowPunct/>
              <w:topLinePunct w:val="0"/>
              <w:autoSpaceDE/>
              <w:autoSpaceDN/>
              <w:bidi w:val="0"/>
              <w:adjustRightInd/>
              <w:snapToGrid/>
              <w:spacing w:line="0" w:lineRule="atLeast"/>
              <w:jc w:val="center"/>
              <w:rPr>
                <w:rFonts w:hint="eastAsia" w:ascii="Times New Roman" w:hAnsi="Times New Roman" w:eastAsia="方正楷体_GBK" w:cs="方正楷体_GBK"/>
                <w:i w:val="0"/>
                <w:iCs w:val="0"/>
                <w:color w:val="000000"/>
                <w:sz w:val="20"/>
                <w:szCs w:val="20"/>
                <w:u w:val="none"/>
              </w:rPr>
            </w:pPr>
          </w:p>
        </w:tc>
        <w:tc>
          <w:tcPr>
            <w:tcW w:w="1810" w:type="pct"/>
            <w:gridSpan w:val="2"/>
            <w:shd w:val="clear" w:color="auto" w:fill="FFFFFF"/>
            <w:vAlign w:val="center"/>
          </w:tcPr>
          <w:p w14:paraId="4E01CAE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方正楷体_GBK" w:cs="方正楷体_GBK"/>
                <w:i w:val="0"/>
                <w:iCs w:val="0"/>
                <w:color w:val="000000"/>
                <w:sz w:val="20"/>
                <w:szCs w:val="20"/>
                <w:u w:val="none"/>
              </w:rPr>
            </w:pPr>
            <w:r>
              <w:rPr>
                <w:rFonts w:hint="eastAsia" w:ascii="Times New Roman" w:hAnsi="Times New Roman" w:eastAsia="方正楷体_GBK" w:cs="方正楷体_GBK"/>
                <w:i w:val="0"/>
                <w:iCs w:val="0"/>
                <w:color w:val="000000"/>
                <w:kern w:val="0"/>
                <w:sz w:val="20"/>
                <w:szCs w:val="20"/>
                <w:u w:val="none"/>
                <w:lang w:val="en-US" w:eastAsia="zh-CN" w:bidi="ar"/>
              </w:rPr>
              <w:t>三门冰箱深度清洗</w:t>
            </w:r>
          </w:p>
        </w:tc>
        <w:tc>
          <w:tcPr>
            <w:tcW w:w="701" w:type="pct"/>
            <w:shd w:val="clear" w:color="auto" w:fill="FFFFFF"/>
            <w:vAlign w:val="center"/>
          </w:tcPr>
          <w:p w14:paraId="6B8AE17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方正楷体_GBK" w:cs="方正楷体_GBK"/>
                <w:i w:val="0"/>
                <w:iCs w:val="0"/>
                <w:color w:val="000000"/>
                <w:sz w:val="20"/>
                <w:szCs w:val="20"/>
                <w:u w:val="none"/>
              </w:rPr>
            </w:pPr>
            <w:r>
              <w:rPr>
                <w:rFonts w:hint="eastAsia" w:ascii="Times New Roman" w:hAnsi="Times New Roman" w:eastAsia="方正楷体_GBK" w:cs="方正楷体_GBK"/>
                <w:i w:val="0"/>
                <w:iCs w:val="0"/>
                <w:color w:val="000000"/>
                <w:kern w:val="0"/>
                <w:sz w:val="20"/>
                <w:szCs w:val="20"/>
                <w:u w:val="none"/>
                <w:lang w:val="en-US" w:eastAsia="zh-CN" w:bidi="ar"/>
              </w:rPr>
              <w:t>150元/台</w:t>
            </w:r>
          </w:p>
        </w:tc>
        <w:tc>
          <w:tcPr>
            <w:tcW w:w="1204" w:type="pct"/>
            <w:shd w:val="clear" w:color="auto" w:fill="FFFFFF"/>
            <w:noWrap/>
            <w:vAlign w:val="center"/>
          </w:tcPr>
          <w:p w14:paraId="63445C1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方正楷体_GBK" w:cs="方正楷体_GBK"/>
                <w:i w:val="0"/>
                <w:iCs w:val="0"/>
                <w:color w:val="000000"/>
                <w:sz w:val="20"/>
                <w:szCs w:val="20"/>
                <w:u w:val="none"/>
              </w:rPr>
            </w:pPr>
            <w:r>
              <w:rPr>
                <w:rFonts w:hint="eastAsia" w:ascii="Times New Roman" w:hAnsi="Times New Roman" w:eastAsia="方正楷体_GBK" w:cs="方正楷体_GBK"/>
                <w:i w:val="0"/>
                <w:iCs w:val="0"/>
                <w:color w:val="000000"/>
                <w:kern w:val="0"/>
                <w:sz w:val="20"/>
                <w:szCs w:val="20"/>
                <w:u w:val="none"/>
                <w:lang w:val="en-US" w:eastAsia="zh-CN" w:bidi="ar"/>
              </w:rPr>
              <w:t>60%</w:t>
            </w:r>
          </w:p>
        </w:tc>
        <w:tc>
          <w:tcPr>
            <w:tcW w:w="686" w:type="pct"/>
            <w:shd w:val="clear" w:color="auto" w:fill="FFFFFF"/>
            <w:noWrap/>
            <w:vAlign w:val="center"/>
          </w:tcPr>
          <w:p w14:paraId="334EDFF1">
            <w:pPr>
              <w:keepNext w:val="0"/>
              <w:keepLines w:val="0"/>
              <w:pageBreakBefore w:val="0"/>
              <w:widowControl/>
              <w:kinsoku/>
              <w:wordWrap/>
              <w:overflowPunct/>
              <w:topLinePunct w:val="0"/>
              <w:autoSpaceDE/>
              <w:autoSpaceDN/>
              <w:bidi w:val="0"/>
              <w:adjustRightInd/>
              <w:snapToGrid/>
              <w:spacing w:line="0" w:lineRule="atLeast"/>
              <w:jc w:val="center"/>
              <w:rPr>
                <w:rFonts w:hint="eastAsia" w:ascii="Times New Roman" w:hAnsi="Times New Roman" w:eastAsia="方正楷体_GBK" w:cs="方正楷体_GBK"/>
                <w:i w:val="0"/>
                <w:iCs w:val="0"/>
                <w:color w:val="000000"/>
                <w:sz w:val="20"/>
                <w:szCs w:val="20"/>
                <w:u w:val="none"/>
              </w:rPr>
            </w:pPr>
          </w:p>
        </w:tc>
      </w:tr>
      <w:tr w14:paraId="73C9CEA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229" w:type="pct"/>
            <w:vMerge w:val="continue"/>
            <w:shd w:val="clear" w:color="auto" w:fill="FFFFFF"/>
            <w:noWrap/>
            <w:vAlign w:val="center"/>
          </w:tcPr>
          <w:p w14:paraId="498B4B08">
            <w:pPr>
              <w:keepNext w:val="0"/>
              <w:keepLines w:val="0"/>
              <w:pageBreakBefore w:val="0"/>
              <w:widowControl/>
              <w:kinsoku/>
              <w:wordWrap/>
              <w:overflowPunct/>
              <w:topLinePunct w:val="0"/>
              <w:autoSpaceDE/>
              <w:autoSpaceDN/>
              <w:bidi w:val="0"/>
              <w:adjustRightInd/>
              <w:snapToGrid/>
              <w:spacing w:line="0" w:lineRule="atLeast"/>
              <w:jc w:val="center"/>
              <w:rPr>
                <w:rFonts w:hint="eastAsia" w:ascii="Times New Roman" w:hAnsi="Times New Roman" w:eastAsia="方正楷体_GBK" w:cs="方正楷体_GBK"/>
                <w:i w:val="0"/>
                <w:iCs w:val="0"/>
                <w:color w:val="000000"/>
                <w:sz w:val="20"/>
                <w:szCs w:val="20"/>
                <w:u w:val="none"/>
              </w:rPr>
            </w:pPr>
          </w:p>
        </w:tc>
        <w:tc>
          <w:tcPr>
            <w:tcW w:w="367" w:type="pct"/>
            <w:vMerge w:val="continue"/>
            <w:shd w:val="clear" w:color="auto" w:fill="FFFFFF"/>
            <w:vAlign w:val="center"/>
          </w:tcPr>
          <w:p w14:paraId="4DB8A4C4">
            <w:pPr>
              <w:keepNext w:val="0"/>
              <w:keepLines w:val="0"/>
              <w:pageBreakBefore w:val="0"/>
              <w:widowControl/>
              <w:kinsoku/>
              <w:wordWrap/>
              <w:overflowPunct/>
              <w:topLinePunct w:val="0"/>
              <w:autoSpaceDE/>
              <w:autoSpaceDN/>
              <w:bidi w:val="0"/>
              <w:adjustRightInd/>
              <w:snapToGrid/>
              <w:spacing w:line="0" w:lineRule="atLeast"/>
              <w:jc w:val="center"/>
              <w:rPr>
                <w:rFonts w:hint="eastAsia" w:ascii="Times New Roman" w:hAnsi="Times New Roman" w:eastAsia="方正楷体_GBK" w:cs="方正楷体_GBK"/>
                <w:i w:val="0"/>
                <w:iCs w:val="0"/>
                <w:color w:val="000000"/>
                <w:sz w:val="20"/>
                <w:szCs w:val="20"/>
                <w:u w:val="none"/>
              </w:rPr>
            </w:pPr>
          </w:p>
        </w:tc>
        <w:tc>
          <w:tcPr>
            <w:tcW w:w="1810" w:type="pct"/>
            <w:gridSpan w:val="2"/>
            <w:shd w:val="clear" w:color="auto" w:fill="FFFFFF"/>
            <w:vAlign w:val="center"/>
          </w:tcPr>
          <w:p w14:paraId="5124D9A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方正楷体_GBK" w:cs="方正楷体_GBK"/>
                <w:i w:val="0"/>
                <w:iCs w:val="0"/>
                <w:color w:val="000000"/>
                <w:sz w:val="20"/>
                <w:szCs w:val="20"/>
                <w:u w:val="none"/>
              </w:rPr>
            </w:pPr>
            <w:r>
              <w:rPr>
                <w:rFonts w:hint="eastAsia" w:ascii="Times New Roman" w:hAnsi="Times New Roman" w:eastAsia="方正楷体_GBK" w:cs="方正楷体_GBK"/>
                <w:i w:val="0"/>
                <w:iCs w:val="0"/>
                <w:color w:val="000000"/>
                <w:kern w:val="0"/>
                <w:sz w:val="20"/>
                <w:szCs w:val="20"/>
                <w:u w:val="none"/>
                <w:lang w:val="en-US" w:eastAsia="zh-CN" w:bidi="ar"/>
              </w:rPr>
              <w:t>对开门冰箱深度清洗</w:t>
            </w:r>
          </w:p>
        </w:tc>
        <w:tc>
          <w:tcPr>
            <w:tcW w:w="701" w:type="pct"/>
            <w:shd w:val="clear" w:color="auto" w:fill="FFFFFF"/>
            <w:vAlign w:val="center"/>
          </w:tcPr>
          <w:p w14:paraId="56B1279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方正楷体_GBK" w:cs="方正楷体_GBK"/>
                <w:i w:val="0"/>
                <w:iCs w:val="0"/>
                <w:color w:val="000000"/>
                <w:sz w:val="20"/>
                <w:szCs w:val="20"/>
                <w:u w:val="none"/>
              </w:rPr>
            </w:pPr>
            <w:r>
              <w:rPr>
                <w:rFonts w:hint="eastAsia" w:ascii="Times New Roman" w:hAnsi="Times New Roman" w:eastAsia="方正楷体_GBK" w:cs="方正楷体_GBK"/>
                <w:i w:val="0"/>
                <w:iCs w:val="0"/>
                <w:color w:val="000000"/>
                <w:kern w:val="0"/>
                <w:sz w:val="20"/>
                <w:szCs w:val="20"/>
                <w:u w:val="none"/>
                <w:lang w:val="en-US" w:eastAsia="zh-CN" w:bidi="ar"/>
              </w:rPr>
              <w:t>180元/台</w:t>
            </w:r>
          </w:p>
        </w:tc>
        <w:tc>
          <w:tcPr>
            <w:tcW w:w="1204" w:type="pct"/>
            <w:shd w:val="clear" w:color="auto" w:fill="FFFFFF"/>
            <w:noWrap/>
            <w:vAlign w:val="center"/>
          </w:tcPr>
          <w:p w14:paraId="7A60B4C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方正楷体_GBK" w:cs="方正楷体_GBK"/>
                <w:i w:val="0"/>
                <w:iCs w:val="0"/>
                <w:color w:val="000000"/>
                <w:sz w:val="20"/>
                <w:szCs w:val="20"/>
                <w:u w:val="none"/>
              </w:rPr>
            </w:pPr>
            <w:r>
              <w:rPr>
                <w:rFonts w:hint="eastAsia" w:ascii="Times New Roman" w:hAnsi="Times New Roman" w:eastAsia="方正楷体_GBK" w:cs="方正楷体_GBK"/>
                <w:i w:val="0"/>
                <w:iCs w:val="0"/>
                <w:color w:val="000000"/>
                <w:kern w:val="0"/>
                <w:sz w:val="20"/>
                <w:szCs w:val="20"/>
                <w:u w:val="none"/>
                <w:lang w:val="en-US" w:eastAsia="zh-CN" w:bidi="ar"/>
              </w:rPr>
              <w:t>60%</w:t>
            </w:r>
          </w:p>
        </w:tc>
        <w:tc>
          <w:tcPr>
            <w:tcW w:w="686" w:type="pct"/>
            <w:shd w:val="clear" w:color="auto" w:fill="FFFFFF"/>
            <w:noWrap/>
            <w:vAlign w:val="center"/>
          </w:tcPr>
          <w:p w14:paraId="3E91A9BF">
            <w:pPr>
              <w:keepNext w:val="0"/>
              <w:keepLines w:val="0"/>
              <w:pageBreakBefore w:val="0"/>
              <w:widowControl/>
              <w:kinsoku/>
              <w:wordWrap/>
              <w:overflowPunct/>
              <w:topLinePunct w:val="0"/>
              <w:autoSpaceDE/>
              <w:autoSpaceDN/>
              <w:bidi w:val="0"/>
              <w:adjustRightInd/>
              <w:snapToGrid/>
              <w:spacing w:line="0" w:lineRule="atLeast"/>
              <w:jc w:val="center"/>
              <w:rPr>
                <w:rFonts w:hint="eastAsia" w:ascii="Times New Roman" w:hAnsi="Times New Roman" w:eastAsia="方正楷体_GBK" w:cs="方正楷体_GBK"/>
                <w:i w:val="0"/>
                <w:iCs w:val="0"/>
                <w:color w:val="000000"/>
                <w:sz w:val="20"/>
                <w:szCs w:val="20"/>
                <w:u w:val="none"/>
              </w:rPr>
            </w:pPr>
          </w:p>
        </w:tc>
      </w:tr>
      <w:tr w14:paraId="785A706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229" w:type="pct"/>
            <w:vMerge w:val="continue"/>
            <w:shd w:val="clear" w:color="auto" w:fill="FFFFFF"/>
            <w:noWrap/>
            <w:vAlign w:val="center"/>
          </w:tcPr>
          <w:p w14:paraId="037D3D74">
            <w:pPr>
              <w:keepNext w:val="0"/>
              <w:keepLines w:val="0"/>
              <w:pageBreakBefore w:val="0"/>
              <w:widowControl/>
              <w:kinsoku/>
              <w:wordWrap/>
              <w:overflowPunct/>
              <w:topLinePunct w:val="0"/>
              <w:autoSpaceDE/>
              <w:autoSpaceDN/>
              <w:bidi w:val="0"/>
              <w:adjustRightInd/>
              <w:snapToGrid/>
              <w:spacing w:line="0" w:lineRule="atLeast"/>
              <w:jc w:val="center"/>
              <w:rPr>
                <w:rFonts w:hint="eastAsia" w:ascii="Times New Roman" w:hAnsi="Times New Roman" w:eastAsia="方正楷体_GBK" w:cs="方正楷体_GBK"/>
                <w:i w:val="0"/>
                <w:iCs w:val="0"/>
                <w:color w:val="000000"/>
                <w:sz w:val="20"/>
                <w:szCs w:val="20"/>
                <w:u w:val="none"/>
              </w:rPr>
            </w:pPr>
          </w:p>
        </w:tc>
        <w:tc>
          <w:tcPr>
            <w:tcW w:w="367" w:type="pct"/>
            <w:vMerge w:val="continue"/>
            <w:shd w:val="clear" w:color="auto" w:fill="FFFFFF"/>
            <w:vAlign w:val="center"/>
          </w:tcPr>
          <w:p w14:paraId="3B1AB8F2">
            <w:pPr>
              <w:keepNext w:val="0"/>
              <w:keepLines w:val="0"/>
              <w:pageBreakBefore w:val="0"/>
              <w:widowControl/>
              <w:kinsoku/>
              <w:wordWrap/>
              <w:overflowPunct/>
              <w:topLinePunct w:val="0"/>
              <w:autoSpaceDE/>
              <w:autoSpaceDN/>
              <w:bidi w:val="0"/>
              <w:adjustRightInd/>
              <w:snapToGrid/>
              <w:spacing w:line="0" w:lineRule="atLeast"/>
              <w:jc w:val="center"/>
              <w:rPr>
                <w:rFonts w:hint="eastAsia" w:ascii="Times New Roman" w:hAnsi="Times New Roman" w:eastAsia="方正楷体_GBK" w:cs="方正楷体_GBK"/>
                <w:i w:val="0"/>
                <w:iCs w:val="0"/>
                <w:color w:val="000000"/>
                <w:sz w:val="20"/>
                <w:szCs w:val="20"/>
                <w:u w:val="none"/>
              </w:rPr>
            </w:pPr>
          </w:p>
        </w:tc>
        <w:tc>
          <w:tcPr>
            <w:tcW w:w="1810" w:type="pct"/>
            <w:gridSpan w:val="2"/>
            <w:shd w:val="clear" w:color="auto" w:fill="FFFFFF"/>
            <w:vAlign w:val="center"/>
          </w:tcPr>
          <w:p w14:paraId="68221EA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方正楷体_GBK" w:cs="方正楷体_GBK"/>
                <w:i w:val="0"/>
                <w:iCs w:val="0"/>
                <w:color w:val="000000"/>
                <w:sz w:val="20"/>
                <w:szCs w:val="20"/>
                <w:u w:val="none"/>
              </w:rPr>
            </w:pPr>
            <w:r>
              <w:rPr>
                <w:rFonts w:hint="eastAsia" w:ascii="Times New Roman" w:hAnsi="Times New Roman" w:eastAsia="方正楷体_GBK" w:cs="方正楷体_GBK"/>
                <w:i w:val="0"/>
                <w:iCs w:val="0"/>
                <w:color w:val="000000"/>
                <w:kern w:val="0"/>
                <w:sz w:val="20"/>
                <w:szCs w:val="20"/>
                <w:u w:val="none"/>
                <w:lang w:val="en-US" w:eastAsia="zh-CN" w:bidi="ar"/>
              </w:rPr>
              <w:t>普通油烟机深度清洗</w:t>
            </w:r>
          </w:p>
        </w:tc>
        <w:tc>
          <w:tcPr>
            <w:tcW w:w="701" w:type="pct"/>
            <w:shd w:val="clear" w:color="auto" w:fill="FFFFFF"/>
            <w:vAlign w:val="center"/>
          </w:tcPr>
          <w:p w14:paraId="3DA8B21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方正楷体_GBK" w:cs="方正楷体_GBK"/>
                <w:i w:val="0"/>
                <w:iCs w:val="0"/>
                <w:color w:val="000000"/>
                <w:sz w:val="20"/>
                <w:szCs w:val="20"/>
                <w:u w:val="none"/>
              </w:rPr>
            </w:pPr>
            <w:r>
              <w:rPr>
                <w:rFonts w:hint="eastAsia" w:ascii="Times New Roman" w:hAnsi="Times New Roman" w:eastAsia="方正楷体_GBK" w:cs="方正楷体_GBK"/>
                <w:i w:val="0"/>
                <w:iCs w:val="0"/>
                <w:color w:val="000000"/>
                <w:kern w:val="0"/>
                <w:sz w:val="20"/>
                <w:szCs w:val="20"/>
                <w:u w:val="none"/>
                <w:lang w:val="en-US" w:eastAsia="zh-CN" w:bidi="ar"/>
              </w:rPr>
              <w:t>120元/台</w:t>
            </w:r>
          </w:p>
        </w:tc>
        <w:tc>
          <w:tcPr>
            <w:tcW w:w="1204" w:type="pct"/>
            <w:shd w:val="clear" w:color="auto" w:fill="FFFFFF"/>
            <w:noWrap/>
            <w:vAlign w:val="center"/>
          </w:tcPr>
          <w:p w14:paraId="0B7DCB7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方正楷体_GBK" w:cs="方正楷体_GBK"/>
                <w:i w:val="0"/>
                <w:iCs w:val="0"/>
                <w:color w:val="000000"/>
                <w:sz w:val="20"/>
                <w:szCs w:val="20"/>
                <w:u w:val="none"/>
              </w:rPr>
            </w:pPr>
            <w:r>
              <w:rPr>
                <w:rFonts w:hint="eastAsia" w:ascii="Times New Roman" w:hAnsi="Times New Roman" w:eastAsia="方正楷体_GBK" w:cs="方正楷体_GBK"/>
                <w:i w:val="0"/>
                <w:iCs w:val="0"/>
                <w:color w:val="000000"/>
                <w:kern w:val="0"/>
                <w:sz w:val="20"/>
                <w:szCs w:val="20"/>
                <w:u w:val="none"/>
                <w:lang w:val="en-US" w:eastAsia="zh-CN" w:bidi="ar"/>
              </w:rPr>
              <w:t>60%</w:t>
            </w:r>
          </w:p>
        </w:tc>
        <w:tc>
          <w:tcPr>
            <w:tcW w:w="686" w:type="pct"/>
            <w:shd w:val="clear" w:color="auto" w:fill="FFFFFF"/>
            <w:noWrap/>
            <w:vAlign w:val="center"/>
          </w:tcPr>
          <w:p w14:paraId="47BEDB50">
            <w:pPr>
              <w:keepNext w:val="0"/>
              <w:keepLines w:val="0"/>
              <w:pageBreakBefore w:val="0"/>
              <w:widowControl/>
              <w:kinsoku/>
              <w:wordWrap/>
              <w:overflowPunct/>
              <w:topLinePunct w:val="0"/>
              <w:autoSpaceDE/>
              <w:autoSpaceDN/>
              <w:bidi w:val="0"/>
              <w:adjustRightInd/>
              <w:snapToGrid/>
              <w:spacing w:line="0" w:lineRule="atLeast"/>
              <w:jc w:val="center"/>
              <w:rPr>
                <w:rFonts w:hint="eastAsia" w:ascii="Times New Roman" w:hAnsi="Times New Roman" w:eastAsia="方正楷体_GBK" w:cs="方正楷体_GBK"/>
                <w:i w:val="0"/>
                <w:iCs w:val="0"/>
                <w:color w:val="000000"/>
                <w:sz w:val="20"/>
                <w:szCs w:val="20"/>
                <w:u w:val="none"/>
              </w:rPr>
            </w:pPr>
          </w:p>
        </w:tc>
      </w:tr>
      <w:tr w14:paraId="53AE5E1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29" w:hRule="atLeast"/>
          <w:jc w:val="center"/>
        </w:trPr>
        <w:tc>
          <w:tcPr>
            <w:tcW w:w="229" w:type="pct"/>
            <w:vMerge w:val="continue"/>
            <w:shd w:val="clear" w:color="auto" w:fill="FFFFFF"/>
            <w:noWrap/>
            <w:vAlign w:val="center"/>
          </w:tcPr>
          <w:p w14:paraId="4A86F8D2">
            <w:pPr>
              <w:keepNext w:val="0"/>
              <w:keepLines w:val="0"/>
              <w:pageBreakBefore w:val="0"/>
              <w:widowControl/>
              <w:kinsoku/>
              <w:wordWrap/>
              <w:overflowPunct/>
              <w:topLinePunct w:val="0"/>
              <w:autoSpaceDE/>
              <w:autoSpaceDN/>
              <w:bidi w:val="0"/>
              <w:adjustRightInd/>
              <w:snapToGrid/>
              <w:spacing w:line="0" w:lineRule="atLeast"/>
              <w:jc w:val="center"/>
              <w:rPr>
                <w:rFonts w:hint="eastAsia" w:ascii="Times New Roman" w:hAnsi="Times New Roman" w:eastAsia="方正楷体_GBK" w:cs="方正楷体_GBK"/>
                <w:i w:val="0"/>
                <w:iCs w:val="0"/>
                <w:color w:val="000000"/>
                <w:sz w:val="20"/>
                <w:szCs w:val="20"/>
                <w:u w:val="none"/>
              </w:rPr>
            </w:pPr>
          </w:p>
        </w:tc>
        <w:tc>
          <w:tcPr>
            <w:tcW w:w="367" w:type="pct"/>
            <w:vMerge w:val="continue"/>
            <w:shd w:val="clear" w:color="auto" w:fill="FFFFFF"/>
            <w:vAlign w:val="center"/>
          </w:tcPr>
          <w:p w14:paraId="0E247D19">
            <w:pPr>
              <w:keepNext w:val="0"/>
              <w:keepLines w:val="0"/>
              <w:pageBreakBefore w:val="0"/>
              <w:widowControl/>
              <w:kinsoku/>
              <w:wordWrap/>
              <w:overflowPunct/>
              <w:topLinePunct w:val="0"/>
              <w:autoSpaceDE/>
              <w:autoSpaceDN/>
              <w:bidi w:val="0"/>
              <w:adjustRightInd/>
              <w:snapToGrid/>
              <w:spacing w:line="0" w:lineRule="atLeast"/>
              <w:jc w:val="center"/>
              <w:rPr>
                <w:rFonts w:hint="eastAsia" w:ascii="Times New Roman" w:hAnsi="Times New Roman" w:eastAsia="方正楷体_GBK" w:cs="方正楷体_GBK"/>
                <w:i w:val="0"/>
                <w:iCs w:val="0"/>
                <w:color w:val="000000"/>
                <w:sz w:val="20"/>
                <w:szCs w:val="20"/>
                <w:u w:val="none"/>
              </w:rPr>
            </w:pPr>
          </w:p>
        </w:tc>
        <w:tc>
          <w:tcPr>
            <w:tcW w:w="1810" w:type="pct"/>
            <w:gridSpan w:val="2"/>
            <w:shd w:val="clear" w:color="auto" w:fill="FFFFFF"/>
            <w:vAlign w:val="center"/>
          </w:tcPr>
          <w:p w14:paraId="6197758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方正楷体_GBK" w:cs="方正楷体_GBK"/>
                <w:i w:val="0"/>
                <w:iCs w:val="0"/>
                <w:color w:val="000000"/>
                <w:sz w:val="20"/>
                <w:szCs w:val="20"/>
                <w:u w:val="none"/>
              </w:rPr>
            </w:pPr>
            <w:r>
              <w:rPr>
                <w:rFonts w:hint="eastAsia" w:ascii="Times New Roman" w:hAnsi="Times New Roman" w:eastAsia="方正楷体_GBK" w:cs="方正楷体_GBK"/>
                <w:i w:val="0"/>
                <w:iCs w:val="0"/>
                <w:color w:val="000000"/>
                <w:kern w:val="0"/>
                <w:sz w:val="20"/>
                <w:szCs w:val="20"/>
                <w:u w:val="none"/>
                <w:lang w:val="en-US" w:eastAsia="zh-CN" w:bidi="ar"/>
              </w:rPr>
              <w:t>油烟机全拆灶具清洗</w:t>
            </w:r>
          </w:p>
        </w:tc>
        <w:tc>
          <w:tcPr>
            <w:tcW w:w="701" w:type="pct"/>
            <w:shd w:val="clear" w:color="auto" w:fill="FFFFFF"/>
            <w:noWrap/>
            <w:vAlign w:val="center"/>
          </w:tcPr>
          <w:p w14:paraId="7217CB5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方正楷体_GBK" w:cs="方正楷体_GBK"/>
                <w:i w:val="0"/>
                <w:iCs w:val="0"/>
                <w:color w:val="000000"/>
                <w:sz w:val="20"/>
                <w:szCs w:val="20"/>
                <w:u w:val="none"/>
              </w:rPr>
            </w:pPr>
            <w:r>
              <w:rPr>
                <w:rFonts w:hint="eastAsia" w:ascii="Times New Roman" w:hAnsi="Times New Roman" w:eastAsia="方正楷体_GBK" w:cs="方正楷体_GBK"/>
                <w:i w:val="0"/>
                <w:iCs w:val="0"/>
                <w:color w:val="000000"/>
                <w:kern w:val="0"/>
                <w:sz w:val="20"/>
                <w:szCs w:val="20"/>
                <w:u w:val="none"/>
                <w:lang w:val="en-US" w:eastAsia="zh-CN" w:bidi="ar"/>
              </w:rPr>
              <w:t>180元/台</w:t>
            </w:r>
          </w:p>
        </w:tc>
        <w:tc>
          <w:tcPr>
            <w:tcW w:w="1204" w:type="pct"/>
            <w:shd w:val="clear" w:color="auto" w:fill="FFFFFF"/>
            <w:noWrap/>
            <w:vAlign w:val="center"/>
          </w:tcPr>
          <w:p w14:paraId="73ED838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方正楷体_GBK" w:cs="方正楷体_GBK"/>
                <w:i w:val="0"/>
                <w:iCs w:val="0"/>
                <w:color w:val="000000"/>
                <w:sz w:val="20"/>
                <w:szCs w:val="20"/>
                <w:u w:val="none"/>
              </w:rPr>
            </w:pPr>
            <w:r>
              <w:rPr>
                <w:rFonts w:hint="eastAsia" w:ascii="Times New Roman" w:hAnsi="Times New Roman" w:eastAsia="方正楷体_GBK" w:cs="方正楷体_GBK"/>
                <w:i w:val="0"/>
                <w:iCs w:val="0"/>
                <w:color w:val="000000"/>
                <w:kern w:val="0"/>
                <w:sz w:val="20"/>
                <w:szCs w:val="20"/>
                <w:u w:val="none"/>
                <w:lang w:val="en-US" w:eastAsia="zh-CN" w:bidi="ar"/>
              </w:rPr>
              <w:t>60%</w:t>
            </w:r>
          </w:p>
        </w:tc>
        <w:tc>
          <w:tcPr>
            <w:tcW w:w="686" w:type="pct"/>
            <w:shd w:val="clear" w:color="auto" w:fill="FFFFFF"/>
            <w:vAlign w:val="center"/>
          </w:tcPr>
          <w:p w14:paraId="2F9F6C88">
            <w:pPr>
              <w:keepNext w:val="0"/>
              <w:keepLines w:val="0"/>
              <w:pageBreakBefore w:val="0"/>
              <w:widowControl/>
              <w:kinsoku/>
              <w:wordWrap/>
              <w:overflowPunct/>
              <w:topLinePunct w:val="0"/>
              <w:autoSpaceDE/>
              <w:autoSpaceDN/>
              <w:bidi w:val="0"/>
              <w:adjustRightInd/>
              <w:snapToGrid/>
              <w:spacing w:line="0" w:lineRule="atLeast"/>
              <w:jc w:val="center"/>
              <w:rPr>
                <w:rFonts w:hint="eastAsia" w:ascii="Times New Roman" w:hAnsi="Times New Roman" w:eastAsia="方正楷体_GBK" w:cs="方正楷体_GBK"/>
                <w:i w:val="0"/>
                <w:iCs w:val="0"/>
                <w:color w:val="000000"/>
                <w:sz w:val="20"/>
                <w:szCs w:val="20"/>
                <w:u w:val="none"/>
              </w:rPr>
            </w:pPr>
          </w:p>
        </w:tc>
      </w:tr>
      <w:tr w14:paraId="6C07A65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29" w:hRule="atLeast"/>
          <w:jc w:val="center"/>
        </w:trPr>
        <w:tc>
          <w:tcPr>
            <w:tcW w:w="229" w:type="pct"/>
            <w:vMerge w:val="continue"/>
            <w:shd w:val="clear" w:color="auto" w:fill="FFFFFF"/>
            <w:noWrap/>
            <w:vAlign w:val="center"/>
          </w:tcPr>
          <w:p w14:paraId="603694EB">
            <w:pPr>
              <w:keepNext w:val="0"/>
              <w:keepLines w:val="0"/>
              <w:pageBreakBefore w:val="0"/>
              <w:widowControl/>
              <w:kinsoku/>
              <w:wordWrap/>
              <w:overflowPunct/>
              <w:topLinePunct w:val="0"/>
              <w:autoSpaceDE/>
              <w:autoSpaceDN/>
              <w:bidi w:val="0"/>
              <w:adjustRightInd/>
              <w:snapToGrid/>
              <w:spacing w:line="0" w:lineRule="atLeast"/>
              <w:jc w:val="center"/>
              <w:rPr>
                <w:rFonts w:hint="eastAsia" w:ascii="Times New Roman" w:hAnsi="Times New Roman" w:eastAsia="方正楷体_GBK" w:cs="方正楷体_GBK"/>
                <w:i w:val="0"/>
                <w:iCs w:val="0"/>
                <w:color w:val="000000"/>
                <w:sz w:val="20"/>
                <w:szCs w:val="20"/>
                <w:u w:val="none"/>
              </w:rPr>
            </w:pPr>
          </w:p>
        </w:tc>
        <w:tc>
          <w:tcPr>
            <w:tcW w:w="367" w:type="pct"/>
            <w:vMerge w:val="continue"/>
            <w:shd w:val="clear" w:color="auto" w:fill="FFFFFF"/>
            <w:vAlign w:val="center"/>
          </w:tcPr>
          <w:p w14:paraId="5A1C36B3">
            <w:pPr>
              <w:keepNext w:val="0"/>
              <w:keepLines w:val="0"/>
              <w:pageBreakBefore w:val="0"/>
              <w:widowControl/>
              <w:kinsoku/>
              <w:wordWrap/>
              <w:overflowPunct/>
              <w:topLinePunct w:val="0"/>
              <w:autoSpaceDE/>
              <w:autoSpaceDN/>
              <w:bidi w:val="0"/>
              <w:adjustRightInd/>
              <w:snapToGrid/>
              <w:spacing w:line="0" w:lineRule="atLeast"/>
              <w:jc w:val="center"/>
              <w:rPr>
                <w:rFonts w:hint="eastAsia" w:ascii="Times New Roman" w:hAnsi="Times New Roman" w:eastAsia="方正楷体_GBK" w:cs="方正楷体_GBK"/>
                <w:i w:val="0"/>
                <w:iCs w:val="0"/>
                <w:color w:val="000000"/>
                <w:sz w:val="20"/>
                <w:szCs w:val="20"/>
                <w:u w:val="none"/>
              </w:rPr>
            </w:pPr>
          </w:p>
        </w:tc>
        <w:tc>
          <w:tcPr>
            <w:tcW w:w="1810" w:type="pct"/>
            <w:gridSpan w:val="2"/>
            <w:shd w:val="clear" w:color="auto" w:fill="FFFFFF"/>
            <w:vAlign w:val="center"/>
          </w:tcPr>
          <w:p w14:paraId="06FF348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方正楷体_GBK" w:cs="方正楷体_GBK"/>
                <w:i w:val="0"/>
                <w:iCs w:val="0"/>
                <w:color w:val="000000"/>
                <w:sz w:val="20"/>
                <w:szCs w:val="20"/>
                <w:u w:val="none"/>
              </w:rPr>
            </w:pPr>
            <w:r>
              <w:rPr>
                <w:rFonts w:hint="eastAsia" w:ascii="Times New Roman" w:hAnsi="Times New Roman" w:eastAsia="方正楷体_GBK" w:cs="方正楷体_GBK"/>
                <w:i w:val="0"/>
                <w:iCs w:val="0"/>
                <w:color w:val="000000"/>
                <w:kern w:val="0"/>
                <w:sz w:val="20"/>
                <w:szCs w:val="20"/>
                <w:u w:val="none"/>
                <w:lang w:val="en-US" w:eastAsia="zh-CN" w:bidi="ar"/>
              </w:rPr>
              <w:t>欧式、侧吸油烟机深度清洗</w:t>
            </w:r>
          </w:p>
        </w:tc>
        <w:tc>
          <w:tcPr>
            <w:tcW w:w="701" w:type="pct"/>
            <w:shd w:val="clear" w:color="auto" w:fill="FFFFFF"/>
            <w:noWrap/>
            <w:vAlign w:val="center"/>
          </w:tcPr>
          <w:p w14:paraId="5DF3DC6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方正楷体_GBK" w:cs="方正楷体_GBK"/>
                <w:i w:val="0"/>
                <w:iCs w:val="0"/>
                <w:color w:val="000000"/>
                <w:sz w:val="20"/>
                <w:szCs w:val="20"/>
                <w:u w:val="none"/>
              </w:rPr>
            </w:pPr>
            <w:r>
              <w:rPr>
                <w:rFonts w:hint="eastAsia" w:ascii="Times New Roman" w:hAnsi="Times New Roman" w:eastAsia="方正楷体_GBK" w:cs="方正楷体_GBK"/>
                <w:i w:val="0"/>
                <w:iCs w:val="0"/>
                <w:color w:val="000000"/>
                <w:kern w:val="0"/>
                <w:sz w:val="20"/>
                <w:szCs w:val="20"/>
                <w:u w:val="none"/>
                <w:lang w:val="en-US" w:eastAsia="zh-CN" w:bidi="ar"/>
              </w:rPr>
              <w:t>180元/台</w:t>
            </w:r>
          </w:p>
        </w:tc>
        <w:tc>
          <w:tcPr>
            <w:tcW w:w="1204" w:type="pct"/>
            <w:shd w:val="clear" w:color="auto" w:fill="FFFFFF"/>
            <w:noWrap/>
            <w:vAlign w:val="center"/>
          </w:tcPr>
          <w:p w14:paraId="7A6B796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方正楷体_GBK" w:cs="方正楷体_GBK"/>
                <w:i w:val="0"/>
                <w:iCs w:val="0"/>
                <w:color w:val="000000"/>
                <w:sz w:val="20"/>
                <w:szCs w:val="20"/>
                <w:u w:val="none"/>
              </w:rPr>
            </w:pPr>
            <w:r>
              <w:rPr>
                <w:rFonts w:hint="eastAsia" w:ascii="Times New Roman" w:hAnsi="Times New Roman" w:eastAsia="方正楷体_GBK" w:cs="方正楷体_GBK"/>
                <w:i w:val="0"/>
                <w:iCs w:val="0"/>
                <w:color w:val="000000"/>
                <w:kern w:val="0"/>
                <w:sz w:val="20"/>
                <w:szCs w:val="20"/>
                <w:u w:val="none"/>
                <w:lang w:val="en-US" w:eastAsia="zh-CN" w:bidi="ar"/>
              </w:rPr>
              <w:t>60%</w:t>
            </w:r>
          </w:p>
        </w:tc>
        <w:tc>
          <w:tcPr>
            <w:tcW w:w="686" w:type="pct"/>
            <w:shd w:val="clear" w:color="auto" w:fill="FFFFFF"/>
            <w:noWrap/>
            <w:vAlign w:val="center"/>
          </w:tcPr>
          <w:p w14:paraId="50652C49">
            <w:pPr>
              <w:keepNext w:val="0"/>
              <w:keepLines w:val="0"/>
              <w:pageBreakBefore w:val="0"/>
              <w:widowControl/>
              <w:kinsoku/>
              <w:wordWrap/>
              <w:overflowPunct/>
              <w:topLinePunct w:val="0"/>
              <w:autoSpaceDE/>
              <w:autoSpaceDN/>
              <w:bidi w:val="0"/>
              <w:adjustRightInd/>
              <w:snapToGrid/>
              <w:spacing w:line="0" w:lineRule="atLeast"/>
              <w:jc w:val="center"/>
              <w:rPr>
                <w:rFonts w:hint="eastAsia" w:ascii="Times New Roman" w:hAnsi="Times New Roman" w:eastAsia="方正楷体_GBK" w:cs="方正楷体_GBK"/>
                <w:i w:val="0"/>
                <w:iCs w:val="0"/>
                <w:color w:val="000000"/>
                <w:sz w:val="20"/>
                <w:szCs w:val="20"/>
                <w:u w:val="none"/>
              </w:rPr>
            </w:pPr>
          </w:p>
        </w:tc>
      </w:tr>
      <w:tr w14:paraId="278DAB3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229" w:type="pct"/>
            <w:vMerge w:val="continue"/>
            <w:shd w:val="clear" w:color="auto" w:fill="FFFFFF"/>
            <w:noWrap/>
            <w:vAlign w:val="center"/>
          </w:tcPr>
          <w:p w14:paraId="0F4B7F01">
            <w:pPr>
              <w:keepNext w:val="0"/>
              <w:keepLines w:val="0"/>
              <w:pageBreakBefore w:val="0"/>
              <w:widowControl/>
              <w:kinsoku/>
              <w:wordWrap/>
              <w:overflowPunct/>
              <w:topLinePunct w:val="0"/>
              <w:autoSpaceDE/>
              <w:autoSpaceDN/>
              <w:bidi w:val="0"/>
              <w:adjustRightInd/>
              <w:snapToGrid/>
              <w:spacing w:line="0" w:lineRule="atLeast"/>
              <w:jc w:val="center"/>
              <w:rPr>
                <w:rFonts w:hint="eastAsia" w:ascii="Times New Roman" w:hAnsi="Times New Roman" w:eastAsia="方正楷体_GBK" w:cs="方正楷体_GBK"/>
                <w:i w:val="0"/>
                <w:iCs w:val="0"/>
                <w:color w:val="000000"/>
                <w:sz w:val="20"/>
                <w:szCs w:val="20"/>
                <w:u w:val="none"/>
              </w:rPr>
            </w:pPr>
          </w:p>
        </w:tc>
        <w:tc>
          <w:tcPr>
            <w:tcW w:w="367" w:type="pct"/>
            <w:vMerge w:val="continue"/>
            <w:shd w:val="clear" w:color="auto" w:fill="FFFFFF"/>
            <w:vAlign w:val="center"/>
          </w:tcPr>
          <w:p w14:paraId="7ACF6E37">
            <w:pPr>
              <w:keepNext w:val="0"/>
              <w:keepLines w:val="0"/>
              <w:pageBreakBefore w:val="0"/>
              <w:widowControl/>
              <w:kinsoku/>
              <w:wordWrap/>
              <w:overflowPunct/>
              <w:topLinePunct w:val="0"/>
              <w:autoSpaceDE/>
              <w:autoSpaceDN/>
              <w:bidi w:val="0"/>
              <w:adjustRightInd/>
              <w:snapToGrid/>
              <w:spacing w:line="0" w:lineRule="atLeast"/>
              <w:jc w:val="center"/>
              <w:rPr>
                <w:rFonts w:hint="eastAsia" w:ascii="Times New Roman" w:hAnsi="Times New Roman" w:eastAsia="方正楷体_GBK" w:cs="方正楷体_GBK"/>
                <w:i w:val="0"/>
                <w:iCs w:val="0"/>
                <w:color w:val="000000"/>
                <w:sz w:val="20"/>
                <w:szCs w:val="20"/>
                <w:u w:val="none"/>
              </w:rPr>
            </w:pPr>
          </w:p>
        </w:tc>
        <w:tc>
          <w:tcPr>
            <w:tcW w:w="1810" w:type="pct"/>
            <w:gridSpan w:val="2"/>
            <w:shd w:val="clear" w:color="auto" w:fill="FFFFFF"/>
            <w:vAlign w:val="center"/>
          </w:tcPr>
          <w:p w14:paraId="50F44C1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方正楷体_GBK" w:cs="方正楷体_GBK"/>
                <w:i w:val="0"/>
                <w:iCs w:val="0"/>
                <w:color w:val="000000"/>
                <w:sz w:val="20"/>
                <w:szCs w:val="20"/>
                <w:u w:val="none"/>
              </w:rPr>
            </w:pPr>
            <w:r>
              <w:rPr>
                <w:rFonts w:hint="eastAsia" w:ascii="Times New Roman" w:hAnsi="Times New Roman" w:eastAsia="方正楷体_GBK" w:cs="方正楷体_GBK"/>
                <w:i w:val="0"/>
                <w:iCs w:val="0"/>
                <w:color w:val="000000"/>
                <w:kern w:val="0"/>
                <w:sz w:val="20"/>
                <w:szCs w:val="20"/>
                <w:u w:val="none"/>
                <w:lang w:val="en-US" w:eastAsia="zh-CN" w:bidi="ar"/>
              </w:rPr>
              <w:t>挂壁空调深度清洗</w:t>
            </w:r>
          </w:p>
        </w:tc>
        <w:tc>
          <w:tcPr>
            <w:tcW w:w="701" w:type="pct"/>
            <w:shd w:val="clear" w:color="auto" w:fill="FFFFFF"/>
            <w:vAlign w:val="center"/>
          </w:tcPr>
          <w:p w14:paraId="5894A3D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方正楷体_GBK" w:cs="方正楷体_GBK"/>
                <w:i w:val="0"/>
                <w:iCs w:val="0"/>
                <w:color w:val="000000"/>
                <w:sz w:val="20"/>
                <w:szCs w:val="20"/>
                <w:u w:val="none"/>
              </w:rPr>
            </w:pPr>
            <w:r>
              <w:rPr>
                <w:rFonts w:hint="eastAsia" w:ascii="Times New Roman" w:hAnsi="Times New Roman" w:eastAsia="方正楷体_GBK" w:cs="方正楷体_GBK"/>
                <w:i w:val="0"/>
                <w:iCs w:val="0"/>
                <w:color w:val="000000"/>
                <w:kern w:val="0"/>
                <w:sz w:val="20"/>
                <w:szCs w:val="20"/>
                <w:u w:val="none"/>
                <w:lang w:val="en-US" w:eastAsia="zh-CN" w:bidi="ar"/>
              </w:rPr>
              <w:t>80元/只</w:t>
            </w:r>
          </w:p>
        </w:tc>
        <w:tc>
          <w:tcPr>
            <w:tcW w:w="1204" w:type="pct"/>
            <w:shd w:val="clear" w:color="auto" w:fill="FFFFFF"/>
            <w:noWrap/>
            <w:vAlign w:val="center"/>
          </w:tcPr>
          <w:p w14:paraId="2169E4C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方正楷体_GBK" w:cs="方正楷体_GBK"/>
                <w:i w:val="0"/>
                <w:iCs w:val="0"/>
                <w:color w:val="000000"/>
                <w:sz w:val="20"/>
                <w:szCs w:val="20"/>
                <w:u w:val="none"/>
              </w:rPr>
            </w:pPr>
            <w:r>
              <w:rPr>
                <w:rFonts w:hint="eastAsia" w:ascii="Times New Roman" w:hAnsi="Times New Roman" w:eastAsia="方正楷体_GBK" w:cs="方正楷体_GBK"/>
                <w:i w:val="0"/>
                <w:iCs w:val="0"/>
                <w:color w:val="000000"/>
                <w:kern w:val="0"/>
                <w:sz w:val="20"/>
                <w:szCs w:val="20"/>
                <w:u w:val="none"/>
                <w:lang w:val="en-US" w:eastAsia="zh-CN" w:bidi="ar"/>
              </w:rPr>
              <w:t>60%</w:t>
            </w:r>
          </w:p>
        </w:tc>
        <w:tc>
          <w:tcPr>
            <w:tcW w:w="686" w:type="pct"/>
            <w:shd w:val="clear" w:color="auto" w:fill="FFFFFF"/>
            <w:noWrap/>
            <w:vAlign w:val="center"/>
          </w:tcPr>
          <w:p w14:paraId="11650509">
            <w:pPr>
              <w:keepNext w:val="0"/>
              <w:keepLines w:val="0"/>
              <w:pageBreakBefore w:val="0"/>
              <w:widowControl/>
              <w:kinsoku/>
              <w:wordWrap/>
              <w:overflowPunct/>
              <w:topLinePunct w:val="0"/>
              <w:autoSpaceDE/>
              <w:autoSpaceDN/>
              <w:bidi w:val="0"/>
              <w:adjustRightInd/>
              <w:snapToGrid/>
              <w:spacing w:line="0" w:lineRule="atLeast"/>
              <w:jc w:val="center"/>
              <w:rPr>
                <w:rFonts w:hint="eastAsia" w:ascii="Times New Roman" w:hAnsi="Times New Roman" w:eastAsia="方正楷体_GBK" w:cs="方正楷体_GBK"/>
                <w:i w:val="0"/>
                <w:iCs w:val="0"/>
                <w:color w:val="000000"/>
                <w:sz w:val="20"/>
                <w:szCs w:val="20"/>
                <w:u w:val="none"/>
              </w:rPr>
            </w:pPr>
          </w:p>
        </w:tc>
      </w:tr>
      <w:tr w14:paraId="26762E2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229" w:type="pct"/>
            <w:vMerge w:val="continue"/>
            <w:shd w:val="clear" w:color="auto" w:fill="FFFFFF"/>
            <w:noWrap/>
            <w:vAlign w:val="center"/>
          </w:tcPr>
          <w:p w14:paraId="3DEBB7CC">
            <w:pPr>
              <w:keepNext w:val="0"/>
              <w:keepLines w:val="0"/>
              <w:pageBreakBefore w:val="0"/>
              <w:widowControl/>
              <w:kinsoku/>
              <w:wordWrap/>
              <w:overflowPunct/>
              <w:topLinePunct w:val="0"/>
              <w:autoSpaceDE/>
              <w:autoSpaceDN/>
              <w:bidi w:val="0"/>
              <w:adjustRightInd/>
              <w:snapToGrid/>
              <w:spacing w:line="0" w:lineRule="atLeast"/>
              <w:jc w:val="center"/>
              <w:rPr>
                <w:rFonts w:hint="eastAsia" w:ascii="Times New Roman" w:hAnsi="Times New Roman" w:eastAsia="方正楷体_GBK" w:cs="方正楷体_GBK"/>
                <w:i w:val="0"/>
                <w:iCs w:val="0"/>
                <w:color w:val="000000"/>
                <w:sz w:val="20"/>
                <w:szCs w:val="20"/>
                <w:u w:val="none"/>
              </w:rPr>
            </w:pPr>
          </w:p>
        </w:tc>
        <w:tc>
          <w:tcPr>
            <w:tcW w:w="367" w:type="pct"/>
            <w:vMerge w:val="continue"/>
            <w:shd w:val="clear" w:color="auto" w:fill="FFFFFF"/>
            <w:vAlign w:val="center"/>
          </w:tcPr>
          <w:p w14:paraId="67654F50">
            <w:pPr>
              <w:keepNext w:val="0"/>
              <w:keepLines w:val="0"/>
              <w:pageBreakBefore w:val="0"/>
              <w:widowControl/>
              <w:kinsoku/>
              <w:wordWrap/>
              <w:overflowPunct/>
              <w:topLinePunct w:val="0"/>
              <w:autoSpaceDE/>
              <w:autoSpaceDN/>
              <w:bidi w:val="0"/>
              <w:adjustRightInd/>
              <w:snapToGrid/>
              <w:spacing w:line="0" w:lineRule="atLeast"/>
              <w:jc w:val="center"/>
              <w:rPr>
                <w:rFonts w:hint="eastAsia" w:ascii="Times New Roman" w:hAnsi="Times New Roman" w:eastAsia="方正楷体_GBK" w:cs="方正楷体_GBK"/>
                <w:i w:val="0"/>
                <w:iCs w:val="0"/>
                <w:color w:val="000000"/>
                <w:sz w:val="20"/>
                <w:szCs w:val="20"/>
                <w:u w:val="none"/>
              </w:rPr>
            </w:pPr>
          </w:p>
        </w:tc>
        <w:tc>
          <w:tcPr>
            <w:tcW w:w="1810" w:type="pct"/>
            <w:gridSpan w:val="2"/>
            <w:shd w:val="clear" w:color="auto" w:fill="FFFFFF"/>
            <w:vAlign w:val="center"/>
          </w:tcPr>
          <w:p w14:paraId="058FE59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方正楷体_GBK" w:cs="方正楷体_GBK"/>
                <w:i w:val="0"/>
                <w:iCs w:val="0"/>
                <w:color w:val="000000"/>
                <w:sz w:val="20"/>
                <w:szCs w:val="20"/>
                <w:u w:val="none"/>
              </w:rPr>
            </w:pPr>
            <w:r>
              <w:rPr>
                <w:rFonts w:hint="eastAsia" w:ascii="Times New Roman" w:hAnsi="Times New Roman" w:eastAsia="方正楷体_GBK" w:cs="方正楷体_GBK"/>
                <w:i w:val="0"/>
                <w:iCs w:val="0"/>
                <w:color w:val="000000"/>
                <w:kern w:val="0"/>
                <w:sz w:val="20"/>
                <w:szCs w:val="20"/>
                <w:u w:val="none"/>
                <w:lang w:val="en-US" w:eastAsia="zh-CN" w:bidi="ar"/>
              </w:rPr>
              <w:t>柜机/圆柱空调深度清洗</w:t>
            </w:r>
          </w:p>
        </w:tc>
        <w:tc>
          <w:tcPr>
            <w:tcW w:w="701" w:type="pct"/>
            <w:shd w:val="clear" w:color="auto" w:fill="FFFFFF"/>
            <w:vAlign w:val="center"/>
          </w:tcPr>
          <w:p w14:paraId="342D2ED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方正楷体_GBK" w:cs="方正楷体_GBK"/>
                <w:i w:val="0"/>
                <w:iCs w:val="0"/>
                <w:color w:val="000000"/>
                <w:sz w:val="20"/>
                <w:szCs w:val="20"/>
                <w:u w:val="none"/>
              </w:rPr>
            </w:pPr>
            <w:r>
              <w:rPr>
                <w:rFonts w:hint="eastAsia" w:ascii="Times New Roman" w:hAnsi="Times New Roman" w:eastAsia="方正楷体_GBK" w:cs="方正楷体_GBK"/>
                <w:i w:val="0"/>
                <w:iCs w:val="0"/>
                <w:color w:val="000000"/>
                <w:kern w:val="0"/>
                <w:sz w:val="20"/>
                <w:szCs w:val="20"/>
                <w:u w:val="none"/>
                <w:lang w:val="en-US" w:eastAsia="zh-CN" w:bidi="ar"/>
              </w:rPr>
              <w:t>150元/套</w:t>
            </w:r>
          </w:p>
        </w:tc>
        <w:tc>
          <w:tcPr>
            <w:tcW w:w="1204" w:type="pct"/>
            <w:shd w:val="clear" w:color="auto" w:fill="FFFFFF"/>
            <w:noWrap/>
            <w:vAlign w:val="center"/>
          </w:tcPr>
          <w:p w14:paraId="0F2304C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方正楷体_GBK" w:cs="方正楷体_GBK"/>
                <w:i w:val="0"/>
                <w:iCs w:val="0"/>
                <w:color w:val="000000"/>
                <w:sz w:val="20"/>
                <w:szCs w:val="20"/>
                <w:u w:val="none"/>
              </w:rPr>
            </w:pPr>
            <w:r>
              <w:rPr>
                <w:rFonts w:hint="eastAsia" w:ascii="Times New Roman" w:hAnsi="Times New Roman" w:eastAsia="方正楷体_GBK" w:cs="方正楷体_GBK"/>
                <w:i w:val="0"/>
                <w:iCs w:val="0"/>
                <w:color w:val="000000"/>
                <w:kern w:val="0"/>
                <w:sz w:val="20"/>
                <w:szCs w:val="20"/>
                <w:u w:val="none"/>
                <w:lang w:val="en-US" w:eastAsia="zh-CN" w:bidi="ar"/>
              </w:rPr>
              <w:t>60%</w:t>
            </w:r>
          </w:p>
        </w:tc>
        <w:tc>
          <w:tcPr>
            <w:tcW w:w="686" w:type="pct"/>
            <w:shd w:val="clear" w:color="auto" w:fill="FFFFFF"/>
            <w:noWrap/>
            <w:vAlign w:val="center"/>
          </w:tcPr>
          <w:p w14:paraId="2CBCA983">
            <w:pPr>
              <w:keepNext w:val="0"/>
              <w:keepLines w:val="0"/>
              <w:pageBreakBefore w:val="0"/>
              <w:widowControl/>
              <w:kinsoku/>
              <w:wordWrap/>
              <w:overflowPunct/>
              <w:topLinePunct w:val="0"/>
              <w:autoSpaceDE/>
              <w:autoSpaceDN/>
              <w:bidi w:val="0"/>
              <w:adjustRightInd/>
              <w:snapToGrid/>
              <w:spacing w:line="0" w:lineRule="atLeast"/>
              <w:jc w:val="center"/>
              <w:rPr>
                <w:rFonts w:hint="eastAsia" w:ascii="Times New Roman" w:hAnsi="Times New Roman" w:eastAsia="方正楷体_GBK" w:cs="方正楷体_GBK"/>
                <w:i w:val="0"/>
                <w:iCs w:val="0"/>
                <w:color w:val="000000"/>
                <w:sz w:val="20"/>
                <w:szCs w:val="20"/>
                <w:u w:val="none"/>
              </w:rPr>
            </w:pPr>
          </w:p>
        </w:tc>
      </w:tr>
      <w:tr w14:paraId="71914C4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29" w:hRule="atLeast"/>
          <w:jc w:val="center"/>
        </w:trPr>
        <w:tc>
          <w:tcPr>
            <w:tcW w:w="229" w:type="pct"/>
            <w:vMerge w:val="continue"/>
            <w:shd w:val="clear" w:color="auto" w:fill="FFFFFF"/>
            <w:noWrap/>
            <w:vAlign w:val="center"/>
          </w:tcPr>
          <w:p w14:paraId="5520A2B5">
            <w:pPr>
              <w:keepNext w:val="0"/>
              <w:keepLines w:val="0"/>
              <w:pageBreakBefore w:val="0"/>
              <w:widowControl/>
              <w:kinsoku/>
              <w:wordWrap/>
              <w:overflowPunct/>
              <w:topLinePunct w:val="0"/>
              <w:autoSpaceDE/>
              <w:autoSpaceDN/>
              <w:bidi w:val="0"/>
              <w:adjustRightInd/>
              <w:snapToGrid/>
              <w:spacing w:line="0" w:lineRule="atLeast"/>
              <w:jc w:val="center"/>
              <w:rPr>
                <w:rFonts w:hint="eastAsia" w:ascii="Times New Roman" w:hAnsi="Times New Roman" w:eastAsia="方正楷体_GBK" w:cs="方正楷体_GBK"/>
                <w:i w:val="0"/>
                <w:iCs w:val="0"/>
                <w:color w:val="000000"/>
                <w:sz w:val="20"/>
                <w:szCs w:val="20"/>
                <w:u w:val="none"/>
              </w:rPr>
            </w:pPr>
          </w:p>
        </w:tc>
        <w:tc>
          <w:tcPr>
            <w:tcW w:w="367" w:type="pct"/>
            <w:vMerge w:val="continue"/>
            <w:shd w:val="clear" w:color="auto" w:fill="FFFFFF"/>
            <w:vAlign w:val="center"/>
          </w:tcPr>
          <w:p w14:paraId="58B4D639">
            <w:pPr>
              <w:keepNext w:val="0"/>
              <w:keepLines w:val="0"/>
              <w:pageBreakBefore w:val="0"/>
              <w:widowControl/>
              <w:kinsoku/>
              <w:wordWrap/>
              <w:overflowPunct/>
              <w:topLinePunct w:val="0"/>
              <w:autoSpaceDE/>
              <w:autoSpaceDN/>
              <w:bidi w:val="0"/>
              <w:adjustRightInd/>
              <w:snapToGrid/>
              <w:spacing w:line="0" w:lineRule="atLeast"/>
              <w:jc w:val="center"/>
              <w:rPr>
                <w:rFonts w:hint="eastAsia" w:ascii="Times New Roman" w:hAnsi="Times New Roman" w:eastAsia="方正楷体_GBK" w:cs="方正楷体_GBK"/>
                <w:i w:val="0"/>
                <w:iCs w:val="0"/>
                <w:color w:val="000000"/>
                <w:sz w:val="20"/>
                <w:szCs w:val="20"/>
                <w:u w:val="none"/>
              </w:rPr>
            </w:pPr>
          </w:p>
        </w:tc>
        <w:tc>
          <w:tcPr>
            <w:tcW w:w="1810" w:type="pct"/>
            <w:gridSpan w:val="2"/>
            <w:shd w:val="clear" w:color="auto" w:fill="FFFFFF"/>
            <w:vAlign w:val="center"/>
          </w:tcPr>
          <w:p w14:paraId="5EDE4E5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方正楷体_GBK" w:cs="方正楷体_GBK"/>
                <w:i w:val="0"/>
                <w:iCs w:val="0"/>
                <w:color w:val="000000"/>
                <w:sz w:val="20"/>
                <w:szCs w:val="20"/>
                <w:u w:val="none"/>
              </w:rPr>
            </w:pPr>
            <w:r>
              <w:rPr>
                <w:rFonts w:hint="eastAsia" w:ascii="Times New Roman" w:hAnsi="Times New Roman" w:eastAsia="方正楷体_GBK" w:cs="方正楷体_GBK"/>
                <w:i w:val="0"/>
                <w:iCs w:val="0"/>
                <w:color w:val="000000"/>
                <w:kern w:val="0"/>
                <w:sz w:val="20"/>
                <w:szCs w:val="20"/>
                <w:u w:val="none"/>
                <w:lang w:val="en-US" w:eastAsia="zh-CN" w:bidi="ar"/>
              </w:rPr>
              <w:t>中央空调深度清洗</w:t>
            </w:r>
          </w:p>
        </w:tc>
        <w:tc>
          <w:tcPr>
            <w:tcW w:w="701" w:type="pct"/>
            <w:shd w:val="clear" w:color="auto" w:fill="FFFFFF"/>
            <w:noWrap/>
            <w:vAlign w:val="center"/>
          </w:tcPr>
          <w:p w14:paraId="4DAC0D1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方正楷体_GBK" w:cs="方正楷体_GBK"/>
                <w:i w:val="0"/>
                <w:iCs w:val="0"/>
                <w:color w:val="000000"/>
                <w:sz w:val="20"/>
                <w:szCs w:val="20"/>
                <w:u w:val="none"/>
              </w:rPr>
            </w:pPr>
            <w:r>
              <w:rPr>
                <w:rFonts w:hint="eastAsia" w:ascii="Times New Roman" w:hAnsi="Times New Roman" w:eastAsia="方正楷体_GBK" w:cs="方正楷体_GBK"/>
                <w:i w:val="0"/>
                <w:iCs w:val="0"/>
                <w:color w:val="000000"/>
                <w:kern w:val="0"/>
                <w:sz w:val="20"/>
                <w:szCs w:val="20"/>
                <w:u w:val="none"/>
                <w:lang w:val="en-US" w:eastAsia="zh-CN" w:bidi="ar"/>
              </w:rPr>
              <w:t>100元/组</w:t>
            </w:r>
          </w:p>
        </w:tc>
        <w:tc>
          <w:tcPr>
            <w:tcW w:w="1204" w:type="pct"/>
            <w:shd w:val="clear" w:color="auto" w:fill="FFFFFF"/>
            <w:noWrap/>
            <w:vAlign w:val="center"/>
          </w:tcPr>
          <w:p w14:paraId="56201A1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方正楷体_GBK" w:cs="方正楷体_GBK"/>
                <w:i w:val="0"/>
                <w:iCs w:val="0"/>
                <w:color w:val="000000"/>
                <w:sz w:val="20"/>
                <w:szCs w:val="20"/>
                <w:u w:val="none"/>
              </w:rPr>
            </w:pPr>
            <w:r>
              <w:rPr>
                <w:rFonts w:hint="eastAsia" w:ascii="Times New Roman" w:hAnsi="Times New Roman" w:eastAsia="方正楷体_GBK" w:cs="方正楷体_GBK"/>
                <w:i w:val="0"/>
                <w:iCs w:val="0"/>
                <w:color w:val="000000"/>
                <w:kern w:val="0"/>
                <w:sz w:val="20"/>
                <w:szCs w:val="20"/>
                <w:u w:val="none"/>
                <w:lang w:val="en-US" w:eastAsia="zh-CN" w:bidi="ar"/>
              </w:rPr>
              <w:t>60%</w:t>
            </w:r>
          </w:p>
        </w:tc>
        <w:tc>
          <w:tcPr>
            <w:tcW w:w="686" w:type="pct"/>
            <w:shd w:val="clear" w:color="auto" w:fill="FFFFFF"/>
            <w:noWrap/>
            <w:vAlign w:val="center"/>
          </w:tcPr>
          <w:p w14:paraId="70BF6E42">
            <w:pPr>
              <w:keepNext w:val="0"/>
              <w:keepLines w:val="0"/>
              <w:pageBreakBefore w:val="0"/>
              <w:widowControl/>
              <w:kinsoku/>
              <w:wordWrap/>
              <w:overflowPunct/>
              <w:topLinePunct w:val="0"/>
              <w:autoSpaceDE/>
              <w:autoSpaceDN/>
              <w:bidi w:val="0"/>
              <w:adjustRightInd/>
              <w:snapToGrid/>
              <w:spacing w:line="0" w:lineRule="atLeast"/>
              <w:jc w:val="center"/>
              <w:rPr>
                <w:rFonts w:hint="eastAsia" w:ascii="Times New Roman" w:hAnsi="Times New Roman" w:eastAsia="方正楷体_GBK" w:cs="方正楷体_GBK"/>
                <w:i w:val="0"/>
                <w:iCs w:val="0"/>
                <w:color w:val="000000"/>
                <w:sz w:val="20"/>
                <w:szCs w:val="20"/>
                <w:u w:val="none"/>
              </w:rPr>
            </w:pPr>
          </w:p>
        </w:tc>
      </w:tr>
      <w:tr w14:paraId="1785E37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29" w:hRule="atLeast"/>
          <w:jc w:val="center"/>
        </w:trPr>
        <w:tc>
          <w:tcPr>
            <w:tcW w:w="229" w:type="pct"/>
            <w:vMerge w:val="continue"/>
            <w:shd w:val="clear" w:color="auto" w:fill="FFFFFF"/>
            <w:noWrap/>
            <w:vAlign w:val="center"/>
          </w:tcPr>
          <w:p w14:paraId="7AC838F2">
            <w:pPr>
              <w:keepNext w:val="0"/>
              <w:keepLines w:val="0"/>
              <w:pageBreakBefore w:val="0"/>
              <w:widowControl/>
              <w:kinsoku/>
              <w:wordWrap/>
              <w:overflowPunct/>
              <w:topLinePunct w:val="0"/>
              <w:autoSpaceDE/>
              <w:autoSpaceDN/>
              <w:bidi w:val="0"/>
              <w:adjustRightInd/>
              <w:snapToGrid/>
              <w:spacing w:line="0" w:lineRule="atLeast"/>
              <w:jc w:val="center"/>
              <w:rPr>
                <w:rFonts w:hint="eastAsia" w:ascii="Times New Roman" w:hAnsi="Times New Roman" w:eastAsia="方正楷体_GBK" w:cs="方正楷体_GBK"/>
                <w:i w:val="0"/>
                <w:iCs w:val="0"/>
                <w:color w:val="000000"/>
                <w:sz w:val="20"/>
                <w:szCs w:val="20"/>
                <w:u w:val="none"/>
              </w:rPr>
            </w:pPr>
          </w:p>
        </w:tc>
        <w:tc>
          <w:tcPr>
            <w:tcW w:w="367" w:type="pct"/>
            <w:vMerge w:val="continue"/>
            <w:shd w:val="clear" w:color="auto" w:fill="FFFFFF"/>
            <w:vAlign w:val="center"/>
          </w:tcPr>
          <w:p w14:paraId="325138DE">
            <w:pPr>
              <w:keepNext w:val="0"/>
              <w:keepLines w:val="0"/>
              <w:pageBreakBefore w:val="0"/>
              <w:widowControl/>
              <w:kinsoku/>
              <w:wordWrap/>
              <w:overflowPunct/>
              <w:topLinePunct w:val="0"/>
              <w:autoSpaceDE/>
              <w:autoSpaceDN/>
              <w:bidi w:val="0"/>
              <w:adjustRightInd/>
              <w:snapToGrid/>
              <w:spacing w:line="0" w:lineRule="atLeast"/>
              <w:jc w:val="center"/>
              <w:rPr>
                <w:rFonts w:hint="eastAsia" w:ascii="Times New Roman" w:hAnsi="Times New Roman" w:eastAsia="方正楷体_GBK" w:cs="方正楷体_GBK"/>
                <w:i w:val="0"/>
                <w:iCs w:val="0"/>
                <w:color w:val="000000"/>
                <w:sz w:val="20"/>
                <w:szCs w:val="20"/>
                <w:u w:val="none"/>
              </w:rPr>
            </w:pPr>
          </w:p>
        </w:tc>
        <w:tc>
          <w:tcPr>
            <w:tcW w:w="1810" w:type="pct"/>
            <w:gridSpan w:val="2"/>
            <w:shd w:val="clear" w:color="auto" w:fill="FFFFFF"/>
            <w:vAlign w:val="center"/>
          </w:tcPr>
          <w:p w14:paraId="1C91BAC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方正楷体_GBK" w:cs="方正楷体_GBK"/>
                <w:i w:val="0"/>
                <w:iCs w:val="0"/>
                <w:color w:val="000000"/>
                <w:sz w:val="20"/>
                <w:szCs w:val="20"/>
                <w:u w:val="none"/>
              </w:rPr>
            </w:pPr>
            <w:r>
              <w:rPr>
                <w:rFonts w:hint="eastAsia" w:ascii="Times New Roman" w:hAnsi="Times New Roman" w:eastAsia="方正楷体_GBK" w:cs="方正楷体_GBK"/>
                <w:i w:val="0"/>
                <w:iCs w:val="0"/>
                <w:color w:val="000000"/>
                <w:kern w:val="0"/>
                <w:sz w:val="20"/>
                <w:szCs w:val="20"/>
                <w:u w:val="none"/>
                <w:lang w:val="en-US" w:eastAsia="zh-CN" w:bidi="ar"/>
              </w:rPr>
              <w:t>电热水器非拆清洗</w:t>
            </w:r>
          </w:p>
        </w:tc>
        <w:tc>
          <w:tcPr>
            <w:tcW w:w="701" w:type="pct"/>
            <w:shd w:val="clear" w:color="auto" w:fill="FFFFFF"/>
            <w:vAlign w:val="center"/>
          </w:tcPr>
          <w:p w14:paraId="140B087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方正楷体_GBK" w:cs="方正楷体_GBK"/>
                <w:i w:val="0"/>
                <w:iCs w:val="0"/>
                <w:color w:val="000000"/>
                <w:sz w:val="20"/>
                <w:szCs w:val="20"/>
                <w:u w:val="none"/>
              </w:rPr>
            </w:pPr>
            <w:r>
              <w:rPr>
                <w:rFonts w:hint="eastAsia" w:ascii="Times New Roman" w:hAnsi="Times New Roman" w:eastAsia="方正楷体_GBK" w:cs="方正楷体_GBK"/>
                <w:i w:val="0"/>
                <w:iCs w:val="0"/>
                <w:color w:val="000000"/>
                <w:kern w:val="0"/>
                <w:sz w:val="20"/>
                <w:szCs w:val="20"/>
                <w:u w:val="none"/>
                <w:lang w:val="en-US" w:eastAsia="zh-CN" w:bidi="ar"/>
              </w:rPr>
              <w:t>100元/台</w:t>
            </w:r>
          </w:p>
        </w:tc>
        <w:tc>
          <w:tcPr>
            <w:tcW w:w="1204" w:type="pct"/>
            <w:shd w:val="clear" w:color="auto" w:fill="FFFFFF"/>
            <w:noWrap/>
            <w:vAlign w:val="center"/>
          </w:tcPr>
          <w:p w14:paraId="292920A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方正楷体_GBK" w:cs="方正楷体_GBK"/>
                <w:i w:val="0"/>
                <w:iCs w:val="0"/>
                <w:color w:val="000000"/>
                <w:sz w:val="20"/>
                <w:szCs w:val="20"/>
                <w:u w:val="none"/>
              </w:rPr>
            </w:pPr>
            <w:r>
              <w:rPr>
                <w:rFonts w:hint="eastAsia" w:ascii="Times New Roman" w:hAnsi="Times New Roman" w:eastAsia="方正楷体_GBK" w:cs="方正楷体_GBK"/>
                <w:i w:val="0"/>
                <w:iCs w:val="0"/>
                <w:color w:val="000000"/>
                <w:kern w:val="0"/>
                <w:sz w:val="20"/>
                <w:szCs w:val="20"/>
                <w:u w:val="none"/>
                <w:lang w:val="en-US" w:eastAsia="zh-CN" w:bidi="ar"/>
              </w:rPr>
              <w:t>60%</w:t>
            </w:r>
          </w:p>
        </w:tc>
        <w:tc>
          <w:tcPr>
            <w:tcW w:w="686" w:type="pct"/>
            <w:shd w:val="clear" w:color="auto" w:fill="FFFFFF"/>
            <w:vAlign w:val="center"/>
          </w:tcPr>
          <w:p w14:paraId="4CAE8C35">
            <w:pPr>
              <w:keepNext w:val="0"/>
              <w:keepLines w:val="0"/>
              <w:pageBreakBefore w:val="0"/>
              <w:widowControl/>
              <w:kinsoku/>
              <w:wordWrap/>
              <w:overflowPunct/>
              <w:topLinePunct w:val="0"/>
              <w:autoSpaceDE/>
              <w:autoSpaceDN/>
              <w:bidi w:val="0"/>
              <w:adjustRightInd/>
              <w:snapToGrid/>
              <w:spacing w:line="0" w:lineRule="atLeast"/>
              <w:jc w:val="center"/>
              <w:rPr>
                <w:rFonts w:hint="eastAsia" w:ascii="Times New Roman" w:hAnsi="Times New Roman" w:eastAsia="方正楷体_GBK" w:cs="方正楷体_GBK"/>
                <w:i w:val="0"/>
                <w:iCs w:val="0"/>
                <w:color w:val="000000"/>
                <w:sz w:val="20"/>
                <w:szCs w:val="20"/>
                <w:u w:val="none"/>
              </w:rPr>
            </w:pPr>
          </w:p>
        </w:tc>
      </w:tr>
      <w:tr w14:paraId="7E619B3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29" w:hRule="atLeast"/>
          <w:jc w:val="center"/>
        </w:trPr>
        <w:tc>
          <w:tcPr>
            <w:tcW w:w="229" w:type="pct"/>
            <w:vMerge w:val="continue"/>
            <w:shd w:val="clear" w:color="auto" w:fill="FFFFFF"/>
            <w:noWrap/>
            <w:vAlign w:val="center"/>
          </w:tcPr>
          <w:p w14:paraId="1AB85DF2">
            <w:pPr>
              <w:keepNext w:val="0"/>
              <w:keepLines w:val="0"/>
              <w:pageBreakBefore w:val="0"/>
              <w:widowControl/>
              <w:kinsoku/>
              <w:wordWrap/>
              <w:overflowPunct/>
              <w:topLinePunct w:val="0"/>
              <w:autoSpaceDE/>
              <w:autoSpaceDN/>
              <w:bidi w:val="0"/>
              <w:adjustRightInd/>
              <w:snapToGrid/>
              <w:spacing w:line="0" w:lineRule="atLeast"/>
              <w:jc w:val="center"/>
              <w:rPr>
                <w:rFonts w:hint="eastAsia" w:ascii="Times New Roman" w:hAnsi="Times New Roman" w:eastAsia="方正楷体_GBK" w:cs="方正楷体_GBK"/>
                <w:i w:val="0"/>
                <w:iCs w:val="0"/>
                <w:color w:val="000000"/>
                <w:sz w:val="20"/>
                <w:szCs w:val="20"/>
                <w:u w:val="none"/>
              </w:rPr>
            </w:pPr>
          </w:p>
        </w:tc>
        <w:tc>
          <w:tcPr>
            <w:tcW w:w="367" w:type="pct"/>
            <w:vMerge w:val="continue"/>
            <w:shd w:val="clear" w:color="auto" w:fill="FFFFFF"/>
            <w:vAlign w:val="center"/>
          </w:tcPr>
          <w:p w14:paraId="2BEA0CE8">
            <w:pPr>
              <w:keepNext w:val="0"/>
              <w:keepLines w:val="0"/>
              <w:pageBreakBefore w:val="0"/>
              <w:widowControl/>
              <w:kinsoku/>
              <w:wordWrap/>
              <w:overflowPunct/>
              <w:topLinePunct w:val="0"/>
              <w:autoSpaceDE/>
              <w:autoSpaceDN/>
              <w:bidi w:val="0"/>
              <w:adjustRightInd/>
              <w:snapToGrid/>
              <w:spacing w:line="0" w:lineRule="atLeast"/>
              <w:jc w:val="center"/>
              <w:rPr>
                <w:rFonts w:hint="eastAsia" w:ascii="Times New Roman" w:hAnsi="Times New Roman" w:eastAsia="方正楷体_GBK" w:cs="方正楷体_GBK"/>
                <w:i w:val="0"/>
                <w:iCs w:val="0"/>
                <w:color w:val="000000"/>
                <w:sz w:val="20"/>
                <w:szCs w:val="20"/>
                <w:u w:val="none"/>
              </w:rPr>
            </w:pPr>
          </w:p>
        </w:tc>
        <w:tc>
          <w:tcPr>
            <w:tcW w:w="1810" w:type="pct"/>
            <w:gridSpan w:val="2"/>
            <w:shd w:val="clear" w:color="auto" w:fill="FFFFFF"/>
            <w:vAlign w:val="center"/>
          </w:tcPr>
          <w:p w14:paraId="3D1C07C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方正楷体_GBK" w:cs="方正楷体_GBK"/>
                <w:i w:val="0"/>
                <w:iCs w:val="0"/>
                <w:color w:val="000000"/>
                <w:sz w:val="20"/>
                <w:szCs w:val="20"/>
                <w:u w:val="none"/>
              </w:rPr>
            </w:pPr>
            <w:r>
              <w:rPr>
                <w:rFonts w:hint="eastAsia" w:ascii="Times New Roman" w:hAnsi="Times New Roman" w:eastAsia="方正楷体_GBK" w:cs="方正楷体_GBK"/>
                <w:i w:val="0"/>
                <w:iCs w:val="0"/>
                <w:color w:val="000000"/>
                <w:kern w:val="0"/>
                <w:sz w:val="20"/>
                <w:szCs w:val="20"/>
                <w:u w:val="none"/>
                <w:lang w:val="en-US" w:eastAsia="zh-CN" w:bidi="ar"/>
              </w:rPr>
              <w:t>燃气热水器非拆清洗</w:t>
            </w:r>
          </w:p>
        </w:tc>
        <w:tc>
          <w:tcPr>
            <w:tcW w:w="701" w:type="pct"/>
            <w:shd w:val="clear" w:color="auto" w:fill="FFFFFF"/>
            <w:vAlign w:val="center"/>
          </w:tcPr>
          <w:p w14:paraId="561311D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方正楷体_GBK" w:cs="方正楷体_GBK"/>
                <w:i w:val="0"/>
                <w:iCs w:val="0"/>
                <w:color w:val="000000"/>
                <w:sz w:val="20"/>
                <w:szCs w:val="20"/>
                <w:u w:val="none"/>
              </w:rPr>
            </w:pPr>
            <w:r>
              <w:rPr>
                <w:rFonts w:hint="eastAsia" w:ascii="Times New Roman" w:hAnsi="Times New Roman" w:eastAsia="方正楷体_GBK" w:cs="方正楷体_GBK"/>
                <w:i w:val="0"/>
                <w:iCs w:val="0"/>
                <w:color w:val="000000"/>
                <w:kern w:val="0"/>
                <w:sz w:val="20"/>
                <w:szCs w:val="20"/>
                <w:u w:val="none"/>
                <w:lang w:val="en-US" w:eastAsia="zh-CN" w:bidi="ar"/>
              </w:rPr>
              <w:t>120元/台</w:t>
            </w:r>
          </w:p>
        </w:tc>
        <w:tc>
          <w:tcPr>
            <w:tcW w:w="1204" w:type="pct"/>
            <w:shd w:val="clear" w:color="auto" w:fill="FFFFFF"/>
            <w:noWrap/>
            <w:vAlign w:val="center"/>
          </w:tcPr>
          <w:p w14:paraId="5D0716A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方正楷体_GBK" w:cs="方正楷体_GBK"/>
                <w:i w:val="0"/>
                <w:iCs w:val="0"/>
                <w:color w:val="000000"/>
                <w:sz w:val="20"/>
                <w:szCs w:val="20"/>
                <w:u w:val="none"/>
              </w:rPr>
            </w:pPr>
            <w:r>
              <w:rPr>
                <w:rFonts w:hint="eastAsia" w:ascii="Times New Roman" w:hAnsi="Times New Roman" w:eastAsia="方正楷体_GBK" w:cs="方正楷体_GBK"/>
                <w:i w:val="0"/>
                <w:iCs w:val="0"/>
                <w:color w:val="000000"/>
                <w:kern w:val="0"/>
                <w:sz w:val="20"/>
                <w:szCs w:val="20"/>
                <w:u w:val="none"/>
                <w:lang w:val="en-US" w:eastAsia="zh-CN" w:bidi="ar"/>
              </w:rPr>
              <w:t>60%</w:t>
            </w:r>
          </w:p>
        </w:tc>
        <w:tc>
          <w:tcPr>
            <w:tcW w:w="686" w:type="pct"/>
            <w:shd w:val="clear" w:color="auto" w:fill="FFFFFF"/>
            <w:vAlign w:val="center"/>
          </w:tcPr>
          <w:p w14:paraId="2C98FFB9">
            <w:pPr>
              <w:keepNext w:val="0"/>
              <w:keepLines w:val="0"/>
              <w:pageBreakBefore w:val="0"/>
              <w:widowControl/>
              <w:kinsoku/>
              <w:wordWrap/>
              <w:overflowPunct/>
              <w:topLinePunct w:val="0"/>
              <w:autoSpaceDE/>
              <w:autoSpaceDN/>
              <w:bidi w:val="0"/>
              <w:adjustRightInd/>
              <w:snapToGrid/>
              <w:spacing w:line="0" w:lineRule="atLeast"/>
              <w:jc w:val="center"/>
              <w:rPr>
                <w:rFonts w:hint="eastAsia" w:ascii="Times New Roman" w:hAnsi="Times New Roman" w:eastAsia="方正楷体_GBK" w:cs="方正楷体_GBK"/>
                <w:i w:val="0"/>
                <w:iCs w:val="0"/>
                <w:color w:val="000000"/>
                <w:sz w:val="20"/>
                <w:szCs w:val="20"/>
                <w:u w:val="none"/>
              </w:rPr>
            </w:pPr>
          </w:p>
        </w:tc>
      </w:tr>
      <w:tr w14:paraId="67618B5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229" w:type="pct"/>
            <w:vMerge w:val="continue"/>
            <w:shd w:val="clear" w:color="auto" w:fill="FFFFFF"/>
            <w:noWrap/>
            <w:vAlign w:val="center"/>
          </w:tcPr>
          <w:p w14:paraId="26325E43">
            <w:pPr>
              <w:keepNext w:val="0"/>
              <w:keepLines w:val="0"/>
              <w:pageBreakBefore w:val="0"/>
              <w:widowControl/>
              <w:kinsoku/>
              <w:wordWrap/>
              <w:overflowPunct/>
              <w:topLinePunct w:val="0"/>
              <w:autoSpaceDE/>
              <w:autoSpaceDN/>
              <w:bidi w:val="0"/>
              <w:adjustRightInd/>
              <w:snapToGrid/>
              <w:spacing w:line="0" w:lineRule="atLeast"/>
              <w:jc w:val="center"/>
              <w:rPr>
                <w:rFonts w:hint="eastAsia" w:ascii="Times New Roman" w:hAnsi="Times New Roman" w:eastAsia="方正楷体_GBK" w:cs="方正楷体_GBK"/>
                <w:i w:val="0"/>
                <w:iCs w:val="0"/>
                <w:color w:val="000000"/>
                <w:sz w:val="20"/>
                <w:szCs w:val="20"/>
                <w:u w:val="none"/>
              </w:rPr>
            </w:pPr>
          </w:p>
        </w:tc>
        <w:tc>
          <w:tcPr>
            <w:tcW w:w="367" w:type="pct"/>
            <w:vMerge w:val="continue"/>
            <w:shd w:val="clear" w:color="auto" w:fill="FFFFFF"/>
            <w:vAlign w:val="center"/>
          </w:tcPr>
          <w:p w14:paraId="3553229B">
            <w:pPr>
              <w:keepNext w:val="0"/>
              <w:keepLines w:val="0"/>
              <w:pageBreakBefore w:val="0"/>
              <w:widowControl/>
              <w:kinsoku/>
              <w:wordWrap/>
              <w:overflowPunct/>
              <w:topLinePunct w:val="0"/>
              <w:autoSpaceDE/>
              <w:autoSpaceDN/>
              <w:bidi w:val="0"/>
              <w:adjustRightInd/>
              <w:snapToGrid/>
              <w:spacing w:line="0" w:lineRule="atLeast"/>
              <w:jc w:val="center"/>
              <w:rPr>
                <w:rFonts w:hint="eastAsia" w:ascii="Times New Roman" w:hAnsi="Times New Roman" w:eastAsia="方正楷体_GBK" w:cs="方正楷体_GBK"/>
                <w:i w:val="0"/>
                <w:iCs w:val="0"/>
                <w:color w:val="000000"/>
                <w:sz w:val="20"/>
                <w:szCs w:val="20"/>
                <w:u w:val="none"/>
              </w:rPr>
            </w:pPr>
          </w:p>
        </w:tc>
        <w:tc>
          <w:tcPr>
            <w:tcW w:w="1810" w:type="pct"/>
            <w:gridSpan w:val="2"/>
            <w:shd w:val="clear" w:color="auto" w:fill="FFFFFF"/>
            <w:vAlign w:val="center"/>
          </w:tcPr>
          <w:p w14:paraId="4A47501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方正楷体_GBK" w:cs="方正楷体_GBK"/>
                <w:i w:val="0"/>
                <w:iCs w:val="0"/>
                <w:color w:val="000000"/>
                <w:sz w:val="20"/>
                <w:szCs w:val="20"/>
                <w:u w:val="none"/>
              </w:rPr>
            </w:pPr>
            <w:r>
              <w:rPr>
                <w:rFonts w:hint="eastAsia" w:ascii="Times New Roman" w:hAnsi="Times New Roman" w:eastAsia="方正楷体_GBK" w:cs="方正楷体_GBK"/>
                <w:i w:val="0"/>
                <w:iCs w:val="0"/>
                <w:color w:val="000000"/>
                <w:kern w:val="0"/>
                <w:sz w:val="20"/>
                <w:szCs w:val="20"/>
                <w:u w:val="none"/>
                <w:lang w:val="en-US" w:eastAsia="zh-CN" w:bidi="ar"/>
              </w:rPr>
              <w:t>滚筒洗衣机非拆清洗</w:t>
            </w:r>
          </w:p>
        </w:tc>
        <w:tc>
          <w:tcPr>
            <w:tcW w:w="701" w:type="pct"/>
            <w:shd w:val="clear" w:color="auto" w:fill="FFFFFF"/>
            <w:noWrap/>
            <w:vAlign w:val="center"/>
          </w:tcPr>
          <w:p w14:paraId="768AABB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方正楷体_GBK" w:cs="方正楷体_GBK"/>
                <w:i w:val="0"/>
                <w:iCs w:val="0"/>
                <w:color w:val="000000"/>
                <w:sz w:val="20"/>
                <w:szCs w:val="20"/>
                <w:u w:val="none"/>
              </w:rPr>
            </w:pPr>
            <w:r>
              <w:rPr>
                <w:rFonts w:hint="eastAsia" w:ascii="Times New Roman" w:hAnsi="Times New Roman" w:eastAsia="方正楷体_GBK" w:cs="方正楷体_GBK"/>
                <w:i w:val="0"/>
                <w:iCs w:val="0"/>
                <w:color w:val="000000"/>
                <w:kern w:val="0"/>
                <w:sz w:val="20"/>
                <w:szCs w:val="20"/>
                <w:u w:val="none"/>
                <w:lang w:val="en-US" w:eastAsia="zh-CN" w:bidi="ar"/>
              </w:rPr>
              <w:t>100/台</w:t>
            </w:r>
          </w:p>
        </w:tc>
        <w:tc>
          <w:tcPr>
            <w:tcW w:w="1204" w:type="pct"/>
            <w:shd w:val="clear" w:color="auto" w:fill="FFFFFF"/>
            <w:noWrap/>
            <w:vAlign w:val="center"/>
          </w:tcPr>
          <w:p w14:paraId="7A3C434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方正楷体_GBK" w:cs="方正楷体_GBK"/>
                <w:i w:val="0"/>
                <w:iCs w:val="0"/>
                <w:color w:val="000000"/>
                <w:sz w:val="20"/>
                <w:szCs w:val="20"/>
                <w:u w:val="none"/>
              </w:rPr>
            </w:pPr>
            <w:r>
              <w:rPr>
                <w:rFonts w:hint="eastAsia" w:ascii="Times New Roman" w:hAnsi="Times New Roman" w:eastAsia="方正楷体_GBK" w:cs="方正楷体_GBK"/>
                <w:i w:val="0"/>
                <w:iCs w:val="0"/>
                <w:color w:val="000000"/>
                <w:kern w:val="0"/>
                <w:sz w:val="20"/>
                <w:szCs w:val="20"/>
                <w:u w:val="none"/>
                <w:lang w:val="en-US" w:eastAsia="zh-CN" w:bidi="ar"/>
              </w:rPr>
              <w:t>60%</w:t>
            </w:r>
          </w:p>
        </w:tc>
        <w:tc>
          <w:tcPr>
            <w:tcW w:w="686" w:type="pct"/>
            <w:shd w:val="clear" w:color="auto" w:fill="FFFFFF"/>
            <w:vAlign w:val="center"/>
          </w:tcPr>
          <w:p w14:paraId="53989AEC">
            <w:pPr>
              <w:keepNext w:val="0"/>
              <w:keepLines w:val="0"/>
              <w:pageBreakBefore w:val="0"/>
              <w:widowControl/>
              <w:kinsoku/>
              <w:wordWrap/>
              <w:overflowPunct/>
              <w:topLinePunct w:val="0"/>
              <w:autoSpaceDE/>
              <w:autoSpaceDN/>
              <w:bidi w:val="0"/>
              <w:adjustRightInd/>
              <w:snapToGrid/>
              <w:spacing w:line="0" w:lineRule="atLeast"/>
              <w:jc w:val="center"/>
              <w:rPr>
                <w:rFonts w:hint="eastAsia" w:ascii="Times New Roman" w:hAnsi="Times New Roman" w:eastAsia="方正楷体_GBK" w:cs="方正楷体_GBK"/>
                <w:i w:val="0"/>
                <w:iCs w:val="0"/>
                <w:color w:val="000000"/>
                <w:sz w:val="20"/>
                <w:szCs w:val="20"/>
                <w:u w:val="none"/>
              </w:rPr>
            </w:pPr>
          </w:p>
        </w:tc>
      </w:tr>
      <w:tr w14:paraId="1450273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229" w:type="pct"/>
            <w:vMerge w:val="continue"/>
            <w:shd w:val="clear" w:color="auto" w:fill="FFFFFF"/>
            <w:noWrap/>
            <w:vAlign w:val="center"/>
          </w:tcPr>
          <w:p w14:paraId="25A7EADA">
            <w:pPr>
              <w:keepNext w:val="0"/>
              <w:keepLines w:val="0"/>
              <w:pageBreakBefore w:val="0"/>
              <w:widowControl/>
              <w:kinsoku/>
              <w:wordWrap/>
              <w:overflowPunct/>
              <w:topLinePunct w:val="0"/>
              <w:autoSpaceDE/>
              <w:autoSpaceDN/>
              <w:bidi w:val="0"/>
              <w:adjustRightInd/>
              <w:snapToGrid/>
              <w:spacing w:line="0" w:lineRule="atLeast"/>
              <w:jc w:val="center"/>
              <w:rPr>
                <w:rFonts w:hint="eastAsia" w:ascii="Times New Roman" w:hAnsi="Times New Roman" w:eastAsia="方正楷体_GBK" w:cs="方正楷体_GBK"/>
                <w:i w:val="0"/>
                <w:iCs w:val="0"/>
                <w:color w:val="000000"/>
                <w:sz w:val="20"/>
                <w:szCs w:val="20"/>
                <w:u w:val="none"/>
              </w:rPr>
            </w:pPr>
          </w:p>
        </w:tc>
        <w:tc>
          <w:tcPr>
            <w:tcW w:w="367" w:type="pct"/>
            <w:vMerge w:val="continue"/>
            <w:shd w:val="clear" w:color="auto" w:fill="FFFFFF"/>
            <w:vAlign w:val="center"/>
          </w:tcPr>
          <w:p w14:paraId="51107BA2">
            <w:pPr>
              <w:keepNext w:val="0"/>
              <w:keepLines w:val="0"/>
              <w:pageBreakBefore w:val="0"/>
              <w:widowControl/>
              <w:kinsoku/>
              <w:wordWrap/>
              <w:overflowPunct/>
              <w:topLinePunct w:val="0"/>
              <w:autoSpaceDE/>
              <w:autoSpaceDN/>
              <w:bidi w:val="0"/>
              <w:adjustRightInd/>
              <w:snapToGrid/>
              <w:spacing w:line="0" w:lineRule="atLeast"/>
              <w:jc w:val="center"/>
              <w:rPr>
                <w:rFonts w:hint="eastAsia" w:ascii="Times New Roman" w:hAnsi="Times New Roman" w:eastAsia="方正楷体_GBK" w:cs="方正楷体_GBK"/>
                <w:i w:val="0"/>
                <w:iCs w:val="0"/>
                <w:color w:val="000000"/>
                <w:sz w:val="20"/>
                <w:szCs w:val="20"/>
                <w:u w:val="none"/>
              </w:rPr>
            </w:pPr>
          </w:p>
        </w:tc>
        <w:tc>
          <w:tcPr>
            <w:tcW w:w="1810" w:type="pct"/>
            <w:gridSpan w:val="2"/>
            <w:shd w:val="clear" w:color="auto" w:fill="FFFFFF"/>
            <w:vAlign w:val="center"/>
          </w:tcPr>
          <w:p w14:paraId="5A26519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方正楷体_GBK" w:cs="方正楷体_GBK"/>
                <w:i w:val="0"/>
                <w:iCs w:val="0"/>
                <w:color w:val="000000"/>
                <w:sz w:val="20"/>
                <w:szCs w:val="20"/>
                <w:u w:val="none"/>
              </w:rPr>
            </w:pPr>
            <w:r>
              <w:rPr>
                <w:rFonts w:hint="eastAsia" w:ascii="Times New Roman" w:hAnsi="Times New Roman" w:eastAsia="方正楷体_GBK" w:cs="方正楷体_GBK"/>
                <w:i w:val="0"/>
                <w:iCs w:val="0"/>
                <w:color w:val="000000"/>
                <w:kern w:val="0"/>
                <w:sz w:val="20"/>
                <w:szCs w:val="20"/>
                <w:u w:val="none"/>
                <w:lang w:val="en-US" w:eastAsia="zh-CN" w:bidi="ar"/>
              </w:rPr>
              <w:t>波轮洗衣机全拆清洗</w:t>
            </w:r>
          </w:p>
        </w:tc>
        <w:tc>
          <w:tcPr>
            <w:tcW w:w="701" w:type="pct"/>
            <w:shd w:val="clear" w:color="auto" w:fill="FFFFFF"/>
            <w:noWrap/>
            <w:vAlign w:val="center"/>
          </w:tcPr>
          <w:p w14:paraId="0AD1DA0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方正楷体_GBK" w:cs="方正楷体_GBK"/>
                <w:i w:val="0"/>
                <w:iCs w:val="0"/>
                <w:color w:val="000000"/>
                <w:sz w:val="20"/>
                <w:szCs w:val="20"/>
                <w:u w:val="none"/>
              </w:rPr>
            </w:pPr>
            <w:r>
              <w:rPr>
                <w:rFonts w:hint="eastAsia" w:ascii="Times New Roman" w:hAnsi="Times New Roman" w:eastAsia="方正楷体_GBK" w:cs="方正楷体_GBK"/>
                <w:i w:val="0"/>
                <w:iCs w:val="0"/>
                <w:color w:val="000000"/>
                <w:kern w:val="0"/>
                <w:sz w:val="20"/>
                <w:szCs w:val="20"/>
                <w:u w:val="none"/>
                <w:lang w:val="en-US" w:eastAsia="zh-CN" w:bidi="ar"/>
              </w:rPr>
              <w:t>120/台</w:t>
            </w:r>
          </w:p>
        </w:tc>
        <w:tc>
          <w:tcPr>
            <w:tcW w:w="1204" w:type="pct"/>
            <w:shd w:val="clear" w:color="auto" w:fill="FFFFFF"/>
            <w:noWrap/>
            <w:vAlign w:val="center"/>
          </w:tcPr>
          <w:p w14:paraId="3DFD9C5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方正楷体_GBK" w:cs="方正楷体_GBK"/>
                <w:i w:val="0"/>
                <w:iCs w:val="0"/>
                <w:color w:val="000000"/>
                <w:sz w:val="20"/>
                <w:szCs w:val="20"/>
                <w:u w:val="none"/>
              </w:rPr>
            </w:pPr>
            <w:r>
              <w:rPr>
                <w:rFonts w:hint="eastAsia" w:ascii="Times New Roman" w:hAnsi="Times New Roman" w:eastAsia="方正楷体_GBK" w:cs="方正楷体_GBK"/>
                <w:i w:val="0"/>
                <w:iCs w:val="0"/>
                <w:color w:val="000000"/>
                <w:kern w:val="0"/>
                <w:sz w:val="20"/>
                <w:szCs w:val="20"/>
                <w:u w:val="none"/>
                <w:lang w:val="en-US" w:eastAsia="zh-CN" w:bidi="ar"/>
              </w:rPr>
              <w:t>60%</w:t>
            </w:r>
          </w:p>
        </w:tc>
        <w:tc>
          <w:tcPr>
            <w:tcW w:w="686" w:type="pct"/>
            <w:shd w:val="clear" w:color="auto" w:fill="FFFFFF"/>
            <w:vAlign w:val="center"/>
          </w:tcPr>
          <w:p w14:paraId="03726397">
            <w:pPr>
              <w:keepNext w:val="0"/>
              <w:keepLines w:val="0"/>
              <w:pageBreakBefore w:val="0"/>
              <w:widowControl/>
              <w:kinsoku/>
              <w:wordWrap/>
              <w:overflowPunct/>
              <w:topLinePunct w:val="0"/>
              <w:autoSpaceDE/>
              <w:autoSpaceDN/>
              <w:bidi w:val="0"/>
              <w:adjustRightInd/>
              <w:snapToGrid/>
              <w:spacing w:line="0" w:lineRule="atLeast"/>
              <w:jc w:val="center"/>
              <w:rPr>
                <w:rFonts w:hint="eastAsia" w:ascii="Times New Roman" w:hAnsi="Times New Roman" w:eastAsia="方正楷体_GBK" w:cs="方正楷体_GBK"/>
                <w:i w:val="0"/>
                <w:iCs w:val="0"/>
                <w:color w:val="000000"/>
                <w:sz w:val="20"/>
                <w:szCs w:val="20"/>
                <w:u w:val="none"/>
              </w:rPr>
            </w:pPr>
          </w:p>
        </w:tc>
      </w:tr>
      <w:tr w14:paraId="0D4B6E0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229" w:type="pct"/>
            <w:vMerge w:val="continue"/>
            <w:shd w:val="clear" w:color="auto" w:fill="FFFFFF"/>
            <w:noWrap/>
            <w:vAlign w:val="center"/>
          </w:tcPr>
          <w:p w14:paraId="5459A17D">
            <w:pPr>
              <w:keepNext w:val="0"/>
              <w:keepLines w:val="0"/>
              <w:pageBreakBefore w:val="0"/>
              <w:widowControl/>
              <w:kinsoku/>
              <w:wordWrap/>
              <w:overflowPunct/>
              <w:topLinePunct w:val="0"/>
              <w:autoSpaceDE/>
              <w:autoSpaceDN/>
              <w:bidi w:val="0"/>
              <w:adjustRightInd/>
              <w:snapToGrid/>
              <w:spacing w:line="0" w:lineRule="atLeast"/>
              <w:jc w:val="center"/>
              <w:rPr>
                <w:rFonts w:hint="eastAsia" w:ascii="Times New Roman" w:hAnsi="Times New Roman" w:eastAsia="方正楷体_GBK" w:cs="方正楷体_GBK"/>
                <w:i w:val="0"/>
                <w:iCs w:val="0"/>
                <w:color w:val="000000"/>
                <w:sz w:val="20"/>
                <w:szCs w:val="20"/>
                <w:u w:val="none"/>
              </w:rPr>
            </w:pPr>
          </w:p>
        </w:tc>
        <w:tc>
          <w:tcPr>
            <w:tcW w:w="367" w:type="pct"/>
            <w:vMerge w:val="continue"/>
            <w:shd w:val="clear" w:color="auto" w:fill="FFFFFF"/>
            <w:vAlign w:val="center"/>
          </w:tcPr>
          <w:p w14:paraId="586FD6D8">
            <w:pPr>
              <w:keepNext w:val="0"/>
              <w:keepLines w:val="0"/>
              <w:pageBreakBefore w:val="0"/>
              <w:widowControl/>
              <w:kinsoku/>
              <w:wordWrap/>
              <w:overflowPunct/>
              <w:topLinePunct w:val="0"/>
              <w:autoSpaceDE/>
              <w:autoSpaceDN/>
              <w:bidi w:val="0"/>
              <w:adjustRightInd/>
              <w:snapToGrid/>
              <w:spacing w:line="0" w:lineRule="atLeast"/>
              <w:jc w:val="center"/>
              <w:rPr>
                <w:rFonts w:hint="eastAsia" w:ascii="Times New Roman" w:hAnsi="Times New Roman" w:eastAsia="方正楷体_GBK" w:cs="方正楷体_GBK"/>
                <w:i w:val="0"/>
                <w:iCs w:val="0"/>
                <w:color w:val="000000"/>
                <w:sz w:val="20"/>
                <w:szCs w:val="20"/>
                <w:u w:val="none"/>
              </w:rPr>
            </w:pPr>
          </w:p>
        </w:tc>
        <w:tc>
          <w:tcPr>
            <w:tcW w:w="1810" w:type="pct"/>
            <w:gridSpan w:val="2"/>
            <w:shd w:val="clear" w:color="auto" w:fill="FFFFFF"/>
            <w:vAlign w:val="center"/>
          </w:tcPr>
          <w:p w14:paraId="02CDE2B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方正楷体_GBK" w:cs="方正楷体_GBK"/>
                <w:i w:val="0"/>
                <w:iCs w:val="0"/>
                <w:color w:val="000000"/>
                <w:sz w:val="20"/>
                <w:szCs w:val="20"/>
                <w:u w:val="none"/>
              </w:rPr>
            </w:pPr>
            <w:r>
              <w:rPr>
                <w:rFonts w:hint="eastAsia" w:ascii="Times New Roman" w:hAnsi="Times New Roman" w:eastAsia="方正楷体_GBK" w:cs="方正楷体_GBK"/>
                <w:i w:val="0"/>
                <w:iCs w:val="0"/>
                <w:color w:val="000000"/>
                <w:kern w:val="0"/>
                <w:sz w:val="20"/>
                <w:szCs w:val="20"/>
                <w:u w:val="none"/>
                <w:lang w:val="en-US" w:eastAsia="zh-CN" w:bidi="ar"/>
              </w:rPr>
              <w:t>波轮洗衣机半拆清洗</w:t>
            </w:r>
          </w:p>
        </w:tc>
        <w:tc>
          <w:tcPr>
            <w:tcW w:w="701" w:type="pct"/>
            <w:shd w:val="clear" w:color="auto" w:fill="FFFFFF"/>
            <w:noWrap/>
            <w:vAlign w:val="center"/>
          </w:tcPr>
          <w:p w14:paraId="7EE4508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方正楷体_GBK" w:cs="方正楷体_GBK"/>
                <w:i w:val="0"/>
                <w:iCs w:val="0"/>
                <w:color w:val="000000"/>
                <w:sz w:val="20"/>
                <w:szCs w:val="20"/>
                <w:u w:val="none"/>
              </w:rPr>
            </w:pPr>
            <w:r>
              <w:rPr>
                <w:rFonts w:hint="eastAsia" w:ascii="Times New Roman" w:hAnsi="Times New Roman" w:eastAsia="方正楷体_GBK" w:cs="方正楷体_GBK"/>
                <w:i w:val="0"/>
                <w:iCs w:val="0"/>
                <w:color w:val="000000"/>
                <w:kern w:val="0"/>
                <w:sz w:val="20"/>
                <w:szCs w:val="20"/>
                <w:u w:val="none"/>
                <w:lang w:val="en-US" w:eastAsia="zh-CN" w:bidi="ar"/>
              </w:rPr>
              <w:t>100/台</w:t>
            </w:r>
          </w:p>
        </w:tc>
        <w:tc>
          <w:tcPr>
            <w:tcW w:w="1204" w:type="pct"/>
            <w:shd w:val="clear" w:color="auto" w:fill="FFFFFF"/>
            <w:noWrap/>
            <w:vAlign w:val="center"/>
          </w:tcPr>
          <w:p w14:paraId="5167FBC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方正楷体_GBK" w:cs="方正楷体_GBK"/>
                <w:i w:val="0"/>
                <w:iCs w:val="0"/>
                <w:color w:val="000000"/>
                <w:sz w:val="20"/>
                <w:szCs w:val="20"/>
                <w:u w:val="none"/>
              </w:rPr>
            </w:pPr>
            <w:r>
              <w:rPr>
                <w:rFonts w:hint="eastAsia" w:ascii="Times New Roman" w:hAnsi="Times New Roman" w:eastAsia="方正楷体_GBK" w:cs="方正楷体_GBK"/>
                <w:i w:val="0"/>
                <w:iCs w:val="0"/>
                <w:color w:val="000000"/>
                <w:kern w:val="0"/>
                <w:sz w:val="20"/>
                <w:szCs w:val="20"/>
                <w:u w:val="none"/>
                <w:lang w:val="en-US" w:eastAsia="zh-CN" w:bidi="ar"/>
              </w:rPr>
              <w:t>60%</w:t>
            </w:r>
          </w:p>
        </w:tc>
        <w:tc>
          <w:tcPr>
            <w:tcW w:w="686" w:type="pct"/>
            <w:shd w:val="clear" w:color="auto" w:fill="FFFFFF"/>
            <w:vAlign w:val="center"/>
          </w:tcPr>
          <w:p w14:paraId="4E5DF7C5">
            <w:pPr>
              <w:keepNext w:val="0"/>
              <w:keepLines w:val="0"/>
              <w:pageBreakBefore w:val="0"/>
              <w:widowControl/>
              <w:kinsoku/>
              <w:wordWrap/>
              <w:overflowPunct/>
              <w:topLinePunct w:val="0"/>
              <w:autoSpaceDE/>
              <w:autoSpaceDN/>
              <w:bidi w:val="0"/>
              <w:adjustRightInd/>
              <w:snapToGrid/>
              <w:spacing w:line="0" w:lineRule="atLeast"/>
              <w:jc w:val="center"/>
              <w:rPr>
                <w:rFonts w:hint="eastAsia" w:ascii="Times New Roman" w:hAnsi="Times New Roman" w:eastAsia="方正楷体_GBK" w:cs="方正楷体_GBK"/>
                <w:i w:val="0"/>
                <w:iCs w:val="0"/>
                <w:color w:val="000000"/>
                <w:sz w:val="20"/>
                <w:szCs w:val="20"/>
                <w:u w:val="none"/>
              </w:rPr>
            </w:pPr>
          </w:p>
        </w:tc>
      </w:tr>
      <w:tr w14:paraId="472256A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229" w:type="pct"/>
            <w:vMerge w:val="continue"/>
            <w:shd w:val="clear" w:color="auto" w:fill="FFFFFF"/>
            <w:noWrap/>
            <w:vAlign w:val="center"/>
          </w:tcPr>
          <w:p w14:paraId="2CA338ED">
            <w:pPr>
              <w:keepNext w:val="0"/>
              <w:keepLines w:val="0"/>
              <w:pageBreakBefore w:val="0"/>
              <w:widowControl/>
              <w:kinsoku/>
              <w:wordWrap/>
              <w:overflowPunct/>
              <w:topLinePunct w:val="0"/>
              <w:autoSpaceDE/>
              <w:autoSpaceDN/>
              <w:bidi w:val="0"/>
              <w:adjustRightInd/>
              <w:snapToGrid/>
              <w:spacing w:line="0" w:lineRule="atLeast"/>
              <w:jc w:val="center"/>
              <w:rPr>
                <w:rFonts w:hint="eastAsia" w:ascii="Times New Roman" w:hAnsi="Times New Roman" w:eastAsia="方正楷体_GBK" w:cs="方正楷体_GBK"/>
                <w:i w:val="0"/>
                <w:iCs w:val="0"/>
                <w:color w:val="000000"/>
                <w:sz w:val="20"/>
                <w:szCs w:val="20"/>
                <w:u w:val="none"/>
              </w:rPr>
            </w:pPr>
          </w:p>
        </w:tc>
        <w:tc>
          <w:tcPr>
            <w:tcW w:w="367" w:type="pct"/>
            <w:vMerge w:val="continue"/>
            <w:shd w:val="clear" w:color="auto" w:fill="FFFFFF"/>
            <w:vAlign w:val="center"/>
          </w:tcPr>
          <w:p w14:paraId="326E15F7">
            <w:pPr>
              <w:keepNext w:val="0"/>
              <w:keepLines w:val="0"/>
              <w:pageBreakBefore w:val="0"/>
              <w:widowControl/>
              <w:kinsoku/>
              <w:wordWrap/>
              <w:overflowPunct/>
              <w:topLinePunct w:val="0"/>
              <w:autoSpaceDE/>
              <w:autoSpaceDN/>
              <w:bidi w:val="0"/>
              <w:adjustRightInd/>
              <w:snapToGrid/>
              <w:spacing w:line="0" w:lineRule="atLeast"/>
              <w:jc w:val="center"/>
              <w:rPr>
                <w:rFonts w:hint="eastAsia" w:ascii="Times New Roman" w:hAnsi="Times New Roman" w:eastAsia="方正楷体_GBK" w:cs="方正楷体_GBK"/>
                <w:i w:val="0"/>
                <w:iCs w:val="0"/>
                <w:color w:val="000000"/>
                <w:sz w:val="20"/>
                <w:szCs w:val="20"/>
                <w:u w:val="none"/>
              </w:rPr>
            </w:pPr>
          </w:p>
        </w:tc>
        <w:tc>
          <w:tcPr>
            <w:tcW w:w="1810" w:type="pct"/>
            <w:gridSpan w:val="2"/>
            <w:shd w:val="clear" w:color="auto" w:fill="FFFFFF"/>
            <w:vAlign w:val="center"/>
          </w:tcPr>
          <w:p w14:paraId="1A03567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方正楷体_GBK" w:cs="方正楷体_GBK"/>
                <w:i w:val="0"/>
                <w:iCs w:val="0"/>
                <w:color w:val="000000"/>
                <w:kern w:val="0"/>
                <w:sz w:val="20"/>
                <w:szCs w:val="20"/>
                <w:u w:val="none"/>
                <w:lang w:val="en-US" w:eastAsia="zh-CN" w:bidi="ar"/>
              </w:rPr>
            </w:pPr>
            <w:r>
              <w:rPr>
                <w:rFonts w:hint="eastAsia" w:ascii="Times New Roman" w:hAnsi="Times New Roman" w:eastAsia="方正楷体_GBK" w:cs="方正楷体_GBK"/>
                <w:i w:val="0"/>
                <w:iCs w:val="0"/>
                <w:color w:val="000000"/>
                <w:kern w:val="0"/>
                <w:sz w:val="20"/>
                <w:szCs w:val="20"/>
                <w:u w:val="none"/>
                <w:lang w:val="en-US" w:eastAsia="zh-CN" w:bidi="ar"/>
              </w:rPr>
              <w:t>家电三件套</w:t>
            </w:r>
          </w:p>
          <w:p w14:paraId="22AD59AB">
            <w:pPr>
              <w:keepNext w:val="0"/>
              <w:keepLines w:val="0"/>
              <w:pageBreakBefore w:val="0"/>
              <w:widowControl/>
              <w:suppressLineNumbers w:val="0"/>
              <w:kinsoku/>
              <w:wordWrap/>
              <w:overflowPunct/>
              <w:topLinePunct w:val="0"/>
              <w:autoSpaceDE/>
              <w:autoSpaceDN/>
              <w:bidi w:val="0"/>
              <w:adjustRightInd/>
              <w:snapToGrid/>
              <w:spacing w:line="0" w:lineRule="atLeast"/>
              <w:ind w:left="-151" w:leftChars="-50" w:right="-151" w:rightChars="-50"/>
              <w:jc w:val="center"/>
              <w:textAlignment w:val="center"/>
              <w:rPr>
                <w:rFonts w:hint="eastAsia" w:ascii="Times New Roman" w:hAnsi="Times New Roman" w:eastAsia="方正楷体_GBK" w:cs="方正楷体_GBK"/>
                <w:i w:val="0"/>
                <w:iCs w:val="0"/>
                <w:color w:val="000000"/>
                <w:sz w:val="20"/>
                <w:szCs w:val="20"/>
                <w:u w:val="none"/>
              </w:rPr>
            </w:pPr>
            <w:r>
              <w:rPr>
                <w:rFonts w:hint="eastAsia" w:ascii="Times New Roman" w:hAnsi="Times New Roman" w:eastAsia="方正楷体_GBK" w:cs="方正楷体_GBK"/>
                <w:i w:val="0"/>
                <w:iCs w:val="0"/>
                <w:color w:val="000000"/>
                <w:kern w:val="0"/>
                <w:sz w:val="20"/>
                <w:szCs w:val="20"/>
                <w:u w:val="none"/>
                <w:lang w:val="en-US" w:eastAsia="zh-CN" w:bidi="ar"/>
              </w:rPr>
              <w:t>（两门/三门冰箱+普通油烟机+洗衣机）</w:t>
            </w:r>
          </w:p>
        </w:tc>
        <w:tc>
          <w:tcPr>
            <w:tcW w:w="701" w:type="pct"/>
            <w:shd w:val="clear" w:color="auto" w:fill="FFFFFF"/>
            <w:vAlign w:val="center"/>
          </w:tcPr>
          <w:p w14:paraId="3C76856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方正楷体_GBK" w:cs="方正楷体_GBK"/>
                <w:i w:val="0"/>
                <w:iCs w:val="0"/>
                <w:color w:val="000000"/>
                <w:sz w:val="20"/>
                <w:szCs w:val="20"/>
                <w:u w:val="none"/>
              </w:rPr>
            </w:pPr>
            <w:r>
              <w:rPr>
                <w:rFonts w:hint="eastAsia" w:ascii="Times New Roman" w:hAnsi="Times New Roman" w:eastAsia="方正楷体_GBK" w:cs="方正楷体_GBK"/>
                <w:i w:val="0"/>
                <w:iCs w:val="0"/>
                <w:color w:val="000000"/>
                <w:kern w:val="0"/>
                <w:sz w:val="20"/>
                <w:szCs w:val="20"/>
                <w:u w:val="none"/>
                <w:lang w:val="en-US" w:eastAsia="zh-CN" w:bidi="ar"/>
              </w:rPr>
              <w:t>320元/次</w:t>
            </w:r>
          </w:p>
        </w:tc>
        <w:tc>
          <w:tcPr>
            <w:tcW w:w="1204" w:type="pct"/>
            <w:shd w:val="clear" w:color="auto" w:fill="FFFFFF"/>
            <w:noWrap/>
            <w:vAlign w:val="center"/>
          </w:tcPr>
          <w:p w14:paraId="1D3E81B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方正楷体_GBK" w:cs="方正楷体_GBK"/>
                <w:i w:val="0"/>
                <w:iCs w:val="0"/>
                <w:color w:val="000000"/>
                <w:sz w:val="20"/>
                <w:szCs w:val="20"/>
                <w:u w:val="none"/>
              </w:rPr>
            </w:pPr>
            <w:r>
              <w:rPr>
                <w:rFonts w:hint="eastAsia" w:ascii="Times New Roman" w:hAnsi="Times New Roman" w:eastAsia="方正楷体_GBK" w:cs="方正楷体_GBK"/>
                <w:i w:val="0"/>
                <w:iCs w:val="0"/>
                <w:color w:val="000000"/>
                <w:kern w:val="0"/>
                <w:sz w:val="20"/>
                <w:szCs w:val="20"/>
                <w:u w:val="none"/>
                <w:lang w:val="en-US" w:eastAsia="zh-CN" w:bidi="ar"/>
              </w:rPr>
              <w:t>60%</w:t>
            </w:r>
          </w:p>
        </w:tc>
        <w:tc>
          <w:tcPr>
            <w:tcW w:w="686" w:type="pct"/>
            <w:shd w:val="clear" w:color="auto" w:fill="FFFFFF"/>
            <w:noWrap/>
            <w:vAlign w:val="center"/>
          </w:tcPr>
          <w:p w14:paraId="5AA7457C">
            <w:pPr>
              <w:keepNext w:val="0"/>
              <w:keepLines w:val="0"/>
              <w:pageBreakBefore w:val="0"/>
              <w:widowControl/>
              <w:kinsoku/>
              <w:wordWrap/>
              <w:overflowPunct/>
              <w:topLinePunct w:val="0"/>
              <w:autoSpaceDE/>
              <w:autoSpaceDN/>
              <w:bidi w:val="0"/>
              <w:adjustRightInd/>
              <w:snapToGrid/>
              <w:spacing w:line="0" w:lineRule="atLeast"/>
              <w:jc w:val="center"/>
              <w:rPr>
                <w:rFonts w:hint="eastAsia" w:ascii="Times New Roman" w:hAnsi="Times New Roman" w:eastAsia="方正楷体_GBK" w:cs="方正楷体_GBK"/>
                <w:i w:val="0"/>
                <w:iCs w:val="0"/>
                <w:color w:val="000000"/>
                <w:sz w:val="20"/>
                <w:szCs w:val="20"/>
                <w:u w:val="none"/>
              </w:rPr>
            </w:pPr>
          </w:p>
        </w:tc>
      </w:tr>
      <w:tr w14:paraId="4D5E4E5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229" w:type="pct"/>
            <w:vMerge w:val="restart"/>
            <w:shd w:val="clear" w:color="auto" w:fill="FFFFFF"/>
            <w:noWrap/>
            <w:vAlign w:val="center"/>
          </w:tcPr>
          <w:p w14:paraId="126B88D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方正楷体_GBK" w:cs="方正楷体_GBK"/>
                <w:i w:val="0"/>
                <w:iCs w:val="0"/>
                <w:color w:val="000000"/>
                <w:sz w:val="20"/>
                <w:szCs w:val="20"/>
                <w:u w:val="none"/>
              </w:rPr>
            </w:pPr>
            <w:r>
              <w:rPr>
                <w:rFonts w:hint="eastAsia" w:ascii="Times New Roman" w:hAnsi="Times New Roman" w:eastAsia="方正楷体_GBK" w:cs="方正楷体_GBK"/>
                <w:i w:val="0"/>
                <w:iCs w:val="0"/>
                <w:color w:val="000000"/>
                <w:kern w:val="0"/>
                <w:sz w:val="20"/>
                <w:szCs w:val="20"/>
                <w:u w:val="none"/>
                <w:lang w:val="en-US" w:eastAsia="zh-CN" w:bidi="ar"/>
              </w:rPr>
              <w:t>5</w:t>
            </w:r>
          </w:p>
        </w:tc>
        <w:tc>
          <w:tcPr>
            <w:tcW w:w="367" w:type="pct"/>
            <w:vMerge w:val="restart"/>
            <w:shd w:val="clear" w:color="auto" w:fill="FFFFFF"/>
            <w:vAlign w:val="center"/>
          </w:tcPr>
          <w:p w14:paraId="54D4BAC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方正楷体_GBK" w:cs="方正楷体_GBK"/>
                <w:i w:val="0"/>
                <w:iCs w:val="0"/>
                <w:color w:val="000000"/>
                <w:sz w:val="20"/>
                <w:szCs w:val="20"/>
                <w:u w:val="none"/>
              </w:rPr>
            </w:pPr>
            <w:r>
              <w:rPr>
                <w:rFonts w:hint="eastAsia" w:ascii="Times New Roman" w:hAnsi="Times New Roman" w:eastAsia="方正楷体_GBK" w:cs="方正楷体_GBK"/>
                <w:i w:val="0"/>
                <w:iCs w:val="0"/>
                <w:color w:val="000000"/>
                <w:kern w:val="0"/>
                <w:sz w:val="20"/>
                <w:szCs w:val="20"/>
                <w:u w:val="none"/>
                <w:lang w:val="en-US" w:eastAsia="zh-CN" w:bidi="ar"/>
              </w:rPr>
              <w:t>医疗护理服务</w:t>
            </w:r>
          </w:p>
        </w:tc>
        <w:tc>
          <w:tcPr>
            <w:tcW w:w="1810" w:type="pct"/>
            <w:gridSpan w:val="2"/>
            <w:shd w:val="clear" w:color="auto" w:fill="FFFFFF"/>
            <w:vAlign w:val="center"/>
          </w:tcPr>
          <w:p w14:paraId="6E09EE7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方正楷体_GBK" w:cs="方正楷体_GBK"/>
                <w:i w:val="0"/>
                <w:iCs w:val="0"/>
                <w:color w:val="000000"/>
                <w:sz w:val="20"/>
                <w:szCs w:val="20"/>
                <w:u w:val="none"/>
              </w:rPr>
            </w:pPr>
            <w:r>
              <w:rPr>
                <w:rFonts w:hint="eastAsia" w:ascii="Times New Roman" w:hAnsi="Times New Roman" w:eastAsia="方正楷体_GBK" w:cs="方正楷体_GBK"/>
                <w:i w:val="0"/>
                <w:iCs w:val="0"/>
                <w:color w:val="000000"/>
                <w:kern w:val="0"/>
                <w:sz w:val="20"/>
                <w:szCs w:val="20"/>
                <w:u w:val="none"/>
                <w:lang w:val="en-US" w:eastAsia="zh-CN" w:bidi="ar"/>
              </w:rPr>
              <w:t>超声雾化</w:t>
            </w:r>
          </w:p>
        </w:tc>
        <w:tc>
          <w:tcPr>
            <w:tcW w:w="701" w:type="pct"/>
            <w:shd w:val="clear" w:color="auto" w:fill="FFFFFF"/>
            <w:vAlign w:val="center"/>
          </w:tcPr>
          <w:p w14:paraId="6CE3BA1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方正楷体_GBK" w:cs="方正楷体_GBK"/>
                <w:i w:val="0"/>
                <w:iCs w:val="0"/>
                <w:color w:val="000000"/>
                <w:sz w:val="20"/>
                <w:szCs w:val="20"/>
                <w:u w:val="none"/>
              </w:rPr>
            </w:pPr>
            <w:r>
              <w:rPr>
                <w:rFonts w:hint="eastAsia" w:ascii="Times New Roman" w:hAnsi="Times New Roman" w:eastAsia="方正楷体_GBK" w:cs="方正楷体_GBK"/>
                <w:i w:val="0"/>
                <w:iCs w:val="0"/>
                <w:color w:val="000000"/>
                <w:kern w:val="0"/>
                <w:sz w:val="20"/>
                <w:szCs w:val="20"/>
                <w:u w:val="none"/>
                <w:lang w:val="en-US" w:eastAsia="zh-CN" w:bidi="ar"/>
              </w:rPr>
              <w:t>30元/次</w:t>
            </w:r>
          </w:p>
        </w:tc>
        <w:tc>
          <w:tcPr>
            <w:tcW w:w="1204" w:type="pct"/>
            <w:shd w:val="clear" w:color="auto" w:fill="FFFFFF"/>
            <w:noWrap/>
            <w:vAlign w:val="center"/>
          </w:tcPr>
          <w:p w14:paraId="5546C2A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方正楷体_GBK" w:cs="方正楷体_GBK"/>
                <w:i w:val="0"/>
                <w:iCs w:val="0"/>
                <w:color w:val="000000"/>
                <w:sz w:val="20"/>
                <w:szCs w:val="20"/>
                <w:u w:val="none"/>
              </w:rPr>
            </w:pPr>
            <w:r>
              <w:rPr>
                <w:rFonts w:hint="eastAsia" w:ascii="Times New Roman" w:hAnsi="Times New Roman" w:eastAsia="方正楷体_GBK" w:cs="方正楷体_GBK"/>
                <w:i w:val="0"/>
                <w:iCs w:val="0"/>
                <w:color w:val="000000"/>
                <w:kern w:val="0"/>
                <w:sz w:val="20"/>
                <w:szCs w:val="20"/>
                <w:u w:val="none"/>
                <w:lang w:val="en-US" w:eastAsia="zh-CN" w:bidi="ar"/>
              </w:rPr>
              <w:t>90%</w:t>
            </w:r>
          </w:p>
        </w:tc>
        <w:tc>
          <w:tcPr>
            <w:tcW w:w="686" w:type="pct"/>
            <w:shd w:val="clear" w:color="auto" w:fill="FFFFFF"/>
            <w:noWrap/>
            <w:vAlign w:val="center"/>
          </w:tcPr>
          <w:p w14:paraId="7E33A089">
            <w:pPr>
              <w:keepNext w:val="0"/>
              <w:keepLines w:val="0"/>
              <w:pageBreakBefore w:val="0"/>
              <w:widowControl/>
              <w:kinsoku/>
              <w:wordWrap/>
              <w:overflowPunct/>
              <w:topLinePunct w:val="0"/>
              <w:autoSpaceDE/>
              <w:autoSpaceDN/>
              <w:bidi w:val="0"/>
              <w:adjustRightInd/>
              <w:snapToGrid/>
              <w:spacing w:line="0" w:lineRule="atLeast"/>
              <w:jc w:val="center"/>
              <w:rPr>
                <w:rFonts w:hint="eastAsia" w:ascii="Times New Roman" w:hAnsi="Times New Roman" w:eastAsia="方正楷体_GBK" w:cs="方正楷体_GBK"/>
                <w:i w:val="0"/>
                <w:iCs w:val="0"/>
                <w:color w:val="000000"/>
                <w:sz w:val="20"/>
                <w:szCs w:val="20"/>
                <w:u w:val="none"/>
              </w:rPr>
            </w:pPr>
          </w:p>
        </w:tc>
      </w:tr>
      <w:tr w14:paraId="6D86400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29" w:hRule="atLeast"/>
          <w:jc w:val="center"/>
        </w:trPr>
        <w:tc>
          <w:tcPr>
            <w:tcW w:w="229" w:type="pct"/>
            <w:vMerge w:val="continue"/>
            <w:shd w:val="clear" w:color="auto" w:fill="FFFFFF"/>
            <w:noWrap/>
            <w:vAlign w:val="center"/>
          </w:tcPr>
          <w:p w14:paraId="7BE13694">
            <w:pPr>
              <w:keepNext w:val="0"/>
              <w:keepLines w:val="0"/>
              <w:pageBreakBefore w:val="0"/>
              <w:widowControl/>
              <w:kinsoku/>
              <w:wordWrap/>
              <w:overflowPunct/>
              <w:topLinePunct w:val="0"/>
              <w:autoSpaceDE/>
              <w:autoSpaceDN/>
              <w:bidi w:val="0"/>
              <w:adjustRightInd/>
              <w:snapToGrid/>
              <w:spacing w:line="0" w:lineRule="atLeast"/>
              <w:jc w:val="center"/>
              <w:rPr>
                <w:rFonts w:hint="eastAsia" w:ascii="Times New Roman" w:hAnsi="Times New Roman" w:eastAsia="方正楷体_GBK" w:cs="方正楷体_GBK"/>
                <w:i w:val="0"/>
                <w:iCs w:val="0"/>
                <w:color w:val="000000"/>
                <w:sz w:val="20"/>
                <w:szCs w:val="20"/>
                <w:u w:val="none"/>
              </w:rPr>
            </w:pPr>
          </w:p>
        </w:tc>
        <w:tc>
          <w:tcPr>
            <w:tcW w:w="367" w:type="pct"/>
            <w:vMerge w:val="continue"/>
            <w:shd w:val="clear" w:color="auto" w:fill="FFFFFF"/>
            <w:vAlign w:val="center"/>
          </w:tcPr>
          <w:p w14:paraId="3857C836">
            <w:pPr>
              <w:keepNext w:val="0"/>
              <w:keepLines w:val="0"/>
              <w:pageBreakBefore w:val="0"/>
              <w:widowControl/>
              <w:kinsoku/>
              <w:wordWrap/>
              <w:overflowPunct/>
              <w:topLinePunct w:val="0"/>
              <w:autoSpaceDE/>
              <w:autoSpaceDN/>
              <w:bidi w:val="0"/>
              <w:adjustRightInd/>
              <w:snapToGrid/>
              <w:spacing w:line="0" w:lineRule="atLeast"/>
              <w:jc w:val="center"/>
              <w:rPr>
                <w:rFonts w:hint="eastAsia" w:ascii="Times New Roman" w:hAnsi="Times New Roman" w:eastAsia="方正楷体_GBK" w:cs="方正楷体_GBK"/>
                <w:i w:val="0"/>
                <w:iCs w:val="0"/>
                <w:color w:val="000000"/>
                <w:sz w:val="20"/>
                <w:szCs w:val="20"/>
                <w:u w:val="none"/>
              </w:rPr>
            </w:pPr>
          </w:p>
        </w:tc>
        <w:tc>
          <w:tcPr>
            <w:tcW w:w="1810" w:type="pct"/>
            <w:gridSpan w:val="2"/>
            <w:shd w:val="clear" w:color="auto" w:fill="FFFFFF"/>
            <w:vAlign w:val="center"/>
          </w:tcPr>
          <w:p w14:paraId="1C11EF0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方正楷体_GBK" w:cs="方正楷体_GBK"/>
                <w:i w:val="0"/>
                <w:iCs w:val="0"/>
                <w:color w:val="000000"/>
                <w:sz w:val="20"/>
                <w:szCs w:val="20"/>
                <w:u w:val="none"/>
              </w:rPr>
            </w:pPr>
            <w:r>
              <w:rPr>
                <w:rFonts w:hint="eastAsia" w:ascii="Times New Roman" w:hAnsi="Times New Roman" w:eastAsia="方正楷体_GBK" w:cs="方正楷体_GBK"/>
                <w:i w:val="0"/>
                <w:iCs w:val="0"/>
                <w:color w:val="000000"/>
                <w:kern w:val="0"/>
                <w:sz w:val="20"/>
                <w:szCs w:val="20"/>
                <w:u w:val="none"/>
                <w:lang w:val="en-US" w:eastAsia="zh-CN" w:bidi="ar"/>
              </w:rPr>
              <w:t>更换导尿管（5公里内，含材料）</w:t>
            </w:r>
          </w:p>
        </w:tc>
        <w:tc>
          <w:tcPr>
            <w:tcW w:w="701" w:type="pct"/>
            <w:shd w:val="clear" w:color="auto" w:fill="FFFFFF"/>
            <w:vAlign w:val="center"/>
          </w:tcPr>
          <w:p w14:paraId="2E7BA24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方正楷体_GBK" w:cs="方正楷体_GBK"/>
                <w:i w:val="0"/>
                <w:iCs w:val="0"/>
                <w:color w:val="000000"/>
                <w:sz w:val="20"/>
                <w:szCs w:val="20"/>
                <w:u w:val="none"/>
              </w:rPr>
            </w:pPr>
            <w:r>
              <w:rPr>
                <w:rFonts w:hint="eastAsia" w:ascii="Times New Roman" w:hAnsi="Times New Roman" w:eastAsia="方正楷体_GBK" w:cs="方正楷体_GBK"/>
                <w:i w:val="0"/>
                <w:iCs w:val="0"/>
                <w:color w:val="000000"/>
                <w:kern w:val="0"/>
                <w:sz w:val="20"/>
                <w:szCs w:val="20"/>
                <w:u w:val="none"/>
                <w:lang w:val="en-US" w:eastAsia="zh-CN" w:bidi="ar"/>
              </w:rPr>
              <w:t>260元/次</w:t>
            </w:r>
          </w:p>
        </w:tc>
        <w:tc>
          <w:tcPr>
            <w:tcW w:w="1204" w:type="pct"/>
            <w:shd w:val="clear" w:color="auto" w:fill="FFFFFF"/>
            <w:noWrap/>
            <w:vAlign w:val="center"/>
          </w:tcPr>
          <w:p w14:paraId="40B1693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方正楷体_GBK" w:cs="方正楷体_GBK"/>
                <w:i w:val="0"/>
                <w:iCs w:val="0"/>
                <w:color w:val="000000"/>
                <w:sz w:val="20"/>
                <w:szCs w:val="20"/>
                <w:u w:val="none"/>
              </w:rPr>
            </w:pPr>
            <w:r>
              <w:rPr>
                <w:rFonts w:hint="eastAsia" w:ascii="Times New Roman" w:hAnsi="Times New Roman" w:eastAsia="方正楷体_GBK" w:cs="方正楷体_GBK"/>
                <w:i w:val="0"/>
                <w:iCs w:val="0"/>
                <w:color w:val="000000"/>
                <w:kern w:val="0"/>
                <w:sz w:val="20"/>
                <w:szCs w:val="20"/>
                <w:u w:val="none"/>
                <w:lang w:val="en-US" w:eastAsia="zh-CN" w:bidi="ar"/>
              </w:rPr>
              <w:t>90%</w:t>
            </w:r>
          </w:p>
        </w:tc>
        <w:tc>
          <w:tcPr>
            <w:tcW w:w="686" w:type="pct"/>
            <w:shd w:val="clear" w:color="auto" w:fill="FFFFFF"/>
            <w:noWrap/>
            <w:vAlign w:val="center"/>
          </w:tcPr>
          <w:p w14:paraId="23CD424F">
            <w:pPr>
              <w:keepNext w:val="0"/>
              <w:keepLines w:val="0"/>
              <w:pageBreakBefore w:val="0"/>
              <w:widowControl/>
              <w:kinsoku/>
              <w:wordWrap/>
              <w:overflowPunct/>
              <w:topLinePunct w:val="0"/>
              <w:autoSpaceDE/>
              <w:autoSpaceDN/>
              <w:bidi w:val="0"/>
              <w:adjustRightInd/>
              <w:snapToGrid/>
              <w:spacing w:line="0" w:lineRule="atLeast"/>
              <w:jc w:val="center"/>
              <w:rPr>
                <w:rFonts w:hint="eastAsia" w:ascii="Times New Roman" w:hAnsi="Times New Roman" w:eastAsia="方正楷体_GBK" w:cs="方正楷体_GBK"/>
                <w:i w:val="0"/>
                <w:iCs w:val="0"/>
                <w:color w:val="000000"/>
                <w:sz w:val="20"/>
                <w:szCs w:val="20"/>
                <w:u w:val="none"/>
              </w:rPr>
            </w:pPr>
          </w:p>
        </w:tc>
      </w:tr>
      <w:tr w14:paraId="060D7F7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229" w:type="pct"/>
            <w:vMerge w:val="continue"/>
            <w:shd w:val="clear" w:color="auto" w:fill="FFFFFF"/>
            <w:noWrap/>
            <w:vAlign w:val="center"/>
          </w:tcPr>
          <w:p w14:paraId="33C54405">
            <w:pPr>
              <w:keepNext w:val="0"/>
              <w:keepLines w:val="0"/>
              <w:pageBreakBefore w:val="0"/>
              <w:widowControl/>
              <w:kinsoku/>
              <w:wordWrap/>
              <w:overflowPunct/>
              <w:topLinePunct w:val="0"/>
              <w:autoSpaceDE/>
              <w:autoSpaceDN/>
              <w:bidi w:val="0"/>
              <w:adjustRightInd/>
              <w:snapToGrid/>
              <w:spacing w:line="0" w:lineRule="atLeast"/>
              <w:jc w:val="center"/>
              <w:rPr>
                <w:rFonts w:hint="eastAsia" w:ascii="Times New Roman" w:hAnsi="Times New Roman" w:eastAsia="方正楷体_GBK" w:cs="方正楷体_GBK"/>
                <w:i w:val="0"/>
                <w:iCs w:val="0"/>
                <w:color w:val="000000"/>
                <w:sz w:val="20"/>
                <w:szCs w:val="20"/>
                <w:u w:val="none"/>
              </w:rPr>
            </w:pPr>
          </w:p>
        </w:tc>
        <w:tc>
          <w:tcPr>
            <w:tcW w:w="367" w:type="pct"/>
            <w:vMerge w:val="continue"/>
            <w:shd w:val="clear" w:color="auto" w:fill="FFFFFF"/>
            <w:vAlign w:val="center"/>
          </w:tcPr>
          <w:p w14:paraId="5AA08E4C">
            <w:pPr>
              <w:keepNext w:val="0"/>
              <w:keepLines w:val="0"/>
              <w:pageBreakBefore w:val="0"/>
              <w:widowControl/>
              <w:kinsoku/>
              <w:wordWrap/>
              <w:overflowPunct/>
              <w:topLinePunct w:val="0"/>
              <w:autoSpaceDE/>
              <w:autoSpaceDN/>
              <w:bidi w:val="0"/>
              <w:adjustRightInd/>
              <w:snapToGrid/>
              <w:spacing w:line="0" w:lineRule="atLeast"/>
              <w:jc w:val="center"/>
              <w:rPr>
                <w:rFonts w:hint="eastAsia" w:ascii="Times New Roman" w:hAnsi="Times New Roman" w:eastAsia="方正楷体_GBK" w:cs="方正楷体_GBK"/>
                <w:i w:val="0"/>
                <w:iCs w:val="0"/>
                <w:color w:val="000000"/>
                <w:sz w:val="20"/>
                <w:szCs w:val="20"/>
                <w:u w:val="none"/>
              </w:rPr>
            </w:pPr>
          </w:p>
        </w:tc>
        <w:tc>
          <w:tcPr>
            <w:tcW w:w="1810" w:type="pct"/>
            <w:gridSpan w:val="2"/>
            <w:shd w:val="clear" w:color="auto" w:fill="FFFFFF"/>
            <w:vAlign w:val="center"/>
          </w:tcPr>
          <w:p w14:paraId="06A93EE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方正楷体_GBK" w:cs="方正楷体_GBK"/>
                <w:i w:val="0"/>
                <w:iCs w:val="0"/>
                <w:color w:val="000000"/>
                <w:sz w:val="20"/>
                <w:szCs w:val="20"/>
                <w:u w:val="none"/>
              </w:rPr>
            </w:pPr>
            <w:r>
              <w:rPr>
                <w:rFonts w:hint="eastAsia" w:ascii="Times New Roman" w:hAnsi="Times New Roman" w:eastAsia="方正楷体_GBK" w:cs="方正楷体_GBK"/>
                <w:i w:val="0"/>
                <w:iCs w:val="0"/>
                <w:color w:val="000000"/>
                <w:kern w:val="0"/>
                <w:sz w:val="20"/>
                <w:szCs w:val="20"/>
                <w:u w:val="none"/>
                <w:lang w:val="en-US" w:eastAsia="zh-CN" w:bidi="ar"/>
              </w:rPr>
              <w:t>膀胱冲洗</w:t>
            </w:r>
          </w:p>
        </w:tc>
        <w:tc>
          <w:tcPr>
            <w:tcW w:w="701" w:type="pct"/>
            <w:shd w:val="clear" w:color="auto" w:fill="FFFFFF"/>
            <w:vAlign w:val="center"/>
          </w:tcPr>
          <w:p w14:paraId="1F5DC44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方正楷体_GBK" w:cs="方正楷体_GBK"/>
                <w:i w:val="0"/>
                <w:iCs w:val="0"/>
                <w:color w:val="000000"/>
                <w:sz w:val="20"/>
                <w:szCs w:val="20"/>
                <w:u w:val="none"/>
              </w:rPr>
            </w:pPr>
            <w:r>
              <w:rPr>
                <w:rFonts w:hint="eastAsia" w:ascii="Times New Roman" w:hAnsi="Times New Roman" w:eastAsia="方正楷体_GBK" w:cs="方正楷体_GBK"/>
                <w:i w:val="0"/>
                <w:iCs w:val="0"/>
                <w:color w:val="000000"/>
                <w:kern w:val="0"/>
                <w:sz w:val="20"/>
                <w:szCs w:val="20"/>
                <w:u w:val="none"/>
                <w:lang w:val="en-US" w:eastAsia="zh-CN" w:bidi="ar"/>
              </w:rPr>
              <w:t>180元/次</w:t>
            </w:r>
          </w:p>
        </w:tc>
        <w:tc>
          <w:tcPr>
            <w:tcW w:w="1204" w:type="pct"/>
            <w:shd w:val="clear" w:color="auto" w:fill="FFFFFF"/>
            <w:noWrap/>
            <w:vAlign w:val="center"/>
          </w:tcPr>
          <w:p w14:paraId="2A1E0DA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方正楷体_GBK" w:cs="方正楷体_GBK"/>
                <w:i w:val="0"/>
                <w:iCs w:val="0"/>
                <w:color w:val="000000"/>
                <w:sz w:val="20"/>
                <w:szCs w:val="20"/>
                <w:u w:val="none"/>
              </w:rPr>
            </w:pPr>
            <w:r>
              <w:rPr>
                <w:rFonts w:hint="eastAsia" w:ascii="Times New Roman" w:hAnsi="Times New Roman" w:eastAsia="方正楷体_GBK" w:cs="方正楷体_GBK"/>
                <w:i w:val="0"/>
                <w:iCs w:val="0"/>
                <w:color w:val="000000"/>
                <w:kern w:val="0"/>
                <w:sz w:val="20"/>
                <w:szCs w:val="20"/>
                <w:u w:val="none"/>
                <w:lang w:val="en-US" w:eastAsia="zh-CN" w:bidi="ar"/>
              </w:rPr>
              <w:t>90%</w:t>
            </w:r>
          </w:p>
        </w:tc>
        <w:tc>
          <w:tcPr>
            <w:tcW w:w="686" w:type="pct"/>
            <w:shd w:val="clear" w:color="auto" w:fill="FFFFFF"/>
            <w:noWrap/>
            <w:vAlign w:val="center"/>
          </w:tcPr>
          <w:p w14:paraId="329A58E5">
            <w:pPr>
              <w:keepNext w:val="0"/>
              <w:keepLines w:val="0"/>
              <w:pageBreakBefore w:val="0"/>
              <w:widowControl/>
              <w:kinsoku/>
              <w:wordWrap/>
              <w:overflowPunct/>
              <w:topLinePunct w:val="0"/>
              <w:autoSpaceDE/>
              <w:autoSpaceDN/>
              <w:bidi w:val="0"/>
              <w:adjustRightInd/>
              <w:snapToGrid/>
              <w:spacing w:line="0" w:lineRule="atLeast"/>
              <w:jc w:val="center"/>
              <w:rPr>
                <w:rFonts w:hint="eastAsia" w:ascii="Times New Roman" w:hAnsi="Times New Roman" w:eastAsia="方正楷体_GBK" w:cs="方正楷体_GBK"/>
                <w:i w:val="0"/>
                <w:iCs w:val="0"/>
                <w:color w:val="000000"/>
                <w:sz w:val="20"/>
                <w:szCs w:val="20"/>
                <w:u w:val="none"/>
              </w:rPr>
            </w:pPr>
          </w:p>
        </w:tc>
      </w:tr>
      <w:tr w14:paraId="39C9234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229" w:type="pct"/>
            <w:vMerge w:val="continue"/>
            <w:shd w:val="clear" w:color="auto" w:fill="FFFFFF"/>
            <w:noWrap/>
            <w:vAlign w:val="center"/>
          </w:tcPr>
          <w:p w14:paraId="01461CC7">
            <w:pPr>
              <w:keepNext w:val="0"/>
              <w:keepLines w:val="0"/>
              <w:pageBreakBefore w:val="0"/>
              <w:widowControl/>
              <w:kinsoku/>
              <w:wordWrap/>
              <w:overflowPunct/>
              <w:topLinePunct w:val="0"/>
              <w:autoSpaceDE/>
              <w:autoSpaceDN/>
              <w:bidi w:val="0"/>
              <w:adjustRightInd/>
              <w:snapToGrid/>
              <w:spacing w:line="0" w:lineRule="atLeast"/>
              <w:jc w:val="center"/>
              <w:rPr>
                <w:rFonts w:hint="eastAsia" w:ascii="Times New Roman" w:hAnsi="Times New Roman" w:eastAsia="方正楷体_GBK" w:cs="方正楷体_GBK"/>
                <w:i w:val="0"/>
                <w:iCs w:val="0"/>
                <w:color w:val="000000"/>
                <w:sz w:val="20"/>
                <w:szCs w:val="20"/>
                <w:u w:val="none"/>
              </w:rPr>
            </w:pPr>
          </w:p>
        </w:tc>
        <w:tc>
          <w:tcPr>
            <w:tcW w:w="367" w:type="pct"/>
            <w:vMerge w:val="continue"/>
            <w:shd w:val="clear" w:color="auto" w:fill="FFFFFF"/>
            <w:vAlign w:val="center"/>
          </w:tcPr>
          <w:p w14:paraId="2176C398">
            <w:pPr>
              <w:keepNext w:val="0"/>
              <w:keepLines w:val="0"/>
              <w:pageBreakBefore w:val="0"/>
              <w:widowControl/>
              <w:kinsoku/>
              <w:wordWrap/>
              <w:overflowPunct/>
              <w:topLinePunct w:val="0"/>
              <w:autoSpaceDE/>
              <w:autoSpaceDN/>
              <w:bidi w:val="0"/>
              <w:adjustRightInd/>
              <w:snapToGrid/>
              <w:spacing w:line="0" w:lineRule="atLeast"/>
              <w:jc w:val="center"/>
              <w:rPr>
                <w:rFonts w:hint="eastAsia" w:ascii="Times New Roman" w:hAnsi="Times New Roman" w:eastAsia="方正楷体_GBK" w:cs="方正楷体_GBK"/>
                <w:i w:val="0"/>
                <w:iCs w:val="0"/>
                <w:color w:val="000000"/>
                <w:sz w:val="20"/>
                <w:szCs w:val="20"/>
                <w:u w:val="none"/>
              </w:rPr>
            </w:pPr>
          </w:p>
        </w:tc>
        <w:tc>
          <w:tcPr>
            <w:tcW w:w="1810" w:type="pct"/>
            <w:gridSpan w:val="2"/>
            <w:shd w:val="clear" w:color="auto" w:fill="FFFFFF"/>
            <w:vAlign w:val="center"/>
          </w:tcPr>
          <w:p w14:paraId="2BB6D26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方正楷体_GBK" w:cs="方正楷体_GBK"/>
                <w:i w:val="0"/>
                <w:iCs w:val="0"/>
                <w:color w:val="000000"/>
                <w:sz w:val="20"/>
                <w:szCs w:val="20"/>
                <w:u w:val="none"/>
              </w:rPr>
            </w:pPr>
            <w:r>
              <w:rPr>
                <w:rFonts w:hint="eastAsia" w:ascii="Times New Roman" w:hAnsi="Times New Roman" w:eastAsia="方正楷体_GBK" w:cs="方正楷体_GBK"/>
                <w:i w:val="0"/>
                <w:iCs w:val="0"/>
                <w:color w:val="000000"/>
                <w:kern w:val="0"/>
                <w:sz w:val="20"/>
                <w:szCs w:val="20"/>
                <w:u w:val="none"/>
                <w:lang w:val="en-US" w:eastAsia="zh-CN" w:bidi="ar"/>
              </w:rPr>
              <w:t>压疮护理Ⅰ期压疮（红斑期）</w:t>
            </w:r>
          </w:p>
        </w:tc>
        <w:tc>
          <w:tcPr>
            <w:tcW w:w="701" w:type="pct"/>
            <w:shd w:val="clear" w:color="auto" w:fill="FFFFFF"/>
            <w:vAlign w:val="center"/>
          </w:tcPr>
          <w:p w14:paraId="22335CD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方正楷体_GBK" w:cs="方正楷体_GBK"/>
                <w:i w:val="0"/>
                <w:iCs w:val="0"/>
                <w:color w:val="000000"/>
                <w:sz w:val="20"/>
                <w:szCs w:val="20"/>
                <w:u w:val="none"/>
              </w:rPr>
            </w:pPr>
            <w:r>
              <w:rPr>
                <w:rFonts w:hint="eastAsia" w:ascii="Times New Roman" w:hAnsi="Times New Roman" w:eastAsia="方正楷体_GBK" w:cs="方正楷体_GBK"/>
                <w:i w:val="0"/>
                <w:iCs w:val="0"/>
                <w:color w:val="000000"/>
                <w:kern w:val="0"/>
                <w:sz w:val="20"/>
                <w:szCs w:val="20"/>
                <w:u w:val="none"/>
                <w:lang w:val="en-US" w:eastAsia="zh-CN" w:bidi="ar"/>
              </w:rPr>
              <w:t>80元/次</w:t>
            </w:r>
          </w:p>
        </w:tc>
        <w:tc>
          <w:tcPr>
            <w:tcW w:w="1204" w:type="pct"/>
            <w:shd w:val="clear" w:color="auto" w:fill="FFFFFF"/>
            <w:noWrap/>
            <w:vAlign w:val="center"/>
          </w:tcPr>
          <w:p w14:paraId="2251775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方正楷体_GBK" w:cs="方正楷体_GBK"/>
                <w:i w:val="0"/>
                <w:iCs w:val="0"/>
                <w:color w:val="000000"/>
                <w:sz w:val="20"/>
                <w:szCs w:val="20"/>
                <w:u w:val="none"/>
              </w:rPr>
            </w:pPr>
            <w:r>
              <w:rPr>
                <w:rFonts w:hint="eastAsia" w:ascii="Times New Roman" w:hAnsi="Times New Roman" w:eastAsia="方正楷体_GBK" w:cs="方正楷体_GBK"/>
                <w:i w:val="0"/>
                <w:iCs w:val="0"/>
                <w:color w:val="000000"/>
                <w:kern w:val="0"/>
                <w:sz w:val="20"/>
                <w:szCs w:val="20"/>
                <w:u w:val="none"/>
                <w:lang w:val="en-US" w:eastAsia="zh-CN" w:bidi="ar"/>
              </w:rPr>
              <w:t>90%</w:t>
            </w:r>
          </w:p>
        </w:tc>
        <w:tc>
          <w:tcPr>
            <w:tcW w:w="686" w:type="pct"/>
            <w:shd w:val="clear" w:color="auto" w:fill="FFFFFF"/>
            <w:noWrap/>
            <w:vAlign w:val="center"/>
          </w:tcPr>
          <w:p w14:paraId="7120CA8B">
            <w:pPr>
              <w:keepNext w:val="0"/>
              <w:keepLines w:val="0"/>
              <w:pageBreakBefore w:val="0"/>
              <w:widowControl/>
              <w:kinsoku/>
              <w:wordWrap/>
              <w:overflowPunct/>
              <w:topLinePunct w:val="0"/>
              <w:autoSpaceDE/>
              <w:autoSpaceDN/>
              <w:bidi w:val="0"/>
              <w:adjustRightInd/>
              <w:snapToGrid/>
              <w:spacing w:line="0" w:lineRule="atLeast"/>
              <w:jc w:val="center"/>
              <w:rPr>
                <w:rFonts w:hint="eastAsia" w:ascii="Times New Roman" w:hAnsi="Times New Roman" w:eastAsia="方正楷体_GBK" w:cs="方正楷体_GBK"/>
                <w:i w:val="0"/>
                <w:iCs w:val="0"/>
                <w:color w:val="000000"/>
                <w:sz w:val="20"/>
                <w:szCs w:val="20"/>
                <w:u w:val="none"/>
              </w:rPr>
            </w:pPr>
          </w:p>
        </w:tc>
      </w:tr>
      <w:tr w14:paraId="132A004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229" w:type="pct"/>
            <w:vMerge w:val="continue"/>
            <w:shd w:val="clear" w:color="auto" w:fill="FFFFFF"/>
            <w:noWrap/>
            <w:vAlign w:val="center"/>
          </w:tcPr>
          <w:p w14:paraId="15C56B29">
            <w:pPr>
              <w:keepNext w:val="0"/>
              <w:keepLines w:val="0"/>
              <w:pageBreakBefore w:val="0"/>
              <w:widowControl/>
              <w:kinsoku/>
              <w:wordWrap/>
              <w:overflowPunct/>
              <w:topLinePunct w:val="0"/>
              <w:autoSpaceDE/>
              <w:autoSpaceDN/>
              <w:bidi w:val="0"/>
              <w:adjustRightInd/>
              <w:snapToGrid/>
              <w:spacing w:line="0" w:lineRule="atLeast"/>
              <w:jc w:val="center"/>
              <w:rPr>
                <w:rFonts w:hint="eastAsia" w:ascii="Times New Roman" w:hAnsi="Times New Roman" w:eastAsia="方正楷体_GBK" w:cs="方正楷体_GBK"/>
                <w:i w:val="0"/>
                <w:iCs w:val="0"/>
                <w:color w:val="000000"/>
                <w:sz w:val="20"/>
                <w:szCs w:val="20"/>
                <w:u w:val="none"/>
              </w:rPr>
            </w:pPr>
          </w:p>
        </w:tc>
        <w:tc>
          <w:tcPr>
            <w:tcW w:w="367" w:type="pct"/>
            <w:vMerge w:val="continue"/>
            <w:shd w:val="clear" w:color="auto" w:fill="FFFFFF"/>
            <w:vAlign w:val="center"/>
          </w:tcPr>
          <w:p w14:paraId="05BF7515">
            <w:pPr>
              <w:keepNext w:val="0"/>
              <w:keepLines w:val="0"/>
              <w:pageBreakBefore w:val="0"/>
              <w:widowControl/>
              <w:kinsoku/>
              <w:wordWrap/>
              <w:overflowPunct/>
              <w:topLinePunct w:val="0"/>
              <w:autoSpaceDE/>
              <w:autoSpaceDN/>
              <w:bidi w:val="0"/>
              <w:adjustRightInd/>
              <w:snapToGrid/>
              <w:spacing w:line="0" w:lineRule="atLeast"/>
              <w:jc w:val="center"/>
              <w:rPr>
                <w:rFonts w:hint="eastAsia" w:ascii="Times New Roman" w:hAnsi="Times New Roman" w:eastAsia="方正楷体_GBK" w:cs="方正楷体_GBK"/>
                <w:i w:val="0"/>
                <w:iCs w:val="0"/>
                <w:color w:val="000000"/>
                <w:sz w:val="20"/>
                <w:szCs w:val="20"/>
                <w:u w:val="none"/>
              </w:rPr>
            </w:pPr>
          </w:p>
        </w:tc>
        <w:tc>
          <w:tcPr>
            <w:tcW w:w="1810" w:type="pct"/>
            <w:gridSpan w:val="2"/>
            <w:shd w:val="clear" w:color="auto" w:fill="FFFFFF"/>
            <w:vAlign w:val="center"/>
          </w:tcPr>
          <w:p w14:paraId="487721F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方正楷体_GBK" w:cs="方正楷体_GBK"/>
                <w:i w:val="0"/>
                <w:iCs w:val="0"/>
                <w:color w:val="000000"/>
                <w:kern w:val="0"/>
                <w:sz w:val="20"/>
                <w:szCs w:val="20"/>
                <w:u w:val="none"/>
                <w:lang w:val="en-US" w:eastAsia="zh-CN" w:bidi="ar"/>
              </w:rPr>
            </w:pPr>
            <w:r>
              <w:rPr>
                <w:rFonts w:hint="eastAsia" w:ascii="Times New Roman" w:hAnsi="Times New Roman" w:eastAsia="方正楷体_GBK" w:cs="方正楷体_GBK"/>
                <w:i w:val="0"/>
                <w:iCs w:val="0"/>
                <w:color w:val="000000"/>
                <w:kern w:val="0"/>
                <w:sz w:val="20"/>
                <w:szCs w:val="20"/>
                <w:u w:val="none"/>
                <w:lang w:val="en-US" w:eastAsia="zh-CN" w:bidi="ar"/>
              </w:rPr>
              <w:t>压疮护理Ⅱ期压疮</w:t>
            </w:r>
          </w:p>
          <w:p w14:paraId="525BF5B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方正楷体_GBK" w:cs="方正楷体_GBK"/>
                <w:i w:val="0"/>
                <w:iCs w:val="0"/>
                <w:color w:val="000000"/>
                <w:sz w:val="20"/>
                <w:szCs w:val="20"/>
                <w:u w:val="none"/>
              </w:rPr>
            </w:pPr>
            <w:r>
              <w:rPr>
                <w:rFonts w:hint="eastAsia" w:ascii="Times New Roman" w:hAnsi="Times New Roman" w:eastAsia="方正楷体_GBK" w:cs="方正楷体_GBK"/>
                <w:i w:val="0"/>
                <w:iCs w:val="0"/>
                <w:color w:val="000000"/>
                <w:kern w:val="0"/>
                <w:sz w:val="20"/>
                <w:szCs w:val="20"/>
                <w:u w:val="none"/>
                <w:lang w:val="en-US" w:eastAsia="zh-CN" w:bidi="ar"/>
              </w:rPr>
              <w:t>（炎性浸润期/浅表溃疡期）</w:t>
            </w:r>
          </w:p>
        </w:tc>
        <w:tc>
          <w:tcPr>
            <w:tcW w:w="701" w:type="pct"/>
            <w:shd w:val="clear" w:color="auto" w:fill="FFFFFF"/>
            <w:vAlign w:val="center"/>
          </w:tcPr>
          <w:p w14:paraId="5A42D36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方正楷体_GBK" w:cs="方正楷体_GBK"/>
                <w:i w:val="0"/>
                <w:iCs w:val="0"/>
                <w:color w:val="000000"/>
                <w:sz w:val="20"/>
                <w:szCs w:val="20"/>
                <w:u w:val="none"/>
              </w:rPr>
            </w:pPr>
            <w:r>
              <w:rPr>
                <w:rFonts w:hint="eastAsia" w:ascii="Times New Roman" w:hAnsi="Times New Roman" w:eastAsia="方正楷体_GBK" w:cs="方正楷体_GBK"/>
                <w:i w:val="0"/>
                <w:iCs w:val="0"/>
                <w:color w:val="000000"/>
                <w:kern w:val="0"/>
                <w:sz w:val="20"/>
                <w:szCs w:val="20"/>
                <w:u w:val="none"/>
                <w:lang w:val="en-US" w:eastAsia="zh-CN" w:bidi="ar"/>
              </w:rPr>
              <w:t>120元/次</w:t>
            </w:r>
          </w:p>
        </w:tc>
        <w:tc>
          <w:tcPr>
            <w:tcW w:w="1204" w:type="pct"/>
            <w:shd w:val="clear" w:color="auto" w:fill="FFFFFF"/>
            <w:noWrap/>
            <w:vAlign w:val="center"/>
          </w:tcPr>
          <w:p w14:paraId="2EA7521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方正楷体_GBK" w:cs="方正楷体_GBK"/>
                <w:i w:val="0"/>
                <w:iCs w:val="0"/>
                <w:color w:val="000000"/>
                <w:sz w:val="20"/>
                <w:szCs w:val="20"/>
                <w:u w:val="none"/>
              </w:rPr>
            </w:pPr>
            <w:r>
              <w:rPr>
                <w:rFonts w:hint="eastAsia" w:ascii="Times New Roman" w:hAnsi="Times New Roman" w:eastAsia="方正楷体_GBK" w:cs="方正楷体_GBK"/>
                <w:i w:val="0"/>
                <w:iCs w:val="0"/>
                <w:color w:val="000000"/>
                <w:kern w:val="0"/>
                <w:sz w:val="20"/>
                <w:szCs w:val="20"/>
                <w:u w:val="none"/>
                <w:lang w:val="en-US" w:eastAsia="zh-CN" w:bidi="ar"/>
              </w:rPr>
              <w:t>90%</w:t>
            </w:r>
          </w:p>
        </w:tc>
        <w:tc>
          <w:tcPr>
            <w:tcW w:w="686" w:type="pct"/>
            <w:shd w:val="clear" w:color="auto" w:fill="FFFFFF"/>
            <w:noWrap/>
            <w:vAlign w:val="center"/>
          </w:tcPr>
          <w:p w14:paraId="1AF51C93">
            <w:pPr>
              <w:keepNext w:val="0"/>
              <w:keepLines w:val="0"/>
              <w:pageBreakBefore w:val="0"/>
              <w:widowControl/>
              <w:kinsoku/>
              <w:wordWrap/>
              <w:overflowPunct/>
              <w:topLinePunct w:val="0"/>
              <w:autoSpaceDE/>
              <w:autoSpaceDN/>
              <w:bidi w:val="0"/>
              <w:adjustRightInd/>
              <w:snapToGrid/>
              <w:spacing w:line="0" w:lineRule="atLeast"/>
              <w:jc w:val="center"/>
              <w:rPr>
                <w:rFonts w:hint="eastAsia" w:ascii="Times New Roman" w:hAnsi="Times New Roman" w:eastAsia="方正楷体_GBK" w:cs="方正楷体_GBK"/>
                <w:i w:val="0"/>
                <w:iCs w:val="0"/>
                <w:color w:val="000000"/>
                <w:sz w:val="20"/>
                <w:szCs w:val="20"/>
                <w:u w:val="none"/>
              </w:rPr>
            </w:pPr>
          </w:p>
        </w:tc>
      </w:tr>
      <w:tr w14:paraId="54FDD1F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398" w:type="dxa"/>
            <w:vMerge w:val="restart"/>
            <w:shd w:val="clear" w:color="auto" w:fill="FFFFFF"/>
            <w:noWrap/>
            <w:vAlign w:val="center"/>
          </w:tcPr>
          <w:p w14:paraId="0035C23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方正楷体_GBK" w:cs="方正楷体_GBK"/>
                <w:i w:val="0"/>
                <w:iCs w:val="0"/>
                <w:color w:val="000000"/>
                <w:sz w:val="20"/>
                <w:szCs w:val="20"/>
                <w:u w:val="none"/>
              </w:rPr>
            </w:pPr>
            <w:r>
              <w:rPr>
                <w:rFonts w:hint="eastAsia" w:ascii="Times New Roman" w:hAnsi="Times New Roman" w:eastAsia="方正楷体_GBK" w:cs="方正楷体_GBK"/>
                <w:i w:val="0"/>
                <w:iCs w:val="0"/>
                <w:color w:val="000000"/>
                <w:kern w:val="0"/>
                <w:sz w:val="20"/>
                <w:szCs w:val="20"/>
                <w:u w:val="none"/>
                <w:lang w:val="en-US" w:eastAsia="zh-CN" w:bidi="ar"/>
              </w:rPr>
              <w:t>5</w:t>
            </w:r>
          </w:p>
        </w:tc>
        <w:tc>
          <w:tcPr>
            <w:tcW w:w="635" w:type="dxa"/>
            <w:vMerge w:val="restart"/>
            <w:shd w:val="clear" w:color="auto" w:fill="FFFFFF"/>
            <w:vAlign w:val="center"/>
          </w:tcPr>
          <w:p w14:paraId="1D90C05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方正楷体_GBK" w:cs="方正楷体_GBK"/>
                <w:i w:val="0"/>
                <w:iCs w:val="0"/>
                <w:color w:val="000000"/>
                <w:sz w:val="20"/>
                <w:szCs w:val="20"/>
                <w:u w:val="none"/>
              </w:rPr>
            </w:pPr>
            <w:r>
              <w:rPr>
                <w:rFonts w:hint="eastAsia" w:ascii="Times New Roman" w:hAnsi="Times New Roman" w:eastAsia="方正楷体_GBK" w:cs="方正楷体_GBK"/>
                <w:i w:val="0"/>
                <w:iCs w:val="0"/>
                <w:color w:val="000000"/>
                <w:kern w:val="0"/>
                <w:sz w:val="20"/>
                <w:szCs w:val="20"/>
                <w:u w:val="none"/>
                <w:lang w:val="en-US" w:eastAsia="zh-CN" w:bidi="ar"/>
              </w:rPr>
              <w:t>医疗护理服务</w:t>
            </w:r>
          </w:p>
        </w:tc>
        <w:tc>
          <w:tcPr>
            <w:tcW w:w="1810" w:type="pct"/>
            <w:gridSpan w:val="2"/>
            <w:shd w:val="clear" w:color="auto" w:fill="FFFFFF"/>
            <w:vAlign w:val="center"/>
          </w:tcPr>
          <w:p w14:paraId="12A79E6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方正楷体_GBK" w:cs="方正楷体_GBK"/>
                <w:i w:val="0"/>
                <w:iCs w:val="0"/>
                <w:color w:val="000000"/>
                <w:sz w:val="20"/>
                <w:szCs w:val="20"/>
                <w:u w:val="none"/>
              </w:rPr>
            </w:pPr>
            <w:r>
              <w:rPr>
                <w:rFonts w:hint="eastAsia" w:ascii="Times New Roman" w:hAnsi="Times New Roman" w:eastAsia="方正楷体_GBK" w:cs="方正楷体_GBK"/>
                <w:i w:val="0"/>
                <w:iCs w:val="0"/>
                <w:color w:val="000000"/>
                <w:kern w:val="0"/>
                <w:sz w:val="20"/>
                <w:szCs w:val="20"/>
                <w:u w:val="none"/>
                <w:lang w:val="en-US" w:eastAsia="zh-CN" w:bidi="ar"/>
              </w:rPr>
              <w:t>创口清理、术后拆线</w:t>
            </w:r>
          </w:p>
        </w:tc>
        <w:tc>
          <w:tcPr>
            <w:tcW w:w="701" w:type="pct"/>
            <w:shd w:val="clear" w:color="auto" w:fill="FFFFFF"/>
            <w:vAlign w:val="center"/>
          </w:tcPr>
          <w:p w14:paraId="715CDC6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方正楷体_GBK" w:cs="方正楷体_GBK"/>
                <w:i w:val="0"/>
                <w:iCs w:val="0"/>
                <w:color w:val="000000"/>
                <w:sz w:val="20"/>
                <w:szCs w:val="20"/>
                <w:u w:val="none"/>
              </w:rPr>
            </w:pPr>
            <w:r>
              <w:rPr>
                <w:rFonts w:hint="eastAsia" w:ascii="Times New Roman" w:hAnsi="Times New Roman" w:eastAsia="方正楷体_GBK" w:cs="方正楷体_GBK"/>
                <w:i w:val="0"/>
                <w:iCs w:val="0"/>
                <w:color w:val="000000"/>
                <w:kern w:val="0"/>
                <w:sz w:val="20"/>
                <w:szCs w:val="20"/>
                <w:u w:val="none"/>
                <w:lang w:val="en-US" w:eastAsia="zh-CN" w:bidi="ar"/>
              </w:rPr>
              <w:t>180元/次</w:t>
            </w:r>
          </w:p>
        </w:tc>
        <w:tc>
          <w:tcPr>
            <w:tcW w:w="1204" w:type="pct"/>
            <w:shd w:val="clear" w:color="auto" w:fill="FFFFFF"/>
            <w:noWrap/>
            <w:vAlign w:val="center"/>
          </w:tcPr>
          <w:p w14:paraId="3600B42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方正楷体_GBK" w:cs="方正楷体_GBK"/>
                <w:i w:val="0"/>
                <w:iCs w:val="0"/>
                <w:color w:val="000000"/>
                <w:sz w:val="20"/>
                <w:szCs w:val="20"/>
                <w:u w:val="none"/>
              </w:rPr>
            </w:pPr>
            <w:r>
              <w:rPr>
                <w:rFonts w:hint="eastAsia" w:ascii="Times New Roman" w:hAnsi="Times New Roman" w:eastAsia="方正楷体_GBK" w:cs="方正楷体_GBK"/>
                <w:i w:val="0"/>
                <w:iCs w:val="0"/>
                <w:color w:val="000000"/>
                <w:kern w:val="0"/>
                <w:sz w:val="20"/>
                <w:szCs w:val="20"/>
                <w:u w:val="none"/>
                <w:lang w:val="en-US" w:eastAsia="zh-CN" w:bidi="ar"/>
              </w:rPr>
              <w:t>90%</w:t>
            </w:r>
          </w:p>
        </w:tc>
        <w:tc>
          <w:tcPr>
            <w:tcW w:w="686" w:type="pct"/>
            <w:shd w:val="clear" w:color="auto" w:fill="FFFFFF"/>
            <w:noWrap/>
            <w:vAlign w:val="center"/>
          </w:tcPr>
          <w:p w14:paraId="00A1E2BD">
            <w:pPr>
              <w:keepNext w:val="0"/>
              <w:keepLines w:val="0"/>
              <w:pageBreakBefore w:val="0"/>
              <w:widowControl/>
              <w:kinsoku/>
              <w:wordWrap/>
              <w:overflowPunct/>
              <w:topLinePunct w:val="0"/>
              <w:autoSpaceDE/>
              <w:autoSpaceDN/>
              <w:bidi w:val="0"/>
              <w:adjustRightInd/>
              <w:snapToGrid/>
              <w:spacing w:line="0" w:lineRule="atLeast"/>
              <w:jc w:val="center"/>
              <w:rPr>
                <w:rFonts w:hint="eastAsia" w:ascii="Times New Roman" w:hAnsi="Times New Roman" w:eastAsia="方正楷体_GBK" w:cs="方正楷体_GBK"/>
                <w:i w:val="0"/>
                <w:iCs w:val="0"/>
                <w:color w:val="000000"/>
                <w:sz w:val="20"/>
                <w:szCs w:val="20"/>
                <w:u w:val="none"/>
              </w:rPr>
            </w:pPr>
          </w:p>
        </w:tc>
      </w:tr>
      <w:tr w14:paraId="296C541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229" w:type="pct"/>
            <w:vMerge w:val="continue"/>
            <w:shd w:val="clear" w:color="auto" w:fill="FFFFFF"/>
            <w:noWrap/>
            <w:vAlign w:val="center"/>
          </w:tcPr>
          <w:p w14:paraId="57D9889B">
            <w:pPr>
              <w:keepNext w:val="0"/>
              <w:keepLines w:val="0"/>
              <w:pageBreakBefore w:val="0"/>
              <w:widowControl/>
              <w:kinsoku/>
              <w:wordWrap/>
              <w:overflowPunct/>
              <w:topLinePunct w:val="0"/>
              <w:autoSpaceDE/>
              <w:autoSpaceDN/>
              <w:bidi w:val="0"/>
              <w:adjustRightInd/>
              <w:snapToGrid/>
              <w:spacing w:line="0" w:lineRule="atLeast"/>
              <w:jc w:val="center"/>
              <w:rPr>
                <w:rFonts w:hint="eastAsia" w:ascii="Times New Roman" w:hAnsi="Times New Roman" w:eastAsia="方正楷体_GBK" w:cs="方正楷体_GBK"/>
                <w:i w:val="0"/>
                <w:iCs w:val="0"/>
                <w:color w:val="000000"/>
                <w:sz w:val="20"/>
                <w:szCs w:val="20"/>
                <w:u w:val="none"/>
              </w:rPr>
            </w:pPr>
          </w:p>
        </w:tc>
        <w:tc>
          <w:tcPr>
            <w:tcW w:w="367" w:type="pct"/>
            <w:vMerge w:val="continue"/>
            <w:shd w:val="clear" w:color="auto" w:fill="FFFFFF"/>
            <w:vAlign w:val="center"/>
          </w:tcPr>
          <w:p w14:paraId="245470F8">
            <w:pPr>
              <w:keepNext w:val="0"/>
              <w:keepLines w:val="0"/>
              <w:pageBreakBefore w:val="0"/>
              <w:widowControl/>
              <w:kinsoku/>
              <w:wordWrap/>
              <w:overflowPunct/>
              <w:topLinePunct w:val="0"/>
              <w:autoSpaceDE/>
              <w:autoSpaceDN/>
              <w:bidi w:val="0"/>
              <w:adjustRightInd/>
              <w:snapToGrid/>
              <w:spacing w:line="0" w:lineRule="atLeast"/>
              <w:jc w:val="center"/>
              <w:rPr>
                <w:rFonts w:hint="eastAsia" w:ascii="Times New Roman" w:hAnsi="Times New Roman" w:eastAsia="方正楷体_GBK" w:cs="方正楷体_GBK"/>
                <w:i w:val="0"/>
                <w:iCs w:val="0"/>
                <w:color w:val="000000"/>
                <w:sz w:val="20"/>
                <w:szCs w:val="20"/>
                <w:u w:val="none"/>
              </w:rPr>
            </w:pPr>
          </w:p>
        </w:tc>
        <w:tc>
          <w:tcPr>
            <w:tcW w:w="1810" w:type="pct"/>
            <w:gridSpan w:val="2"/>
            <w:shd w:val="clear" w:color="auto" w:fill="FFFFFF"/>
            <w:vAlign w:val="center"/>
          </w:tcPr>
          <w:p w14:paraId="723DB07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方正楷体_GBK" w:cs="方正楷体_GBK"/>
                <w:i w:val="0"/>
                <w:iCs w:val="0"/>
                <w:color w:val="000000"/>
                <w:sz w:val="20"/>
                <w:szCs w:val="20"/>
                <w:u w:val="none"/>
              </w:rPr>
            </w:pPr>
            <w:r>
              <w:rPr>
                <w:rFonts w:hint="eastAsia" w:ascii="Times New Roman" w:hAnsi="Times New Roman" w:eastAsia="方正楷体_GBK" w:cs="方正楷体_GBK"/>
                <w:i w:val="0"/>
                <w:iCs w:val="0"/>
                <w:color w:val="000000"/>
                <w:kern w:val="0"/>
                <w:sz w:val="20"/>
                <w:szCs w:val="20"/>
                <w:u w:val="none"/>
                <w:lang w:val="en-US" w:eastAsia="zh-CN" w:bidi="ar"/>
              </w:rPr>
              <w:t>人工造口护理</w:t>
            </w:r>
          </w:p>
        </w:tc>
        <w:tc>
          <w:tcPr>
            <w:tcW w:w="701" w:type="pct"/>
            <w:shd w:val="clear" w:color="auto" w:fill="FFFFFF"/>
            <w:vAlign w:val="center"/>
          </w:tcPr>
          <w:p w14:paraId="3A2A4EF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方正楷体_GBK" w:cs="方正楷体_GBK"/>
                <w:i w:val="0"/>
                <w:iCs w:val="0"/>
                <w:color w:val="000000"/>
                <w:sz w:val="20"/>
                <w:szCs w:val="20"/>
                <w:u w:val="none"/>
              </w:rPr>
            </w:pPr>
            <w:r>
              <w:rPr>
                <w:rFonts w:hint="eastAsia" w:ascii="Times New Roman" w:hAnsi="Times New Roman" w:eastAsia="方正楷体_GBK" w:cs="方正楷体_GBK"/>
                <w:i w:val="0"/>
                <w:iCs w:val="0"/>
                <w:color w:val="000000"/>
                <w:kern w:val="0"/>
                <w:sz w:val="20"/>
                <w:szCs w:val="20"/>
                <w:u w:val="none"/>
                <w:lang w:val="en-US" w:eastAsia="zh-CN" w:bidi="ar"/>
              </w:rPr>
              <w:t>180元/次</w:t>
            </w:r>
          </w:p>
        </w:tc>
        <w:tc>
          <w:tcPr>
            <w:tcW w:w="1204" w:type="pct"/>
            <w:shd w:val="clear" w:color="auto" w:fill="FFFFFF"/>
            <w:noWrap/>
            <w:vAlign w:val="center"/>
          </w:tcPr>
          <w:p w14:paraId="261227B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方正楷体_GBK" w:cs="方正楷体_GBK"/>
                <w:i w:val="0"/>
                <w:iCs w:val="0"/>
                <w:color w:val="000000"/>
                <w:sz w:val="20"/>
                <w:szCs w:val="20"/>
                <w:u w:val="none"/>
              </w:rPr>
            </w:pPr>
            <w:r>
              <w:rPr>
                <w:rFonts w:hint="eastAsia" w:ascii="Times New Roman" w:hAnsi="Times New Roman" w:eastAsia="方正楷体_GBK" w:cs="方正楷体_GBK"/>
                <w:i w:val="0"/>
                <w:iCs w:val="0"/>
                <w:color w:val="000000"/>
                <w:kern w:val="0"/>
                <w:sz w:val="20"/>
                <w:szCs w:val="20"/>
                <w:u w:val="none"/>
                <w:lang w:val="en-US" w:eastAsia="zh-CN" w:bidi="ar"/>
              </w:rPr>
              <w:t>90%</w:t>
            </w:r>
          </w:p>
        </w:tc>
        <w:tc>
          <w:tcPr>
            <w:tcW w:w="686" w:type="pct"/>
            <w:shd w:val="clear" w:color="auto" w:fill="FFFFFF"/>
            <w:noWrap/>
            <w:vAlign w:val="center"/>
          </w:tcPr>
          <w:p w14:paraId="0B224DF3">
            <w:pPr>
              <w:keepNext w:val="0"/>
              <w:keepLines w:val="0"/>
              <w:pageBreakBefore w:val="0"/>
              <w:widowControl/>
              <w:kinsoku/>
              <w:wordWrap/>
              <w:overflowPunct/>
              <w:topLinePunct w:val="0"/>
              <w:autoSpaceDE/>
              <w:autoSpaceDN/>
              <w:bidi w:val="0"/>
              <w:adjustRightInd/>
              <w:snapToGrid/>
              <w:spacing w:line="0" w:lineRule="atLeast"/>
              <w:jc w:val="center"/>
              <w:rPr>
                <w:rFonts w:hint="eastAsia" w:ascii="Times New Roman" w:hAnsi="Times New Roman" w:eastAsia="方正楷体_GBK" w:cs="方正楷体_GBK"/>
                <w:i w:val="0"/>
                <w:iCs w:val="0"/>
                <w:color w:val="000000"/>
                <w:sz w:val="20"/>
                <w:szCs w:val="20"/>
                <w:u w:val="none"/>
              </w:rPr>
            </w:pPr>
          </w:p>
        </w:tc>
      </w:tr>
      <w:tr w14:paraId="06BAD16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229" w:type="pct"/>
            <w:vMerge w:val="continue"/>
            <w:shd w:val="clear" w:color="auto" w:fill="FFFFFF"/>
            <w:noWrap/>
            <w:vAlign w:val="center"/>
          </w:tcPr>
          <w:p w14:paraId="28381BB2">
            <w:pPr>
              <w:keepNext w:val="0"/>
              <w:keepLines w:val="0"/>
              <w:pageBreakBefore w:val="0"/>
              <w:widowControl/>
              <w:kinsoku/>
              <w:wordWrap/>
              <w:overflowPunct/>
              <w:topLinePunct w:val="0"/>
              <w:autoSpaceDE/>
              <w:autoSpaceDN/>
              <w:bidi w:val="0"/>
              <w:adjustRightInd/>
              <w:snapToGrid/>
              <w:spacing w:line="0" w:lineRule="atLeast"/>
              <w:jc w:val="center"/>
              <w:rPr>
                <w:rFonts w:hint="eastAsia" w:ascii="Times New Roman" w:hAnsi="Times New Roman" w:eastAsia="方正楷体_GBK" w:cs="方正楷体_GBK"/>
                <w:i w:val="0"/>
                <w:iCs w:val="0"/>
                <w:color w:val="000000"/>
                <w:sz w:val="20"/>
                <w:szCs w:val="20"/>
                <w:u w:val="none"/>
              </w:rPr>
            </w:pPr>
          </w:p>
        </w:tc>
        <w:tc>
          <w:tcPr>
            <w:tcW w:w="367" w:type="pct"/>
            <w:vMerge w:val="continue"/>
            <w:shd w:val="clear" w:color="auto" w:fill="FFFFFF"/>
            <w:vAlign w:val="center"/>
          </w:tcPr>
          <w:p w14:paraId="6EE8B6D7">
            <w:pPr>
              <w:keepNext w:val="0"/>
              <w:keepLines w:val="0"/>
              <w:pageBreakBefore w:val="0"/>
              <w:widowControl/>
              <w:kinsoku/>
              <w:wordWrap/>
              <w:overflowPunct/>
              <w:topLinePunct w:val="0"/>
              <w:autoSpaceDE/>
              <w:autoSpaceDN/>
              <w:bidi w:val="0"/>
              <w:adjustRightInd/>
              <w:snapToGrid/>
              <w:spacing w:line="0" w:lineRule="atLeast"/>
              <w:jc w:val="center"/>
              <w:rPr>
                <w:rFonts w:hint="eastAsia" w:ascii="Times New Roman" w:hAnsi="Times New Roman" w:eastAsia="方正楷体_GBK" w:cs="方正楷体_GBK"/>
                <w:i w:val="0"/>
                <w:iCs w:val="0"/>
                <w:color w:val="000000"/>
                <w:sz w:val="20"/>
                <w:szCs w:val="20"/>
                <w:u w:val="none"/>
              </w:rPr>
            </w:pPr>
          </w:p>
        </w:tc>
        <w:tc>
          <w:tcPr>
            <w:tcW w:w="1810" w:type="pct"/>
            <w:gridSpan w:val="2"/>
            <w:shd w:val="clear" w:color="auto" w:fill="FFFFFF"/>
            <w:vAlign w:val="center"/>
          </w:tcPr>
          <w:p w14:paraId="22EF4FA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方正楷体_GBK" w:cs="方正楷体_GBK"/>
                <w:i w:val="0"/>
                <w:iCs w:val="0"/>
                <w:color w:val="000000"/>
                <w:sz w:val="20"/>
                <w:szCs w:val="20"/>
                <w:u w:val="none"/>
              </w:rPr>
            </w:pPr>
            <w:r>
              <w:rPr>
                <w:rFonts w:hint="eastAsia" w:ascii="Times New Roman" w:hAnsi="Times New Roman" w:eastAsia="方正楷体_GBK" w:cs="方正楷体_GBK"/>
                <w:i w:val="0"/>
                <w:iCs w:val="0"/>
                <w:color w:val="000000"/>
                <w:kern w:val="0"/>
                <w:sz w:val="20"/>
                <w:szCs w:val="20"/>
                <w:u w:val="none"/>
                <w:lang w:val="en-US" w:eastAsia="zh-CN" w:bidi="ar"/>
              </w:rPr>
              <w:t>氧气吸入</w:t>
            </w:r>
          </w:p>
        </w:tc>
        <w:tc>
          <w:tcPr>
            <w:tcW w:w="701" w:type="pct"/>
            <w:shd w:val="clear" w:color="auto" w:fill="FFFFFF"/>
            <w:vAlign w:val="center"/>
          </w:tcPr>
          <w:p w14:paraId="6B63B26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方正楷体_GBK" w:cs="方正楷体_GBK"/>
                <w:i w:val="0"/>
                <w:iCs w:val="0"/>
                <w:color w:val="000000"/>
                <w:sz w:val="20"/>
                <w:szCs w:val="20"/>
                <w:u w:val="none"/>
              </w:rPr>
            </w:pPr>
            <w:r>
              <w:rPr>
                <w:rFonts w:hint="eastAsia" w:ascii="Times New Roman" w:hAnsi="Times New Roman" w:eastAsia="方正楷体_GBK" w:cs="方正楷体_GBK"/>
                <w:i w:val="0"/>
                <w:iCs w:val="0"/>
                <w:color w:val="000000"/>
                <w:kern w:val="0"/>
                <w:sz w:val="20"/>
                <w:szCs w:val="20"/>
                <w:u w:val="none"/>
                <w:lang w:val="en-US" w:eastAsia="zh-CN" w:bidi="ar"/>
              </w:rPr>
              <w:t>150元/次</w:t>
            </w:r>
          </w:p>
        </w:tc>
        <w:tc>
          <w:tcPr>
            <w:tcW w:w="1204" w:type="pct"/>
            <w:shd w:val="clear" w:color="auto" w:fill="FFFFFF"/>
            <w:noWrap/>
            <w:vAlign w:val="center"/>
          </w:tcPr>
          <w:p w14:paraId="7B9334E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方正楷体_GBK" w:cs="方正楷体_GBK"/>
                <w:i w:val="0"/>
                <w:iCs w:val="0"/>
                <w:color w:val="000000"/>
                <w:sz w:val="20"/>
                <w:szCs w:val="20"/>
                <w:u w:val="none"/>
              </w:rPr>
            </w:pPr>
            <w:r>
              <w:rPr>
                <w:rFonts w:hint="eastAsia" w:ascii="Times New Roman" w:hAnsi="Times New Roman" w:eastAsia="方正楷体_GBK" w:cs="方正楷体_GBK"/>
                <w:i w:val="0"/>
                <w:iCs w:val="0"/>
                <w:color w:val="000000"/>
                <w:kern w:val="0"/>
                <w:sz w:val="20"/>
                <w:szCs w:val="20"/>
                <w:u w:val="none"/>
                <w:lang w:val="en-US" w:eastAsia="zh-CN" w:bidi="ar"/>
              </w:rPr>
              <w:t>90%</w:t>
            </w:r>
          </w:p>
        </w:tc>
        <w:tc>
          <w:tcPr>
            <w:tcW w:w="686" w:type="pct"/>
            <w:shd w:val="clear" w:color="auto" w:fill="FFFFFF"/>
            <w:noWrap/>
            <w:vAlign w:val="center"/>
          </w:tcPr>
          <w:p w14:paraId="231D579B">
            <w:pPr>
              <w:keepNext w:val="0"/>
              <w:keepLines w:val="0"/>
              <w:pageBreakBefore w:val="0"/>
              <w:widowControl/>
              <w:kinsoku/>
              <w:wordWrap/>
              <w:overflowPunct/>
              <w:topLinePunct w:val="0"/>
              <w:autoSpaceDE/>
              <w:autoSpaceDN/>
              <w:bidi w:val="0"/>
              <w:adjustRightInd/>
              <w:snapToGrid/>
              <w:spacing w:line="0" w:lineRule="atLeast"/>
              <w:jc w:val="center"/>
              <w:rPr>
                <w:rFonts w:hint="eastAsia" w:ascii="Times New Roman" w:hAnsi="Times New Roman" w:eastAsia="方正楷体_GBK" w:cs="方正楷体_GBK"/>
                <w:i w:val="0"/>
                <w:iCs w:val="0"/>
                <w:color w:val="000000"/>
                <w:sz w:val="20"/>
                <w:szCs w:val="20"/>
                <w:u w:val="none"/>
              </w:rPr>
            </w:pPr>
          </w:p>
        </w:tc>
      </w:tr>
      <w:tr w14:paraId="4C85F25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229" w:type="pct"/>
            <w:vMerge w:val="continue"/>
            <w:shd w:val="clear" w:color="auto" w:fill="FFFFFF"/>
            <w:noWrap/>
            <w:vAlign w:val="center"/>
          </w:tcPr>
          <w:p w14:paraId="697B8D8F">
            <w:pPr>
              <w:keepNext w:val="0"/>
              <w:keepLines w:val="0"/>
              <w:pageBreakBefore w:val="0"/>
              <w:widowControl/>
              <w:kinsoku/>
              <w:wordWrap/>
              <w:overflowPunct/>
              <w:topLinePunct w:val="0"/>
              <w:autoSpaceDE/>
              <w:autoSpaceDN/>
              <w:bidi w:val="0"/>
              <w:adjustRightInd/>
              <w:snapToGrid/>
              <w:spacing w:line="0" w:lineRule="atLeast"/>
              <w:jc w:val="center"/>
              <w:rPr>
                <w:rFonts w:hint="eastAsia" w:ascii="Times New Roman" w:hAnsi="Times New Roman" w:eastAsia="方正楷体_GBK" w:cs="方正楷体_GBK"/>
                <w:i w:val="0"/>
                <w:iCs w:val="0"/>
                <w:color w:val="000000"/>
                <w:sz w:val="20"/>
                <w:szCs w:val="20"/>
                <w:u w:val="none"/>
              </w:rPr>
            </w:pPr>
          </w:p>
        </w:tc>
        <w:tc>
          <w:tcPr>
            <w:tcW w:w="367" w:type="pct"/>
            <w:vMerge w:val="continue"/>
            <w:shd w:val="clear" w:color="auto" w:fill="FFFFFF"/>
            <w:vAlign w:val="center"/>
          </w:tcPr>
          <w:p w14:paraId="4AF61EA3">
            <w:pPr>
              <w:keepNext w:val="0"/>
              <w:keepLines w:val="0"/>
              <w:pageBreakBefore w:val="0"/>
              <w:widowControl/>
              <w:kinsoku/>
              <w:wordWrap/>
              <w:overflowPunct/>
              <w:topLinePunct w:val="0"/>
              <w:autoSpaceDE/>
              <w:autoSpaceDN/>
              <w:bidi w:val="0"/>
              <w:adjustRightInd/>
              <w:snapToGrid/>
              <w:spacing w:line="0" w:lineRule="atLeast"/>
              <w:jc w:val="center"/>
              <w:rPr>
                <w:rFonts w:hint="eastAsia" w:ascii="Times New Roman" w:hAnsi="Times New Roman" w:eastAsia="方正楷体_GBK" w:cs="方正楷体_GBK"/>
                <w:i w:val="0"/>
                <w:iCs w:val="0"/>
                <w:color w:val="000000"/>
                <w:sz w:val="20"/>
                <w:szCs w:val="20"/>
                <w:u w:val="none"/>
              </w:rPr>
            </w:pPr>
          </w:p>
        </w:tc>
        <w:tc>
          <w:tcPr>
            <w:tcW w:w="1810" w:type="pct"/>
            <w:gridSpan w:val="2"/>
            <w:shd w:val="clear" w:color="auto" w:fill="FFFFFF"/>
            <w:vAlign w:val="center"/>
          </w:tcPr>
          <w:p w14:paraId="0424953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方正楷体_GBK" w:cs="方正楷体_GBK"/>
                <w:i w:val="0"/>
                <w:iCs w:val="0"/>
                <w:color w:val="000000"/>
                <w:sz w:val="20"/>
                <w:szCs w:val="20"/>
                <w:u w:val="none"/>
              </w:rPr>
            </w:pPr>
            <w:r>
              <w:rPr>
                <w:rFonts w:hint="eastAsia" w:ascii="Times New Roman" w:hAnsi="Times New Roman" w:eastAsia="方正楷体_GBK" w:cs="方正楷体_GBK"/>
                <w:i w:val="0"/>
                <w:iCs w:val="0"/>
                <w:color w:val="000000"/>
                <w:kern w:val="0"/>
                <w:sz w:val="20"/>
                <w:szCs w:val="20"/>
                <w:u w:val="none"/>
                <w:lang w:val="en-US" w:eastAsia="zh-CN" w:bidi="ar"/>
              </w:rPr>
              <w:t>吸痰</w:t>
            </w:r>
          </w:p>
        </w:tc>
        <w:tc>
          <w:tcPr>
            <w:tcW w:w="701" w:type="pct"/>
            <w:shd w:val="clear" w:color="auto" w:fill="FFFFFF"/>
            <w:vAlign w:val="center"/>
          </w:tcPr>
          <w:p w14:paraId="42CBF28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方正楷体_GBK" w:cs="方正楷体_GBK"/>
                <w:i w:val="0"/>
                <w:iCs w:val="0"/>
                <w:color w:val="000000"/>
                <w:sz w:val="20"/>
                <w:szCs w:val="20"/>
                <w:u w:val="none"/>
              </w:rPr>
            </w:pPr>
            <w:r>
              <w:rPr>
                <w:rFonts w:hint="eastAsia" w:ascii="Times New Roman" w:hAnsi="Times New Roman" w:eastAsia="方正楷体_GBK" w:cs="方正楷体_GBK"/>
                <w:i w:val="0"/>
                <w:iCs w:val="0"/>
                <w:color w:val="000000"/>
                <w:kern w:val="0"/>
                <w:sz w:val="20"/>
                <w:szCs w:val="20"/>
                <w:u w:val="none"/>
                <w:lang w:val="en-US" w:eastAsia="zh-CN" w:bidi="ar"/>
              </w:rPr>
              <w:t>180元/次</w:t>
            </w:r>
          </w:p>
        </w:tc>
        <w:tc>
          <w:tcPr>
            <w:tcW w:w="1204" w:type="pct"/>
            <w:shd w:val="clear" w:color="auto" w:fill="FFFFFF"/>
            <w:noWrap/>
            <w:vAlign w:val="center"/>
          </w:tcPr>
          <w:p w14:paraId="7E19529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方正楷体_GBK" w:cs="方正楷体_GBK"/>
                <w:i w:val="0"/>
                <w:iCs w:val="0"/>
                <w:color w:val="000000"/>
                <w:sz w:val="20"/>
                <w:szCs w:val="20"/>
                <w:u w:val="none"/>
              </w:rPr>
            </w:pPr>
            <w:r>
              <w:rPr>
                <w:rFonts w:hint="eastAsia" w:ascii="Times New Roman" w:hAnsi="Times New Roman" w:eastAsia="方正楷体_GBK" w:cs="方正楷体_GBK"/>
                <w:i w:val="0"/>
                <w:iCs w:val="0"/>
                <w:color w:val="000000"/>
                <w:kern w:val="0"/>
                <w:sz w:val="20"/>
                <w:szCs w:val="20"/>
                <w:u w:val="none"/>
                <w:lang w:val="en-US" w:eastAsia="zh-CN" w:bidi="ar"/>
              </w:rPr>
              <w:t>90%</w:t>
            </w:r>
          </w:p>
        </w:tc>
        <w:tc>
          <w:tcPr>
            <w:tcW w:w="686" w:type="pct"/>
            <w:shd w:val="clear" w:color="auto" w:fill="FFFFFF"/>
            <w:noWrap/>
            <w:vAlign w:val="center"/>
          </w:tcPr>
          <w:p w14:paraId="27FA7F6B">
            <w:pPr>
              <w:keepNext w:val="0"/>
              <w:keepLines w:val="0"/>
              <w:pageBreakBefore w:val="0"/>
              <w:widowControl/>
              <w:kinsoku/>
              <w:wordWrap/>
              <w:overflowPunct/>
              <w:topLinePunct w:val="0"/>
              <w:autoSpaceDE/>
              <w:autoSpaceDN/>
              <w:bidi w:val="0"/>
              <w:adjustRightInd/>
              <w:snapToGrid/>
              <w:spacing w:line="0" w:lineRule="atLeast"/>
              <w:jc w:val="center"/>
              <w:rPr>
                <w:rFonts w:hint="eastAsia" w:ascii="Times New Roman" w:hAnsi="Times New Roman" w:eastAsia="方正楷体_GBK" w:cs="方正楷体_GBK"/>
                <w:i w:val="0"/>
                <w:iCs w:val="0"/>
                <w:color w:val="000000"/>
                <w:sz w:val="20"/>
                <w:szCs w:val="20"/>
                <w:u w:val="none"/>
              </w:rPr>
            </w:pPr>
          </w:p>
        </w:tc>
      </w:tr>
      <w:tr w14:paraId="24B1F5B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29" w:hRule="atLeast"/>
          <w:jc w:val="center"/>
        </w:trPr>
        <w:tc>
          <w:tcPr>
            <w:tcW w:w="229" w:type="pct"/>
            <w:vMerge w:val="continue"/>
            <w:shd w:val="clear" w:color="auto" w:fill="FFFFFF"/>
            <w:noWrap/>
            <w:vAlign w:val="center"/>
          </w:tcPr>
          <w:p w14:paraId="1C4FD961">
            <w:pPr>
              <w:keepNext w:val="0"/>
              <w:keepLines w:val="0"/>
              <w:pageBreakBefore w:val="0"/>
              <w:widowControl/>
              <w:kinsoku/>
              <w:wordWrap/>
              <w:overflowPunct/>
              <w:topLinePunct w:val="0"/>
              <w:autoSpaceDE/>
              <w:autoSpaceDN/>
              <w:bidi w:val="0"/>
              <w:adjustRightInd/>
              <w:snapToGrid/>
              <w:spacing w:line="0" w:lineRule="atLeast"/>
              <w:jc w:val="center"/>
              <w:rPr>
                <w:rFonts w:hint="eastAsia" w:ascii="Times New Roman" w:hAnsi="Times New Roman" w:eastAsia="方正楷体_GBK" w:cs="方正楷体_GBK"/>
                <w:i w:val="0"/>
                <w:iCs w:val="0"/>
                <w:color w:val="000000"/>
                <w:sz w:val="20"/>
                <w:szCs w:val="20"/>
                <w:u w:val="none"/>
              </w:rPr>
            </w:pPr>
          </w:p>
        </w:tc>
        <w:tc>
          <w:tcPr>
            <w:tcW w:w="367" w:type="pct"/>
            <w:vMerge w:val="continue"/>
            <w:shd w:val="clear" w:color="auto" w:fill="FFFFFF"/>
            <w:vAlign w:val="center"/>
          </w:tcPr>
          <w:p w14:paraId="70083C2D">
            <w:pPr>
              <w:keepNext w:val="0"/>
              <w:keepLines w:val="0"/>
              <w:pageBreakBefore w:val="0"/>
              <w:widowControl/>
              <w:kinsoku/>
              <w:wordWrap/>
              <w:overflowPunct/>
              <w:topLinePunct w:val="0"/>
              <w:autoSpaceDE/>
              <w:autoSpaceDN/>
              <w:bidi w:val="0"/>
              <w:adjustRightInd/>
              <w:snapToGrid/>
              <w:spacing w:line="0" w:lineRule="atLeast"/>
              <w:jc w:val="center"/>
              <w:rPr>
                <w:rFonts w:hint="eastAsia" w:ascii="Times New Roman" w:hAnsi="Times New Roman" w:eastAsia="方正楷体_GBK" w:cs="方正楷体_GBK"/>
                <w:i w:val="0"/>
                <w:iCs w:val="0"/>
                <w:color w:val="000000"/>
                <w:sz w:val="20"/>
                <w:szCs w:val="20"/>
                <w:u w:val="none"/>
              </w:rPr>
            </w:pPr>
          </w:p>
        </w:tc>
        <w:tc>
          <w:tcPr>
            <w:tcW w:w="1810" w:type="pct"/>
            <w:gridSpan w:val="2"/>
            <w:shd w:val="clear" w:color="auto" w:fill="FFFFFF"/>
            <w:vAlign w:val="center"/>
          </w:tcPr>
          <w:p w14:paraId="623146C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方正楷体_GBK" w:cs="方正楷体_GBK"/>
                <w:i w:val="0"/>
                <w:iCs w:val="0"/>
                <w:color w:val="000000"/>
                <w:sz w:val="20"/>
                <w:szCs w:val="20"/>
                <w:u w:val="none"/>
              </w:rPr>
            </w:pPr>
            <w:r>
              <w:rPr>
                <w:rFonts w:hint="eastAsia" w:ascii="Times New Roman" w:hAnsi="Times New Roman" w:eastAsia="方正楷体_GBK" w:cs="方正楷体_GBK"/>
                <w:i w:val="0"/>
                <w:iCs w:val="0"/>
                <w:color w:val="000000"/>
                <w:kern w:val="0"/>
                <w:sz w:val="20"/>
                <w:szCs w:val="20"/>
                <w:u w:val="none"/>
                <w:lang w:val="en-US" w:eastAsia="zh-CN" w:bidi="ar"/>
              </w:rPr>
              <w:t>大小便取样</w:t>
            </w:r>
          </w:p>
        </w:tc>
        <w:tc>
          <w:tcPr>
            <w:tcW w:w="701" w:type="pct"/>
            <w:shd w:val="clear" w:color="auto" w:fill="FFFFFF"/>
            <w:vAlign w:val="center"/>
          </w:tcPr>
          <w:p w14:paraId="7531FFC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方正楷体_GBK" w:cs="方正楷体_GBK"/>
                <w:i w:val="0"/>
                <w:iCs w:val="0"/>
                <w:color w:val="000000"/>
                <w:sz w:val="20"/>
                <w:szCs w:val="20"/>
                <w:u w:val="none"/>
              </w:rPr>
            </w:pPr>
            <w:r>
              <w:rPr>
                <w:rFonts w:hint="eastAsia" w:ascii="Times New Roman" w:hAnsi="Times New Roman" w:eastAsia="方正楷体_GBK" w:cs="方正楷体_GBK"/>
                <w:i w:val="0"/>
                <w:iCs w:val="0"/>
                <w:color w:val="000000"/>
                <w:kern w:val="0"/>
                <w:sz w:val="20"/>
                <w:szCs w:val="20"/>
                <w:u w:val="none"/>
                <w:lang w:val="en-US" w:eastAsia="zh-CN" w:bidi="ar"/>
              </w:rPr>
              <w:t>30元/次</w:t>
            </w:r>
          </w:p>
        </w:tc>
        <w:tc>
          <w:tcPr>
            <w:tcW w:w="1204" w:type="pct"/>
            <w:shd w:val="clear" w:color="auto" w:fill="auto"/>
            <w:noWrap/>
            <w:vAlign w:val="center"/>
          </w:tcPr>
          <w:p w14:paraId="3B44DCD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方正楷体_GBK" w:cs="方正楷体_GBK"/>
                <w:i w:val="0"/>
                <w:iCs w:val="0"/>
                <w:color w:val="000000"/>
                <w:sz w:val="20"/>
                <w:szCs w:val="20"/>
                <w:u w:val="none"/>
              </w:rPr>
            </w:pPr>
            <w:r>
              <w:rPr>
                <w:rFonts w:hint="eastAsia" w:ascii="Times New Roman" w:hAnsi="Times New Roman" w:eastAsia="方正楷体_GBK" w:cs="方正楷体_GBK"/>
                <w:i w:val="0"/>
                <w:iCs w:val="0"/>
                <w:color w:val="000000"/>
                <w:kern w:val="0"/>
                <w:sz w:val="20"/>
                <w:szCs w:val="20"/>
                <w:u w:val="none"/>
                <w:lang w:val="en-US" w:eastAsia="zh-CN" w:bidi="ar"/>
              </w:rPr>
              <w:t>90%</w:t>
            </w:r>
          </w:p>
        </w:tc>
        <w:tc>
          <w:tcPr>
            <w:tcW w:w="686" w:type="pct"/>
            <w:shd w:val="clear" w:color="auto" w:fill="FFFFFF"/>
            <w:noWrap/>
            <w:vAlign w:val="center"/>
          </w:tcPr>
          <w:p w14:paraId="02D9BF14">
            <w:pPr>
              <w:keepNext w:val="0"/>
              <w:keepLines w:val="0"/>
              <w:pageBreakBefore w:val="0"/>
              <w:widowControl/>
              <w:kinsoku/>
              <w:wordWrap/>
              <w:overflowPunct/>
              <w:topLinePunct w:val="0"/>
              <w:autoSpaceDE/>
              <w:autoSpaceDN/>
              <w:bidi w:val="0"/>
              <w:adjustRightInd/>
              <w:snapToGrid/>
              <w:spacing w:line="0" w:lineRule="atLeast"/>
              <w:jc w:val="center"/>
              <w:rPr>
                <w:rFonts w:hint="eastAsia" w:ascii="Times New Roman" w:hAnsi="Times New Roman" w:eastAsia="方正楷体_GBK" w:cs="方正楷体_GBK"/>
                <w:i w:val="0"/>
                <w:iCs w:val="0"/>
                <w:color w:val="000000"/>
                <w:sz w:val="20"/>
                <w:szCs w:val="20"/>
                <w:u w:val="none"/>
              </w:rPr>
            </w:pPr>
          </w:p>
        </w:tc>
      </w:tr>
      <w:tr w14:paraId="481F2B1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29" w:hRule="atLeast"/>
          <w:jc w:val="center"/>
        </w:trPr>
        <w:tc>
          <w:tcPr>
            <w:tcW w:w="229" w:type="pct"/>
            <w:vMerge w:val="continue"/>
            <w:shd w:val="clear" w:color="auto" w:fill="FFFFFF"/>
            <w:noWrap/>
            <w:vAlign w:val="center"/>
          </w:tcPr>
          <w:p w14:paraId="578F1042">
            <w:pPr>
              <w:keepNext w:val="0"/>
              <w:keepLines w:val="0"/>
              <w:pageBreakBefore w:val="0"/>
              <w:widowControl/>
              <w:kinsoku/>
              <w:wordWrap/>
              <w:overflowPunct/>
              <w:topLinePunct w:val="0"/>
              <w:autoSpaceDE/>
              <w:autoSpaceDN/>
              <w:bidi w:val="0"/>
              <w:adjustRightInd/>
              <w:snapToGrid/>
              <w:spacing w:line="0" w:lineRule="atLeast"/>
              <w:jc w:val="center"/>
              <w:rPr>
                <w:rFonts w:hint="eastAsia" w:ascii="Times New Roman" w:hAnsi="Times New Roman" w:eastAsia="方正楷体_GBK" w:cs="方正楷体_GBK"/>
                <w:i w:val="0"/>
                <w:iCs w:val="0"/>
                <w:color w:val="000000"/>
                <w:sz w:val="20"/>
                <w:szCs w:val="20"/>
                <w:u w:val="none"/>
              </w:rPr>
            </w:pPr>
          </w:p>
        </w:tc>
        <w:tc>
          <w:tcPr>
            <w:tcW w:w="367" w:type="pct"/>
            <w:vMerge w:val="continue"/>
            <w:shd w:val="clear" w:color="auto" w:fill="FFFFFF"/>
            <w:vAlign w:val="center"/>
          </w:tcPr>
          <w:p w14:paraId="7A733BC2">
            <w:pPr>
              <w:keepNext w:val="0"/>
              <w:keepLines w:val="0"/>
              <w:pageBreakBefore w:val="0"/>
              <w:widowControl/>
              <w:kinsoku/>
              <w:wordWrap/>
              <w:overflowPunct/>
              <w:topLinePunct w:val="0"/>
              <w:autoSpaceDE/>
              <w:autoSpaceDN/>
              <w:bidi w:val="0"/>
              <w:adjustRightInd/>
              <w:snapToGrid/>
              <w:spacing w:line="0" w:lineRule="atLeast"/>
              <w:jc w:val="center"/>
              <w:rPr>
                <w:rFonts w:hint="eastAsia" w:ascii="Times New Roman" w:hAnsi="Times New Roman" w:eastAsia="方正楷体_GBK" w:cs="方正楷体_GBK"/>
                <w:i w:val="0"/>
                <w:iCs w:val="0"/>
                <w:color w:val="000000"/>
                <w:sz w:val="20"/>
                <w:szCs w:val="20"/>
                <w:u w:val="none"/>
              </w:rPr>
            </w:pPr>
          </w:p>
        </w:tc>
        <w:tc>
          <w:tcPr>
            <w:tcW w:w="1810" w:type="pct"/>
            <w:gridSpan w:val="2"/>
            <w:shd w:val="clear" w:color="auto" w:fill="FFFFFF"/>
            <w:vAlign w:val="center"/>
          </w:tcPr>
          <w:p w14:paraId="5089F2F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方正楷体_GBK" w:cs="方正楷体_GBK"/>
                <w:i w:val="0"/>
                <w:iCs w:val="0"/>
                <w:color w:val="000000"/>
                <w:sz w:val="20"/>
                <w:szCs w:val="20"/>
                <w:u w:val="none"/>
              </w:rPr>
            </w:pPr>
            <w:r>
              <w:rPr>
                <w:rFonts w:hint="eastAsia" w:ascii="Times New Roman" w:hAnsi="Times New Roman" w:eastAsia="方正楷体_GBK" w:cs="方正楷体_GBK"/>
                <w:i w:val="0"/>
                <w:iCs w:val="0"/>
                <w:color w:val="000000"/>
                <w:kern w:val="0"/>
                <w:sz w:val="20"/>
                <w:szCs w:val="20"/>
                <w:u w:val="none"/>
                <w:lang w:val="en-US" w:eastAsia="zh-CN" w:bidi="ar"/>
              </w:rPr>
              <w:t>人工取便</w:t>
            </w:r>
          </w:p>
        </w:tc>
        <w:tc>
          <w:tcPr>
            <w:tcW w:w="701" w:type="pct"/>
            <w:shd w:val="clear" w:color="auto" w:fill="FFFFFF"/>
            <w:vAlign w:val="center"/>
          </w:tcPr>
          <w:p w14:paraId="2BB2CCD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方正楷体_GBK" w:cs="方正楷体_GBK"/>
                <w:i w:val="0"/>
                <w:iCs w:val="0"/>
                <w:color w:val="000000"/>
                <w:sz w:val="20"/>
                <w:szCs w:val="20"/>
                <w:u w:val="none"/>
              </w:rPr>
            </w:pPr>
            <w:r>
              <w:rPr>
                <w:rFonts w:hint="eastAsia" w:ascii="Times New Roman" w:hAnsi="Times New Roman" w:eastAsia="方正楷体_GBK" w:cs="方正楷体_GBK"/>
                <w:i w:val="0"/>
                <w:iCs w:val="0"/>
                <w:color w:val="000000"/>
                <w:kern w:val="0"/>
                <w:sz w:val="20"/>
                <w:szCs w:val="20"/>
                <w:u w:val="none"/>
                <w:lang w:val="en-US" w:eastAsia="zh-CN" w:bidi="ar"/>
              </w:rPr>
              <w:t>150元/次</w:t>
            </w:r>
          </w:p>
        </w:tc>
        <w:tc>
          <w:tcPr>
            <w:tcW w:w="1204" w:type="pct"/>
            <w:shd w:val="clear" w:color="auto" w:fill="auto"/>
            <w:noWrap/>
            <w:vAlign w:val="center"/>
          </w:tcPr>
          <w:p w14:paraId="56FB248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方正楷体_GBK" w:cs="方正楷体_GBK"/>
                <w:i w:val="0"/>
                <w:iCs w:val="0"/>
                <w:color w:val="000000"/>
                <w:sz w:val="20"/>
                <w:szCs w:val="20"/>
                <w:u w:val="none"/>
              </w:rPr>
            </w:pPr>
            <w:r>
              <w:rPr>
                <w:rFonts w:hint="eastAsia" w:ascii="Times New Roman" w:hAnsi="Times New Roman" w:eastAsia="方正楷体_GBK" w:cs="方正楷体_GBK"/>
                <w:i w:val="0"/>
                <w:iCs w:val="0"/>
                <w:color w:val="000000"/>
                <w:kern w:val="0"/>
                <w:sz w:val="20"/>
                <w:szCs w:val="20"/>
                <w:u w:val="none"/>
                <w:lang w:val="en-US" w:eastAsia="zh-CN" w:bidi="ar"/>
              </w:rPr>
              <w:t>90%</w:t>
            </w:r>
          </w:p>
        </w:tc>
        <w:tc>
          <w:tcPr>
            <w:tcW w:w="686" w:type="pct"/>
            <w:shd w:val="clear" w:color="auto" w:fill="FFFFFF"/>
            <w:noWrap/>
            <w:vAlign w:val="center"/>
          </w:tcPr>
          <w:p w14:paraId="266DF486">
            <w:pPr>
              <w:keepNext w:val="0"/>
              <w:keepLines w:val="0"/>
              <w:pageBreakBefore w:val="0"/>
              <w:widowControl/>
              <w:kinsoku/>
              <w:wordWrap/>
              <w:overflowPunct/>
              <w:topLinePunct w:val="0"/>
              <w:autoSpaceDE/>
              <w:autoSpaceDN/>
              <w:bidi w:val="0"/>
              <w:adjustRightInd/>
              <w:snapToGrid/>
              <w:spacing w:line="0" w:lineRule="atLeast"/>
              <w:jc w:val="center"/>
              <w:rPr>
                <w:rFonts w:hint="eastAsia" w:ascii="Times New Roman" w:hAnsi="Times New Roman" w:eastAsia="方正楷体_GBK" w:cs="方正楷体_GBK"/>
                <w:i w:val="0"/>
                <w:iCs w:val="0"/>
                <w:color w:val="000000"/>
                <w:sz w:val="20"/>
                <w:szCs w:val="20"/>
                <w:u w:val="none"/>
              </w:rPr>
            </w:pPr>
          </w:p>
        </w:tc>
      </w:tr>
      <w:tr w14:paraId="40404BD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29" w:hRule="atLeast"/>
          <w:jc w:val="center"/>
        </w:trPr>
        <w:tc>
          <w:tcPr>
            <w:tcW w:w="229" w:type="pct"/>
            <w:vMerge w:val="continue"/>
            <w:shd w:val="clear" w:color="auto" w:fill="FFFFFF"/>
            <w:noWrap/>
            <w:vAlign w:val="center"/>
          </w:tcPr>
          <w:p w14:paraId="28BA0985">
            <w:pPr>
              <w:keepNext w:val="0"/>
              <w:keepLines w:val="0"/>
              <w:pageBreakBefore w:val="0"/>
              <w:widowControl/>
              <w:kinsoku/>
              <w:wordWrap/>
              <w:overflowPunct/>
              <w:topLinePunct w:val="0"/>
              <w:autoSpaceDE/>
              <w:autoSpaceDN/>
              <w:bidi w:val="0"/>
              <w:adjustRightInd/>
              <w:snapToGrid/>
              <w:spacing w:line="0" w:lineRule="atLeast"/>
              <w:jc w:val="center"/>
              <w:rPr>
                <w:rFonts w:hint="eastAsia" w:ascii="Times New Roman" w:hAnsi="Times New Roman" w:eastAsia="方正楷体_GBK" w:cs="方正楷体_GBK"/>
                <w:i w:val="0"/>
                <w:iCs w:val="0"/>
                <w:color w:val="000000"/>
                <w:sz w:val="20"/>
                <w:szCs w:val="20"/>
                <w:u w:val="none"/>
              </w:rPr>
            </w:pPr>
          </w:p>
        </w:tc>
        <w:tc>
          <w:tcPr>
            <w:tcW w:w="367" w:type="pct"/>
            <w:vMerge w:val="continue"/>
            <w:shd w:val="clear" w:color="auto" w:fill="FFFFFF"/>
            <w:vAlign w:val="center"/>
          </w:tcPr>
          <w:p w14:paraId="22C0BF66">
            <w:pPr>
              <w:keepNext w:val="0"/>
              <w:keepLines w:val="0"/>
              <w:pageBreakBefore w:val="0"/>
              <w:widowControl/>
              <w:kinsoku/>
              <w:wordWrap/>
              <w:overflowPunct/>
              <w:topLinePunct w:val="0"/>
              <w:autoSpaceDE/>
              <w:autoSpaceDN/>
              <w:bidi w:val="0"/>
              <w:adjustRightInd/>
              <w:snapToGrid/>
              <w:spacing w:line="0" w:lineRule="atLeast"/>
              <w:jc w:val="center"/>
              <w:rPr>
                <w:rFonts w:hint="eastAsia" w:ascii="Times New Roman" w:hAnsi="Times New Roman" w:eastAsia="方正楷体_GBK" w:cs="方正楷体_GBK"/>
                <w:i w:val="0"/>
                <w:iCs w:val="0"/>
                <w:color w:val="000000"/>
                <w:sz w:val="20"/>
                <w:szCs w:val="20"/>
                <w:u w:val="none"/>
              </w:rPr>
            </w:pPr>
          </w:p>
        </w:tc>
        <w:tc>
          <w:tcPr>
            <w:tcW w:w="1810" w:type="pct"/>
            <w:gridSpan w:val="2"/>
            <w:shd w:val="clear" w:color="auto" w:fill="FFFFFF"/>
            <w:vAlign w:val="center"/>
          </w:tcPr>
          <w:p w14:paraId="5204A5B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方正楷体_GBK" w:cs="方正楷体_GBK"/>
                <w:i w:val="0"/>
                <w:iCs w:val="0"/>
                <w:color w:val="000000"/>
                <w:sz w:val="20"/>
                <w:szCs w:val="20"/>
                <w:u w:val="none"/>
              </w:rPr>
            </w:pPr>
            <w:r>
              <w:rPr>
                <w:rFonts w:hint="eastAsia" w:ascii="Times New Roman" w:hAnsi="Times New Roman" w:eastAsia="方正楷体_GBK" w:cs="方正楷体_GBK"/>
                <w:i w:val="0"/>
                <w:iCs w:val="0"/>
                <w:color w:val="000000"/>
                <w:kern w:val="0"/>
                <w:sz w:val="20"/>
                <w:szCs w:val="20"/>
                <w:u w:val="none"/>
                <w:lang w:val="en-US" w:eastAsia="zh-CN" w:bidi="ar"/>
              </w:rPr>
              <w:t>更换胃管（不含材料）、健康管理</w:t>
            </w:r>
          </w:p>
        </w:tc>
        <w:tc>
          <w:tcPr>
            <w:tcW w:w="701" w:type="pct"/>
            <w:shd w:val="clear" w:color="auto" w:fill="FFFFFF"/>
            <w:vAlign w:val="center"/>
          </w:tcPr>
          <w:p w14:paraId="73438D1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方正楷体_GBK" w:cs="方正楷体_GBK"/>
                <w:i w:val="0"/>
                <w:iCs w:val="0"/>
                <w:color w:val="000000"/>
                <w:sz w:val="20"/>
                <w:szCs w:val="20"/>
                <w:u w:val="none"/>
              </w:rPr>
            </w:pPr>
            <w:r>
              <w:rPr>
                <w:rFonts w:hint="eastAsia" w:ascii="Times New Roman" w:hAnsi="Times New Roman" w:eastAsia="方正楷体_GBK" w:cs="方正楷体_GBK"/>
                <w:i w:val="0"/>
                <w:iCs w:val="0"/>
                <w:color w:val="000000"/>
                <w:kern w:val="0"/>
                <w:sz w:val="20"/>
                <w:szCs w:val="20"/>
                <w:u w:val="none"/>
                <w:lang w:val="en-US" w:eastAsia="zh-CN" w:bidi="ar"/>
              </w:rPr>
              <w:t>230元/次</w:t>
            </w:r>
          </w:p>
        </w:tc>
        <w:tc>
          <w:tcPr>
            <w:tcW w:w="1204" w:type="pct"/>
            <w:shd w:val="clear" w:color="auto" w:fill="auto"/>
            <w:noWrap/>
            <w:vAlign w:val="center"/>
          </w:tcPr>
          <w:p w14:paraId="5B2A099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方正楷体_GBK" w:cs="方正楷体_GBK"/>
                <w:i w:val="0"/>
                <w:iCs w:val="0"/>
                <w:color w:val="000000"/>
                <w:sz w:val="20"/>
                <w:szCs w:val="20"/>
                <w:u w:val="none"/>
              </w:rPr>
            </w:pPr>
            <w:r>
              <w:rPr>
                <w:rFonts w:hint="eastAsia" w:ascii="Times New Roman" w:hAnsi="Times New Roman" w:eastAsia="方正楷体_GBK" w:cs="方正楷体_GBK"/>
                <w:i w:val="0"/>
                <w:iCs w:val="0"/>
                <w:color w:val="000000"/>
                <w:kern w:val="0"/>
                <w:sz w:val="20"/>
                <w:szCs w:val="20"/>
                <w:u w:val="none"/>
                <w:lang w:val="en-US" w:eastAsia="zh-CN" w:bidi="ar"/>
              </w:rPr>
              <w:t>90%</w:t>
            </w:r>
          </w:p>
        </w:tc>
        <w:tc>
          <w:tcPr>
            <w:tcW w:w="686" w:type="pct"/>
            <w:shd w:val="clear" w:color="auto" w:fill="FFFFFF"/>
            <w:noWrap/>
            <w:vAlign w:val="center"/>
          </w:tcPr>
          <w:p w14:paraId="24A5B69A">
            <w:pPr>
              <w:keepNext w:val="0"/>
              <w:keepLines w:val="0"/>
              <w:pageBreakBefore w:val="0"/>
              <w:widowControl/>
              <w:kinsoku/>
              <w:wordWrap/>
              <w:overflowPunct/>
              <w:topLinePunct w:val="0"/>
              <w:autoSpaceDE/>
              <w:autoSpaceDN/>
              <w:bidi w:val="0"/>
              <w:adjustRightInd/>
              <w:snapToGrid/>
              <w:spacing w:line="0" w:lineRule="atLeast"/>
              <w:jc w:val="center"/>
              <w:rPr>
                <w:rFonts w:hint="eastAsia" w:ascii="Times New Roman" w:hAnsi="Times New Roman" w:eastAsia="方正楷体_GBK" w:cs="方正楷体_GBK"/>
                <w:i w:val="0"/>
                <w:iCs w:val="0"/>
                <w:color w:val="000000"/>
                <w:sz w:val="20"/>
                <w:szCs w:val="20"/>
                <w:u w:val="none"/>
              </w:rPr>
            </w:pPr>
          </w:p>
        </w:tc>
      </w:tr>
      <w:tr w14:paraId="6732267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229" w:type="pct"/>
            <w:vMerge w:val="continue"/>
            <w:shd w:val="clear" w:color="auto" w:fill="FFFFFF"/>
            <w:noWrap/>
            <w:vAlign w:val="center"/>
          </w:tcPr>
          <w:p w14:paraId="0CFBAE82">
            <w:pPr>
              <w:keepNext w:val="0"/>
              <w:keepLines w:val="0"/>
              <w:pageBreakBefore w:val="0"/>
              <w:widowControl/>
              <w:kinsoku/>
              <w:wordWrap/>
              <w:overflowPunct/>
              <w:topLinePunct w:val="0"/>
              <w:autoSpaceDE/>
              <w:autoSpaceDN/>
              <w:bidi w:val="0"/>
              <w:adjustRightInd/>
              <w:snapToGrid/>
              <w:spacing w:line="0" w:lineRule="atLeast"/>
              <w:jc w:val="center"/>
              <w:rPr>
                <w:rFonts w:hint="eastAsia" w:ascii="Times New Roman" w:hAnsi="Times New Roman" w:eastAsia="方正楷体_GBK" w:cs="方正楷体_GBK"/>
                <w:i w:val="0"/>
                <w:iCs w:val="0"/>
                <w:color w:val="000000"/>
                <w:sz w:val="20"/>
                <w:szCs w:val="20"/>
                <w:u w:val="none"/>
              </w:rPr>
            </w:pPr>
          </w:p>
        </w:tc>
        <w:tc>
          <w:tcPr>
            <w:tcW w:w="367" w:type="pct"/>
            <w:vMerge w:val="continue"/>
            <w:shd w:val="clear" w:color="auto" w:fill="FFFFFF"/>
            <w:vAlign w:val="center"/>
          </w:tcPr>
          <w:p w14:paraId="625CDBB0">
            <w:pPr>
              <w:keepNext w:val="0"/>
              <w:keepLines w:val="0"/>
              <w:pageBreakBefore w:val="0"/>
              <w:widowControl/>
              <w:kinsoku/>
              <w:wordWrap/>
              <w:overflowPunct/>
              <w:topLinePunct w:val="0"/>
              <w:autoSpaceDE/>
              <w:autoSpaceDN/>
              <w:bidi w:val="0"/>
              <w:adjustRightInd/>
              <w:snapToGrid/>
              <w:spacing w:line="0" w:lineRule="atLeast"/>
              <w:jc w:val="center"/>
              <w:rPr>
                <w:rFonts w:hint="eastAsia" w:ascii="Times New Roman" w:hAnsi="Times New Roman" w:eastAsia="方正楷体_GBK" w:cs="方正楷体_GBK"/>
                <w:i w:val="0"/>
                <w:iCs w:val="0"/>
                <w:color w:val="000000"/>
                <w:sz w:val="20"/>
                <w:szCs w:val="20"/>
                <w:u w:val="none"/>
              </w:rPr>
            </w:pPr>
          </w:p>
        </w:tc>
        <w:tc>
          <w:tcPr>
            <w:tcW w:w="1810" w:type="pct"/>
            <w:gridSpan w:val="2"/>
            <w:shd w:val="clear" w:color="auto" w:fill="FFFFFF"/>
            <w:vAlign w:val="center"/>
          </w:tcPr>
          <w:p w14:paraId="26D8659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方正楷体_GBK" w:cs="方正楷体_GBK"/>
                <w:i w:val="0"/>
                <w:iCs w:val="0"/>
                <w:color w:val="000000"/>
                <w:sz w:val="20"/>
                <w:szCs w:val="20"/>
                <w:u w:val="none"/>
              </w:rPr>
            </w:pPr>
            <w:r>
              <w:rPr>
                <w:rFonts w:hint="eastAsia" w:ascii="Times New Roman" w:hAnsi="Times New Roman" w:eastAsia="方正楷体_GBK" w:cs="方正楷体_GBK"/>
                <w:i w:val="0"/>
                <w:iCs w:val="0"/>
                <w:color w:val="000000"/>
                <w:kern w:val="0"/>
                <w:sz w:val="20"/>
                <w:szCs w:val="20"/>
                <w:u w:val="none"/>
                <w:lang w:val="en-US" w:eastAsia="zh-CN" w:bidi="ar"/>
              </w:rPr>
              <w:t>更换胃管（含材料费）、健康管理</w:t>
            </w:r>
          </w:p>
        </w:tc>
        <w:tc>
          <w:tcPr>
            <w:tcW w:w="701" w:type="pct"/>
            <w:shd w:val="clear" w:color="auto" w:fill="FFFFFF"/>
            <w:vAlign w:val="center"/>
          </w:tcPr>
          <w:p w14:paraId="43F048C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方正楷体_GBK" w:cs="方正楷体_GBK"/>
                <w:i w:val="0"/>
                <w:iCs w:val="0"/>
                <w:color w:val="000000"/>
                <w:sz w:val="20"/>
                <w:szCs w:val="20"/>
                <w:u w:val="none"/>
              </w:rPr>
            </w:pPr>
            <w:r>
              <w:rPr>
                <w:rFonts w:hint="eastAsia" w:ascii="Times New Roman" w:hAnsi="Times New Roman" w:eastAsia="方正楷体_GBK" w:cs="方正楷体_GBK"/>
                <w:i w:val="0"/>
                <w:iCs w:val="0"/>
                <w:color w:val="000000"/>
                <w:kern w:val="0"/>
                <w:sz w:val="20"/>
                <w:szCs w:val="20"/>
                <w:u w:val="none"/>
                <w:lang w:val="en-US" w:eastAsia="zh-CN" w:bidi="ar"/>
              </w:rPr>
              <w:t>290元/次</w:t>
            </w:r>
          </w:p>
        </w:tc>
        <w:tc>
          <w:tcPr>
            <w:tcW w:w="1204" w:type="pct"/>
            <w:shd w:val="clear" w:color="auto" w:fill="auto"/>
            <w:noWrap/>
            <w:vAlign w:val="center"/>
          </w:tcPr>
          <w:p w14:paraId="7E9A995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方正楷体_GBK" w:cs="方正楷体_GBK"/>
                <w:i w:val="0"/>
                <w:iCs w:val="0"/>
                <w:color w:val="000000"/>
                <w:sz w:val="20"/>
                <w:szCs w:val="20"/>
                <w:u w:val="none"/>
              </w:rPr>
            </w:pPr>
            <w:r>
              <w:rPr>
                <w:rFonts w:hint="eastAsia" w:ascii="Times New Roman" w:hAnsi="Times New Roman" w:eastAsia="方正楷体_GBK" w:cs="方正楷体_GBK"/>
                <w:i w:val="0"/>
                <w:iCs w:val="0"/>
                <w:color w:val="000000"/>
                <w:kern w:val="0"/>
                <w:sz w:val="20"/>
                <w:szCs w:val="20"/>
                <w:u w:val="none"/>
                <w:lang w:val="en-US" w:eastAsia="zh-CN" w:bidi="ar"/>
              </w:rPr>
              <w:t>90%</w:t>
            </w:r>
          </w:p>
        </w:tc>
        <w:tc>
          <w:tcPr>
            <w:tcW w:w="686" w:type="pct"/>
            <w:shd w:val="clear" w:color="auto" w:fill="FFFFFF"/>
            <w:noWrap/>
            <w:vAlign w:val="center"/>
          </w:tcPr>
          <w:p w14:paraId="240C4986">
            <w:pPr>
              <w:keepNext w:val="0"/>
              <w:keepLines w:val="0"/>
              <w:pageBreakBefore w:val="0"/>
              <w:widowControl/>
              <w:kinsoku/>
              <w:wordWrap/>
              <w:overflowPunct/>
              <w:topLinePunct w:val="0"/>
              <w:autoSpaceDE/>
              <w:autoSpaceDN/>
              <w:bidi w:val="0"/>
              <w:adjustRightInd/>
              <w:snapToGrid/>
              <w:spacing w:line="0" w:lineRule="atLeast"/>
              <w:jc w:val="center"/>
              <w:rPr>
                <w:rFonts w:hint="eastAsia" w:ascii="Times New Roman" w:hAnsi="Times New Roman" w:eastAsia="方正楷体_GBK" w:cs="方正楷体_GBK"/>
                <w:i w:val="0"/>
                <w:iCs w:val="0"/>
                <w:color w:val="000000"/>
                <w:sz w:val="20"/>
                <w:szCs w:val="20"/>
                <w:u w:val="none"/>
              </w:rPr>
            </w:pPr>
          </w:p>
        </w:tc>
      </w:tr>
      <w:tr w14:paraId="6FFF15D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29" w:hRule="atLeast"/>
          <w:jc w:val="center"/>
        </w:trPr>
        <w:tc>
          <w:tcPr>
            <w:tcW w:w="229" w:type="pct"/>
            <w:vMerge w:val="continue"/>
            <w:shd w:val="clear" w:color="auto" w:fill="FFFFFF"/>
            <w:noWrap/>
            <w:vAlign w:val="center"/>
          </w:tcPr>
          <w:p w14:paraId="208D99E4">
            <w:pPr>
              <w:keepNext w:val="0"/>
              <w:keepLines w:val="0"/>
              <w:pageBreakBefore w:val="0"/>
              <w:widowControl/>
              <w:kinsoku/>
              <w:wordWrap/>
              <w:overflowPunct/>
              <w:topLinePunct w:val="0"/>
              <w:autoSpaceDE/>
              <w:autoSpaceDN/>
              <w:bidi w:val="0"/>
              <w:adjustRightInd/>
              <w:snapToGrid/>
              <w:spacing w:line="0" w:lineRule="atLeast"/>
              <w:jc w:val="center"/>
              <w:rPr>
                <w:rFonts w:hint="eastAsia" w:ascii="Times New Roman" w:hAnsi="Times New Roman" w:eastAsia="方正楷体_GBK" w:cs="方正楷体_GBK"/>
                <w:i w:val="0"/>
                <w:iCs w:val="0"/>
                <w:color w:val="000000"/>
                <w:sz w:val="20"/>
                <w:szCs w:val="20"/>
                <w:u w:val="none"/>
              </w:rPr>
            </w:pPr>
          </w:p>
        </w:tc>
        <w:tc>
          <w:tcPr>
            <w:tcW w:w="367" w:type="pct"/>
            <w:vMerge w:val="continue"/>
            <w:shd w:val="clear" w:color="auto" w:fill="FFFFFF"/>
            <w:vAlign w:val="center"/>
          </w:tcPr>
          <w:p w14:paraId="625AF7AC">
            <w:pPr>
              <w:keepNext w:val="0"/>
              <w:keepLines w:val="0"/>
              <w:pageBreakBefore w:val="0"/>
              <w:widowControl/>
              <w:kinsoku/>
              <w:wordWrap/>
              <w:overflowPunct/>
              <w:topLinePunct w:val="0"/>
              <w:autoSpaceDE/>
              <w:autoSpaceDN/>
              <w:bidi w:val="0"/>
              <w:adjustRightInd/>
              <w:snapToGrid/>
              <w:spacing w:line="0" w:lineRule="atLeast"/>
              <w:jc w:val="center"/>
              <w:rPr>
                <w:rFonts w:hint="eastAsia" w:ascii="Times New Roman" w:hAnsi="Times New Roman" w:eastAsia="方正楷体_GBK" w:cs="方正楷体_GBK"/>
                <w:i w:val="0"/>
                <w:iCs w:val="0"/>
                <w:color w:val="000000"/>
                <w:sz w:val="20"/>
                <w:szCs w:val="20"/>
                <w:u w:val="none"/>
              </w:rPr>
            </w:pPr>
          </w:p>
        </w:tc>
        <w:tc>
          <w:tcPr>
            <w:tcW w:w="1810" w:type="pct"/>
            <w:gridSpan w:val="2"/>
            <w:shd w:val="clear" w:color="auto" w:fill="FFFFFF"/>
            <w:vAlign w:val="center"/>
          </w:tcPr>
          <w:p w14:paraId="26D94E2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方正楷体_GBK" w:cs="方正楷体_GBK"/>
                <w:i w:val="0"/>
                <w:iCs w:val="0"/>
                <w:color w:val="000000"/>
                <w:sz w:val="20"/>
                <w:szCs w:val="20"/>
                <w:u w:val="none"/>
              </w:rPr>
            </w:pPr>
            <w:r>
              <w:rPr>
                <w:rFonts w:hint="eastAsia" w:ascii="Times New Roman" w:hAnsi="Times New Roman" w:eastAsia="方正楷体_GBK" w:cs="方正楷体_GBK"/>
                <w:i w:val="0"/>
                <w:iCs w:val="0"/>
                <w:color w:val="000000"/>
                <w:kern w:val="0"/>
                <w:sz w:val="20"/>
                <w:szCs w:val="20"/>
                <w:u w:val="none"/>
                <w:lang w:val="en-US" w:eastAsia="zh-CN" w:bidi="ar"/>
              </w:rPr>
              <w:t>留置/更换导尿管、更换防逆流引流袋（含一套材料）、膀胱冲洗</w:t>
            </w:r>
          </w:p>
        </w:tc>
        <w:tc>
          <w:tcPr>
            <w:tcW w:w="701" w:type="pct"/>
            <w:shd w:val="clear" w:color="auto" w:fill="FFFFFF"/>
            <w:vAlign w:val="center"/>
          </w:tcPr>
          <w:p w14:paraId="13D3DD3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方正楷体_GBK" w:cs="方正楷体_GBK"/>
                <w:i w:val="0"/>
                <w:iCs w:val="0"/>
                <w:color w:val="000000"/>
                <w:sz w:val="20"/>
                <w:szCs w:val="20"/>
                <w:u w:val="none"/>
              </w:rPr>
            </w:pPr>
            <w:r>
              <w:rPr>
                <w:rFonts w:hint="eastAsia" w:ascii="Times New Roman" w:hAnsi="Times New Roman" w:eastAsia="方正楷体_GBK" w:cs="方正楷体_GBK"/>
                <w:i w:val="0"/>
                <w:iCs w:val="0"/>
                <w:color w:val="000000"/>
                <w:kern w:val="0"/>
                <w:sz w:val="20"/>
                <w:szCs w:val="20"/>
                <w:u w:val="none"/>
                <w:lang w:val="en-US" w:eastAsia="zh-CN" w:bidi="ar"/>
              </w:rPr>
              <w:t>300元/次</w:t>
            </w:r>
          </w:p>
        </w:tc>
        <w:tc>
          <w:tcPr>
            <w:tcW w:w="1204" w:type="pct"/>
            <w:shd w:val="clear" w:color="auto" w:fill="auto"/>
            <w:noWrap/>
            <w:vAlign w:val="center"/>
          </w:tcPr>
          <w:p w14:paraId="141BA02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方正楷体_GBK" w:cs="方正楷体_GBK"/>
                <w:i w:val="0"/>
                <w:iCs w:val="0"/>
                <w:color w:val="000000"/>
                <w:sz w:val="20"/>
                <w:szCs w:val="20"/>
                <w:u w:val="none"/>
              </w:rPr>
            </w:pPr>
            <w:r>
              <w:rPr>
                <w:rFonts w:hint="eastAsia" w:ascii="Times New Roman" w:hAnsi="Times New Roman" w:eastAsia="方正楷体_GBK" w:cs="方正楷体_GBK"/>
                <w:i w:val="0"/>
                <w:iCs w:val="0"/>
                <w:color w:val="000000"/>
                <w:kern w:val="0"/>
                <w:sz w:val="20"/>
                <w:szCs w:val="20"/>
                <w:u w:val="none"/>
                <w:lang w:val="en-US" w:eastAsia="zh-CN" w:bidi="ar"/>
              </w:rPr>
              <w:t>90%</w:t>
            </w:r>
          </w:p>
        </w:tc>
        <w:tc>
          <w:tcPr>
            <w:tcW w:w="686" w:type="pct"/>
            <w:shd w:val="clear" w:color="auto" w:fill="FFFFFF"/>
            <w:noWrap/>
            <w:vAlign w:val="center"/>
          </w:tcPr>
          <w:p w14:paraId="3ED6A9CA">
            <w:pPr>
              <w:keepNext w:val="0"/>
              <w:keepLines w:val="0"/>
              <w:pageBreakBefore w:val="0"/>
              <w:widowControl/>
              <w:kinsoku/>
              <w:wordWrap/>
              <w:overflowPunct/>
              <w:topLinePunct w:val="0"/>
              <w:autoSpaceDE/>
              <w:autoSpaceDN/>
              <w:bidi w:val="0"/>
              <w:adjustRightInd/>
              <w:snapToGrid/>
              <w:spacing w:line="0" w:lineRule="atLeast"/>
              <w:jc w:val="center"/>
              <w:rPr>
                <w:rFonts w:hint="eastAsia" w:ascii="Times New Roman" w:hAnsi="Times New Roman" w:eastAsia="方正楷体_GBK" w:cs="方正楷体_GBK"/>
                <w:i w:val="0"/>
                <w:iCs w:val="0"/>
                <w:color w:val="000000"/>
                <w:sz w:val="20"/>
                <w:szCs w:val="20"/>
                <w:u w:val="none"/>
              </w:rPr>
            </w:pPr>
          </w:p>
        </w:tc>
      </w:tr>
      <w:tr w14:paraId="01FBB27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229" w:type="pct"/>
            <w:vMerge w:val="continue"/>
            <w:shd w:val="clear" w:color="auto" w:fill="FFFFFF"/>
            <w:noWrap/>
            <w:vAlign w:val="center"/>
          </w:tcPr>
          <w:p w14:paraId="4DB08D08">
            <w:pPr>
              <w:keepNext w:val="0"/>
              <w:keepLines w:val="0"/>
              <w:pageBreakBefore w:val="0"/>
              <w:widowControl/>
              <w:kinsoku/>
              <w:wordWrap/>
              <w:overflowPunct/>
              <w:topLinePunct w:val="0"/>
              <w:autoSpaceDE/>
              <w:autoSpaceDN/>
              <w:bidi w:val="0"/>
              <w:adjustRightInd/>
              <w:snapToGrid/>
              <w:spacing w:line="0" w:lineRule="atLeast"/>
              <w:jc w:val="center"/>
              <w:rPr>
                <w:rFonts w:hint="eastAsia" w:ascii="Times New Roman" w:hAnsi="Times New Roman" w:eastAsia="方正楷体_GBK" w:cs="方正楷体_GBK"/>
                <w:i w:val="0"/>
                <w:iCs w:val="0"/>
                <w:color w:val="000000"/>
                <w:sz w:val="20"/>
                <w:szCs w:val="20"/>
                <w:u w:val="none"/>
              </w:rPr>
            </w:pPr>
          </w:p>
        </w:tc>
        <w:tc>
          <w:tcPr>
            <w:tcW w:w="367" w:type="pct"/>
            <w:vMerge w:val="continue"/>
            <w:shd w:val="clear" w:color="auto" w:fill="FFFFFF"/>
            <w:vAlign w:val="center"/>
          </w:tcPr>
          <w:p w14:paraId="13B131D6">
            <w:pPr>
              <w:keepNext w:val="0"/>
              <w:keepLines w:val="0"/>
              <w:pageBreakBefore w:val="0"/>
              <w:widowControl/>
              <w:kinsoku/>
              <w:wordWrap/>
              <w:overflowPunct/>
              <w:topLinePunct w:val="0"/>
              <w:autoSpaceDE/>
              <w:autoSpaceDN/>
              <w:bidi w:val="0"/>
              <w:adjustRightInd/>
              <w:snapToGrid/>
              <w:spacing w:line="0" w:lineRule="atLeast"/>
              <w:jc w:val="center"/>
              <w:rPr>
                <w:rFonts w:hint="eastAsia" w:ascii="Times New Roman" w:hAnsi="Times New Roman" w:eastAsia="方正楷体_GBK" w:cs="方正楷体_GBK"/>
                <w:i w:val="0"/>
                <w:iCs w:val="0"/>
                <w:color w:val="000000"/>
                <w:sz w:val="20"/>
                <w:szCs w:val="20"/>
                <w:u w:val="none"/>
              </w:rPr>
            </w:pPr>
          </w:p>
        </w:tc>
        <w:tc>
          <w:tcPr>
            <w:tcW w:w="472" w:type="pct"/>
            <w:vMerge w:val="restart"/>
            <w:shd w:val="clear" w:color="auto" w:fill="FFFFFF"/>
            <w:vAlign w:val="center"/>
          </w:tcPr>
          <w:p w14:paraId="1780F45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方正楷体_GBK" w:cs="方正楷体_GBK"/>
                <w:i w:val="0"/>
                <w:iCs w:val="0"/>
                <w:color w:val="000000"/>
                <w:sz w:val="20"/>
                <w:szCs w:val="20"/>
                <w:u w:val="none"/>
              </w:rPr>
            </w:pPr>
            <w:r>
              <w:rPr>
                <w:rFonts w:hint="eastAsia" w:ascii="Times New Roman" w:hAnsi="Times New Roman" w:eastAsia="方正楷体_GBK" w:cs="方正楷体_GBK"/>
                <w:i w:val="0"/>
                <w:iCs w:val="0"/>
                <w:color w:val="000000"/>
                <w:kern w:val="0"/>
                <w:sz w:val="20"/>
                <w:szCs w:val="20"/>
                <w:u w:val="none"/>
                <w:lang w:val="en-US" w:eastAsia="zh-CN" w:bidi="ar"/>
              </w:rPr>
              <w:t>医护级安心助浴</w:t>
            </w:r>
          </w:p>
        </w:tc>
        <w:tc>
          <w:tcPr>
            <w:tcW w:w="1338" w:type="pct"/>
            <w:shd w:val="clear" w:color="auto" w:fill="FFFFFF"/>
            <w:vAlign w:val="center"/>
          </w:tcPr>
          <w:p w14:paraId="387ED92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方正楷体_GBK" w:cs="方正楷体_GBK"/>
                <w:i w:val="0"/>
                <w:iCs w:val="0"/>
                <w:color w:val="000000"/>
                <w:kern w:val="0"/>
                <w:sz w:val="20"/>
                <w:szCs w:val="20"/>
                <w:u w:val="none"/>
                <w:lang w:val="en-US" w:eastAsia="zh-CN" w:bidi="ar"/>
              </w:rPr>
            </w:pPr>
            <w:r>
              <w:rPr>
                <w:rFonts w:hint="eastAsia" w:ascii="Times New Roman" w:hAnsi="Times New Roman" w:eastAsia="方正楷体_GBK" w:cs="方正楷体_GBK"/>
                <w:i w:val="0"/>
                <w:iCs w:val="0"/>
                <w:color w:val="000000"/>
                <w:kern w:val="0"/>
                <w:sz w:val="20"/>
                <w:szCs w:val="20"/>
                <w:u w:val="none"/>
                <w:lang w:val="en-US" w:eastAsia="zh-CN" w:bidi="ar"/>
              </w:rPr>
              <w:t>上门助浴</w:t>
            </w:r>
          </w:p>
          <w:p w14:paraId="159AA87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方正楷体_GBK" w:cs="方正楷体_GBK"/>
                <w:i w:val="0"/>
                <w:iCs w:val="0"/>
                <w:color w:val="000000"/>
                <w:sz w:val="20"/>
                <w:szCs w:val="20"/>
                <w:u w:val="none"/>
              </w:rPr>
            </w:pPr>
            <w:r>
              <w:rPr>
                <w:rFonts w:hint="eastAsia" w:ascii="Times New Roman" w:hAnsi="Times New Roman" w:eastAsia="方正楷体_GBK" w:cs="方正楷体_GBK"/>
                <w:i w:val="0"/>
                <w:iCs w:val="0"/>
                <w:color w:val="000000"/>
                <w:kern w:val="0"/>
                <w:sz w:val="20"/>
                <w:szCs w:val="20"/>
                <w:u w:val="none"/>
                <w:lang w:val="en-US" w:eastAsia="zh-CN" w:bidi="ar"/>
              </w:rPr>
              <w:t>（医护人员参与）</w:t>
            </w:r>
          </w:p>
        </w:tc>
        <w:tc>
          <w:tcPr>
            <w:tcW w:w="701" w:type="pct"/>
            <w:shd w:val="clear" w:color="auto" w:fill="auto"/>
            <w:vAlign w:val="center"/>
          </w:tcPr>
          <w:p w14:paraId="42AD731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方正楷体_GBK" w:cs="方正楷体_GBK"/>
                <w:i w:val="0"/>
                <w:iCs w:val="0"/>
                <w:color w:val="000000"/>
                <w:sz w:val="20"/>
                <w:szCs w:val="20"/>
                <w:u w:val="none"/>
              </w:rPr>
            </w:pPr>
            <w:r>
              <w:rPr>
                <w:rFonts w:hint="eastAsia" w:ascii="Times New Roman" w:hAnsi="Times New Roman" w:eastAsia="方正楷体_GBK" w:cs="方正楷体_GBK"/>
                <w:i w:val="0"/>
                <w:iCs w:val="0"/>
                <w:color w:val="000000"/>
                <w:kern w:val="0"/>
                <w:sz w:val="20"/>
                <w:szCs w:val="20"/>
                <w:u w:val="none"/>
                <w:lang w:val="en-US" w:eastAsia="zh-CN" w:bidi="ar"/>
              </w:rPr>
              <w:t>280元/次</w:t>
            </w:r>
          </w:p>
        </w:tc>
        <w:tc>
          <w:tcPr>
            <w:tcW w:w="1204" w:type="pct"/>
            <w:shd w:val="clear" w:color="auto" w:fill="auto"/>
            <w:noWrap/>
            <w:vAlign w:val="center"/>
          </w:tcPr>
          <w:p w14:paraId="5E284EA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方正楷体_GBK" w:cs="方正楷体_GBK"/>
                <w:i w:val="0"/>
                <w:iCs w:val="0"/>
                <w:color w:val="000000"/>
                <w:sz w:val="20"/>
                <w:szCs w:val="20"/>
                <w:u w:val="none"/>
              </w:rPr>
            </w:pPr>
            <w:r>
              <w:rPr>
                <w:rFonts w:hint="eastAsia" w:ascii="Times New Roman" w:hAnsi="Times New Roman" w:eastAsia="方正楷体_GBK" w:cs="方正楷体_GBK"/>
                <w:i w:val="0"/>
                <w:iCs w:val="0"/>
                <w:color w:val="000000"/>
                <w:kern w:val="0"/>
                <w:sz w:val="20"/>
                <w:szCs w:val="20"/>
                <w:u w:val="none"/>
                <w:lang w:val="en-US" w:eastAsia="zh-CN" w:bidi="ar"/>
              </w:rPr>
              <w:t>90%</w:t>
            </w:r>
          </w:p>
        </w:tc>
        <w:tc>
          <w:tcPr>
            <w:tcW w:w="686" w:type="pct"/>
            <w:shd w:val="clear" w:color="auto" w:fill="FFFFFF"/>
            <w:noWrap/>
            <w:vAlign w:val="center"/>
          </w:tcPr>
          <w:p w14:paraId="3E9A1558">
            <w:pPr>
              <w:keepNext w:val="0"/>
              <w:keepLines w:val="0"/>
              <w:pageBreakBefore w:val="0"/>
              <w:widowControl/>
              <w:kinsoku/>
              <w:wordWrap/>
              <w:overflowPunct/>
              <w:topLinePunct w:val="0"/>
              <w:autoSpaceDE/>
              <w:autoSpaceDN/>
              <w:bidi w:val="0"/>
              <w:adjustRightInd/>
              <w:snapToGrid/>
              <w:spacing w:line="0" w:lineRule="atLeast"/>
              <w:jc w:val="center"/>
              <w:rPr>
                <w:rFonts w:hint="eastAsia" w:ascii="Times New Roman" w:hAnsi="Times New Roman" w:eastAsia="方正楷体_GBK" w:cs="方正楷体_GBK"/>
                <w:i w:val="0"/>
                <w:iCs w:val="0"/>
                <w:color w:val="000000"/>
                <w:sz w:val="20"/>
                <w:szCs w:val="20"/>
                <w:u w:val="none"/>
              </w:rPr>
            </w:pPr>
          </w:p>
        </w:tc>
      </w:tr>
      <w:tr w14:paraId="60AB2B2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229" w:type="pct"/>
            <w:vMerge w:val="continue"/>
            <w:shd w:val="clear" w:color="auto" w:fill="FFFFFF"/>
            <w:noWrap/>
            <w:vAlign w:val="center"/>
          </w:tcPr>
          <w:p w14:paraId="7A5B88C9">
            <w:pPr>
              <w:keepNext w:val="0"/>
              <w:keepLines w:val="0"/>
              <w:pageBreakBefore w:val="0"/>
              <w:widowControl/>
              <w:kinsoku/>
              <w:wordWrap/>
              <w:overflowPunct/>
              <w:topLinePunct w:val="0"/>
              <w:autoSpaceDE/>
              <w:autoSpaceDN/>
              <w:bidi w:val="0"/>
              <w:adjustRightInd/>
              <w:snapToGrid/>
              <w:spacing w:line="0" w:lineRule="atLeast"/>
              <w:jc w:val="center"/>
              <w:rPr>
                <w:rFonts w:hint="eastAsia" w:ascii="Times New Roman" w:hAnsi="Times New Roman" w:eastAsia="方正楷体_GBK" w:cs="方正楷体_GBK"/>
                <w:i w:val="0"/>
                <w:iCs w:val="0"/>
                <w:color w:val="000000"/>
                <w:sz w:val="20"/>
                <w:szCs w:val="20"/>
                <w:u w:val="none"/>
              </w:rPr>
            </w:pPr>
          </w:p>
        </w:tc>
        <w:tc>
          <w:tcPr>
            <w:tcW w:w="367" w:type="pct"/>
            <w:vMerge w:val="continue"/>
            <w:shd w:val="clear" w:color="auto" w:fill="FFFFFF"/>
            <w:vAlign w:val="center"/>
          </w:tcPr>
          <w:p w14:paraId="58378C39">
            <w:pPr>
              <w:keepNext w:val="0"/>
              <w:keepLines w:val="0"/>
              <w:pageBreakBefore w:val="0"/>
              <w:widowControl/>
              <w:kinsoku/>
              <w:wordWrap/>
              <w:overflowPunct/>
              <w:topLinePunct w:val="0"/>
              <w:autoSpaceDE/>
              <w:autoSpaceDN/>
              <w:bidi w:val="0"/>
              <w:adjustRightInd/>
              <w:snapToGrid/>
              <w:spacing w:line="0" w:lineRule="atLeast"/>
              <w:jc w:val="center"/>
              <w:rPr>
                <w:rFonts w:hint="eastAsia" w:ascii="Times New Roman" w:hAnsi="Times New Roman" w:eastAsia="方正楷体_GBK" w:cs="方正楷体_GBK"/>
                <w:i w:val="0"/>
                <w:iCs w:val="0"/>
                <w:color w:val="000000"/>
                <w:sz w:val="20"/>
                <w:szCs w:val="20"/>
                <w:u w:val="none"/>
              </w:rPr>
            </w:pPr>
          </w:p>
        </w:tc>
        <w:tc>
          <w:tcPr>
            <w:tcW w:w="472" w:type="pct"/>
            <w:vMerge w:val="continue"/>
            <w:shd w:val="clear" w:color="auto" w:fill="FFFFFF"/>
            <w:vAlign w:val="center"/>
          </w:tcPr>
          <w:p w14:paraId="05901CE2">
            <w:pPr>
              <w:keepNext w:val="0"/>
              <w:keepLines w:val="0"/>
              <w:pageBreakBefore w:val="0"/>
              <w:widowControl/>
              <w:kinsoku/>
              <w:wordWrap/>
              <w:overflowPunct/>
              <w:topLinePunct w:val="0"/>
              <w:autoSpaceDE/>
              <w:autoSpaceDN/>
              <w:bidi w:val="0"/>
              <w:adjustRightInd/>
              <w:snapToGrid/>
              <w:spacing w:line="0" w:lineRule="atLeast"/>
              <w:jc w:val="center"/>
              <w:rPr>
                <w:rFonts w:hint="eastAsia" w:ascii="Times New Roman" w:hAnsi="Times New Roman" w:eastAsia="方正楷体_GBK" w:cs="方正楷体_GBK"/>
                <w:i w:val="0"/>
                <w:iCs w:val="0"/>
                <w:color w:val="000000"/>
                <w:sz w:val="20"/>
                <w:szCs w:val="20"/>
                <w:u w:val="none"/>
              </w:rPr>
            </w:pPr>
          </w:p>
        </w:tc>
        <w:tc>
          <w:tcPr>
            <w:tcW w:w="1338" w:type="pct"/>
            <w:shd w:val="clear" w:color="auto" w:fill="FFFFFF"/>
            <w:vAlign w:val="center"/>
          </w:tcPr>
          <w:p w14:paraId="75E804D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方正楷体_GBK" w:cs="方正楷体_GBK"/>
                <w:i w:val="0"/>
                <w:iCs w:val="0"/>
                <w:color w:val="000000"/>
                <w:kern w:val="0"/>
                <w:sz w:val="20"/>
                <w:szCs w:val="20"/>
                <w:u w:val="none"/>
                <w:lang w:val="en-US" w:eastAsia="zh-CN" w:bidi="ar"/>
              </w:rPr>
            </w:pPr>
            <w:r>
              <w:rPr>
                <w:rFonts w:hint="eastAsia" w:ascii="Times New Roman" w:hAnsi="Times New Roman" w:eastAsia="方正楷体_GBK" w:cs="方正楷体_GBK"/>
                <w:i w:val="0"/>
                <w:iCs w:val="0"/>
                <w:color w:val="000000"/>
                <w:kern w:val="0"/>
                <w:sz w:val="20"/>
                <w:szCs w:val="20"/>
                <w:u w:val="none"/>
                <w:lang w:val="en-US" w:eastAsia="zh-CN" w:bidi="ar"/>
              </w:rPr>
              <w:t>浴前健康评估</w:t>
            </w:r>
          </w:p>
          <w:p w14:paraId="6C11A8A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方正楷体_GBK" w:cs="方正楷体_GBK"/>
                <w:i w:val="0"/>
                <w:iCs w:val="0"/>
                <w:color w:val="000000"/>
                <w:sz w:val="20"/>
                <w:szCs w:val="20"/>
                <w:u w:val="none"/>
              </w:rPr>
            </w:pPr>
            <w:r>
              <w:rPr>
                <w:rFonts w:hint="eastAsia" w:ascii="Times New Roman" w:hAnsi="Times New Roman" w:eastAsia="方正楷体_GBK" w:cs="方正楷体_GBK"/>
                <w:i w:val="0"/>
                <w:iCs w:val="0"/>
                <w:color w:val="000000"/>
                <w:kern w:val="0"/>
                <w:sz w:val="20"/>
                <w:szCs w:val="20"/>
                <w:u w:val="none"/>
                <w:lang w:val="en-US" w:eastAsia="zh-CN" w:bidi="ar"/>
              </w:rPr>
              <w:t>（测血压血氧+心率）</w:t>
            </w:r>
          </w:p>
        </w:tc>
        <w:tc>
          <w:tcPr>
            <w:tcW w:w="701" w:type="pct"/>
            <w:shd w:val="clear" w:color="auto" w:fill="auto"/>
            <w:vAlign w:val="center"/>
          </w:tcPr>
          <w:p w14:paraId="1C3678A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方正楷体_GBK" w:cs="方正楷体_GBK"/>
                <w:i w:val="0"/>
                <w:iCs w:val="0"/>
                <w:color w:val="000000"/>
                <w:sz w:val="20"/>
                <w:szCs w:val="20"/>
                <w:u w:val="none"/>
              </w:rPr>
            </w:pPr>
            <w:r>
              <w:rPr>
                <w:rFonts w:hint="eastAsia" w:ascii="Times New Roman" w:hAnsi="Times New Roman" w:eastAsia="方正楷体_GBK" w:cs="方正楷体_GBK"/>
                <w:i w:val="0"/>
                <w:iCs w:val="0"/>
                <w:color w:val="000000"/>
                <w:kern w:val="0"/>
                <w:sz w:val="20"/>
                <w:szCs w:val="20"/>
                <w:u w:val="none"/>
                <w:lang w:val="en-US" w:eastAsia="zh-CN" w:bidi="ar"/>
              </w:rPr>
              <w:t>/</w:t>
            </w:r>
          </w:p>
        </w:tc>
        <w:tc>
          <w:tcPr>
            <w:tcW w:w="1204" w:type="pct"/>
            <w:shd w:val="clear" w:color="auto" w:fill="auto"/>
            <w:noWrap/>
            <w:vAlign w:val="center"/>
          </w:tcPr>
          <w:p w14:paraId="2A8CC09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方正楷体_GBK" w:cs="方正楷体_GBK"/>
                <w:i w:val="0"/>
                <w:iCs w:val="0"/>
                <w:color w:val="000000"/>
                <w:sz w:val="20"/>
                <w:szCs w:val="20"/>
                <w:u w:val="none"/>
              </w:rPr>
            </w:pPr>
            <w:r>
              <w:rPr>
                <w:rFonts w:hint="eastAsia" w:ascii="Times New Roman" w:hAnsi="Times New Roman" w:eastAsia="方正楷体_GBK" w:cs="方正楷体_GBK"/>
                <w:i w:val="0"/>
                <w:iCs w:val="0"/>
                <w:color w:val="000000"/>
                <w:kern w:val="0"/>
                <w:sz w:val="20"/>
                <w:szCs w:val="20"/>
                <w:u w:val="none"/>
                <w:lang w:val="en-US" w:eastAsia="zh-CN" w:bidi="ar"/>
              </w:rPr>
              <w:t>90%</w:t>
            </w:r>
          </w:p>
        </w:tc>
        <w:tc>
          <w:tcPr>
            <w:tcW w:w="686" w:type="pct"/>
            <w:shd w:val="clear" w:color="auto" w:fill="FFFFFF"/>
            <w:noWrap/>
            <w:vAlign w:val="center"/>
          </w:tcPr>
          <w:p w14:paraId="7B3D741E">
            <w:pPr>
              <w:keepNext w:val="0"/>
              <w:keepLines w:val="0"/>
              <w:pageBreakBefore w:val="0"/>
              <w:widowControl/>
              <w:kinsoku/>
              <w:wordWrap/>
              <w:overflowPunct/>
              <w:topLinePunct w:val="0"/>
              <w:autoSpaceDE/>
              <w:autoSpaceDN/>
              <w:bidi w:val="0"/>
              <w:adjustRightInd/>
              <w:snapToGrid/>
              <w:spacing w:line="0" w:lineRule="atLeast"/>
              <w:jc w:val="center"/>
              <w:rPr>
                <w:rFonts w:hint="eastAsia" w:ascii="Times New Roman" w:hAnsi="Times New Roman" w:eastAsia="方正楷体_GBK" w:cs="方正楷体_GBK"/>
                <w:i w:val="0"/>
                <w:iCs w:val="0"/>
                <w:color w:val="000000"/>
                <w:sz w:val="20"/>
                <w:szCs w:val="20"/>
                <w:u w:val="none"/>
              </w:rPr>
            </w:pPr>
          </w:p>
        </w:tc>
      </w:tr>
      <w:tr w14:paraId="75FBD78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229" w:type="pct"/>
            <w:vMerge w:val="continue"/>
            <w:shd w:val="clear" w:color="auto" w:fill="FFFFFF"/>
            <w:noWrap/>
            <w:vAlign w:val="center"/>
          </w:tcPr>
          <w:p w14:paraId="64A6BAFF">
            <w:pPr>
              <w:keepNext w:val="0"/>
              <w:keepLines w:val="0"/>
              <w:pageBreakBefore w:val="0"/>
              <w:widowControl/>
              <w:kinsoku/>
              <w:wordWrap/>
              <w:overflowPunct/>
              <w:topLinePunct w:val="0"/>
              <w:autoSpaceDE/>
              <w:autoSpaceDN/>
              <w:bidi w:val="0"/>
              <w:adjustRightInd/>
              <w:snapToGrid/>
              <w:spacing w:line="0" w:lineRule="atLeast"/>
              <w:jc w:val="center"/>
              <w:rPr>
                <w:rFonts w:hint="eastAsia" w:ascii="Times New Roman" w:hAnsi="Times New Roman" w:eastAsia="方正楷体_GBK" w:cs="方正楷体_GBK"/>
                <w:i w:val="0"/>
                <w:iCs w:val="0"/>
                <w:color w:val="000000"/>
                <w:sz w:val="20"/>
                <w:szCs w:val="20"/>
                <w:u w:val="none"/>
              </w:rPr>
            </w:pPr>
          </w:p>
        </w:tc>
        <w:tc>
          <w:tcPr>
            <w:tcW w:w="367" w:type="pct"/>
            <w:vMerge w:val="continue"/>
            <w:shd w:val="clear" w:color="auto" w:fill="FFFFFF"/>
            <w:vAlign w:val="center"/>
          </w:tcPr>
          <w:p w14:paraId="7521BD12">
            <w:pPr>
              <w:keepNext w:val="0"/>
              <w:keepLines w:val="0"/>
              <w:pageBreakBefore w:val="0"/>
              <w:widowControl/>
              <w:kinsoku/>
              <w:wordWrap/>
              <w:overflowPunct/>
              <w:topLinePunct w:val="0"/>
              <w:autoSpaceDE/>
              <w:autoSpaceDN/>
              <w:bidi w:val="0"/>
              <w:adjustRightInd/>
              <w:snapToGrid/>
              <w:spacing w:line="0" w:lineRule="atLeast"/>
              <w:jc w:val="center"/>
              <w:rPr>
                <w:rFonts w:hint="eastAsia" w:ascii="Times New Roman" w:hAnsi="Times New Roman" w:eastAsia="方正楷体_GBK" w:cs="方正楷体_GBK"/>
                <w:i w:val="0"/>
                <w:iCs w:val="0"/>
                <w:color w:val="000000"/>
                <w:sz w:val="20"/>
                <w:szCs w:val="20"/>
                <w:u w:val="none"/>
              </w:rPr>
            </w:pPr>
          </w:p>
        </w:tc>
        <w:tc>
          <w:tcPr>
            <w:tcW w:w="472" w:type="pct"/>
            <w:vMerge w:val="continue"/>
            <w:shd w:val="clear" w:color="auto" w:fill="FFFFFF"/>
            <w:vAlign w:val="center"/>
          </w:tcPr>
          <w:p w14:paraId="6E744F53">
            <w:pPr>
              <w:keepNext w:val="0"/>
              <w:keepLines w:val="0"/>
              <w:pageBreakBefore w:val="0"/>
              <w:widowControl/>
              <w:kinsoku/>
              <w:wordWrap/>
              <w:overflowPunct/>
              <w:topLinePunct w:val="0"/>
              <w:autoSpaceDE/>
              <w:autoSpaceDN/>
              <w:bidi w:val="0"/>
              <w:adjustRightInd/>
              <w:snapToGrid/>
              <w:spacing w:line="0" w:lineRule="atLeast"/>
              <w:jc w:val="center"/>
              <w:rPr>
                <w:rFonts w:hint="eastAsia" w:ascii="Times New Roman" w:hAnsi="Times New Roman" w:eastAsia="方正楷体_GBK" w:cs="方正楷体_GBK"/>
                <w:i w:val="0"/>
                <w:iCs w:val="0"/>
                <w:color w:val="000000"/>
                <w:sz w:val="20"/>
                <w:szCs w:val="20"/>
                <w:u w:val="none"/>
              </w:rPr>
            </w:pPr>
          </w:p>
        </w:tc>
        <w:tc>
          <w:tcPr>
            <w:tcW w:w="1338" w:type="pct"/>
            <w:shd w:val="clear" w:color="auto" w:fill="FFFFFF"/>
            <w:vAlign w:val="center"/>
          </w:tcPr>
          <w:p w14:paraId="05AF4FD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方正楷体_GBK" w:cs="方正楷体_GBK"/>
                <w:i w:val="0"/>
                <w:iCs w:val="0"/>
                <w:color w:val="000000"/>
                <w:sz w:val="20"/>
                <w:szCs w:val="20"/>
                <w:u w:val="none"/>
              </w:rPr>
            </w:pPr>
            <w:r>
              <w:rPr>
                <w:rFonts w:hint="eastAsia" w:ascii="Times New Roman" w:hAnsi="Times New Roman" w:eastAsia="方正楷体_GBK" w:cs="方正楷体_GBK"/>
                <w:i w:val="0"/>
                <w:iCs w:val="0"/>
                <w:color w:val="000000"/>
                <w:kern w:val="0"/>
                <w:sz w:val="20"/>
                <w:szCs w:val="20"/>
                <w:u w:val="none"/>
                <w:lang w:val="en-US" w:eastAsia="zh-CN" w:bidi="ar"/>
              </w:rPr>
              <w:t>浴后更衣整理</w:t>
            </w:r>
          </w:p>
        </w:tc>
        <w:tc>
          <w:tcPr>
            <w:tcW w:w="701" w:type="pct"/>
            <w:shd w:val="clear" w:color="auto" w:fill="auto"/>
            <w:vAlign w:val="center"/>
          </w:tcPr>
          <w:p w14:paraId="01DC6D0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方正楷体_GBK" w:cs="方正楷体_GBK"/>
                <w:i w:val="0"/>
                <w:iCs w:val="0"/>
                <w:color w:val="000000"/>
                <w:sz w:val="20"/>
                <w:szCs w:val="20"/>
                <w:u w:val="none"/>
              </w:rPr>
            </w:pPr>
            <w:r>
              <w:rPr>
                <w:rFonts w:hint="eastAsia" w:ascii="Times New Roman" w:hAnsi="Times New Roman" w:eastAsia="方正楷体_GBK" w:cs="方正楷体_GBK"/>
                <w:i w:val="0"/>
                <w:iCs w:val="0"/>
                <w:color w:val="000000"/>
                <w:kern w:val="0"/>
                <w:sz w:val="20"/>
                <w:szCs w:val="20"/>
                <w:u w:val="none"/>
                <w:lang w:val="en-US" w:eastAsia="zh-CN" w:bidi="ar"/>
              </w:rPr>
              <w:t>/</w:t>
            </w:r>
          </w:p>
        </w:tc>
        <w:tc>
          <w:tcPr>
            <w:tcW w:w="1204" w:type="pct"/>
            <w:shd w:val="clear" w:color="auto" w:fill="auto"/>
            <w:noWrap/>
            <w:vAlign w:val="center"/>
          </w:tcPr>
          <w:p w14:paraId="484BA60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方正楷体_GBK" w:cs="方正楷体_GBK"/>
                <w:i w:val="0"/>
                <w:iCs w:val="0"/>
                <w:color w:val="000000"/>
                <w:sz w:val="20"/>
                <w:szCs w:val="20"/>
                <w:u w:val="none"/>
              </w:rPr>
            </w:pPr>
            <w:r>
              <w:rPr>
                <w:rFonts w:hint="eastAsia" w:ascii="Times New Roman" w:hAnsi="Times New Roman" w:eastAsia="方正楷体_GBK" w:cs="方正楷体_GBK"/>
                <w:i w:val="0"/>
                <w:iCs w:val="0"/>
                <w:color w:val="000000"/>
                <w:kern w:val="0"/>
                <w:sz w:val="20"/>
                <w:szCs w:val="20"/>
                <w:u w:val="none"/>
                <w:lang w:val="en-US" w:eastAsia="zh-CN" w:bidi="ar"/>
              </w:rPr>
              <w:t>90%</w:t>
            </w:r>
          </w:p>
        </w:tc>
        <w:tc>
          <w:tcPr>
            <w:tcW w:w="686" w:type="pct"/>
            <w:shd w:val="clear" w:color="auto" w:fill="FFFFFF"/>
            <w:noWrap/>
            <w:vAlign w:val="center"/>
          </w:tcPr>
          <w:p w14:paraId="1FC9781E">
            <w:pPr>
              <w:keepNext w:val="0"/>
              <w:keepLines w:val="0"/>
              <w:pageBreakBefore w:val="0"/>
              <w:widowControl/>
              <w:kinsoku/>
              <w:wordWrap/>
              <w:overflowPunct/>
              <w:topLinePunct w:val="0"/>
              <w:autoSpaceDE/>
              <w:autoSpaceDN/>
              <w:bidi w:val="0"/>
              <w:adjustRightInd/>
              <w:snapToGrid/>
              <w:spacing w:line="0" w:lineRule="atLeast"/>
              <w:jc w:val="center"/>
              <w:rPr>
                <w:rFonts w:hint="eastAsia" w:ascii="Times New Roman" w:hAnsi="Times New Roman" w:eastAsia="方正楷体_GBK" w:cs="方正楷体_GBK"/>
                <w:i w:val="0"/>
                <w:iCs w:val="0"/>
                <w:color w:val="000000"/>
                <w:sz w:val="20"/>
                <w:szCs w:val="20"/>
                <w:u w:val="none"/>
              </w:rPr>
            </w:pPr>
          </w:p>
        </w:tc>
      </w:tr>
      <w:tr w14:paraId="3860531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229" w:type="pct"/>
            <w:vMerge w:val="continue"/>
            <w:shd w:val="clear" w:color="auto" w:fill="FFFFFF"/>
            <w:noWrap/>
            <w:vAlign w:val="center"/>
          </w:tcPr>
          <w:p w14:paraId="18BBE0FD">
            <w:pPr>
              <w:keepNext w:val="0"/>
              <w:keepLines w:val="0"/>
              <w:pageBreakBefore w:val="0"/>
              <w:widowControl/>
              <w:kinsoku/>
              <w:wordWrap/>
              <w:overflowPunct/>
              <w:topLinePunct w:val="0"/>
              <w:autoSpaceDE/>
              <w:autoSpaceDN/>
              <w:bidi w:val="0"/>
              <w:adjustRightInd/>
              <w:snapToGrid/>
              <w:spacing w:line="0" w:lineRule="atLeast"/>
              <w:jc w:val="center"/>
              <w:rPr>
                <w:rFonts w:hint="eastAsia" w:ascii="Times New Roman" w:hAnsi="Times New Roman" w:eastAsia="方正楷体_GBK" w:cs="方正楷体_GBK"/>
                <w:i w:val="0"/>
                <w:iCs w:val="0"/>
                <w:color w:val="000000"/>
                <w:sz w:val="20"/>
                <w:szCs w:val="20"/>
                <w:u w:val="none"/>
              </w:rPr>
            </w:pPr>
          </w:p>
        </w:tc>
        <w:tc>
          <w:tcPr>
            <w:tcW w:w="367" w:type="pct"/>
            <w:vMerge w:val="continue"/>
            <w:shd w:val="clear" w:color="auto" w:fill="FFFFFF"/>
            <w:vAlign w:val="center"/>
          </w:tcPr>
          <w:p w14:paraId="7799BA05">
            <w:pPr>
              <w:keepNext w:val="0"/>
              <w:keepLines w:val="0"/>
              <w:pageBreakBefore w:val="0"/>
              <w:widowControl/>
              <w:kinsoku/>
              <w:wordWrap/>
              <w:overflowPunct/>
              <w:topLinePunct w:val="0"/>
              <w:autoSpaceDE/>
              <w:autoSpaceDN/>
              <w:bidi w:val="0"/>
              <w:adjustRightInd/>
              <w:snapToGrid/>
              <w:spacing w:line="0" w:lineRule="atLeast"/>
              <w:jc w:val="center"/>
              <w:rPr>
                <w:rFonts w:hint="eastAsia" w:ascii="Times New Roman" w:hAnsi="Times New Roman" w:eastAsia="方正楷体_GBK" w:cs="方正楷体_GBK"/>
                <w:i w:val="0"/>
                <w:iCs w:val="0"/>
                <w:color w:val="000000"/>
                <w:sz w:val="20"/>
                <w:szCs w:val="20"/>
                <w:u w:val="none"/>
              </w:rPr>
            </w:pPr>
          </w:p>
        </w:tc>
        <w:tc>
          <w:tcPr>
            <w:tcW w:w="472" w:type="pct"/>
            <w:vMerge w:val="continue"/>
            <w:shd w:val="clear" w:color="auto" w:fill="FFFFFF"/>
            <w:vAlign w:val="center"/>
          </w:tcPr>
          <w:p w14:paraId="10E2D62C">
            <w:pPr>
              <w:keepNext w:val="0"/>
              <w:keepLines w:val="0"/>
              <w:pageBreakBefore w:val="0"/>
              <w:widowControl/>
              <w:kinsoku/>
              <w:wordWrap/>
              <w:overflowPunct/>
              <w:topLinePunct w:val="0"/>
              <w:autoSpaceDE/>
              <w:autoSpaceDN/>
              <w:bidi w:val="0"/>
              <w:adjustRightInd/>
              <w:snapToGrid/>
              <w:spacing w:line="0" w:lineRule="atLeast"/>
              <w:jc w:val="center"/>
              <w:rPr>
                <w:rFonts w:hint="eastAsia" w:ascii="Times New Roman" w:hAnsi="Times New Roman" w:eastAsia="方正楷体_GBK" w:cs="方正楷体_GBK"/>
                <w:i w:val="0"/>
                <w:iCs w:val="0"/>
                <w:color w:val="000000"/>
                <w:sz w:val="20"/>
                <w:szCs w:val="20"/>
                <w:u w:val="none"/>
              </w:rPr>
            </w:pPr>
          </w:p>
        </w:tc>
        <w:tc>
          <w:tcPr>
            <w:tcW w:w="1338" w:type="pct"/>
            <w:shd w:val="clear" w:color="auto" w:fill="FFFFFF"/>
            <w:vAlign w:val="center"/>
          </w:tcPr>
          <w:p w14:paraId="698A360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方正楷体_GBK" w:cs="方正楷体_GBK"/>
                <w:i w:val="0"/>
                <w:iCs w:val="0"/>
                <w:color w:val="000000"/>
                <w:kern w:val="0"/>
                <w:sz w:val="20"/>
                <w:szCs w:val="20"/>
                <w:u w:val="none"/>
                <w:lang w:val="en-US" w:eastAsia="zh-CN" w:bidi="ar"/>
              </w:rPr>
            </w:pPr>
            <w:r>
              <w:rPr>
                <w:rFonts w:hint="eastAsia" w:ascii="Times New Roman" w:hAnsi="Times New Roman" w:eastAsia="方正楷体_GBK" w:cs="方正楷体_GBK"/>
                <w:i w:val="0"/>
                <w:iCs w:val="0"/>
                <w:color w:val="000000"/>
                <w:kern w:val="0"/>
                <w:sz w:val="20"/>
                <w:szCs w:val="20"/>
                <w:u w:val="none"/>
                <w:lang w:val="en-US" w:eastAsia="zh-CN" w:bidi="ar"/>
              </w:rPr>
              <w:t>更换导尿管</w:t>
            </w:r>
          </w:p>
          <w:p w14:paraId="40E9709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方正楷体_GBK" w:cs="方正楷体_GBK"/>
                <w:i w:val="0"/>
                <w:iCs w:val="0"/>
                <w:color w:val="000000"/>
                <w:sz w:val="20"/>
                <w:szCs w:val="20"/>
                <w:u w:val="none"/>
              </w:rPr>
            </w:pPr>
            <w:r>
              <w:rPr>
                <w:rFonts w:hint="eastAsia" w:ascii="Times New Roman" w:hAnsi="Times New Roman" w:eastAsia="方正楷体_GBK" w:cs="方正楷体_GBK"/>
                <w:i w:val="0"/>
                <w:iCs w:val="0"/>
                <w:color w:val="000000"/>
                <w:kern w:val="0"/>
                <w:sz w:val="20"/>
                <w:szCs w:val="20"/>
                <w:u w:val="none"/>
                <w:lang w:val="en-US" w:eastAsia="zh-CN" w:bidi="ar"/>
              </w:rPr>
              <w:t>（不含材料，5公里内）</w:t>
            </w:r>
          </w:p>
        </w:tc>
        <w:tc>
          <w:tcPr>
            <w:tcW w:w="701" w:type="pct"/>
            <w:shd w:val="clear" w:color="auto" w:fill="auto"/>
            <w:vAlign w:val="center"/>
          </w:tcPr>
          <w:p w14:paraId="67288D0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方正楷体_GBK" w:cs="方正楷体_GBK"/>
                <w:i w:val="0"/>
                <w:iCs w:val="0"/>
                <w:color w:val="000000"/>
                <w:sz w:val="20"/>
                <w:szCs w:val="20"/>
                <w:u w:val="none"/>
              </w:rPr>
            </w:pPr>
            <w:r>
              <w:rPr>
                <w:rFonts w:hint="eastAsia" w:ascii="Times New Roman" w:hAnsi="Times New Roman" w:eastAsia="方正楷体_GBK" w:cs="方正楷体_GBK"/>
                <w:i w:val="0"/>
                <w:iCs w:val="0"/>
                <w:color w:val="000000"/>
                <w:kern w:val="0"/>
                <w:sz w:val="20"/>
                <w:szCs w:val="20"/>
                <w:u w:val="none"/>
                <w:lang w:val="en-US" w:eastAsia="zh-CN" w:bidi="ar"/>
              </w:rPr>
              <w:t>180元/次</w:t>
            </w:r>
          </w:p>
        </w:tc>
        <w:tc>
          <w:tcPr>
            <w:tcW w:w="1204" w:type="pct"/>
            <w:shd w:val="clear" w:color="auto" w:fill="auto"/>
            <w:noWrap/>
            <w:vAlign w:val="center"/>
          </w:tcPr>
          <w:p w14:paraId="7900FA7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方正楷体_GBK" w:cs="方正楷体_GBK"/>
                <w:i w:val="0"/>
                <w:iCs w:val="0"/>
                <w:color w:val="000000"/>
                <w:sz w:val="20"/>
                <w:szCs w:val="20"/>
                <w:u w:val="none"/>
              </w:rPr>
            </w:pPr>
            <w:r>
              <w:rPr>
                <w:rFonts w:hint="eastAsia" w:ascii="Times New Roman" w:hAnsi="Times New Roman" w:eastAsia="方正楷体_GBK" w:cs="方正楷体_GBK"/>
                <w:i w:val="0"/>
                <w:iCs w:val="0"/>
                <w:color w:val="000000"/>
                <w:kern w:val="0"/>
                <w:sz w:val="20"/>
                <w:szCs w:val="20"/>
                <w:u w:val="none"/>
                <w:lang w:val="en-US" w:eastAsia="zh-CN" w:bidi="ar"/>
              </w:rPr>
              <w:t>90%</w:t>
            </w:r>
          </w:p>
        </w:tc>
        <w:tc>
          <w:tcPr>
            <w:tcW w:w="686" w:type="pct"/>
            <w:shd w:val="clear" w:color="auto" w:fill="FFFFFF"/>
            <w:noWrap/>
            <w:vAlign w:val="center"/>
          </w:tcPr>
          <w:p w14:paraId="3976B713">
            <w:pPr>
              <w:keepNext w:val="0"/>
              <w:keepLines w:val="0"/>
              <w:pageBreakBefore w:val="0"/>
              <w:widowControl/>
              <w:kinsoku/>
              <w:wordWrap/>
              <w:overflowPunct/>
              <w:topLinePunct w:val="0"/>
              <w:autoSpaceDE/>
              <w:autoSpaceDN/>
              <w:bidi w:val="0"/>
              <w:adjustRightInd/>
              <w:snapToGrid/>
              <w:spacing w:line="0" w:lineRule="atLeast"/>
              <w:jc w:val="center"/>
              <w:rPr>
                <w:rFonts w:hint="eastAsia" w:ascii="Times New Roman" w:hAnsi="Times New Roman" w:eastAsia="方正楷体_GBK" w:cs="方正楷体_GBK"/>
                <w:i w:val="0"/>
                <w:iCs w:val="0"/>
                <w:color w:val="000000"/>
                <w:sz w:val="20"/>
                <w:szCs w:val="20"/>
                <w:u w:val="none"/>
              </w:rPr>
            </w:pPr>
          </w:p>
        </w:tc>
      </w:tr>
      <w:tr w14:paraId="0E8450A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229" w:type="pct"/>
            <w:vMerge w:val="restart"/>
            <w:shd w:val="clear" w:color="auto" w:fill="FFFFFF"/>
            <w:noWrap/>
            <w:vAlign w:val="center"/>
          </w:tcPr>
          <w:p w14:paraId="38B7823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方正楷体_GBK" w:cs="方正楷体_GBK"/>
                <w:i w:val="0"/>
                <w:iCs w:val="0"/>
                <w:color w:val="000000"/>
                <w:sz w:val="20"/>
                <w:szCs w:val="20"/>
                <w:u w:val="none"/>
              </w:rPr>
            </w:pPr>
            <w:r>
              <w:rPr>
                <w:rFonts w:hint="eastAsia" w:ascii="Times New Roman" w:hAnsi="Times New Roman" w:eastAsia="方正楷体_GBK" w:cs="方正楷体_GBK"/>
                <w:i w:val="0"/>
                <w:iCs w:val="0"/>
                <w:color w:val="000000"/>
                <w:kern w:val="0"/>
                <w:sz w:val="20"/>
                <w:szCs w:val="20"/>
                <w:u w:val="none"/>
                <w:lang w:val="en-US" w:eastAsia="zh-CN" w:bidi="ar"/>
              </w:rPr>
              <w:t>6</w:t>
            </w:r>
          </w:p>
        </w:tc>
        <w:tc>
          <w:tcPr>
            <w:tcW w:w="367" w:type="pct"/>
            <w:vMerge w:val="restart"/>
            <w:shd w:val="clear" w:color="auto" w:fill="FFFFFF"/>
            <w:vAlign w:val="center"/>
          </w:tcPr>
          <w:p w14:paraId="1A5D836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方正楷体_GBK" w:cs="方正楷体_GBK"/>
                <w:i w:val="0"/>
                <w:iCs w:val="0"/>
                <w:color w:val="000000"/>
                <w:sz w:val="20"/>
                <w:szCs w:val="20"/>
                <w:u w:val="none"/>
              </w:rPr>
            </w:pPr>
            <w:r>
              <w:rPr>
                <w:rFonts w:hint="eastAsia" w:ascii="Times New Roman" w:hAnsi="Times New Roman" w:eastAsia="方正楷体_GBK" w:cs="方正楷体_GBK"/>
                <w:i w:val="0"/>
                <w:iCs w:val="0"/>
                <w:color w:val="000000"/>
                <w:kern w:val="0"/>
                <w:sz w:val="20"/>
                <w:szCs w:val="20"/>
                <w:u w:val="none"/>
                <w:lang w:val="en-US" w:eastAsia="zh-CN" w:bidi="ar"/>
              </w:rPr>
              <w:t>康复护理服务</w:t>
            </w:r>
          </w:p>
        </w:tc>
        <w:tc>
          <w:tcPr>
            <w:tcW w:w="1810" w:type="pct"/>
            <w:gridSpan w:val="2"/>
            <w:shd w:val="clear" w:color="auto" w:fill="FFFFFF"/>
            <w:vAlign w:val="center"/>
          </w:tcPr>
          <w:p w14:paraId="2BCCEF4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方正楷体_GBK" w:cs="方正楷体_GBK"/>
                <w:i w:val="0"/>
                <w:iCs w:val="0"/>
                <w:color w:val="000000"/>
                <w:sz w:val="20"/>
                <w:szCs w:val="20"/>
                <w:u w:val="none"/>
              </w:rPr>
            </w:pPr>
            <w:r>
              <w:rPr>
                <w:rFonts w:hint="eastAsia" w:ascii="Times New Roman" w:hAnsi="Times New Roman" w:eastAsia="方正楷体_GBK" w:cs="方正楷体_GBK"/>
                <w:i w:val="0"/>
                <w:iCs w:val="0"/>
                <w:color w:val="000000"/>
                <w:kern w:val="0"/>
                <w:sz w:val="20"/>
                <w:szCs w:val="20"/>
                <w:u w:val="none"/>
                <w:lang w:val="en-US" w:eastAsia="zh-CN" w:bidi="ar"/>
              </w:rPr>
              <w:t>肢体功能改善</w:t>
            </w:r>
          </w:p>
        </w:tc>
        <w:tc>
          <w:tcPr>
            <w:tcW w:w="701" w:type="pct"/>
            <w:shd w:val="clear" w:color="auto" w:fill="FFFFFF"/>
            <w:vAlign w:val="center"/>
          </w:tcPr>
          <w:p w14:paraId="5A9918E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方正楷体_GBK" w:cs="方正楷体_GBK"/>
                <w:i w:val="0"/>
                <w:iCs w:val="0"/>
                <w:color w:val="000000"/>
                <w:sz w:val="20"/>
                <w:szCs w:val="20"/>
                <w:u w:val="none"/>
              </w:rPr>
            </w:pPr>
            <w:r>
              <w:rPr>
                <w:rFonts w:hint="eastAsia" w:ascii="Times New Roman" w:hAnsi="Times New Roman" w:eastAsia="方正楷体_GBK" w:cs="方正楷体_GBK"/>
                <w:i w:val="0"/>
                <w:iCs w:val="0"/>
                <w:color w:val="000000"/>
                <w:kern w:val="0"/>
                <w:sz w:val="20"/>
                <w:szCs w:val="20"/>
                <w:u w:val="none"/>
                <w:lang w:val="en-US" w:eastAsia="zh-CN" w:bidi="ar"/>
              </w:rPr>
              <w:t>150元/次</w:t>
            </w:r>
          </w:p>
        </w:tc>
        <w:tc>
          <w:tcPr>
            <w:tcW w:w="1204" w:type="pct"/>
            <w:shd w:val="clear" w:color="auto" w:fill="FFFFFF"/>
            <w:noWrap/>
            <w:vAlign w:val="center"/>
          </w:tcPr>
          <w:p w14:paraId="273A04C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方正楷体_GBK" w:cs="方正楷体_GBK"/>
                <w:i w:val="0"/>
                <w:iCs w:val="0"/>
                <w:color w:val="000000"/>
                <w:sz w:val="20"/>
                <w:szCs w:val="20"/>
                <w:u w:val="none"/>
              </w:rPr>
            </w:pPr>
            <w:r>
              <w:rPr>
                <w:rFonts w:hint="eastAsia" w:ascii="Times New Roman" w:hAnsi="Times New Roman" w:eastAsia="方正楷体_GBK" w:cs="方正楷体_GBK"/>
                <w:i w:val="0"/>
                <w:iCs w:val="0"/>
                <w:color w:val="000000"/>
                <w:kern w:val="0"/>
                <w:sz w:val="20"/>
                <w:szCs w:val="20"/>
                <w:u w:val="none"/>
                <w:lang w:val="en-US" w:eastAsia="zh-CN" w:bidi="ar"/>
              </w:rPr>
              <w:t>90%</w:t>
            </w:r>
          </w:p>
        </w:tc>
        <w:tc>
          <w:tcPr>
            <w:tcW w:w="686" w:type="pct"/>
            <w:shd w:val="clear" w:color="auto" w:fill="FFFFFF"/>
            <w:noWrap/>
            <w:vAlign w:val="center"/>
          </w:tcPr>
          <w:p w14:paraId="260C259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方正楷体_GBK" w:cs="方正楷体_GBK"/>
                <w:i w:val="0"/>
                <w:iCs w:val="0"/>
                <w:color w:val="000000"/>
                <w:sz w:val="20"/>
                <w:szCs w:val="20"/>
                <w:u w:val="none"/>
              </w:rPr>
            </w:pPr>
            <w:r>
              <w:rPr>
                <w:rFonts w:hint="eastAsia" w:ascii="Times New Roman" w:hAnsi="Times New Roman" w:eastAsia="方正楷体_GBK" w:cs="方正楷体_GBK"/>
                <w:i w:val="0"/>
                <w:iCs w:val="0"/>
                <w:color w:val="000000"/>
                <w:kern w:val="0"/>
                <w:sz w:val="20"/>
                <w:szCs w:val="20"/>
                <w:u w:val="none"/>
                <w:lang w:val="en-US" w:eastAsia="zh-CN" w:bidi="ar"/>
              </w:rPr>
              <w:t>60分钟</w:t>
            </w:r>
          </w:p>
        </w:tc>
      </w:tr>
      <w:tr w14:paraId="774DEE1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229" w:type="pct"/>
            <w:vMerge w:val="continue"/>
            <w:shd w:val="clear" w:color="auto" w:fill="FFFFFF"/>
            <w:noWrap/>
            <w:vAlign w:val="center"/>
          </w:tcPr>
          <w:p w14:paraId="50339F3D">
            <w:pPr>
              <w:keepNext w:val="0"/>
              <w:keepLines w:val="0"/>
              <w:pageBreakBefore w:val="0"/>
              <w:widowControl/>
              <w:kinsoku/>
              <w:wordWrap/>
              <w:overflowPunct/>
              <w:topLinePunct w:val="0"/>
              <w:autoSpaceDE/>
              <w:autoSpaceDN/>
              <w:bidi w:val="0"/>
              <w:adjustRightInd/>
              <w:snapToGrid/>
              <w:spacing w:line="0" w:lineRule="atLeast"/>
              <w:jc w:val="center"/>
              <w:rPr>
                <w:rFonts w:hint="eastAsia" w:ascii="Times New Roman" w:hAnsi="Times New Roman" w:eastAsia="方正楷体_GBK" w:cs="方正楷体_GBK"/>
                <w:i w:val="0"/>
                <w:iCs w:val="0"/>
                <w:color w:val="000000"/>
                <w:sz w:val="20"/>
                <w:szCs w:val="20"/>
                <w:u w:val="none"/>
              </w:rPr>
            </w:pPr>
          </w:p>
        </w:tc>
        <w:tc>
          <w:tcPr>
            <w:tcW w:w="367" w:type="pct"/>
            <w:vMerge w:val="continue"/>
            <w:shd w:val="clear" w:color="auto" w:fill="FFFFFF"/>
            <w:vAlign w:val="center"/>
          </w:tcPr>
          <w:p w14:paraId="131BB750">
            <w:pPr>
              <w:keepNext w:val="0"/>
              <w:keepLines w:val="0"/>
              <w:pageBreakBefore w:val="0"/>
              <w:widowControl/>
              <w:kinsoku/>
              <w:wordWrap/>
              <w:overflowPunct/>
              <w:topLinePunct w:val="0"/>
              <w:autoSpaceDE/>
              <w:autoSpaceDN/>
              <w:bidi w:val="0"/>
              <w:adjustRightInd/>
              <w:snapToGrid/>
              <w:spacing w:line="0" w:lineRule="atLeast"/>
              <w:jc w:val="center"/>
              <w:rPr>
                <w:rFonts w:hint="eastAsia" w:ascii="Times New Roman" w:hAnsi="Times New Roman" w:eastAsia="方正楷体_GBK" w:cs="方正楷体_GBK"/>
                <w:i w:val="0"/>
                <w:iCs w:val="0"/>
                <w:color w:val="000000"/>
                <w:sz w:val="20"/>
                <w:szCs w:val="20"/>
                <w:u w:val="none"/>
              </w:rPr>
            </w:pPr>
          </w:p>
        </w:tc>
        <w:tc>
          <w:tcPr>
            <w:tcW w:w="1810" w:type="pct"/>
            <w:gridSpan w:val="2"/>
            <w:shd w:val="clear" w:color="auto" w:fill="FFFFFF"/>
            <w:vAlign w:val="center"/>
          </w:tcPr>
          <w:p w14:paraId="3521A11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方正楷体_GBK" w:cs="方正楷体_GBK"/>
                <w:i w:val="0"/>
                <w:iCs w:val="0"/>
                <w:color w:val="000000"/>
                <w:sz w:val="20"/>
                <w:szCs w:val="20"/>
                <w:u w:val="none"/>
              </w:rPr>
            </w:pPr>
            <w:r>
              <w:rPr>
                <w:rFonts w:hint="eastAsia" w:ascii="Times New Roman" w:hAnsi="Times New Roman" w:eastAsia="方正楷体_GBK" w:cs="方正楷体_GBK"/>
                <w:i w:val="0"/>
                <w:iCs w:val="0"/>
                <w:color w:val="000000"/>
                <w:kern w:val="0"/>
                <w:sz w:val="20"/>
                <w:szCs w:val="20"/>
                <w:u w:val="none"/>
                <w:lang w:val="en-US" w:eastAsia="zh-CN" w:bidi="ar"/>
              </w:rPr>
              <w:t>手部功能改善</w:t>
            </w:r>
          </w:p>
        </w:tc>
        <w:tc>
          <w:tcPr>
            <w:tcW w:w="701" w:type="pct"/>
            <w:shd w:val="clear" w:color="auto" w:fill="FFFFFF"/>
            <w:vAlign w:val="center"/>
          </w:tcPr>
          <w:p w14:paraId="7D7C492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方正楷体_GBK" w:cs="方正楷体_GBK"/>
                <w:i w:val="0"/>
                <w:iCs w:val="0"/>
                <w:color w:val="000000"/>
                <w:sz w:val="20"/>
                <w:szCs w:val="20"/>
                <w:u w:val="none"/>
              </w:rPr>
            </w:pPr>
            <w:r>
              <w:rPr>
                <w:rFonts w:hint="eastAsia" w:ascii="Times New Roman" w:hAnsi="Times New Roman" w:eastAsia="方正楷体_GBK" w:cs="方正楷体_GBK"/>
                <w:i w:val="0"/>
                <w:iCs w:val="0"/>
                <w:color w:val="000000"/>
                <w:kern w:val="0"/>
                <w:sz w:val="20"/>
                <w:szCs w:val="20"/>
                <w:u w:val="none"/>
                <w:lang w:val="en-US" w:eastAsia="zh-CN" w:bidi="ar"/>
              </w:rPr>
              <w:t>100元/次</w:t>
            </w:r>
          </w:p>
        </w:tc>
        <w:tc>
          <w:tcPr>
            <w:tcW w:w="1204" w:type="pct"/>
            <w:shd w:val="clear" w:color="auto" w:fill="FFFFFF"/>
            <w:noWrap/>
            <w:vAlign w:val="center"/>
          </w:tcPr>
          <w:p w14:paraId="21F054F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方正楷体_GBK" w:cs="方正楷体_GBK"/>
                <w:i w:val="0"/>
                <w:iCs w:val="0"/>
                <w:color w:val="000000"/>
                <w:sz w:val="20"/>
                <w:szCs w:val="20"/>
                <w:u w:val="none"/>
              </w:rPr>
            </w:pPr>
            <w:r>
              <w:rPr>
                <w:rFonts w:hint="eastAsia" w:ascii="Times New Roman" w:hAnsi="Times New Roman" w:eastAsia="方正楷体_GBK" w:cs="方正楷体_GBK"/>
                <w:i w:val="0"/>
                <w:iCs w:val="0"/>
                <w:color w:val="000000"/>
                <w:kern w:val="0"/>
                <w:sz w:val="20"/>
                <w:szCs w:val="20"/>
                <w:u w:val="none"/>
                <w:lang w:val="en-US" w:eastAsia="zh-CN" w:bidi="ar"/>
              </w:rPr>
              <w:t>90%</w:t>
            </w:r>
          </w:p>
        </w:tc>
        <w:tc>
          <w:tcPr>
            <w:tcW w:w="686" w:type="pct"/>
            <w:shd w:val="clear" w:color="auto" w:fill="FFFFFF"/>
            <w:noWrap/>
            <w:vAlign w:val="center"/>
          </w:tcPr>
          <w:p w14:paraId="52DAEB3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方正楷体_GBK" w:cs="方正楷体_GBK"/>
                <w:i w:val="0"/>
                <w:iCs w:val="0"/>
                <w:color w:val="000000"/>
                <w:sz w:val="20"/>
                <w:szCs w:val="20"/>
                <w:u w:val="none"/>
              </w:rPr>
            </w:pPr>
            <w:r>
              <w:rPr>
                <w:rFonts w:hint="eastAsia" w:ascii="Times New Roman" w:hAnsi="Times New Roman" w:eastAsia="方正楷体_GBK" w:cs="方正楷体_GBK"/>
                <w:i w:val="0"/>
                <w:iCs w:val="0"/>
                <w:color w:val="000000"/>
                <w:kern w:val="0"/>
                <w:sz w:val="20"/>
                <w:szCs w:val="20"/>
                <w:u w:val="none"/>
                <w:lang w:val="en-US" w:eastAsia="zh-CN" w:bidi="ar"/>
              </w:rPr>
              <w:t>60分钟</w:t>
            </w:r>
          </w:p>
        </w:tc>
      </w:tr>
      <w:tr w14:paraId="60C65C3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229" w:type="pct"/>
            <w:vMerge w:val="continue"/>
            <w:shd w:val="clear" w:color="auto" w:fill="FFFFFF"/>
            <w:noWrap/>
            <w:vAlign w:val="center"/>
          </w:tcPr>
          <w:p w14:paraId="71D96DF1">
            <w:pPr>
              <w:keepNext w:val="0"/>
              <w:keepLines w:val="0"/>
              <w:pageBreakBefore w:val="0"/>
              <w:widowControl/>
              <w:kinsoku/>
              <w:wordWrap/>
              <w:overflowPunct/>
              <w:topLinePunct w:val="0"/>
              <w:autoSpaceDE/>
              <w:autoSpaceDN/>
              <w:bidi w:val="0"/>
              <w:adjustRightInd/>
              <w:snapToGrid/>
              <w:spacing w:line="0" w:lineRule="atLeast"/>
              <w:jc w:val="center"/>
              <w:rPr>
                <w:rFonts w:hint="eastAsia" w:ascii="Times New Roman" w:hAnsi="Times New Roman" w:eastAsia="方正楷体_GBK" w:cs="方正楷体_GBK"/>
                <w:i w:val="0"/>
                <w:iCs w:val="0"/>
                <w:color w:val="000000"/>
                <w:sz w:val="20"/>
                <w:szCs w:val="20"/>
                <w:u w:val="none"/>
              </w:rPr>
            </w:pPr>
          </w:p>
        </w:tc>
        <w:tc>
          <w:tcPr>
            <w:tcW w:w="367" w:type="pct"/>
            <w:vMerge w:val="continue"/>
            <w:shd w:val="clear" w:color="auto" w:fill="FFFFFF"/>
            <w:vAlign w:val="center"/>
          </w:tcPr>
          <w:p w14:paraId="1E6F605E">
            <w:pPr>
              <w:keepNext w:val="0"/>
              <w:keepLines w:val="0"/>
              <w:pageBreakBefore w:val="0"/>
              <w:widowControl/>
              <w:kinsoku/>
              <w:wordWrap/>
              <w:overflowPunct/>
              <w:topLinePunct w:val="0"/>
              <w:autoSpaceDE/>
              <w:autoSpaceDN/>
              <w:bidi w:val="0"/>
              <w:adjustRightInd/>
              <w:snapToGrid/>
              <w:spacing w:line="0" w:lineRule="atLeast"/>
              <w:jc w:val="center"/>
              <w:rPr>
                <w:rFonts w:hint="eastAsia" w:ascii="Times New Roman" w:hAnsi="Times New Roman" w:eastAsia="方正楷体_GBK" w:cs="方正楷体_GBK"/>
                <w:i w:val="0"/>
                <w:iCs w:val="0"/>
                <w:color w:val="000000"/>
                <w:sz w:val="20"/>
                <w:szCs w:val="20"/>
                <w:u w:val="none"/>
              </w:rPr>
            </w:pPr>
          </w:p>
        </w:tc>
        <w:tc>
          <w:tcPr>
            <w:tcW w:w="1810" w:type="pct"/>
            <w:gridSpan w:val="2"/>
            <w:shd w:val="clear" w:color="auto" w:fill="FFFFFF"/>
            <w:vAlign w:val="center"/>
          </w:tcPr>
          <w:p w14:paraId="6AA25B7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方正楷体_GBK" w:cs="方正楷体_GBK"/>
                <w:i w:val="0"/>
                <w:iCs w:val="0"/>
                <w:color w:val="000000"/>
                <w:sz w:val="20"/>
                <w:szCs w:val="20"/>
                <w:u w:val="none"/>
              </w:rPr>
            </w:pPr>
            <w:r>
              <w:rPr>
                <w:rFonts w:hint="eastAsia" w:ascii="Times New Roman" w:hAnsi="Times New Roman" w:eastAsia="方正楷体_GBK" w:cs="方正楷体_GBK"/>
                <w:i w:val="0"/>
                <w:iCs w:val="0"/>
                <w:color w:val="000000"/>
                <w:kern w:val="0"/>
                <w:sz w:val="20"/>
                <w:szCs w:val="20"/>
                <w:u w:val="none"/>
                <w:lang w:val="en-US" w:eastAsia="zh-CN" w:bidi="ar"/>
              </w:rPr>
              <w:t>睡眠理疗改善</w:t>
            </w:r>
          </w:p>
        </w:tc>
        <w:tc>
          <w:tcPr>
            <w:tcW w:w="701" w:type="pct"/>
            <w:shd w:val="clear" w:color="auto" w:fill="FFFFFF"/>
            <w:vAlign w:val="center"/>
          </w:tcPr>
          <w:p w14:paraId="58713B7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方正楷体_GBK" w:cs="方正楷体_GBK"/>
                <w:i w:val="0"/>
                <w:iCs w:val="0"/>
                <w:color w:val="000000"/>
                <w:sz w:val="20"/>
                <w:szCs w:val="20"/>
                <w:u w:val="none"/>
              </w:rPr>
            </w:pPr>
            <w:r>
              <w:rPr>
                <w:rFonts w:hint="eastAsia" w:ascii="Times New Roman" w:hAnsi="Times New Roman" w:eastAsia="方正楷体_GBK" w:cs="方正楷体_GBK"/>
                <w:i w:val="0"/>
                <w:iCs w:val="0"/>
                <w:color w:val="000000"/>
                <w:kern w:val="0"/>
                <w:sz w:val="20"/>
                <w:szCs w:val="20"/>
                <w:u w:val="none"/>
                <w:lang w:val="en-US" w:eastAsia="zh-CN" w:bidi="ar"/>
              </w:rPr>
              <w:t>80元</w:t>
            </w:r>
          </w:p>
        </w:tc>
        <w:tc>
          <w:tcPr>
            <w:tcW w:w="1204" w:type="pct"/>
            <w:shd w:val="clear" w:color="auto" w:fill="FFFFFF"/>
            <w:noWrap/>
            <w:vAlign w:val="center"/>
          </w:tcPr>
          <w:p w14:paraId="40674C6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方正楷体_GBK" w:cs="方正楷体_GBK"/>
                <w:i w:val="0"/>
                <w:iCs w:val="0"/>
                <w:color w:val="000000"/>
                <w:sz w:val="20"/>
                <w:szCs w:val="20"/>
                <w:u w:val="none"/>
              </w:rPr>
            </w:pPr>
            <w:r>
              <w:rPr>
                <w:rFonts w:hint="eastAsia" w:ascii="Times New Roman" w:hAnsi="Times New Roman" w:eastAsia="方正楷体_GBK" w:cs="方正楷体_GBK"/>
                <w:i w:val="0"/>
                <w:iCs w:val="0"/>
                <w:color w:val="000000"/>
                <w:kern w:val="0"/>
                <w:sz w:val="20"/>
                <w:szCs w:val="20"/>
                <w:u w:val="none"/>
                <w:lang w:val="en-US" w:eastAsia="zh-CN" w:bidi="ar"/>
              </w:rPr>
              <w:t>90%</w:t>
            </w:r>
          </w:p>
        </w:tc>
        <w:tc>
          <w:tcPr>
            <w:tcW w:w="686" w:type="pct"/>
            <w:shd w:val="clear" w:color="auto" w:fill="FFFFFF"/>
            <w:noWrap/>
            <w:vAlign w:val="center"/>
          </w:tcPr>
          <w:p w14:paraId="16CE2F0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方正楷体_GBK" w:cs="方正楷体_GBK"/>
                <w:i w:val="0"/>
                <w:iCs w:val="0"/>
                <w:color w:val="000000"/>
                <w:sz w:val="20"/>
                <w:szCs w:val="20"/>
                <w:u w:val="none"/>
              </w:rPr>
            </w:pPr>
            <w:r>
              <w:rPr>
                <w:rFonts w:hint="eastAsia" w:ascii="Times New Roman" w:hAnsi="Times New Roman" w:eastAsia="方正楷体_GBK" w:cs="方正楷体_GBK"/>
                <w:i w:val="0"/>
                <w:iCs w:val="0"/>
                <w:color w:val="000000"/>
                <w:kern w:val="0"/>
                <w:sz w:val="20"/>
                <w:szCs w:val="20"/>
                <w:u w:val="none"/>
                <w:lang w:val="en-US" w:eastAsia="zh-CN" w:bidi="ar"/>
              </w:rPr>
              <w:t>45分钟</w:t>
            </w:r>
          </w:p>
        </w:tc>
      </w:tr>
      <w:tr w14:paraId="04C4D36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29" w:hRule="atLeast"/>
          <w:jc w:val="center"/>
        </w:trPr>
        <w:tc>
          <w:tcPr>
            <w:tcW w:w="229" w:type="pct"/>
            <w:vMerge w:val="continue"/>
            <w:shd w:val="clear" w:color="auto" w:fill="FFFFFF"/>
            <w:noWrap/>
            <w:vAlign w:val="center"/>
          </w:tcPr>
          <w:p w14:paraId="4FC069F8">
            <w:pPr>
              <w:keepNext w:val="0"/>
              <w:keepLines w:val="0"/>
              <w:pageBreakBefore w:val="0"/>
              <w:widowControl/>
              <w:kinsoku/>
              <w:wordWrap/>
              <w:overflowPunct/>
              <w:topLinePunct w:val="0"/>
              <w:autoSpaceDE/>
              <w:autoSpaceDN/>
              <w:bidi w:val="0"/>
              <w:adjustRightInd/>
              <w:snapToGrid/>
              <w:spacing w:line="0" w:lineRule="atLeast"/>
              <w:jc w:val="center"/>
              <w:rPr>
                <w:rFonts w:hint="eastAsia" w:ascii="Times New Roman" w:hAnsi="Times New Roman" w:eastAsia="方正楷体_GBK" w:cs="方正楷体_GBK"/>
                <w:i w:val="0"/>
                <w:iCs w:val="0"/>
                <w:color w:val="000000"/>
                <w:sz w:val="20"/>
                <w:szCs w:val="20"/>
                <w:u w:val="none"/>
              </w:rPr>
            </w:pPr>
          </w:p>
        </w:tc>
        <w:tc>
          <w:tcPr>
            <w:tcW w:w="367" w:type="pct"/>
            <w:vMerge w:val="continue"/>
            <w:shd w:val="clear" w:color="auto" w:fill="FFFFFF"/>
            <w:vAlign w:val="center"/>
          </w:tcPr>
          <w:p w14:paraId="0A29C99C">
            <w:pPr>
              <w:keepNext w:val="0"/>
              <w:keepLines w:val="0"/>
              <w:pageBreakBefore w:val="0"/>
              <w:widowControl/>
              <w:kinsoku/>
              <w:wordWrap/>
              <w:overflowPunct/>
              <w:topLinePunct w:val="0"/>
              <w:autoSpaceDE/>
              <w:autoSpaceDN/>
              <w:bidi w:val="0"/>
              <w:adjustRightInd/>
              <w:snapToGrid/>
              <w:spacing w:line="0" w:lineRule="atLeast"/>
              <w:jc w:val="center"/>
              <w:rPr>
                <w:rFonts w:hint="eastAsia" w:ascii="Times New Roman" w:hAnsi="Times New Roman" w:eastAsia="方正楷体_GBK" w:cs="方正楷体_GBK"/>
                <w:i w:val="0"/>
                <w:iCs w:val="0"/>
                <w:color w:val="000000"/>
                <w:sz w:val="20"/>
                <w:szCs w:val="20"/>
                <w:u w:val="none"/>
              </w:rPr>
            </w:pPr>
          </w:p>
        </w:tc>
        <w:tc>
          <w:tcPr>
            <w:tcW w:w="1810" w:type="pct"/>
            <w:gridSpan w:val="2"/>
            <w:shd w:val="clear" w:color="auto" w:fill="FFFFFF"/>
            <w:vAlign w:val="center"/>
          </w:tcPr>
          <w:p w14:paraId="582B784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方正楷体_GBK" w:cs="方正楷体_GBK"/>
                <w:i w:val="0"/>
                <w:iCs w:val="0"/>
                <w:color w:val="000000"/>
                <w:sz w:val="20"/>
                <w:szCs w:val="20"/>
                <w:u w:val="none"/>
              </w:rPr>
            </w:pPr>
            <w:r>
              <w:rPr>
                <w:rFonts w:hint="eastAsia" w:ascii="Times New Roman" w:hAnsi="Times New Roman" w:eastAsia="方正楷体_GBK" w:cs="方正楷体_GBK"/>
                <w:i w:val="0"/>
                <w:iCs w:val="0"/>
                <w:color w:val="000000"/>
                <w:kern w:val="0"/>
                <w:sz w:val="20"/>
                <w:szCs w:val="20"/>
                <w:u w:val="none"/>
                <w:lang w:val="en-US" w:eastAsia="zh-CN" w:bidi="ar"/>
              </w:rPr>
              <w:t>颈肩腰腿痛理疗改善</w:t>
            </w:r>
          </w:p>
        </w:tc>
        <w:tc>
          <w:tcPr>
            <w:tcW w:w="701" w:type="pct"/>
            <w:shd w:val="clear" w:color="auto" w:fill="FFFFFF"/>
            <w:vAlign w:val="center"/>
          </w:tcPr>
          <w:p w14:paraId="6D9432A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方正楷体_GBK" w:cs="方正楷体_GBK"/>
                <w:i w:val="0"/>
                <w:iCs w:val="0"/>
                <w:color w:val="000000"/>
                <w:sz w:val="20"/>
                <w:szCs w:val="20"/>
                <w:u w:val="none"/>
              </w:rPr>
            </w:pPr>
            <w:r>
              <w:rPr>
                <w:rFonts w:hint="eastAsia" w:ascii="Times New Roman" w:hAnsi="Times New Roman" w:eastAsia="方正楷体_GBK" w:cs="方正楷体_GBK"/>
                <w:i w:val="0"/>
                <w:iCs w:val="0"/>
                <w:color w:val="000000"/>
                <w:kern w:val="0"/>
                <w:sz w:val="20"/>
                <w:szCs w:val="20"/>
                <w:u w:val="none"/>
                <w:lang w:val="en-US" w:eastAsia="zh-CN" w:bidi="ar"/>
              </w:rPr>
              <w:t>100元</w:t>
            </w:r>
          </w:p>
        </w:tc>
        <w:tc>
          <w:tcPr>
            <w:tcW w:w="1204" w:type="pct"/>
            <w:shd w:val="clear" w:color="auto" w:fill="FFFFFF"/>
            <w:noWrap/>
            <w:vAlign w:val="center"/>
          </w:tcPr>
          <w:p w14:paraId="299062C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方正楷体_GBK" w:cs="方正楷体_GBK"/>
                <w:i w:val="0"/>
                <w:iCs w:val="0"/>
                <w:color w:val="000000"/>
                <w:sz w:val="20"/>
                <w:szCs w:val="20"/>
                <w:u w:val="none"/>
              </w:rPr>
            </w:pPr>
            <w:r>
              <w:rPr>
                <w:rFonts w:hint="eastAsia" w:ascii="Times New Roman" w:hAnsi="Times New Roman" w:eastAsia="方正楷体_GBK" w:cs="方正楷体_GBK"/>
                <w:i w:val="0"/>
                <w:iCs w:val="0"/>
                <w:color w:val="000000"/>
                <w:kern w:val="0"/>
                <w:sz w:val="20"/>
                <w:szCs w:val="20"/>
                <w:u w:val="none"/>
                <w:lang w:val="en-US" w:eastAsia="zh-CN" w:bidi="ar"/>
              </w:rPr>
              <w:t>90%</w:t>
            </w:r>
          </w:p>
        </w:tc>
        <w:tc>
          <w:tcPr>
            <w:tcW w:w="686" w:type="pct"/>
            <w:shd w:val="clear" w:color="auto" w:fill="FFFFFF"/>
            <w:noWrap/>
            <w:vAlign w:val="center"/>
          </w:tcPr>
          <w:p w14:paraId="19A8234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方正楷体_GBK" w:cs="方正楷体_GBK"/>
                <w:i w:val="0"/>
                <w:iCs w:val="0"/>
                <w:color w:val="000000"/>
                <w:sz w:val="20"/>
                <w:szCs w:val="20"/>
                <w:u w:val="none"/>
              </w:rPr>
            </w:pPr>
            <w:r>
              <w:rPr>
                <w:rFonts w:hint="eastAsia" w:ascii="Times New Roman" w:hAnsi="Times New Roman" w:eastAsia="方正楷体_GBK" w:cs="方正楷体_GBK"/>
                <w:i w:val="0"/>
                <w:iCs w:val="0"/>
                <w:color w:val="000000"/>
                <w:kern w:val="0"/>
                <w:sz w:val="20"/>
                <w:szCs w:val="20"/>
                <w:u w:val="none"/>
                <w:lang w:val="en-US" w:eastAsia="zh-CN" w:bidi="ar"/>
              </w:rPr>
              <w:t>60分钟</w:t>
            </w:r>
          </w:p>
        </w:tc>
      </w:tr>
      <w:tr w14:paraId="5E7D8BF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29" w:hRule="atLeast"/>
          <w:jc w:val="center"/>
        </w:trPr>
        <w:tc>
          <w:tcPr>
            <w:tcW w:w="229" w:type="pct"/>
            <w:vMerge w:val="continue"/>
            <w:shd w:val="clear" w:color="auto" w:fill="FFFFFF"/>
            <w:noWrap/>
            <w:vAlign w:val="center"/>
          </w:tcPr>
          <w:p w14:paraId="66718C03">
            <w:pPr>
              <w:keepNext w:val="0"/>
              <w:keepLines w:val="0"/>
              <w:pageBreakBefore w:val="0"/>
              <w:widowControl/>
              <w:kinsoku/>
              <w:wordWrap/>
              <w:overflowPunct/>
              <w:topLinePunct w:val="0"/>
              <w:autoSpaceDE/>
              <w:autoSpaceDN/>
              <w:bidi w:val="0"/>
              <w:adjustRightInd/>
              <w:snapToGrid/>
              <w:spacing w:line="0" w:lineRule="atLeast"/>
              <w:jc w:val="center"/>
              <w:rPr>
                <w:rFonts w:hint="eastAsia" w:ascii="Times New Roman" w:hAnsi="Times New Roman" w:eastAsia="方正楷体_GBK" w:cs="方正楷体_GBK"/>
                <w:i w:val="0"/>
                <w:iCs w:val="0"/>
                <w:color w:val="000000"/>
                <w:sz w:val="20"/>
                <w:szCs w:val="20"/>
                <w:u w:val="none"/>
              </w:rPr>
            </w:pPr>
          </w:p>
        </w:tc>
        <w:tc>
          <w:tcPr>
            <w:tcW w:w="367" w:type="pct"/>
            <w:vMerge w:val="continue"/>
            <w:shd w:val="clear" w:color="auto" w:fill="FFFFFF"/>
            <w:vAlign w:val="center"/>
          </w:tcPr>
          <w:p w14:paraId="456CE547">
            <w:pPr>
              <w:keepNext w:val="0"/>
              <w:keepLines w:val="0"/>
              <w:pageBreakBefore w:val="0"/>
              <w:widowControl/>
              <w:kinsoku/>
              <w:wordWrap/>
              <w:overflowPunct/>
              <w:topLinePunct w:val="0"/>
              <w:autoSpaceDE/>
              <w:autoSpaceDN/>
              <w:bidi w:val="0"/>
              <w:adjustRightInd/>
              <w:snapToGrid/>
              <w:spacing w:line="0" w:lineRule="atLeast"/>
              <w:jc w:val="center"/>
              <w:rPr>
                <w:rFonts w:hint="eastAsia" w:ascii="Times New Roman" w:hAnsi="Times New Roman" w:eastAsia="方正楷体_GBK" w:cs="方正楷体_GBK"/>
                <w:i w:val="0"/>
                <w:iCs w:val="0"/>
                <w:color w:val="000000"/>
                <w:sz w:val="20"/>
                <w:szCs w:val="20"/>
                <w:u w:val="none"/>
              </w:rPr>
            </w:pPr>
          </w:p>
        </w:tc>
        <w:tc>
          <w:tcPr>
            <w:tcW w:w="1810" w:type="pct"/>
            <w:gridSpan w:val="2"/>
            <w:shd w:val="clear" w:color="auto" w:fill="FFFFFF"/>
            <w:vAlign w:val="center"/>
          </w:tcPr>
          <w:p w14:paraId="1676554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方正楷体_GBK" w:cs="方正楷体_GBK"/>
                <w:i w:val="0"/>
                <w:iCs w:val="0"/>
                <w:color w:val="000000"/>
                <w:sz w:val="20"/>
                <w:szCs w:val="20"/>
                <w:u w:val="none"/>
              </w:rPr>
            </w:pPr>
            <w:r>
              <w:rPr>
                <w:rFonts w:hint="eastAsia" w:ascii="Times New Roman" w:hAnsi="Times New Roman" w:eastAsia="方正楷体_GBK" w:cs="方正楷体_GBK"/>
                <w:i w:val="0"/>
                <w:iCs w:val="0"/>
                <w:color w:val="000000"/>
                <w:kern w:val="0"/>
                <w:sz w:val="20"/>
                <w:szCs w:val="20"/>
                <w:u w:val="none"/>
                <w:lang w:val="en-US" w:eastAsia="zh-CN" w:bidi="ar"/>
              </w:rPr>
              <w:t>刮痧、按摩</w:t>
            </w:r>
          </w:p>
        </w:tc>
        <w:tc>
          <w:tcPr>
            <w:tcW w:w="701" w:type="pct"/>
            <w:shd w:val="clear" w:color="auto" w:fill="FFFFFF"/>
            <w:vAlign w:val="center"/>
          </w:tcPr>
          <w:p w14:paraId="6632234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方正楷体_GBK" w:cs="方正楷体_GBK"/>
                <w:i w:val="0"/>
                <w:iCs w:val="0"/>
                <w:color w:val="000000"/>
                <w:sz w:val="20"/>
                <w:szCs w:val="20"/>
                <w:u w:val="none"/>
              </w:rPr>
            </w:pPr>
            <w:r>
              <w:rPr>
                <w:rFonts w:hint="eastAsia" w:ascii="Times New Roman" w:hAnsi="Times New Roman" w:eastAsia="方正楷体_GBK" w:cs="方正楷体_GBK"/>
                <w:i w:val="0"/>
                <w:iCs w:val="0"/>
                <w:color w:val="000000"/>
                <w:kern w:val="0"/>
                <w:sz w:val="20"/>
                <w:szCs w:val="20"/>
                <w:u w:val="none"/>
                <w:lang w:val="en-US" w:eastAsia="zh-CN" w:bidi="ar"/>
              </w:rPr>
              <w:t>80元/次</w:t>
            </w:r>
          </w:p>
        </w:tc>
        <w:tc>
          <w:tcPr>
            <w:tcW w:w="1204" w:type="pct"/>
            <w:shd w:val="clear" w:color="auto" w:fill="FFFFFF"/>
            <w:noWrap/>
            <w:vAlign w:val="center"/>
          </w:tcPr>
          <w:p w14:paraId="7B10131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方正楷体_GBK" w:cs="方正楷体_GBK"/>
                <w:i w:val="0"/>
                <w:iCs w:val="0"/>
                <w:color w:val="000000"/>
                <w:sz w:val="20"/>
                <w:szCs w:val="20"/>
                <w:u w:val="none"/>
              </w:rPr>
            </w:pPr>
            <w:r>
              <w:rPr>
                <w:rFonts w:hint="eastAsia" w:ascii="Times New Roman" w:hAnsi="Times New Roman" w:eastAsia="方正楷体_GBK" w:cs="方正楷体_GBK"/>
                <w:i w:val="0"/>
                <w:iCs w:val="0"/>
                <w:color w:val="000000"/>
                <w:kern w:val="0"/>
                <w:sz w:val="20"/>
                <w:szCs w:val="20"/>
                <w:u w:val="none"/>
                <w:lang w:val="en-US" w:eastAsia="zh-CN" w:bidi="ar"/>
              </w:rPr>
              <w:t>90%</w:t>
            </w:r>
          </w:p>
        </w:tc>
        <w:tc>
          <w:tcPr>
            <w:tcW w:w="686" w:type="pct"/>
            <w:shd w:val="clear" w:color="auto" w:fill="FFFFFF"/>
            <w:noWrap/>
            <w:vAlign w:val="center"/>
          </w:tcPr>
          <w:p w14:paraId="55AAEAE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方正楷体_GBK" w:cs="方正楷体_GBK"/>
                <w:i w:val="0"/>
                <w:iCs w:val="0"/>
                <w:color w:val="000000"/>
                <w:sz w:val="20"/>
                <w:szCs w:val="20"/>
                <w:u w:val="none"/>
              </w:rPr>
            </w:pPr>
            <w:r>
              <w:rPr>
                <w:rFonts w:hint="eastAsia" w:ascii="Times New Roman" w:hAnsi="Times New Roman" w:eastAsia="方正楷体_GBK" w:cs="方正楷体_GBK"/>
                <w:i w:val="0"/>
                <w:iCs w:val="0"/>
                <w:color w:val="000000"/>
                <w:kern w:val="0"/>
                <w:sz w:val="20"/>
                <w:szCs w:val="20"/>
                <w:u w:val="none"/>
                <w:lang w:val="en-US" w:eastAsia="zh-CN" w:bidi="ar"/>
              </w:rPr>
              <w:t>60分钟</w:t>
            </w:r>
          </w:p>
        </w:tc>
      </w:tr>
      <w:tr w14:paraId="2595144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29" w:hRule="atLeast"/>
          <w:jc w:val="center"/>
        </w:trPr>
        <w:tc>
          <w:tcPr>
            <w:tcW w:w="229" w:type="pct"/>
            <w:vMerge w:val="continue"/>
            <w:shd w:val="clear" w:color="auto" w:fill="FFFFFF"/>
            <w:noWrap/>
            <w:vAlign w:val="center"/>
          </w:tcPr>
          <w:p w14:paraId="2C13171E">
            <w:pPr>
              <w:keepNext w:val="0"/>
              <w:keepLines w:val="0"/>
              <w:pageBreakBefore w:val="0"/>
              <w:widowControl/>
              <w:kinsoku/>
              <w:wordWrap/>
              <w:overflowPunct/>
              <w:topLinePunct w:val="0"/>
              <w:autoSpaceDE/>
              <w:autoSpaceDN/>
              <w:bidi w:val="0"/>
              <w:adjustRightInd/>
              <w:snapToGrid/>
              <w:spacing w:line="0" w:lineRule="atLeast"/>
              <w:jc w:val="center"/>
              <w:rPr>
                <w:rFonts w:hint="eastAsia" w:ascii="Times New Roman" w:hAnsi="Times New Roman" w:eastAsia="方正楷体_GBK" w:cs="方正楷体_GBK"/>
                <w:i w:val="0"/>
                <w:iCs w:val="0"/>
                <w:color w:val="000000"/>
                <w:sz w:val="20"/>
                <w:szCs w:val="20"/>
                <w:u w:val="none"/>
              </w:rPr>
            </w:pPr>
          </w:p>
        </w:tc>
        <w:tc>
          <w:tcPr>
            <w:tcW w:w="367" w:type="pct"/>
            <w:vMerge w:val="continue"/>
            <w:shd w:val="clear" w:color="auto" w:fill="FFFFFF"/>
            <w:vAlign w:val="center"/>
          </w:tcPr>
          <w:p w14:paraId="4EBAF290">
            <w:pPr>
              <w:keepNext w:val="0"/>
              <w:keepLines w:val="0"/>
              <w:pageBreakBefore w:val="0"/>
              <w:widowControl/>
              <w:kinsoku/>
              <w:wordWrap/>
              <w:overflowPunct/>
              <w:topLinePunct w:val="0"/>
              <w:autoSpaceDE/>
              <w:autoSpaceDN/>
              <w:bidi w:val="0"/>
              <w:adjustRightInd/>
              <w:snapToGrid/>
              <w:spacing w:line="0" w:lineRule="atLeast"/>
              <w:jc w:val="center"/>
              <w:rPr>
                <w:rFonts w:hint="eastAsia" w:ascii="Times New Roman" w:hAnsi="Times New Roman" w:eastAsia="方正楷体_GBK" w:cs="方正楷体_GBK"/>
                <w:i w:val="0"/>
                <w:iCs w:val="0"/>
                <w:color w:val="000000"/>
                <w:sz w:val="20"/>
                <w:szCs w:val="20"/>
                <w:u w:val="none"/>
              </w:rPr>
            </w:pPr>
          </w:p>
        </w:tc>
        <w:tc>
          <w:tcPr>
            <w:tcW w:w="1810" w:type="pct"/>
            <w:gridSpan w:val="2"/>
            <w:shd w:val="clear" w:color="auto" w:fill="FFFFFF"/>
            <w:vAlign w:val="center"/>
          </w:tcPr>
          <w:p w14:paraId="54704F6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方正楷体_GBK" w:cs="方正楷体_GBK"/>
                <w:i w:val="0"/>
                <w:iCs w:val="0"/>
                <w:color w:val="000000"/>
                <w:sz w:val="20"/>
                <w:szCs w:val="20"/>
                <w:u w:val="none"/>
              </w:rPr>
            </w:pPr>
            <w:r>
              <w:rPr>
                <w:rFonts w:hint="eastAsia" w:ascii="Times New Roman" w:hAnsi="Times New Roman" w:eastAsia="方正楷体_GBK" w:cs="方正楷体_GBK"/>
                <w:i w:val="0"/>
                <w:iCs w:val="0"/>
                <w:color w:val="000000"/>
                <w:kern w:val="0"/>
                <w:sz w:val="20"/>
                <w:szCs w:val="20"/>
                <w:u w:val="none"/>
                <w:lang w:val="en-US" w:eastAsia="zh-CN" w:bidi="ar"/>
              </w:rPr>
              <w:t>艾灸、按摩</w:t>
            </w:r>
          </w:p>
        </w:tc>
        <w:tc>
          <w:tcPr>
            <w:tcW w:w="701" w:type="pct"/>
            <w:shd w:val="clear" w:color="auto" w:fill="FFFFFF"/>
            <w:vAlign w:val="center"/>
          </w:tcPr>
          <w:p w14:paraId="64E147F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方正楷体_GBK" w:cs="方正楷体_GBK"/>
                <w:i w:val="0"/>
                <w:iCs w:val="0"/>
                <w:color w:val="000000"/>
                <w:sz w:val="20"/>
                <w:szCs w:val="20"/>
                <w:u w:val="none"/>
              </w:rPr>
            </w:pPr>
            <w:r>
              <w:rPr>
                <w:rFonts w:hint="eastAsia" w:ascii="Times New Roman" w:hAnsi="Times New Roman" w:eastAsia="方正楷体_GBK" w:cs="方正楷体_GBK"/>
                <w:i w:val="0"/>
                <w:iCs w:val="0"/>
                <w:color w:val="000000"/>
                <w:kern w:val="0"/>
                <w:sz w:val="20"/>
                <w:szCs w:val="20"/>
                <w:u w:val="none"/>
                <w:lang w:val="en-US" w:eastAsia="zh-CN" w:bidi="ar"/>
              </w:rPr>
              <w:t>120元/次</w:t>
            </w:r>
          </w:p>
        </w:tc>
        <w:tc>
          <w:tcPr>
            <w:tcW w:w="1204" w:type="pct"/>
            <w:shd w:val="clear" w:color="auto" w:fill="FFFFFF"/>
            <w:noWrap/>
            <w:vAlign w:val="center"/>
          </w:tcPr>
          <w:p w14:paraId="6EE0421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方正楷体_GBK" w:cs="方正楷体_GBK"/>
                <w:i w:val="0"/>
                <w:iCs w:val="0"/>
                <w:color w:val="000000"/>
                <w:sz w:val="20"/>
                <w:szCs w:val="20"/>
                <w:u w:val="none"/>
              </w:rPr>
            </w:pPr>
            <w:r>
              <w:rPr>
                <w:rFonts w:hint="eastAsia" w:ascii="Times New Roman" w:hAnsi="Times New Roman" w:eastAsia="方正楷体_GBK" w:cs="方正楷体_GBK"/>
                <w:i w:val="0"/>
                <w:iCs w:val="0"/>
                <w:color w:val="000000"/>
                <w:kern w:val="0"/>
                <w:sz w:val="20"/>
                <w:szCs w:val="20"/>
                <w:u w:val="none"/>
                <w:lang w:val="en-US" w:eastAsia="zh-CN" w:bidi="ar"/>
              </w:rPr>
              <w:t>90%</w:t>
            </w:r>
          </w:p>
        </w:tc>
        <w:tc>
          <w:tcPr>
            <w:tcW w:w="686" w:type="pct"/>
            <w:shd w:val="clear" w:color="auto" w:fill="FFFFFF"/>
            <w:noWrap/>
            <w:vAlign w:val="center"/>
          </w:tcPr>
          <w:p w14:paraId="72BFDA9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方正楷体_GBK" w:cs="方正楷体_GBK"/>
                <w:i w:val="0"/>
                <w:iCs w:val="0"/>
                <w:color w:val="000000"/>
                <w:sz w:val="20"/>
                <w:szCs w:val="20"/>
                <w:u w:val="none"/>
              </w:rPr>
            </w:pPr>
            <w:r>
              <w:rPr>
                <w:rFonts w:hint="eastAsia" w:ascii="Times New Roman" w:hAnsi="Times New Roman" w:eastAsia="方正楷体_GBK" w:cs="方正楷体_GBK"/>
                <w:i w:val="0"/>
                <w:iCs w:val="0"/>
                <w:color w:val="000000"/>
                <w:kern w:val="0"/>
                <w:sz w:val="20"/>
                <w:szCs w:val="20"/>
                <w:u w:val="none"/>
                <w:lang w:val="en-US" w:eastAsia="zh-CN" w:bidi="ar"/>
              </w:rPr>
              <w:t>60分钟</w:t>
            </w:r>
          </w:p>
        </w:tc>
      </w:tr>
      <w:tr w14:paraId="294B397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229" w:type="pct"/>
            <w:vMerge w:val="continue"/>
            <w:shd w:val="clear" w:color="auto" w:fill="FFFFFF"/>
            <w:noWrap/>
            <w:vAlign w:val="center"/>
          </w:tcPr>
          <w:p w14:paraId="0DA60E80">
            <w:pPr>
              <w:keepNext w:val="0"/>
              <w:keepLines w:val="0"/>
              <w:pageBreakBefore w:val="0"/>
              <w:widowControl/>
              <w:kinsoku/>
              <w:wordWrap/>
              <w:overflowPunct/>
              <w:topLinePunct w:val="0"/>
              <w:autoSpaceDE/>
              <w:autoSpaceDN/>
              <w:bidi w:val="0"/>
              <w:adjustRightInd/>
              <w:snapToGrid/>
              <w:spacing w:line="0" w:lineRule="atLeast"/>
              <w:jc w:val="center"/>
              <w:rPr>
                <w:rFonts w:hint="eastAsia" w:ascii="Times New Roman" w:hAnsi="Times New Roman" w:eastAsia="方正楷体_GBK" w:cs="方正楷体_GBK"/>
                <w:i w:val="0"/>
                <w:iCs w:val="0"/>
                <w:color w:val="000000"/>
                <w:sz w:val="20"/>
                <w:szCs w:val="20"/>
                <w:u w:val="none"/>
              </w:rPr>
            </w:pPr>
          </w:p>
        </w:tc>
        <w:tc>
          <w:tcPr>
            <w:tcW w:w="367" w:type="pct"/>
            <w:vMerge w:val="continue"/>
            <w:shd w:val="clear" w:color="auto" w:fill="FFFFFF"/>
            <w:vAlign w:val="center"/>
          </w:tcPr>
          <w:p w14:paraId="7ECD10D1">
            <w:pPr>
              <w:keepNext w:val="0"/>
              <w:keepLines w:val="0"/>
              <w:pageBreakBefore w:val="0"/>
              <w:widowControl/>
              <w:kinsoku/>
              <w:wordWrap/>
              <w:overflowPunct/>
              <w:topLinePunct w:val="0"/>
              <w:autoSpaceDE/>
              <w:autoSpaceDN/>
              <w:bidi w:val="0"/>
              <w:adjustRightInd/>
              <w:snapToGrid/>
              <w:spacing w:line="0" w:lineRule="atLeast"/>
              <w:jc w:val="center"/>
              <w:rPr>
                <w:rFonts w:hint="eastAsia" w:ascii="Times New Roman" w:hAnsi="Times New Roman" w:eastAsia="方正楷体_GBK" w:cs="方正楷体_GBK"/>
                <w:i w:val="0"/>
                <w:iCs w:val="0"/>
                <w:color w:val="000000"/>
                <w:sz w:val="20"/>
                <w:szCs w:val="20"/>
                <w:u w:val="none"/>
              </w:rPr>
            </w:pPr>
          </w:p>
        </w:tc>
        <w:tc>
          <w:tcPr>
            <w:tcW w:w="472" w:type="pct"/>
            <w:vMerge w:val="restart"/>
            <w:shd w:val="clear" w:color="auto" w:fill="FFFFFF"/>
            <w:vAlign w:val="center"/>
          </w:tcPr>
          <w:p w14:paraId="1EB69A2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方正楷体_GBK" w:cs="方正楷体_GBK"/>
                <w:i w:val="0"/>
                <w:iCs w:val="0"/>
                <w:color w:val="000000"/>
                <w:sz w:val="20"/>
                <w:szCs w:val="20"/>
                <w:u w:val="none"/>
              </w:rPr>
            </w:pPr>
            <w:r>
              <w:rPr>
                <w:rFonts w:hint="eastAsia" w:ascii="Times New Roman" w:hAnsi="Times New Roman" w:eastAsia="方正楷体_GBK" w:cs="方正楷体_GBK"/>
                <w:i w:val="0"/>
                <w:iCs w:val="0"/>
                <w:color w:val="000000"/>
                <w:kern w:val="0"/>
                <w:sz w:val="20"/>
                <w:szCs w:val="20"/>
                <w:u w:val="none"/>
                <w:lang w:val="en-US" w:eastAsia="zh-CN" w:bidi="ar"/>
              </w:rPr>
              <w:t>颈肩腰腿痛调理</w:t>
            </w:r>
          </w:p>
        </w:tc>
        <w:tc>
          <w:tcPr>
            <w:tcW w:w="1338" w:type="pct"/>
            <w:shd w:val="clear" w:color="auto" w:fill="FFFFFF"/>
            <w:vAlign w:val="center"/>
          </w:tcPr>
          <w:p w14:paraId="61DCA6E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方正楷体_GBK" w:cs="方正楷体_GBK"/>
                <w:i w:val="0"/>
                <w:iCs w:val="0"/>
                <w:color w:val="000000"/>
                <w:sz w:val="20"/>
                <w:szCs w:val="20"/>
                <w:u w:val="none"/>
              </w:rPr>
            </w:pPr>
            <w:r>
              <w:rPr>
                <w:rFonts w:hint="eastAsia" w:ascii="Times New Roman" w:hAnsi="Times New Roman" w:eastAsia="方正楷体_GBK" w:cs="方正楷体_GBK"/>
                <w:i w:val="0"/>
                <w:iCs w:val="0"/>
                <w:color w:val="000000"/>
                <w:kern w:val="0"/>
                <w:sz w:val="20"/>
                <w:szCs w:val="20"/>
                <w:u w:val="none"/>
                <w:lang w:val="en-US" w:eastAsia="zh-CN" w:bidi="ar"/>
              </w:rPr>
              <w:t>颈肩腰腿痛理疗</w:t>
            </w:r>
          </w:p>
        </w:tc>
        <w:tc>
          <w:tcPr>
            <w:tcW w:w="701" w:type="pct"/>
            <w:shd w:val="clear" w:color="auto" w:fill="FFFFFF"/>
            <w:vAlign w:val="center"/>
          </w:tcPr>
          <w:p w14:paraId="0CD2C67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方正楷体_GBK" w:cs="方正楷体_GBK"/>
                <w:i w:val="0"/>
                <w:iCs w:val="0"/>
                <w:color w:val="000000"/>
                <w:sz w:val="20"/>
                <w:szCs w:val="20"/>
                <w:u w:val="none"/>
              </w:rPr>
            </w:pPr>
            <w:r>
              <w:rPr>
                <w:rFonts w:hint="eastAsia" w:ascii="Times New Roman" w:hAnsi="Times New Roman" w:eastAsia="方正楷体_GBK" w:cs="方正楷体_GBK"/>
                <w:i w:val="0"/>
                <w:iCs w:val="0"/>
                <w:color w:val="000000"/>
                <w:kern w:val="0"/>
                <w:sz w:val="20"/>
                <w:szCs w:val="20"/>
                <w:u w:val="none"/>
                <w:lang w:val="en-US" w:eastAsia="zh-CN" w:bidi="ar"/>
              </w:rPr>
              <w:t>120元/次</w:t>
            </w:r>
          </w:p>
        </w:tc>
        <w:tc>
          <w:tcPr>
            <w:tcW w:w="1204" w:type="pct"/>
            <w:shd w:val="clear" w:color="auto" w:fill="FFFFFF"/>
            <w:noWrap/>
            <w:vAlign w:val="center"/>
          </w:tcPr>
          <w:p w14:paraId="287821D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方正楷体_GBK" w:cs="方正楷体_GBK"/>
                <w:i w:val="0"/>
                <w:iCs w:val="0"/>
                <w:color w:val="000000"/>
                <w:sz w:val="20"/>
                <w:szCs w:val="20"/>
                <w:u w:val="none"/>
              </w:rPr>
            </w:pPr>
            <w:r>
              <w:rPr>
                <w:rFonts w:hint="eastAsia" w:ascii="Times New Roman" w:hAnsi="Times New Roman" w:eastAsia="方正楷体_GBK" w:cs="方正楷体_GBK"/>
                <w:i w:val="0"/>
                <w:iCs w:val="0"/>
                <w:color w:val="000000"/>
                <w:kern w:val="0"/>
                <w:sz w:val="20"/>
                <w:szCs w:val="20"/>
                <w:u w:val="none"/>
                <w:lang w:val="en-US" w:eastAsia="zh-CN" w:bidi="ar"/>
              </w:rPr>
              <w:t>90%</w:t>
            </w:r>
          </w:p>
        </w:tc>
        <w:tc>
          <w:tcPr>
            <w:tcW w:w="686" w:type="pct"/>
            <w:shd w:val="clear" w:color="auto" w:fill="FFFFFF"/>
            <w:noWrap/>
            <w:vAlign w:val="center"/>
          </w:tcPr>
          <w:p w14:paraId="3F82E45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方正楷体_GBK" w:cs="方正楷体_GBK"/>
                <w:i w:val="0"/>
                <w:iCs w:val="0"/>
                <w:color w:val="000000"/>
                <w:sz w:val="20"/>
                <w:szCs w:val="20"/>
                <w:u w:val="none"/>
              </w:rPr>
            </w:pPr>
            <w:r>
              <w:rPr>
                <w:rFonts w:hint="eastAsia" w:ascii="Times New Roman" w:hAnsi="Times New Roman" w:eastAsia="方正楷体_GBK" w:cs="方正楷体_GBK"/>
                <w:i w:val="0"/>
                <w:iCs w:val="0"/>
                <w:color w:val="000000"/>
                <w:kern w:val="0"/>
                <w:sz w:val="20"/>
                <w:szCs w:val="20"/>
                <w:u w:val="none"/>
                <w:lang w:val="en-US" w:eastAsia="zh-CN" w:bidi="ar"/>
              </w:rPr>
              <w:t>60分钟</w:t>
            </w:r>
          </w:p>
        </w:tc>
      </w:tr>
      <w:tr w14:paraId="4B63E66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229" w:type="pct"/>
            <w:vMerge w:val="continue"/>
            <w:shd w:val="clear" w:color="auto" w:fill="FFFFFF"/>
            <w:noWrap/>
            <w:vAlign w:val="center"/>
          </w:tcPr>
          <w:p w14:paraId="558B09A4">
            <w:pPr>
              <w:keepNext w:val="0"/>
              <w:keepLines w:val="0"/>
              <w:pageBreakBefore w:val="0"/>
              <w:widowControl/>
              <w:kinsoku/>
              <w:wordWrap/>
              <w:overflowPunct/>
              <w:topLinePunct w:val="0"/>
              <w:autoSpaceDE/>
              <w:autoSpaceDN/>
              <w:bidi w:val="0"/>
              <w:adjustRightInd/>
              <w:snapToGrid/>
              <w:spacing w:line="0" w:lineRule="atLeast"/>
              <w:jc w:val="center"/>
              <w:rPr>
                <w:rFonts w:hint="eastAsia" w:ascii="Times New Roman" w:hAnsi="Times New Roman" w:eastAsia="方正楷体_GBK" w:cs="方正楷体_GBK"/>
                <w:i w:val="0"/>
                <w:iCs w:val="0"/>
                <w:color w:val="000000"/>
                <w:sz w:val="20"/>
                <w:szCs w:val="20"/>
                <w:u w:val="none"/>
              </w:rPr>
            </w:pPr>
          </w:p>
        </w:tc>
        <w:tc>
          <w:tcPr>
            <w:tcW w:w="367" w:type="pct"/>
            <w:vMerge w:val="continue"/>
            <w:shd w:val="clear" w:color="auto" w:fill="FFFFFF"/>
            <w:vAlign w:val="center"/>
          </w:tcPr>
          <w:p w14:paraId="71A233D1">
            <w:pPr>
              <w:keepNext w:val="0"/>
              <w:keepLines w:val="0"/>
              <w:pageBreakBefore w:val="0"/>
              <w:widowControl/>
              <w:kinsoku/>
              <w:wordWrap/>
              <w:overflowPunct/>
              <w:topLinePunct w:val="0"/>
              <w:autoSpaceDE/>
              <w:autoSpaceDN/>
              <w:bidi w:val="0"/>
              <w:adjustRightInd/>
              <w:snapToGrid/>
              <w:spacing w:line="0" w:lineRule="atLeast"/>
              <w:jc w:val="center"/>
              <w:rPr>
                <w:rFonts w:hint="eastAsia" w:ascii="Times New Roman" w:hAnsi="Times New Roman" w:eastAsia="方正楷体_GBK" w:cs="方正楷体_GBK"/>
                <w:i w:val="0"/>
                <w:iCs w:val="0"/>
                <w:color w:val="000000"/>
                <w:sz w:val="20"/>
                <w:szCs w:val="20"/>
                <w:u w:val="none"/>
              </w:rPr>
            </w:pPr>
          </w:p>
        </w:tc>
        <w:tc>
          <w:tcPr>
            <w:tcW w:w="472" w:type="pct"/>
            <w:vMerge w:val="continue"/>
            <w:shd w:val="clear" w:color="auto" w:fill="FFFFFF"/>
            <w:vAlign w:val="center"/>
          </w:tcPr>
          <w:p w14:paraId="1D068998">
            <w:pPr>
              <w:keepNext w:val="0"/>
              <w:keepLines w:val="0"/>
              <w:pageBreakBefore w:val="0"/>
              <w:widowControl/>
              <w:kinsoku/>
              <w:wordWrap/>
              <w:overflowPunct/>
              <w:topLinePunct w:val="0"/>
              <w:autoSpaceDE/>
              <w:autoSpaceDN/>
              <w:bidi w:val="0"/>
              <w:adjustRightInd/>
              <w:snapToGrid/>
              <w:spacing w:line="0" w:lineRule="atLeast"/>
              <w:jc w:val="center"/>
              <w:rPr>
                <w:rFonts w:hint="eastAsia" w:ascii="Times New Roman" w:hAnsi="Times New Roman" w:eastAsia="方正楷体_GBK" w:cs="方正楷体_GBK"/>
                <w:i w:val="0"/>
                <w:iCs w:val="0"/>
                <w:color w:val="000000"/>
                <w:sz w:val="20"/>
                <w:szCs w:val="20"/>
                <w:u w:val="none"/>
              </w:rPr>
            </w:pPr>
          </w:p>
        </w:tc>
        <w:tc>
          <w:tcPr>
            <w:tcW w:w="1338" w:type="pct"/>
            <w:shd w:val="clear" w:color="auto" w:fill="FFFFFF"/>
            <w:vAlign w:val="center"/>
          </w:tcPr>
          <w:p w14:paraId="384D9E8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方正楷体_GBK" w:cs="方正楷体_GBK"/>
                <w:i w:val="0"/>
                <w:iCs w:val="0"/>
                <w:color w:val="000000"/>
                <w:sz w:val="20"/>
                <w:szCs w:val="20"/>
                <w:u w:val="none"/>
              </w:rPr>
            </w:pPr>
            <w:r>
              <w:rPr>
                <w:rFonts w:hint="eastAsia" w:ascii="Times New Roman" w:hAnsi="Times New Roman" w:eastAsia="方正楷体_GBK" w:cs="方正楷体_GBK"/>
                <w:i w:val="0"/>
                <w:iCs w:val="0"/>
                <w:color w:val="000000"/>
                <w:kern w:val="0"/>
                <w:sz w:val="20"/>
                <w:szCs w:val="20"/>
                <w:u w:val="none"/>
                <w:lang w:val="en-US" w:eastAsia="zh-CN" w:bidi="ar"/>
              </w:rPr>
              <w:t>刮痧/按摩</w:t>
            </w:r>
          </w:p>
        </w:tc>
        <w:tc>
          <w:tcPr>
            <w:tcW w:w="701" w:type="pct"/>
            <w:shd w:val="clear" w:color="auto" w:fill="FFFFFF"/>
            <w:vAlign w:val="center"/>
          </w:tcPr>
          <w:p w14:paraId="1901CAD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方正楷体_GBK" w:cs="方正楷体_GBK"/>
                <w:i w:val="0"/>
                <w:iCs w:val="0"/>
                <w:color w:val="000000"/>
                <w:sz w:val="20"/>
                <w:szCs w:val="20"/>
                <w:u w:val="none"/>
              </w:rPr>
            </w:pPr>
            <w:r>
              <w:rPr>
                <w:rFonts w:hint="eastAsia" w:ascii="Times New Roman" w:hAnsi="Times New Roman" w:eastAsia="方正楷体_GBK" w:cs="方正楷体_GBK"/>
                <w:i w:val="0"/>
                <w:iCs w:val="0"/>
                <w:color w:val="000000"/>
                <w:kern w:val="0"/>
                <w:sz w:val="20"/>
                <w:szCs w:val="20"/>
                <w:u w:val="none"/>
                <w:lang w:val="en-US" w:eastAsia="zh-CN" w:bidi="ar"/>
              </w:rPr>
              <w:t>100元/次</w:t>
            </w:r>
          </w:p>
        </w:tc>
        <w:tc>
          <w:tcPr>
            <w:tcW w:w="1204" w:type="pct"/>
            <w:shd w:val="clear" w:color="auto" w:fill="FFFFFF"/>
            <w:noWrap/>
            <w:vAlign w:val="center"/>
          </w:tcPr>
          <w:p w14:paraId="5683D50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方正楷体_GBK" w:cs="方正楷体_GBK"/>
                <w:i w:val="0"/>
                <w:iCs w:val="0"/>
                <w:color w:val="000000"/>
                <w:sz w:val="20"/>
                <w:szCs w:val="20"/>
                <w:u w:val="none"/>
              </w:rPr>
            </w:pPr>
            <w:r>
              <w:rPr>
                <w:rFonts w:hint="eastAsia" w:ascii="Times New Roman" w:hAnsi="Times New Roman" w:eastAsia="方正楷体_GBK" w:cs="方正楷体_GBK"/>
                <w:i w:val="0"/>
                <w:iCs w:val="0"/>
                <w:color w:val="000000"/>
                <w:kern w:val="0"/>
                <w:sz w:val="20"/>
                <w:szCs w:val="20"/>
                <w:u w:val="none"/>
                <w:lang w:val="en-US" w:eastAsia="zh-CN" w:bidi="ar"/>
              </w:rPr>
              <w:t>90%</w:t>
            </w:r>
          </w:p>
        </w:tc>
        <w:tc>
          <w:tcPr>
            <w:tcW w:w="686" w:type="pct"/>
            <w:shd w:val="clear" w:color="auto" w:fill="FFFFFF"/>
            <w:noWrap/>
            <w:vAlign w:val="center"/>
          </w:tcPr>
          <w:p w14:paraId="0FC44F3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方正楷体_GBK" w:cs="方正楷体_GBK"/>
                <w:i w:val="0"/>
                <w:iCs w:val="0"/>
                <w:color w:val="000000"/>
                <w:sz w:val="20"/>
                <w:szCs w:val="20"/>
                <w:u w:val="none"/>
              </w:rPr>
            </w:pPr>
            <w:r>
              <w:rPr>
                <w:rFonts w:hint="eastAsia" w:ascii="Times New Roman" w:hAnsi="Times New Roman" w:eastAsia="方正楷体_GBK" w:cs="方正楷体_GBK"/>
                <w:i w:val="0"/>
                <w:iCs w:val="0"/>
                <w:color w:val="000000"/>
                <w:kern w:val="0"/>
                <w:sz w:val="20"/>
                <w:szCs w:val="20"/>
                <w:u w:val="none"/>
                <w:lang w:val="en-US" w:eastAsia="zh-CN" w:bidi="ar"/>
              </w:rPr>
              <w:t>60分钟</w:t>
            </w:r>
          </w:p>
        </w:tc>
      </w:tr>
      <w:tr w14:paraId="702177F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229" w:type="pct"/>
            <w:vMerge w:val="restart"/>
            <w:shd w:val="clear" w:color="auto" w:fill="FFFFFF"/>
            <w:noWrap/>
            <w:vAlign w:val="center"/>
          </w:tcPr>
          <w:p w14:paraId="0454974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方正楷体_GBK" w:cs="方正楷体_GBK"/>
                <w:i w:val="0"/>
                <w:iCs w:val="0"/>
                <w:color w:val="000000"/>
                <w:sz w:val="20"/>
                <w:szCs w:val="20"/>
                <w:u w:val="none"/>
              </w:rPr>
            </w:pPr>
            <w:r>
              <w:rPr>
                <w:rFonts w:hint="eastAsia" w:ascii="Times New Roman" w:hAnsi="Times New Roman" w:eastAsia="方正楷体_GBK" w:cs="方正楷体_GBK"/>
                <w:i w:val="0"/>
                <w:iCs w:val="0"/>
                <w:color w:val="000000"/>
                <w:kern w:val="0"/>
                <w:sz w:val="20"/>
                <w:szCs w:val="20"/>
                <w:u w:val="none"/>
                <w:lang w:val="en-US" w:eastAsia="zh-CN" w:bidi="ar"/>
              </w:rPr>
              <w:t>7</w:t>
            </w:r>
          </w:p>
        </w:tc>
        <w:tc>
          <w:tcPr>
            <w:tcW w:w="367" w:type="pct"/>
            <w:vMerge w:val="restart"/>
            <w:shd w:val="clear" w:color="auto" w:fill="FFFFFF"/>
            <w:vAlign w:val="center"/>
          </w:tcPr>
          <w:p w14:paraId="2EB73A6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方正楷体_GBK" w:cs="方正楷体_GBK"/>
                <w:i w:val="0"/>
                <w:iCs w:val="0"/>
                <w:color w:val="000000"/>
                <w:sz w:val="20"/>
                <w:szCs w:val="20"/>
                <w:u w:val="none"/>
              </w:rPr>
            </w:pPr>
            <w:r>
              <w:rPr>
                <w:rFonts w:hint="eastAsia" w:ascii="Times New Roman" w:hAnsi="Times New Roman" w:eastAsia="方正楷体_GBK" w:cs="方正楷体_GBK"/>
                <w:i w:val="0"/>
                <w:iCs w:val="0"/>
                <w:color w:val="000000"/>
                <w:kern w:val="0"/>
                <w:sz w:val="20"/>
                <w:szCs w:val="20"/>
                <w:u w:val="none"/>
                <w:lang w:val="en-US" w:eastAsia="zh-CN" w:bidi="ar"/>
              </w:rPr>
              <w:t>精神慰藉服务</w:t>
            </w:r>
          </w:p>
        </w:tc>
        <w:tc>
          <w:tcPr>
            <w:tcW w:w="1810" w:type="pct"/>
            <w:gridSpan w:val="2"/>
            <w:shd w:val="clear" w:color="auto" w:fill="auto"/>
            <w:vAlign w:val="center"/>
          </w:tcPr>
          <w:p w14:paraId="71462BD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方正楷体_GBK" w:cs="方正楷体_GBK"/>
                <w:i w:val="0"/>
                <w:iCs w:val="0"/>
                <w:color w:val="000000"/>
                <w:sz w:val="20"/>
                <w:szCs w:val="20"/>
                <w:u w:val="none"/>
              </w:rPr>
            </w:pPr>
            <w:r>
              <w:rPr>
                <w:rFonts w:hint="eastAsia" w:ascii="Times New Roman" w:hAnsi="Times New Roman" w:eastAsia="方正楷体_GBK" w:cs="方正楷体_GBK"/>
                <w:i w:val="0"/>
                <w:iCs w:val="0"/>
                <w:color w:val="000000"/>
                <w:kern w:val="0"/>
                <w:sz w:val="20"/>
                <w:szCs w:val="20"/>
                <w:u w:val="none"/>
                <w:lang w:val="en-US" w:eastAsia="zh-CN" w:bidi="ar"/>
              </w:rPr>
              <w:t>法律援助</w:t>
            </w:r>
          </w:p>
        </w:tc>
        <w:tc>
          <w:tcPr>
            <w:tcW w:w="701" w:type="pct"/>
            <w:shd w:val="clear" w:color="auto" w:fill="FFFFFF"/>
            <w:vAlign w:val="center"/>
          </w:tcPr>
          <w:p w14:paraId="41B9B9D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方正楷体_GBK" w:cs="方正楷体_GBK"/>
                <w:i w:val="0"/>
                <w:iCs w:val="0"/>
                <w:color w:val="000000"/>
                <w:sz w:val="20"/>
                <w:szCs w:val="20"/>
                <w:u w:val="none"/>
              </w:rPr>
            </w:pPr>
            <w:r>
              <w:rPr>
                <w:rFonts w:hint="eastAsia" w:ascii="Times New Roman" w:hAnsi="Times New Roman" w:eastAsia="方正楷体_GBK" w:cs="方正楷体_GBK"/>
                <w:i w:val="0"/>
                <w:iCs w:val="0"/>
                <w:color w:val="000000"/>
                <w:kern w:val="0"/>
                <w:sz w:val="20"/>
                <w:szCs w:val="20"/>
                <w:u w:val="none"/>
                <w:lang w:val="en-US" w:eastAsia="zh-CN" w:bidi="ar"/>
              </w:rPr>
              <w:t>120元/次</w:t>
            </w:r>
          </w:p>
        </w:tc>
        <w:tc>
          <w:tcPr>
            <w:tcW w:w="1204" w:type="pct"/>
            <w:shd w:val="clear" w:color="auto" w:fill="FFFFFF"/>
            <w:noWrap/>
            <w:vAlign w:val="center"/>
          </w:tcPr>
          <w:p w14:paraId="4D727BD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方正楷体_GBK" w:cs="方正楷体_GBK"/>
                <w:i w:val="0"/>
                <w:iCs w:val="0"/>
                <w:color w:val="000000"/>
                <w:sz w:val="20"/>
                <w:szCs w:val="20"/>
                <w:u w:val="none"/>
              </w:rPr>
            </w:pPr>
            <w:r>
              <w:rPr>
                <w:rFonts w:hint="eastAsia" w:ascii="Times New Roman" w:hAnsi="Times New Roman" w:eastAsia="方正楷体_GBK" w:cs="方正楷体_GBK"/>
                <w:i w:val="0"/>
                <w:iCs w:val="0"/>
                <w:color w:val="000000"/>
                <w:kern w:val="0"/>
                <w:sz w:val="20"/>
                <w:szCs w:val="20"/>
                <w:u w:val="none"/>
                <w:lang w:val="en-US" w:eastAsia="zh-CN" w:bidi="ar"/>
              </w:rPr>
              <w:t>90%</w:t>
            </w:r>
          </w:p>
        </w:tc>
        <w:tc>
          <w:tcPr>
            <w:tcW w:w="686" w:type="pct"/>
            <w:shd w:val="clear" w:color="auto" w:fill="auto"/>
            <w:noWrap/>
            <w:vAlign w:val="center"/>
          </w:tcPr>
          <w:p w14:paraId="57DECD9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方正楷体_GBK" w:cs="方正楷体_GBK"/>
                <w:i w:val="0"/>
                <w:iCs w:val="0"/>
                <w:color w:val="000000"/>
                <w:sz w:val="20"/>
                <w:szCs w:val="20"/>
                <w:u w:val="none"/>
              </w:rPr>
            </w:pPr>
            <w:r>
              <w:rPr>
                <w:rFonts w:hint="eastAsia" w:ascii="Times New Roman" w:hAnsi="Times New Roman" w:eastAsia="方正楷体_GBK" w:cs="方正楷体_GBK"/>
                <w:i w:val="0"/>
                <w:iCs w:val="0"/>
                <w:color w:val="000000"/>
                <w:kern w:val="0"/>
                <w:sz w:val="20"/>
                <w:szCs w:val="20"/>
                <w:u w:val="none"/>
                <w:lang w:val="en-US" w:eastAsia="zh-CN" w:bidi="ar"/>
              </w:rPr>
              <w:t>60分钟</w:t>
            </w:r>
          </w:p>
        </w:tc>
      </w:tr>
      <w:tr w14:paraId="1811B2D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229" w:type="pct"/>
            <w:vMerge w:val="continue"/>
            <w:shd w:val="clear" w:color="auto" w:fill="FFFFFF"/>
            <w:noWrap/>
            <w:vAlign w:val="center"/>
          </w:tcPr>
          <w:p w14:paraId="520AB45E">
            <w:pPr>
              <w:keepNext w:val="0"/>
              <w:keepLines w:val="0"/>
              <w:pageBreakBefore w:val="0"/>
              <w:widowControl/>
              <w:kinsoku/>
              <w:wordWrap/>
              <w:overflowPunct/>
              <w:topLinePunct w:val="0"/>
              <w:autoSpaceDE/>
              <w:autoSpaceDN/>
              <w:bidi w:val="0"/>
              <w:adjustRightInd/>
              <w:snapToGrid/>
              <w:spacing w:line="0" w:lineRule="atLeast"/>
              <w:jc w:val="center"/>
              <w:rPr>
                <w:rFonts w:hint="eastAsia" w:ascii="Times New Roman" w:hAnsi="Times New Roman" w:eastAsia="方正楷体_GBK" w:cs="方正楷体_GBK"/>
                <w:i w:val="0"/>
                <w:iCs w:val="0"/>
                <w:color w:val="000000"/>
                <w:sz w:val="20"/>
                <w:szCs w:val="20"/>
                <w:u w:val="none"/>
              </w:rPr>
            </w:pPr>
          </w:p>
        </w:tc>
        <w:tc>
          <w:tcPr>
            <w:tcW w:w="367" w:type="pct"/>
            <w:vMerge w:val="continue"/>
            <w:shd w:val="clear" w:color="auto" w:fill="FFFFFF"/>
            <w:vAlign w:val="center"/>
          </w:tcPr>
          <w:p w14:paraId="3E070C9B">
            <w:pPr>
              <w:keepNext w:val="0"/>
              <w:keepLines w:val="0"/>
              <w:pageBreakBefore w:val="0"/>
              <w:widowControl/>
              <w:kinsoku/>
              <w:wordWrap/>
              <w:overflowPunct/>
              <w:topLinePunct w:val="0"/>
              <w:autoSpaceDE/>
              <w:autoSpaceDN/>
              <w:bidi w:val="0"/>
              <w:adjustRightInd/>
              <w:snapToGrid/>
              <w:spacing w:line="0" w:lineRule="atLeast"/>
              <w:jc w:val="center"/>
              <w:rPr>
                <w:rFonts w:hint="eastAsia" w:ascii="Times New Roman" w:hAnsi="Times New Roman" w:eastAsia="方正楷体_GBK" w:cs="方正楷体_GBK"/>
                <w:i w:val="0"/>
                <w:iCs w:val="0"/>
                <w:color w:val="000000"/>
                <w:sz w:val="20"/>
                <w:szCs w:val="20"/>
                <w:u w:val="none"/>
              </w:rPr>
            </w:pPr>
          </w:p>
        </w:tc>
        <w:tc>
          <w:tcPr>
            <w:tcW w:w="1810" w:type="pct"/>
            <w:gridSpan w:val="2"/>
            <w:shd w:val="clear" w:color="auto" w:fill="FFFFFF"/>
            <w:vAlign w:val="center"/>
          </w:tcPr>
          <w:p w14:paraId="748A3D4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方正楷体_GBK" w:cs="方正楷体_GBK"/>
                <w:i w:val="0"/>
                <w:iCs w:val="0"/>
                <w:color w:val="000000"/>
                <w:sz w:val="20"/>
                <w:szCs w:val="20"/>
                <w:u w:val="none"/>
              </w:rPr>
            </w:pPr>
            <w:r>
              <w:rPr>
                <w:rFonts w:hint="eastAsia" w:ascii="Times New Roman" w:hAnsi="Times New Roman" w:eastAsia="方正楷体_GBK" w:cs="方正楷体_GBK"/>
                <w:i w:val="0"/>
                <w:iCs w:val="0"/>
                <w:color w:val="000000"/>
                <w:kern w:val="0"/>
                <w:sz w:val="20"/>
                <w:szCs w:val="20"/>
                <w:u w:val="none"/>
                <w:lang w:val="en-US" w:eastAsia="zh-CN" w:bidi="ar"/>
              </w:rPr>
              <w:t>社工个案或心理咨询</w:t>
            </w:r>
          </w:p>
        </w:tc>
        <w:tc>
          <w:tcPr>
            <w:tcW w:w="701" w:type="pct"/>
            <w:shd w:val="clear" w:color="auto" w:fill="auto"/>
            <w:vAlign w:val="center"/>
          </w:tcPr>
          <w:p w14:paraId="57C1472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方正楷体_GBK" w:cs="方正楷体_GBK"/>
                <w:i w:val="0"/>
                <w:iCs w:val="0"/>
                <w:color w:val="000000"/>
                <w:sz w:val="20"/>
                <w:szCs w:val="20"/>
                <w:u w:val="none"/>
              </w:rPr>
            </w:pPr>
            <w:r>
              <w:rPr>
                <w:rFonts w:hint="eastAsia" w:ascii="Times New Roman" w:hAnsi="Times New Roman" w:eastAsia="方正楷体_GBK" w:cs="方正楷体_GBK"/>
                <w:i w:val="0"/>
                <w:iCs w:val="0"/>
                <w:color w:val="000000"/>
                <w:kern w:val="0"/>
                <w:sz w:val="20"/>
                <w:szCs w:val="20"/>
                <w:u w:val="none"/>
                <w:lang w:val="en-US" w:eastAsia="zh-CN" w:bidi="ar"/>
              </w:rPr>
              <w:t>120元/次</w:t>
            </w:r>
          </w:p>
        </w:tc>
        <w:tc>
          <w:tcPr>
            <w:tcW w:w="1204" w:type="pct"/>
            <w:shd w:val="clear" w:color="auto" w:fill="FFFFFF"/>
            <w:noWrap/>
            <w:vAlign w:val="center"/>
          </w:tcPr>
          <w:p w14:paraId="00422C8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方正楷体_GBK" w:cs="方正楷体_GBK"/>
                <w:i w:val="0"/>
                <w:iCs w:val="0"/>
                <w:color w:val="000000"/>
                <w:sz w:val="20"/>
                <w:szCs w:val="20"/>
                <w:u w:val="none"/>
              </w:rPr>
            </w:pPr>
            <w:r>
              <w:rPr>
                <w:rFonts w:hint="eastAsia" w:ascii="Times New Roman" w:hAnsi="Times New Roman" w:eastAsia="方正楷体_GBK" w:cs="方正楷体_GBK"/>
                <w:i w:val="0"/>
                <w:iCs w:val="0"/>
                <w:color w:val="000000"/>
                <w:kern w:val="0"/>
                <w:sz w:val="20"/>
                <w:szCs w:val="20"/>
                <w:u w:val="none"/>
                <w:lang w:val="en-US" w:eastAsia="zh-CN" w:bidi="ar"/>
              </w:rPr>
              <w:t>90%</w:t>
            </w:r>
          </w:p>
        </w:tc>
        <w:tc>
          <w:tcPr>
            <w:tcW w:w="686" w:type="pct"/>
            <w:shd w:val="clear" w:color="auto" w:fill="auto"/>
            <w:noWrap/>
            <w:vAlign w:val="center"/>
          </w:tcPr>
          <w:p w14:paraId="18F137D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方正楷体_GBK" w:cs="方正楷体_GBK"/>
                <w:i w:val="0"/>
                <w:iCs w:val="0"/>
                <w:color w:val="000000"/>
                <w:sz w:val="20"/>
                <w:szCs w:val="20"/>
                <w:u w:val="none"/>
              </w:rPr>
            </w:pPr>
            <w:r>
              <w:rPr>
                <w:rFonts w:hint="eastAsia" w:ascii="Times New Roman" w:hAnsi="Times New Roman" w:eastAsia="方正楷体_GBK" w:cs="方正楷体_GBK"/>
                <w:i w:val="0"/>
                <w:iCs w:val="0"/>
                <w:color w:val="000000"/>
                <w:kern w:val="0"/>
                <w:sz w:val="20"/>
                <w:szCs w:val="20"/>
                <w:u w:val="none"/>
                <w:lang w:val="en-US" w:eastAsia="zh-CN" w:bidi="ar"/>
              </w:rPr>
              <w:t>60分钟</w:t>
            </w:r>
          </w:p>
        </w:tc>
      </w:tr>
      <w:tr w14:paraId="529451E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229" w:type="pct"/>
            <w:vMerge w:val="continue"/>
            <w:shd w:val="clear" w:color="auto" w:fill="FFFFFF"/>
            <w:noWrap/>
            <w:vAlign w:val="center"/>
          </w:tcPr>
          <w:p w14:paraId="13ECBA67">
            <w:pPr>
              <w:keepNext w:val="0"/>
              <w:keepLines w:val="0"/>
              <w:pageBreakBefore w:val="0"/>
              <w:widowControl/>
              <w:kinsoku/>
              <w:wordWrap/>
              <w:overflowPunct/>
              <w:topLinePunct w:val="0"/>
              <w:autoSpaceDE/>
              <w:autoSpaceDN/>
              <w:bidi w:val="0"/>
              <w:adjustRightInd/>
              <w:snapToGrid/>
              <w:spacing w:line="0" w:lineRule="atLeast"/>
              <w:jc w:val="center"/>
              <w:rPr>
                <w:rFonts w:hint="eastAsia" w:ascii="Times New Roman" w:hAnsi="Times New Roman" w:eastAsia="方正楷体_GBK" w:cs="方正楷体_GBK"/>
                <w:i w:val="0"/>
                <w:iCs w:val="0"/>
                <w:color w:val="000000"/>
                <w:sz w:val="20"/>
                <w:szCs w:val="20"/>
                <w:u w:val="none"/>
              </w:rPr>
            </w:pPr>
          </w:p>
        </w:tc>
        <w:tc>
          <w:tcPr>
            <w:tcW w:w="367" w:type="pct"/>
            <w:vMerge w:val="continue"/>
            <w:shd w:val="clear" w:color="auto" w:fill="FFFFFF"/>
            <w:vAlign w:val="center"/>
          </w:tcPr>
          <w:p w14:paraId="0B77C738">
            <w:pPr>
              <w:keepNext w:val="0"/>
              <w:keepLines w:val="0"/>
              <w:pageBreakBefore w:val="0"/>
              <w:widowControl/>
              <w:kinsoku/>
              <w:wordWrap/>
              <w:overflowPunct/>
              <w:topLinePunct w:val="0"/>
              <w:autoSpaceDE/>
              <w:autoSpaceDN/>
              <w:bidi w:val="0"/>
              <w:adjustRightInd/>
              <w:snapToGrid/>
              <w:spacing w:line="0" w:lineRule="atLeast"/>
              <w:jc w:val="center"/>
              <w:rPr>
                <w:rFonts w:hint="eastAsia" w:ascii="Times New Roman" w:hAnsi="Times New Roman" w:eastAsia="方正楷体_GBK" w:cs="方正楷体_GBK"/>
                <w:i w:val="0"/>
                <w:iCs w:val="0"/>
                <w:color w:val="000000"/>
                <w:sz w:val="20"/>
                <w:szCs w:val="20"/>
                <w:u w:val="none"/>
              </w:rPr>
            </w:pPr>
          </w:p>
        </w:tc>
        <w:tc>
          <w:tcPr>
            <w:tcW w:w="1810" w:type="pct"/>
            <w:gridSpan w:val="2"/>
            <w:shd w:val="clear" w:color="auto" w:fill="auto"/>
            <w:vAlign w:val="center"/>
          </w:tcPr>
          <w:p w14:paraId="721B553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方正楷体_GBK" w:cs="方正楷体_GBK"/>
                <w:i w:val="0"/>
                <w:iCs w:val="0"/>
                <w:color w:val="000000"/>
                <w:sz w:val="20"/>
                <w:szCs w:val="20"/>
                <w:u w:val="none"/>
              </w:rPr>
            </w:pPr>
            <w:r>
              <w:rPr>
                <w:rFonts w:hint="eastAsia" w:ascii="Times New Roman" w:hAnsi="Times New Roman" w:eastAsia="方正楷体_GBK" w:cs="方正楷体_GBK"/>
                <w:i w:val="0"/>
                <w:iCs w:val="0"/>
                <w:color w:val="000000"/>
                <w:kern w:val="0"/>
                <w:sz w:val="20"/>
                <w:szCs w:val="20"/>
                <w:u w:val="none"/>
                <w:lang w:val="en-US" w:eastAsia="zh-CN" w:bidi="ar"/>
              </w:rPr>
              <w:t>电子产品操作指导</w:t>
            </w:r>
          </w:p>
        </w:tc>
        <w:tc>
          <w:tcPr>
            <w:tcW w:w="701" w:type="pct"/>
            <w:shd w:val="clear" w:color="auto" w:fill="FFFFFF"/>
            <w:vAlign w:val="center"/>
          </w:tcPr>
          <w:p w14:paraId="3D79778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方正楷体_GBK" w:cs="方正楷体_GBK"/>
                <w:i w:val="0"/>
                <w:iCs w:val="0"/>
                <w:color w:val="000000"/>
                <w:sz w:val="20"/>
                <w:szCs w:val="20"/>
                <w:u w:val="none"/>
              </w:rPr>
            </w:pPr>
            <w:r>
              <w:rPr>
                <w:rFonts w:hint="eastAsia" w:ascii="Times New Roman" w:hAnsi="Times New Roman" w:eastAsia="方正楷体_GBK" w:cs="方正楷体_GBK"/>
                <w:i w:val="0"/>
                <w:iCs w:val="0"/>
                <w:color w:val="000000"/>
                <w:kern w:val="0"/>
                <w:sz w:val="20"/>
                <w:szCs w:val="20"/>
                <w:u w:val="none"/>
                <w:lang w:val="en-US" w:eastAsia="zh-CN" w:bidi="ar"/>
              </w:rPr>
              <w:t>30元/次</w:t>
            </w:r>
          </w:p>
        </w:tc>
        <w:tc>
          <w:tcPr>
            <w:tcW w:w="1204" w:type="pct"/>
            <w:shd w:val="clear" w:color="auto" w:fill="FFFFFF"/>
            <w:noWrap/>
            <w:vAlign w:val="center"/>
          </w:tcPr>
          <w:p w14:paraId="462FD92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方正楷体_GBK" w:cs="方正楷体_GBK"/>
                <w:i w:val="0"/>
                <w:iCs w:val="0"/>
                <w:color w:val="000000"/>
                <w:sz w:val="20"/>
                <w:szCs w:val="20"/>
                <w:u w:val="none"/>
              </w:rPr>
            </w:pPr>
            <w:r>
              <w:rPr>
                <w:rFonts w:hint="eastAsia" w:ascii="Times New Roman" w:hAnsi="Times New Roman" w:eastAsia="方正楷体_GBK" w:cs="方正楷体_GBK"/>
                <w:i w:val="0"/>
                <w:iCs w:val="0"/>
                <w:color w:val="000000"/>
                <w:kern w:val="0"/>
                <w:sz w:val="20"/>
                <w:szCs w:val="20"/>
                <w:u w:val="none"/>
                <w:lang w:val="en-US" w:eastAsia="zh-CN" w:bidi="ar"/>
              </w:rPr>
              <w:t>90%</w:t>
            </w:r>
          </w:p>
        </w:tc>
        <w:tc>
          <w:tcPr>
            <w:tcW w:w="686" w:type="pct"/>
            <w:shd w:val="clear" w:color="auto" w:fill="FFFFFF"/>
            <w:noWrap/>
            <w:vAlign w:val="center"/>
          </w:tcPr>
          <w:p w14:paraId="27CE3BF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方正楷体_GBK" w:cs="方正楷体_GBK"/>
                <w:i w:val="0"/>
                <w:iCs w:val="0"/>
                <w:color w:val="000000"/>
                <w:sz w:val="20"/>
                <w:szCs w:val="20"/>
                <w:u w:val="none"/>
              </w:rPr>
            </w:pPr>
            <w:r>
              <w:rPr>
                <w:rFonts w:hint="eastAsia" w:ascii="Times New Roman" w:hAnsi="Times New Roman" w:eastAsia="方正楷体_GBK" w:cs="方正楷体_GBK"/>
                <w:i w:val="0"/>
                <w:iCs w:val="0"/>
                <w:color w:val="000000"/>
                <w:kern w:val="0"/>
                <w:sz w:val="20"/>
                <w:szCs w:val="20"/>
                <w:u w:val="none"/>
                <w:lang w:val="en-US" w:eastAsia="zh-CN" w:bidi="ar"/>
              </w:rPr>
              <w:t>30分钟</w:t>
            </w:r>
          </w:p>
        </w:tc>
      </w:tr>
      <w:tr w14:paraId="75E857B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229" w:type="pct"/>
            <w:vMerge w:val="continue"/>
            <w:shd w:val="clear" w:color="auto" w:fill="FFFFFF"/>
            <w:noWrap/>
            <w:vAlign w:val="center"/>
          </w:tcPr>
          <w:p w14:paraId="6BC6DEA5">
            <w:pPr>
              <w:keepNext w:val="0"/>
              <w:keepLines w:val="0"/>
              <w:pageBreakBefore w:val="0"/>
              <w:widowControl/>
              <w:kinsoku/>
              <w:wordWrap/>
              <w:overflowPunct/>
              <w:topLinePunct w:val="0"/>
              <w:autoSpaceDE/>
              <w:autoSpaceDN/>
              <w:bidi w:val="0"/>
              <w:adjustRightInd/>
              <w:snapToGrid/>
              <w:spacing w:line="0" w:lineRule="atLeast"/>
              <w:jc w:val="center"/>
              <w:rPr>
                <w:rFonts w:hint="eastAsia" w:ascii="Times New Roman" w:hAnsi="Times New Roman" w:eastAsia="方正楷体_GBK" w:cs="方正楷体_GBK"/>
                <w:i w:val="0"/>
                <w:iCs w:val="0"/>
                <w:color w:val="000000"/>
                <w:sz w:val="20"/>
                <w:szCs w:val="20"/>
                <w:u w:val="none"/>
              </w:rPr>
            </w:pPr>
          </w:p>
        </w:tc>
        <w:tc>
          <w:tcPr>
            <w:tcW w:w="367" w:type="pct"/>
            <w:vMerge w:val="continue"/>
            <w:shd w:val="clear" w:color="auto" w:fill="FFFFFF"/>
            <w:vAlign w:val="center"/>
          </w:tcPr>
          <w:p w14:paraId="722723DF">
            <w:pPr>
              <w:keepNext w:val="0"/>
              <w:keepLines w:val="0"/>
              <w:pageBreakBefore w:val="0"/>
              <w:widowControl/>
              <w:kinsoku/>
              <w:wordWrap/>
              <w:overflowPunct/>
              <w:topLinePunct w:val="0"/>
              <w:autoSpaceDE/>
              <w:autoSpaceDN/>
              <w:bidi w:val="0"/>
              <w:adjustRightInd/>
              <w:snapToGrid/>
              <w:spacing w:line="0" w:lineRule="atLeast"/>
              <w:jc w:val="center"/>
              <w:rPr>
                <w:rFonts w:hint="eastAsia" w:ascii="Times New Roman" w:hAnsi="Times New Roman" w:eastAsia="方正楷体_GBK" w:cs="方正楷体_GBK"/>
                <w:i w:val="0"/>
                <w:iCs w:val="0"/>
                <w:color w:val="000000"/>
                <w:sz w:val="20"/>
                <w:szCs w:val="20"/>
                <w:u w:val="none"/>
              </w:rPr>
            </w:pPr>
          </w:p>
        </w:tc>
        <w:tc>
          <w:tcPr>
            <w:tcW w:w="1810" w:type="pct"/>
            <w:gridSpan w:val="2"/>
            <w:shd w:val="clear" w:color="auto" w:fill="auto"/>
            <w:vAlign w:val="center"/>
          </w:tcPr>
          <w:p w14:paraId="0D9F84F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方正楷体_GBK" w:cs="方正楷体_GBK"/>
                <w:i w:val="0"/>
                <w:iCs w:val="0"/>
                <w:color w:val="000000"/>
                <w:sz w:val="20"/>
                <w:szCs w:val="20"/>
                <w:u w:val="none"/>
              </w:rPr>
            </w:pPr>
            <w:r>
              <w:rPr>
                <w:rFonts w:hint="eastAsia" w:ascii="Times New Roman" w:hAnsi="Times New Roman" w:eastAsia="方正楷体_GBK" w:cs="方正楷体_GBK"/>
                <w:i w:val="0"/>
                <w:iCs w:val="0"/>
                <w:color w:val="000000"/>
                <w:kern w:val="0"/>
                <w:sz w:val="20"/>
                <w:szCs w:val="20"/>
                <w:u w:val="none"/>
                <w:lang w:val="en-US" w:eastAsia="zh-CN" w:bidi="ar"/>
              </w:rPr>
              <w:t>聊天读报</w:t>
            </w:r>
          </w:p>
        </w:tc>
        <w:tc>
          <w:tcPr>
            <w:tcW w:w="701" w:type="pct"/>
            <w:shd w:val="clear" w:color="auto" w:fill="FFFFFF"/>
            <w:vAlign w:val="center"/>
          </w:tcPr>
          <w:p w14:paraId="7B1BE81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方正楷体_GBK" w:cs="方正楷体_GBK"/>
                <w:i w:val="0"/>
                <w:iCs w:val="0"/>
                <w:color w:val="000000"/>
                <w:sz w:val="20"/>
                <w:szCs w:val="20"/>
                <w:u w:val="none"/>
              </w:rPr>
            </w:pPr>
            <w:r>
              <w:rPr>
                <w:rFonts w:hint="eastAsia" w:ascii="Times New Roman" w:hAnsi="Times New Roman" w:eastAsia="方正楷体_GBK" w:cs="方正楷体_GBK"/>
                <w:i w:val="0"/>
                <w:iCs w:val="0"/>
                <w:color w:val="000000"/>
                <w:kern w:val="0"/>
                <w:sz w:val="20"/>
                <w:szCs w:val="20"/>
                <w:u w:val="none"/>
                <w:lang w:val="en-US" w:eastAsia="zh-CN" w:bidi="ar"/>
              </w:rPr>
              <w:t>20元/次</w:t>
            </w:r>
          </w:p>
        </w:tc>
        <w:tc>
          <w:tcPr>
            <w:tcW w:w="1204" w:type="pct"/>
            <w:shd w:val="clear" w:color="auto" w:fill="FFFFFF"/>
            <w:noWrap/>
            <w:vAlign w:val="center"/>
          </w:tcPr>
          <w:p w14:paraId="3FC93F7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方正楷体_GBK" w:cs="方正楷体_GBK"/>
                <w:i w:val="0"/>
                <w:iCs w:val="0"/>
                <w:color w:val="000000"/>
                <w:sz w:val="20"/>
                <w:szCs w:val="20"/>
                <w:u w:val="none"/>
              </w:rPr>
            </w:pPr>
            <w:r>
              <w:rPr>
                <w:rFonts w:hint="eastAsia" w:ascii="Times New Roman" w:hAnsi="Times New Roman" w:eastAsia="方正楷体_GBK" w:cs="方正楷体_GBK"/>
                <w:i w:val="0"/>
                <w:iCs w:val="0"/>
                <w:color w:val="000000"/>
                <w:kern w:val="0"/>
                <w:sz w:val="20"/>
                <w:szCs w:val="20"/>
                <w:u w:val="none"/>
                <w:lang w:val="en-US" w:eastAsia="zh-CN" w:bidi="ar"/>
              </w:rPr>
              <w:t>90%</w:t>
            </w:r>
          </w:p>
        </w:tc>
        <w:tc>
          <w:tcPr>
            <w:tcW w:w="686" w:type="pct"/>
            <w:shd w:val="clear" w:color="auto" w:fill="FFFFFF"/>
            <w:noWrap/>
            <w:vAlign w:val="center"/>
          </w:tcPr>
          <w:p w14:paraId="76FAAAA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方正楷体_GBK" w:cs="方正楷体_GBK"/>
                <w:i w:val="0"/>
                <w:iCs w:val="0"/>
                <w:color w:val="000000"/>
                <w:sz w:val="20"/>
                <w:szCs w:val="20"/>
                <w:u w:val="none"/>
              </w:rPr>
            </w:pPr>
            <w:r>
              <w:rPr>
                <w:rFonts w:hint="eastAsia" w:ascii="Times New Roman" w:hAnsi="Times New Roman" w:eastAsia="方正楷体_GBK" w:cs="方正楷体_GBK"/>
                <w:i w:val="0"/>
                <w:iCs w:val="0"/>
                <w:color w:val="000000"/>
                <w:kern w:val="0"/>
                <w:sz w:val="20"/>
                <w:szCs w:val="20"/>
                <w:u w:val="none"/>
                <w:lang w:val="en-US" w:eastAsia="zh-CN" w:bidi="ar"/>
              </w:rPr>
              <w:t>30分钟</w:t>
            </w:r>
          </w:p>
        </w:tc>
      </w:tr>
      <w:tr w14:paraId="7A1BC83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229" w:type="pct"/>
            <w:vMerge w:val="continue"/>
            <w:shd w:val="clear" w:color="auto" w:fill="FFFFFF"/>
            <w:noWrap/>
            <w:vAlign w:val="center"/>
          </w:tcPr>
          <w:p w14:paraId="7CD4CA6B">
            <w:pPr>
              <w:keepNext w:val="0"/>
              <w:keepLines w:val="0"/>
              <w:pageBreakBefore w:val="0"/>
              <w:widowControl/>
              <w:kinsoku/>
              <w:wordWrap/>
              <w:overflowPunct/>
              <w:topLinePunct w:val="0"/>
              <w:autoSpaceDE/>
              <w:autoSpaceDN/>
              <w:bidi w:val="0"/>
              <w:adjustRightInd/>
              <w:snapToGrid/>
              <w:spacing w:line="0" w:lineRule="atLeast"/>
              <w:jc w:val="center"/>
              <w:rPr>
                <w:rFonts w:hint="eastAsia" w:ascii="Times New Roman" w:hAnsi="Times New Roman" w:eastAsia="方正楷体_GBK" w:cs="方正楷体_GBK"/>
                <w:i w:val="0"/>
                <w:iCs w:val="0"/>
                <w:color w:val="000000"/>
                <w:sz w:val="20"/>
                <w:szCs w:val="20"/>
                <w:u w:val="none"/>
              </w:rPr>
            </w:pPr>
          </w:p>
        </w:tc>
        <w:tc>
          <w:tcPr>
            <w:tcW w:w="367" w:type="pct"/>
            <w:vMerge w:val="continue"/>
            <w:shd w:val="clear" w:color="auto" w:fill="FFFFFF"/>
            <w:vAlign w:val="center"/>
          </w:tcPr>
          <w:p w14:paraId="7F6F3FF5">
            <w:pPr>
              <w:keepNext w:val="0"/>
              <w:keepLines w:val="0"/>
              <w:pageBreakBefore w:val="0"/>
              <w:widowControl/>
              <w:kinsoku/>
              <w:wordWrap/>
              <w:overflowPunct/>
              <w:topLinePunct w:val="0"/>
              <w:autoSpaceDE/>
              <w:autoSpaceDN/>
              <w:bidi w:val="0"/>
              <w:adjustRightInd/>
              <w:snapToGrid/>
              <w:spacing w:line="0" w:lineRule="atLeast"/>
              <w:jc w:val="center"/>
              <w:rPr>
                <w:rFonts w:hint="eastAsia" w:ascii="Times New Roman" w:hAnsi="Times New Roman" w:eastAsia="方正楷体_GBK" w:cs="方正楷体_GBK"/>
                <w:i w:val="0"/>
                <w:iCs w:val="0"/>
                <w:color w:val="000000"/>
                <w:sz w:val="20"/>
                <w:szCs w:val="20"/>
                <w:u w:val="none"/>
              </w:rPr>
            </w:pPr>
          </w:p>
        </w:tc>
        <w:tc>
          <w:tcPr>
            <w:tcW w:w="1810" w:type="pct"/>
            <w:gridSpan w:val="2"/>
            <w:shd w:val="clear" w:color="auto" w:fill="auto"/>
            <w:vAlign w:val="center"/>
          </w:tcPr>
          <w:p w14:paraId="28406D8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方正楷体_GBK" w:cs="方正楷体_GBK"/>
                <w:i w:val="0"/>
                <w:iCs w:val="0"/>
                <w:color w:val="000000"/>
                <w:sz w:val="20"/>
                <w:szCs w:val="20"/>
                <w:u w:val="none"/>
              </w:rPr>
            </w:pPr>
            <w:r>
              <w:rPr>
                <w:rFonts w:hint="eastAsia" w:ascii="Times New Roman" w:hAnsi="Times New Roman" w:eastAsia="方正楷体_GBK" w:cs="方正楷体_GBK"/>
                <w:i w:val="0"/>
                <w:iCs w:val="0"/>
                <w:color w:val="000000"/>
                <w:kern w:val="0"/>
                <w:sz w:val="20"/>
                <w:szCs w:val="20"/>
                <w:u w:val="none"/>
                <w:lang w:val="en-US" w:eastAsia="zh-CN" w:bidi="ar"/>
              </w:rPr>
              <w:t>心理咨询与疏导</w:t>
            </w:r>
          </w:p>
        </w:tc>
        <w:tc>
          <w:tcPr>
            <w:tcW w:w="701" w:type="pct"/>
            <w:shd w:val="clear" w:color="auto" w:fill="FFFFFF"/>
            <w:vAlign w:val="center"/>
          </w:tcPr>
          <w:p w14:paraId="428747B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方正楷体_GBK" w:cs="方正楷体_GBK"/>
                <w:i w:val="0"/>
                <w:iCs w:val="0"/>
                <w:color w:val="000000"/>
                <w:sz w:val="20"/>
                <w:szCs w:val="20"/>
                <w:u w:val="none"/>
              </w:rPr>
            </w:pPr>
            <w:r>
              <w:rPr>
                <w:rFonts w:hint="eastAsia" w:ascii="Times New Roman" w:hAnsi="Times New Roman" w:eastAsia="方正楷体_GBK" w:cs="方正楷体_GBK"/>
                <w:i w:val="0"/>
                <w:iCs w:val="0"/>
                <w:color w:val="000000"/>
                <w:kern w:val="0"/>
                <w:sz w:val="20"/>
                <w:szCs w:val="20"/>
                <w:u w:val="none"/>
                <w:lang w:val="en-US" w:eastAsia="zh-CN" w:bidi="ar"/>
              </w:rPr>
              <w:t>30元/次</w:t>
            </w:r>
          </w:p>
        </w:tc>
        <w:tc>
          <w:tcPr>
            <w:tcW w:w="1204" w:type="pct"/>
            <w:shd w:val="clear" w:color="auto" w:fill="FFFFFF"/>
            <w:noWrap/>
            <w:vAlign w:val="center"/>
          </w:tcPr>
          <w:p w14:paraId="3B81A21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方正楷体_GBK" w:cs="方正楷体_GBK"/>
                <w:i w:val="0"/>
                <w:iCs w:val="0"/>
                <w:color w:val="000000"/>
                <w:sz w:val="20"/>
                <w:szCs w:val="20"/>
                <w:u w:val="none"/>
              </w:rPr>
            </w:pPr>
            <w:r>
              <w:rPr>
                <w:rFonts w:hint="eastAsia" w:ascii="Times New Roman" w:hAnsi="Times New Roman" w:eastAsia="方正楷体_GBK" w:cs="方正楷体_GBK"/>
                <w:i w:val="0"/>
                <w:iCs w:val="0"/>
                <w:color w:val="000000"/>
                <w:kern w:val="0"/>
                <w:sz w:val="20"/>
                <w:szCs w:val="20"/>
                <w:u w:val="none"/>
                <w:lang w:val="en-US" w:eastAsia="zh-CN" w:bidi="ar"/>
              </w:rPr>
              <w:t>90%</w:t>
            </w:r>
          </w:p>
        </w:tc>
        <w:tc>
          <w:tcPr>
            <w:tcW w:w="686" w:type="pct"/>
            <w:shd w:val="clear" w:color="auto" w:fill="FFFFFF"/>
            <w:noWrap/>
            <w:vAlign w:val="center"/>
          </w:tcPr>
          <w:p w14:paraId="6DF4511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方正楷体_GBK" w:cs="方正楷体_GBK"/>
                <w:i w:val="0"/>
                <w:iCs w:val="0"/>
                <w:color w:val="000000"/>
                <w:sz w:val="20"/>
                <w:szCs w:val="20"/>
                <w:u w:val="none"/>
              </w:rPr>
            </w:pPr>
            <w:r>
              <w:rPr>
                <w:rFonts w:hint="eastAsia" w:ascii="Times New Roman" w:hAnsi="Times New Roman" w:eastAsia="方正楷体_GBK" w:cs="方正楷体_GBK"/>
                <w:i w:val="0"/>
                <w:iCs w:val="0"/>
                <w:color w:val="000000"/>
                <w:kern w:val="0"/>
                <w:sz w:val="20"/>
                <w:szCs w:val="20"/>
                <w:u w:val="none"/>
                <w:lang w:val="en-US" w:eastAsia="zh-CN" w:bidi="ar"/>
              </w:rPr>
              <w:t>30分钟</w:t>
            </w:r>
          </w:p>
        </w:tc>
      </w:tr>
      <w:tr w14:paraId="3CDC780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229" w:type="pct"/>
            <w:vMerge w:val="restart"/>
            <w:shd w:val="clear" w:color="auto" w:fill="FFFFFF"/>
            <w:noWrap/>
            <w:vAlign w:val="center"/>
          </w:tcPr>
          <w:p w14:paraId="284EDFE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方正楷体_GBK" w:cs="方正楷体_GBK"/>
                <w:i w:val="0"/>
                <w:iCs w:val="0"/>
                <w:color w:val="000000"/>
                <w:sz w:val="20"/>
                <w:szCs w:val="20"/>
                <w:u w:val="none"/>
              </w:rPr>
            </w:pPr>
            <w:r>
              <w:rPr>
                <w:rFonts w:hint="eastAsia" w:ascii="Times New Roman" w:hAnsi="Times New Roman" w:eastAsia="方正楷体_GBK" w:cs="方正楷体_GBK"/>
                <w:i w:val="0"/>
                <w:iCs w:val="0"/>
                <w:color w:val="000000"/>
                <w:kern w:val="0"/>
                <w:sz w:val="20"/>
                <w:szCs w:val="20"/>
                <w:u w:val="none"/>
                <w:lang w:val="en-US" w:eastAsia="zh-CN" w:bidi="ar"/>
              </w:rPr>
              <w:t>8</w:t>
            </w:r>
          </w:p>
        </w:tc>
        <w:tc>
          <w:tcPr>
            <w:tcW w:w="367" w:type="pct"/>
            <w:vMerge w:val="restart"/>
            <w:shd w:val="clear" w:color="auto" w:fill="FFFFFF"/>
            <w:vAlign w:val="center"/>
          </w:tcPr>
          <w:p w14:paraId="2AF5031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方正楷体_GBK" w:cs="方正楷体_GBK"/>
                <w:i w:val="0"/>
                <w:iCs w:val="0"/>
                <w:color w:val="000000"/>
                <w:sz w:val="20"/>
                <w:szCs w:val="20"/>
                <w:u w:val="none"/>
              </w:rPr>
            </w:pPr>
            <w:r>
              <w:rPr>
                <w:rFonts w:hint="eastAsia" w:ascii="Times New Roman" w:hAnsi="Times New Roman" w:eastAsia="方正楷体_GBK" w:cs="方正楷体_GBK"/>
                <w:i w:val="0"/>
                <w:iCs w:val="0"/>
                <w:color w:val="000000"/>
                <w:kern w:val="0"/>
                <w:sz w:val="20"/>
                <w:szCs w:val="20"/>
                <w:u w:val="none"/>
                <w:lang w:val="en-US" w:eastAsia="zh-CN" w:bidi="ar"/>
              </w:rPr>
              <w:t>便民服务</w:t>
            </w:r>
          </w:p>
        </w:tc>
        <w:tc>
          <w:tcPr>
            <w:tcW w:w="1810" w:type="pct"/>
            <w:gridSpan w:val="2"/>
            <w:shd w:val="clear" w:color="auto" w:fill="auto"/>
            <w:vAlign w:val="center"/>
          </w:tcPr>
          <w:p w14:paraId="3EC2DB5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方正楷体_GBK" w:cs="方正楷体_GBK"/>
                <w:i w:val="0"/>
                <w:iCs w:val="0"/>
                <w:color w:val="000000"/>
                <w:sz w:val="20"/>
                <w:szCs w:val="20"/>
                <w:u w:val="none"/>
              </w:rPr>
            </w:pPr>
            <w:r>
              <w:rPr>
                <w:rFonts w:hint="eastAsia" w:ascii="Times New Roman" w:hAnsi="Times New Roman" w:eastAsia="方正楷体_GBK" w:cs="方正楷体_GBK"/>
                <w:i w:val="0"/>
                <w:iCs w:val="0"/>
                <w:color w:val="000000"/>
                <w:kern w:val="0"/>
                <w:sz w:val="20"/>
                <w:szCs w:val="20"/>
                <w:u w:val="none"/>
                <w:lang w:val="en-US" w:eastAsia="zh-CN" w:bidi="ar"/>
              </w:rPr>
              <w:t>生活服务代办（3公里以内）</w:t>
            </w:r>
          </w:p>
        </w:tc>
        <w:tc>
          <w:tcPr>
            <w:tcW w:w="701" w:type="pct"/>
            <w:shd w:val="clear" w:color="auto" w:fill="FFFFFF"/>
            <w:vAlign w:val="center"/>
          </w:tcPr>
          <w:p w14:paraId="4E7ECA1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方正楷体_GBK" w:cs="方正楷体_GBK"/>
                <w:i w:val="0"/>
                <w:iCs w:val="0"/>
                <w:color w:val="000000"/>
                <w:sz w:val="20"/>
                <w:szCs w:val="20"/>
                <w:u w:val="none"/>
              </w:rPr>
            </w:pPr>
            <w:r>
              <w:rPr>
                <w:rFonts w:hint="eastAsia" w:ascii="Times New Roman" w:hAnsi="Times New Roman" w:eastAsia="方正楷体_GBK" w:cs="方正楷体_GBK"/>
                <w:i w:val="0"/>
                <w:iCs w:val="0"/>
                <w:color w:val="000000"/>
                <w:kern w:val="0"/>
                <w:sz w:val="20"/>
                <w:szCs w:val="20"/>
                <w:u w:val="none"/>
                <w:lang w:val="en-US" w:eastAsia="zh-CN" w:bidi="ar"/>
              </w:rPr>
              <w:t>30元/次</w:t>
            </w:r>
          </w:p>
        </w:tc>
        <w:tc>
          <w:tcPr>
            <w:tcW w:w="1204" w:type="pct"/>
            <w:shd w:val="clear" w:color="auto" w:fill="FFFFFF"/>
            <w:noWrap/>
            <w:vAlign w:val="center"/>
          </w:tcPr>
          <w:p w14:paraId="2EA3FD3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方正楷体_GBK" w:cs="方正楷体_GBK"/>
                <w:i w:val="0"/>
                <w:iCs w:val="0"/>
                <w:color w:val="000000"/>
                <w:sz w:val="20"/>
                <w:szCs w:val="20"/>
                <w:u w:val="none"/>
              </w:rPr>
            </w:pPr>
            <w:r>
              <w:rPr>
                <w:rFonts w:hint="eastAsia" w:ascii="Times New Roman" w:hAnsi="Times New Roman" w:eastAsia="方正楷体_GBK" w:cs="方正楷体_GBK"/>
                <w:i w:val="0"/>
                <w:iCs w:val="0"/>
                <w:color w:val="000000"/>
                <w:kern w:val="0"/>
                <w:sz w:val="20"/>
                <w:szCs w:val="20"/>
                <w:u w:val="none"/>
                <w:lang w:val="en-US" w:eastAsia="zh-CN" w:bidi="ar"/>
              </w:rPr>
              <w:t>90%</w:t>
            </w:r>
          </w:p>
        </w:tc>
        <w:tc>
          <w:tcPr>
            <w:tcW w:w="686" w:type="pct"/>
            <w:shd w:val="clear" w:color="auto" w:fill="FFFFFF"/>
            <w:noWrap/>
            <w:vAlign w:val="center"/>
          </w:tcPr>
          <w:p w14:paraId="3D19CC3E">
            <w:pPr>
              <w:keepNext w:val="0"/>
              <w:keepLines w:val="0"/>
              <w:pageBreakBefore w:val="0"/>
              <w:widowControl/>
              <w:kinsoku/>
              <w:wordWrap/>
              <w:overflowPunct/>
              <w:topLinePunct w:val="0"/>
              <w:autoSpaceDE/>
              <w:autoSpaceDN/>
              <w:bidi w:val="0"/>
              <w:adjustRightInd/>
              <w:snapToGrid/>
              <w:spacing w:line="0" w:lineRule="atLeast"/>
              <w:jc w:val="center"/>
              <w:rPr>
                <w:rFonts w:hint="eastAsia" w:ascii="Times New Roman" w:hAnsi="Times New Roman" w:eastAsia="方正楷体_GBK" w:cs="方正楷体_GBK"/>
                <w:i w:val="0"/>
                <w:iCs w:val="0"/>
                <w:color w:val="000000"/>
                <w:sz w:val="20"/>
                <w:szCs w:val="20"/>
                <w:u w:val="none"/>
              </w:rPr>
            </w:pPr>
          </w:p>
        </w:tc>
      </w:tr>
      <w:tr w14:paraId="73BCBDD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229" w:type="pct"/>
            <w:vMerge w:val="continue"/>
            <w:shd w:val="clear" w:color="auto" w:fill="FFFFFF"/>
            <w:noWrap/>
            <w:vAlign w:val="center"/>
          </w:tcPr>
          <w:p w14:paraId="76030024">
            <w:pPr>
              <w:keepNext w:val="0"/>
              <w:keepLines w:val="0"/>
              <w:pageBreakBefore w:val="0"/>
              <w:widowControl/>
              <w:kinsoku/>
              <w:wordWrap/>
              <w:overflowPunct/>
              <w:topLinePunct w:val="0"/>
              <w:autoSpaceDE/>
              <w:autoSpaceDN/>
              <w:bidi w:val="0"/>
              <w:adjustRightInd/>
              <w:snapToGrid/>
              <w:spacing w:line="0" w:lineRule="atLeast"/>
              <w:jc w:val="center"/>
              <w:rPr>
                <w:rFonts w:hint="eastAsia" w:ascii="Times New Roman" w:hAnsi="Times New Roman" w:eastAsia="方正楷体_GBK" w:cs="方正楷体_GBK"/>
                <w:i w:val="0"/>
                <w:iCs w:val="0"/>
                <w:color w:val="000000"/>
                <w:sz w:val="20"/>
                <w:szCs w:val="20"/>
                <w:u w:val="none"/>
              </w:rPr>
            </w:pPr>
          </w:p>
        </w:tc>
        <w:tc>
          <w:tcPr>
            <w:tcW w:w="367" w:type="pct"/>
            <w:vMerge w:val="continue"/>
            <w:shd w:val="clear" w:color="auto" w:fill="FFFFFF"/>
            <w:vAlign w:val="center"/>
          </w:tcPr>
          <w:p w14:paraId="5D0A7359">
            <w:pPr>
              <w:keepNext w:val="0"/>
              <w:keepLines w:val="0"/>
              <w:pageBreakBefore w:val="0"/>
              <w:widowControl/>
              <w:kinsoku/>
              <w:wordWrap/>
              <w:overflowPunct/>
              <w:topLinePunct w:val="0"/>
              <w:autoSpaceDE/>
              <w:autoSpaceDN/>
              <w:bidi w:val="0"/>
              <w:adjustRightInd/>
              <w:snapToGrid/>
              <w:spacing w:line="0" w:lineRule="atLeast"/>
              <w:jc w:val="center"/>
              <w:rPr>
                <w:rFonts w:hint="eastAsia" w:ascii="Times New Roman" w:hAnsi="Times New Roman" w:eastAsia="方正楷体_GBK" w:cs="方正楷体_GBK"/>
                <w:i w:val="0"/>
                <w:iCs w:val="0"/>
                <w:color w:val="000000"/>
                <w:sz w:val="20"/>
                <w:szCs w:val="20"/>
                <w:u w:val="none"/>
              </w:rPr>
            </w:pPr>
          </w:p>
        </w:tc>
        <w:tc>
          <w:tcPr>
            <w:tcW w:w="1810" w:type="pct"/>
            <w:gridSpan w:val="2"/>
            <w:shd w:val="clear" w:color="auto" w:fill="auto"/>
            <w:vAlign w:val="center"/>
          </w:tcPr>
          <w:p w14:paraId="239E1F4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方正楷体_GBK" w:cs="方正楷体_GBK"/>
                <w:i w:val="0"/>
                <w:iCs w:val="0"/>
                <w:color w:val="000000"/>
                <w:sz w:val="20"/>
                <w:szCs w:val="20"/>
                <w:u w:val="none"/>
              </w:rPr>
            </w:pPr>
            <w:r>
              <w:rPr>
                <w:rFonts w:hint="eastAsia" w:ascii="Times New Roman" w:hAnsi="Times New Roman" w:eastAsia="方正楷体_GBK" w:cs="方正楷体_GBK"/>
                <w:i w:val="0"/>
                <w:iCs w:val="0"/>
                <w:color w:val="000000"/>
                <w:kern w:val="0"/>
                <w:sz w:val="20"/>
                <w:szCs w:val="20"/>
                <w:u w:val="none"/>
                <w:lang w:val="en-US" w:eastAsia="zh-CN" w:bidi="ar"/>
              </w:rPr>
              <w:t>代购物品</w:t>
            </w:r>
          </w:p>
        </w:tc>
        <w:tc>
          <w:tcPr>
            <w:tcW w:w="701" w:type="pct"/>
            <w:shd w:val="clear" w:color="auto" w:fill="FFFFFF"/>
            <w:vAlign w:val="center"/>
          </w:tcPr>
          <w:p w14:paraId="74951B6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方正楷体_GBK" w:cs="方正楷体_GBK"/>
                <w:i w:val="0"/>
                <w:iCs w:val="0"/>
                <w:color w:val="000000"/>
                <w:sz w:val="20"/>
                <w:szCs w:val="20"/>
                <w:u w:val="none"/>
              </w:rPr>
            </w:pPr>
            <w:r>
              <w:rPr>
                <w:rFonts w:hint="eastAsia" w:ascii="Times New Roman" w:hAnsi="Times New Roman" w:eastAsia="方正楷体_GBK" w:cs="方正楷体_GBK"/>
                <w:i w:val="0"/>
                <w:iCs w:val="0"/>
                <w:color w:val="000000"/>
                <w:kern w:val="0"/>
                <w:sz w:val="20"/>
                <w:szCs w:val="20"/>
                <w:u w:val="none"/>
                <w:lang w:val="en-US" w:eastAsia="zh-CN" w:bidi="ar"/>
              </w:rPr>
              <w:t>30元/次</w:t>
            </w:r>
          </w:p>
        </w:tc>
        <w:tc>
          <w:tcPr>
            <w:tcW w:w="1204" w:type="pct"/>
            <w:shd w:val="clear" w:color="auto" w:fill="FFFFFF"/>
            <w:noWrap/>
            <w:vAlign w:val="center"/>
          </w:tcPr>
          <w:p w14:paraId="1DBF473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方正楷体_GBK" w:cs="方正楷体_GBK"/>
                <w:i w:val="0"/>
                <w:iCs w:val="0"/>
                <w:color w:val="000000"/>
                <w:sz w:val="20"/>
                <w:szCs w:val="20"/>
                <w:u w:val="none"/>
              </w:rPr>
            </w:pPr>
            <w:r>
              <w:rPr>
                <w:rFonts w:hint="eastAsia" w:ascii="Times New Roman" w:hAnsi="Times New Roman" w:eastAsia="方正楷体_GBK" w:cs="方正楷体_GBK"/>
                <w:i w:val="0"/>
                <w:iCs w:val="0"/>
                <w:color w:val="000000"/>
                <w:kern w:val="0"/>
                <w:sz w:val="20"/>
                <w:szCs w:val="20"/>
                <w:u w:val="none"/>
                <w:lang w:val="en-US" w:eastAsia="zh-CN" w:bidi="ar"/>
              </w:rPr>
              <w:t>90%</w:t>
            </w:r>
          </w:p>
        </w:tc>
        <w:tc>
          <w:tcPr>
            <w:tcW w:w="686" w:type="pct"/>
            <w:shd w:val="clear" w:color="auto" w:fill="FFFFFF"/>
            <w:noWrap/>
            <w:vAlign w:val="center"/>
          </w:tcPr>
          <w:p w14:paraId="0B540B0B">
            <w:pPr>
              <w:keepNext w:val="0"/>
              <w:keepLines w:val="0"/>
              <w:pageBreakBefore w:val="0"/>
              <w:widowControl/>
              <w:kinsoku/>
              <w:wordWrap/>
              <w:overflowPunct/>
              <w:topLinePunct w:val="0"/>
              <w:autoSpaceDE/>
              <w:autoSpaceDN/>
              <w:bidi w:val="0"/>
              <w:adjustRightInd/>
              <w:snapToGrid/>
              <w:spacing w:line="0" w:lineRule="atLeast"/>
              <w:jc w:val="center"/>
              <w:rPr>
                <w:rFonts w:hint="eastAsia" w:ascii="Times New Roman" w:hAnsi="Times New Roman" w:eastAsia="方正楷体_GBK" w:cs="方正楷体_GBK"/>
                <w:i w:val="0"/>
                <w:iCs w:val="0"/>
                <w:color w:val="000000"/>
                <w:sz w:val="20"/>
                <w:szCs w:val="20"/>
                <w:u w:val="none"/>
              </w:rPr>
            </w:pPr>
          </w:p>
        </w:tc>
      </w:tr>
      <w:tr w14:paraId="615B7B9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229" w:type="pct"/>
            <w:vMerge w:val="continue"/>
            <w:shd w:val="clear" w:color="auto" w:fill="FFFFFF"/>
            <w:noWrap/>
            <w:vAlign w:val="center"/>
          </w:tcPr>
          <w:p w14:paraId="577D744D">
            <w:pPr>
              <w:keepNext w:val="0"/>
              <w:keepLines w:val="0"/>
              <w:pageBreakBefore w:val="0"/>
              <w:widowControl/>
              <w:kinsoku/>
              <w:wordWrap/>
              <w:overflowPunct/>
              <w:topLinePunct w:val="0"/>
              <w:autoSpaceDE/>
              <w:autoSpaceDN/>
              <w:bidi w:val="0"/>
              <w:adjustRightInd/>
              <w:snapToGrid/>
              <w:spacing w:line="0" w:lineRule="atLeast"/>
              <w:jc w:val="center"/>
              <w:rPr>
                <w:rFonts w:hint="eastAsia" w:ascii="Times New Roman" w:hAnsi="Times New Roman" w:eastAsia="方正楷体_GBK" w:cs="方正楷体_GBK"/>
                <w:i w:val="0"/>
                <w:iCs w:val="0"/>
                <w:color w:val="000000"/>
                <w:sz w:val="20"/>
                <w:szCs w:val="20"/>
                <w:u w:val="none"/>
              </w:rPr>
            </w:pPr>
          </w:p>
        </w:tc>
        <w:tc>
          <w:tcPr>
            <w:tcW w:w="367" w:type="pct"/>
            <w:vMerge w:val="continue"/>
            <w:shd w:val="clear" w:color="auto" w:fill="FFFFFF"/>
            <w:vAlign w:val="center"/>
          </w:tcPr>
          <w:p w14:paraId="607F7F02">
            <w:pPr>
              <w:keepNext w:val="0"/>
              <w:keepLines w:val="0"/>
              <w:pageBreakBefore w:val="0"/>
              <w:widowControl/>
              <w:kinsoku/>
              <w:wordWrap/>
              <w:overflowPunct/>
              <w:topLinePunct w:val="0"/>
              <w:autoSpaceDE/>
              <w:autoSpaceDN/>
              <w:bidi w:val="0"/>
              <w:adjustRightInd/>
              <w:snapToGrid/>
              <w:spacing w:line="0" w:lineRule="atLeast"/>
              <w:jc w:val="center"/>
              <w:rPr>
                <w:rFonts w:hint="eastAsia" w:ascii="Times New Roman" w:hAnsi="Times New Roman" w:eastAsia="方正楷体_GBK" w:cs="方正楷体_GBK"/>
                <w:i w:val="0"/>
                <w:iCs w:val="0"/>
                <w:color w:val="000000"/>
                <w:sz w:val="20"/>
                <w:szCs w:val="20"/>
                <w:u w:val="none"/>
              </w:rPr>
            </w:pPr>
          </w:p>
        </w:tc>
        <w:tc>
          <w:tcPr>
            <w:tcW w:w="1810" w:type="pct"/>
            <w:gridSpan w:val="2"/>
            <w:shd w:val="clear" w:color="auto" w:fill="auto"/>
            <w:vAlign w:val="center"/>
          </w:tcPr>
          <w:p w14:paraId="7AC1CCA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方正楷体_GBK" w:cs="方正楷体_GBK"/>
                <w:i w:val="0"/>
                <w:iCs w:val="0"/>
                <w:color w:val="000000"/>
                <w:sz w:val="20"/>
                <w:szCs w:val="20"/>
                <w:u w:val="none"/>
              </w:rPr>
            </w:pPr>
            <w:r>
              <w:rPr>
                <w:rFonts w:hint="eastAsia" w:ascii="Times New Roman" w:hAnsi="Times New Roman" w:eastAsia="方正楷体_GBK" w:cs="方正楷体_GBK"/>
                <w:i w:val="0"/>
                <w:iCs w:val="0"/>
                <w:color w:val="000000"/>
                <w:kern w:val="0"/>
                <w:sz w:val="20"/>
                <w:szCs w:val="20"/>
                <w:u w:val="none"/>
                <w:lang w:val="en-US" w:eastAsia="zh-CN" w:bidi="ar"/>
              </w:rPr>
              <w:t>管道疏通</w:t>
            </w:r>
          </w:p>
        </w:tc>
        <w:tc>
          <w:tcPr>
            <w:tcW w:w="701" w:type="pct"/>
            <w:shd w:val="clear" w:color="auto" w:fill="FFFFFF"/>
            <w:vAlign w:val="center"/>
          </w:tcPr>
          <w:p w14:paraId="6244520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方正楷体_GBK" w:cs="方正楷体_GBK"/>
                <w:i w:val="0"/>
                <w:iCs w:val="0"/>
                <w:color w:val="000000"/>
                <w:sz w:val="20"/>
                <w:szCs w:val="20"/>
                <w:u w:val="none"/>
              </w:rPr>
            </w:pPr>
            <w:r>
              <w:rPr>
                <w:rFonts w:hint="eastAsia" w:ascii="Times New Roman" w:hAnsi="Times New Roman" w:eastAsia="方正楷体_GBK" w:cs="方正楷体_GBK"/>
                <w:i w:val="0"/>
                <w:iCs w:val="0"/>
                <w:color w:val="000000"/>
                <w:kern w:val="0"/>
                <w:sz w:val="20"/>
                <w:szCs w:val="20"/>
                <w:u w:val="none"/>
                <w:lang w:val="en-US" w:eastAsia="zh-CN" w:bidi="ar"/>
              </w:rPr>
              <w:t>30元/次</w:t>
            </w:r>
          </w:p>
        </w:tc>
        <w:tc>
          <w:tcPr>
            <w:tcW w:w="1204" w:type="pct"/>
            <w:shd w:val="clear" w:color="auto" w:fill="FFFFFF"/>
            <w:noWrap/>
            <w:vAlign w:val="center"/>
          </w:tcPr>
          <w:p w14:paraId="77E7441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方正楷体_GBK" w:cs="方正楷体_GBK"/>
                <w:i w:val="0"/>
                <w:iCs w:val="0"/>
                <w:color w:val="000000"/>
                <w:sz w:val="20"/>
                <w:szCs w:val="20"/>
                <w:u w:val="none"/>
              </w:rPr>
            </w:pPr>
            <w:r>
              <w:rPr>
                <w:rFonts w:hint="eastAsia" w:ascii="Times New Roman" w:hAnsi="Times New Roman" w:eastAsia="方正楷体_GBK" w:cs="方正楷体_GBK"/>
                <w:i w:val="0"/>
                <w:iCs w:val="0"/>
                <w:color w:val="000000"/>
                <w:kern w:val="0"/>
                <w:sz w:val="20"/>
                <w:szCs w:val="20"/>
                <w:u w:val="none"/>
                <w:lang w:val="en-US" w:eastAsia="zh-CN" w:bidi="ar"/>
              </w:rPr>
              <w:t>90%</w:t>
            </w:r>
          </w:p>
        </w:tc>
        <w:tc>
          <w:tcPr>
            <w:tcW w:w="686" w:type="pct"/>
            <w:shd w:val="clear" w:color="auto" w:fill="FFFFFF"/>
            <w:noWrap/>
            <w:vAlign w:val="center"/>
          </w:tcPr>
          <w:p w14:paraId="22AE5651">
            <w:pPr>
              <w:keepNext w:val="0"/>
              <w:keepLines w:val="0"/>
              <w:pageBreakBefore w:val="0"/>
              <w:widowControl/>
              <w:kinsoku/>
              <w:wordWrap/>
              <w:overflowPunct/>
              <w:topLinePunct w:val="0"/>
              <w:autoSpaceDE/>
              <w:autoSpaceDN/>
              <w:bidi w:val="0"/>
              <w:adjustRightInd/>
              <w:snapToGrid/>
              <w:spacing w:line="0" w:lineRule="atLeast"/>
              <w:jc w:val="center"/>
              <w:rPr>
                <w:rFonts w:hint="eastAsia" w:ascii="Times New Roman" w:hAnsi="Times New Roman" w:eastAsia="方正楷体_GBK" w:cs="方正楷体_GBK"/>
                <w:i w:val="0"/>
                <w:iCs w:val="0"/>
                <w:color w:val="000000"/>
                <w:sz w:val="20"/>
                <w:szCs w:val="20"/>
                <w:u w:val="none"/>
              </w:rPr>
            </w:pPr>
          </w:p>
        </w:tc>
      </w:tr>
      <w:tr w14:paraId="40BEEEA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29" w:hRule="atLeast"/>
          <w:jc w:val="center"/>
        </w:trPr>
        <w:tc>
          <w:tcPr>
            <w:tcW w:w="229" w:type="pct"/>
            <w:vMerge w:val="continue"/>
            <w:shd w:val="clear" w:color="auto" w:fill="FFFFFF"/>
            <w:noWrap/>
            <w:vAlign w:val="center"/>
          </w:tcPr>
          <w:p w14:paraId="3A026A5A">
            <w:pPr>
              <w:keepNext w:val="0"/>
              <w:keepLines w:val="0"/>
              <w:pageBreakBefore w:val="0"/>
              <w:widowControl/>
              <w:kinsoku/>
              <w:wordWrap/>
              <w:overflowPunct/>
              <w:topLinePunct w:val="0"/>
              <w:autoSpaceDE/>
              <w:autoSpaceDN/>
              <w:bidi w:val="0"/>
              <w:adjustRightInd/>
              <w:snapToGrid/>
              <w:spacing w:line="0" w:lineRule="atLeast"/>
              <w:jc w:val="center"/>
              <w:rPr>
                <w:rFonts w:hint="eastAsia" w:ascii="Times New Roman" w:hAnsi="Times New Roman" w:eastAsia="方正楷体_GBK" w:cs="方正楷体_GBK"/>
                <w:i w:val="0"/>
                <w:iCs w:val="0"/>
                <w:color w:val="000000"/>
                <w:sz w:val="20"/>
                <w:szCs w:val="20"/>
                <w:u w:val="none"/>
              </w:rPr>
            </w:pPr>
          </w:p>
        </w:tc>
        <w:tc>
          <w:tcPr>
            <w:tcW w:w="367" w:type="pct"/>
            <w:vMerge w:val="continue"/>
            <w:shd w:val="clear" w:color="auto" w:fill="FFFFFF"/>
            <w:vAlign w:val="center"/>
          </w:tcPr>
          <w:p w14:paraId="26FD315B">
            <w:pPr>
              <w:keepNext w:val="0"/>
              <w:keepLines w:val="0"/>
              <w:pageBreakBefore w:val="0"/>
              <w:widowControl/>
              <w:kinsoku/>
              <w:wordWrap/>
              <w:overflowPunct/>
              <w:topLinePunct w:val="0"/>
              <w:autoSpaceDE/>
              <w:autoSpaceDN/>
              <w:bidi w:val="0"/>
              <w:adjustRightInd/>
              <w:snapToGrid/>
              <w:spacing w:line="0" w:lineRule="atLeast"/>
              <w:jc w:val="center"/>
              <w:rPr>
                <w:rFonts w:hint="eastAsia" w:ascii="Times New Roman" w:hAnsi="Times New Roman" w:eastAsia="方正楷体_GBK" w:cs="方正楷体_GBK"/>
                <w:i w:val="0"/>
                <w:iCs w:val="0"/>
                <w:color w:val="000000"/>
                <w:sz w:val="20"/>
                <w:szCs w:val="20"/>
                <w:u w:val="none"/>
              </w:rPr>
            </w:pPr>
          </w:p>
        </w:tc>
        <w:tc>
          <w:tcPr>
            <w:tcW w:w="1810" w:type="pct"/>
            <w:gridSpan w:val="2"/>
            <w:shd w:val="clear" w:color="auto" w:fill="auto"/>
            <w:vAlign w:val="center"/>
          </w:tcPr>
          <w:p w14:paraId="100FE11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方正楷体_GBK" w:cs="方正楷体_GBK"/>
                <w:i w:val="0"/>
                <w:iCs w:val="0"/>
                <w:color w:val="000000"/>
                <w:sz w:val="20"/>
                <w:szCs w:val="20"/>
                <w:u w:val="none"/>
              </w:rPr>
            </w:pPr>
            <w:r>
              <w:rPr>
                <w:rFonts w:hint="eastAsia" w:ascii="Times New Roman" w:hAnsi="Times New Roman" w:eastAsia="方正楷体_GBK" w:cs="方正楷体_GBK"/>
                <w:i w:val="0"/>
                <w:iCs w:val="0"/>
                <w:color w:val="000000"/>
                <w:kern w:val="0"/>
                <w:sz w:val="20"/>
                <w:szCs w:val="20"/>
                <w:u w:val="none"/>
                <w:lang w:val="en-US" w:eastAsia="zh-CN" w:bidi="ar"/>
              </w:rPr>
              <w:t>应急维修</w:t>
            </w:r>
          </w:p>
        </w:tc>
        <w:tc>
          <w:tcPr>
            <w:tcW w:w="701" w:type="pct"/>
            <w:shd w:val="clear" w:color="auto" w:fill="FFFFFF"/>
            <w:vAlign w:val="center"/>
          </w:tcPr>
          <w:p w14:paraId="4841EB0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方正楷体_GBK" w:cs="方正楷体_GBK"/>
                <w:i w:val="0"/>
                <w:iCs w:val="0"/>
                <w:color w:val="000000"/>
                <w:sz w:val="20"/>
                <w:szCs w:val="20"/>
                <w:u w:val="none"/>
              </w:rPr>
            </w:pPr>
            <w:r>
              <w:rPr>
                <w:rFonts w:hint="eastAsia" w:ascii="Times New Roman" w:hAnsi="Times New Roman" w:eastAsia="方正楷体_GBK" w:cs="方正楷体_GBK"/>
                <w:i w:val="0"/>
                <w:iCs w:val="0"/>
                <w:color w:val="000000"/>
                <w:kern w:val="0"/>
                <w:sz w:val="20"/>
                <w:szCs w:val="20"/>
                <w:u w:val="none"/>
                <w:lang w:val="en-US" w:eastAsia="zh-CN" w:bidi="ar"/>
              </w:rPr>
              <w:t>30元/次</w:t>
            </w:r>
          </w:p>
        </w:tc>
        <w:tc>
          <w:tcPr>
            <w:tcW w:w="1204" w:type="pct"/>
            <w:shd w:val="clear" w:color="auto" w:fill="FFFFFF"/>
            <w:noWrap/>
            <w:vAlign w:val="center"/>
          </w:tcPr>
          <w:p w14:paraId="0589217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方正楷体_GBK" w:cs="方正楷体_GBK"/>
                <w:i w:val="0"/>
                <w:iCs w:val="0"/>
                <w:color w:val="000000"/>
                <w:sz w:val="20"/>
                <w:szCs w:val="20"/>
                <w:u w:val="none"/>
              </w:rPr>
            </w:pPr>
            <w:r>
              <w:rPr>
                <w:rFonts w:hint="eastAsia" w:ascii="Times New Roman" w:hAnsi="Times New Roman" w:eastAsia="方正楷体_GBK" w:cs="方正楷体_GBK"/>
                <w:i w:val="0"/>
                <w:iCs w:val="0"/>
                <w:color w:val="000000"/>
                <w:kern w:val="0"/>
                <w:sz w:val="20"/>
                <w:szCs w:val="20"/>
                <w:u w:val="none"/>
                <w:lang w:val="en-US" w:eastAsia="zh-CN" w:bidi="ar"/>
              </w:rPr>
              <w:t>90%</w:t>
            </w:r>
          </w:p>
        </w:tc>
        <w:tc>
          <w:tcPr>
            <w:tcW w:w="686" w:type="pct"/>
            <w:shd w:val="clear" w:color="auto" w:fill="FFFFFF"/>
            <w:noWrap/>
            <w:vAlign w:val="center"/>
          </w:tcPr>
          <w:p w14:paraId="539C4FE8">
            <w:pPr>
              <w:keepNext w:val="0"/>
              <w:keepLines w:val="0"/>
              <w:pageBreakBefore w:val="0"/>
              <w:widowControl/>
              <w:kinsoku/>
              <w:wordWrap/>
              <w:overflowPunct/>
              <w:topLinePunct w:val="0"/>
              <w:autoSpaceDE/>
              <w:autoSpaceDN/>
              <w:bidi w:val="0"/>
              <w:adjustRightInd/>
              <w:snapToGrid/>
              <w:spacing w:line="0" w:lineRule="atLeast"/>
              <w:jc w:val="center"/>
              <w:rPr>
                <w:rFonts w:hint="eastAsia" w:ascii="Times New Roman" w:hAnsi="Times New Roman" w:eastAsia="方正楷体_GBK" w:cs="方正楷体_GBK"/>
                <w:i w:val="0"/>
                <w:iCs w:val="0"/>
                <w:color w:val="000000"/>
                <w:sz w:val="20"/>
                <w:szCs w:val="20"/>
                <w:u w:val="none"/>
              </w:rPr>
            </w:pPr>
          </w:p>
        </w:tc>
      </w:tr>
    </w:tbl>
    <w:p w14:paraId="236E37B5">
      <w:pPr>
        <w:rPr>
          <w:rFonts w:hint="eastAsia" w:ascii="Times New Roman" w:hAnsi="Times New Roman" w:eastAsia="方正楷体_GBK" w:cs="方正楷体_GBK"/>
          <w:b/>
          <w:bCs/>
          <w:i w:val="0"/>
          <w:iCs w:val="0"/>
          <w:color w:val="000000"/>
          <w:kern w:val="0"/>
          <w:sz w:val="22"/>
          <w:szCs w:val="22"/>
          <w:u w:val="none"/>
          <w:lang w:val="en-US" w:eastAsia="zh-CN" w:bidi="ar"/>
        </w:rPr>
      </w:pPr>
      <w:r>
        <w:rPr>
          <w:rFonts w:hint="eastAsia" w:ascii="Times New Roman" w:hAnsi="Times New Roman" w:eastAsia="方正楷体_GBK" w:cs="方正楷体_GBK"/>
          <w:b/>
          <w:bCs/>
          <w:i w:val="0"/>
          <w:iCs w:val="0"/>
          <w:color w:val="000000"/>
          <w:kern w:val="0"/>
          <w:sz w:val="22"/>
          <w:szCs w:val="22"/>
          <w:u w:val="none"/>
          <w:lang w:val="en-US" w:eastAsia="zh-CN" w:bidi="ar"/>
        </w:rPr>
        <w:br w:type="page"/>
      </w:r>
    </w:p>
    <w:p w14:paraId="00C274F8">
      <w:pPr>
        <w:keepNext w:val="0"/>
        <w:keepLines w:val="0"/>
        <w:widowControl/>
        <w:suppressLineNumbers w:val="0"/>
        <w:jc w:val="center"/>
        <w:textAlignment w:val="center"/>
        <w:rPr>
          <w:rFonts w:hint="eastAsia" w:ascii="Times New Roman" w:hAnsi="Times New Roman" w:eastAsia="方正黑体_GBK" w:cs="方正黑体_GBK"/>
          <w:b w:val="0"/>
          <w:bCs w:val="0"/>
          <w:i w:val="0"/>
          <w:iCs w:val="0"/>
          <w:color w:val="000000"/>
          <w:kern w:val="0"/>
          <w:sz w:val="32"/>
          <w:szCs w:val="32"/>
          <w:u w:val="none"/>
          <w:lang w:val="en-US" w:eastAsia="zh-CN" w:bidi="ar"/>
        </w:rPr>
      </w:pPr>
      <w:r>
        <w:rPr>
          <w:rFonts w:hint="eastAsia" w:ascii="Times New Roman" w:hAnsi="Times New Roman" w:eastAsia="方正黑体_GBK" w:cs="方正黑体_GBK"/>
          <w:b w:val="0"/>
          <w:bCs w:val="0"/>
          <w:i w:val="0"/>
          <w:iCs w:val="0"/>
          <w:color w:val="000000"/>
          <w:kern w:val="0"/>
          <w:sz w:val="32"/>
          <w:szCs w:val="32"/>
          <w:u w:val="none"/>
          <w:lang w:val="en-US" w:eastAsia="zh-CN" w:bidi="ar"/>
        </w:rPr>
        <w:t>“银龄卡”服务清单（站点服务类）</w:t>
      </w:r>
    </w:p>
    <w:tbl>
      <w:tblPr>
        <w:tblStyle w:val="4"/>
        <w:tblW w:w="499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398"/>
        <w:gridCol w:w="1257"/>
        <w:gridCol w:w="2849"/>
        <w:gridCol w:w="1742"/>
        <w:gridCol w:w="1335"/>
        <w:gridCol w:w="1080"/>
      </w:tblGrid>
      <w:tr w14:paraId="6C8FF32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7" w:hRule="atLeast"/>
          <w:tblHeader/>
          <w:jc w:val="center"/>
        </w:trPr>
        <w:tc>
          <w:tcPr>
            <w:tcW w:w="229" w:type="pct"/>
            <w:shd w:val="clear" w:color="auto" w:fill="D9E1F2"/>
            <w:vAlign w:val="center"/>
          </w:tcPr>
          <w:p w14:paraId="5F088F7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方正黑体_GBK" w:cs="方正黑体_GBK"/>
                <w:b w:val="0"/>
                <w:bCs w:val="0"/>
                <w:i w:val="0"/>
                <w:iCs w:val="0"/>
                <w:color w:val="000000"/>
                <w:sz w:val="20"/>
                <w:szCs w:val="20"/>
                <w:u w:val="none"/>
              </w:rPr>
            </w:pPr>
            <w:r>
              <w:rPr>
                <w:rFonts w:hint="eastAsia" w:ascii="Times New Roman" w:hAnsi="Times New Roman" w:eastAsia="方正黑体_GBK" w:cs="方正黑体_GBK"/>
                <w:b w:val="0"/>
                <w:bCs w:val="0"/>
                <w:i w:val="0"/>
                <w:iCs w:val="0"/>
                <w:color w:val="000000"/>
                <w:kern w:val="0"/>
                <w:sz w:val="20"/>
                <w:szCs w:val="20"/>
                <w:u w:val="none"/>
                <w:lang w:val="en-US" w:eastAsia="zh-CN" w:bidi="ar"/>
              </w:rPr>
              <w:t>序号</w:t>
            </w:r>
          </w:p>
        </w:tc>
        <w:tc>
          <w:tcPr>
            <w:tcW w:w="726" w:type="pct"/>
            <w:shd w:val="clear" w:color="auto" w:fill="D9E1F2"/>
            <w:vAlign w:val="center"/>
          </w:tcPr>
          <w:p w14:paraId="131F4BC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方正黑体_GBK" w:cs="方正黑体_GBK"/>
                <w:b w:val="0"/>
                <w:bCs w:val="0"/>
                <w:i w:val="0"/>
                <w:iCs w:val="0"/>
                <w:color w:val="000000"/>
                <w:sz w:val="20"/>
                <w:szCs w:val="20"/>
                <w:u w:val="none"/>
              </w:rPr>
            </w:pPr>
            <w:r>
              <w:rPr>
                <w:rFonts w:hint="eastAsia" w:ascii="Times New Roman" w:hAnsi="Times New Roman" w:eastAsia="方正黑体_GBK" w:cs="方正黑体_GBK"/>
                <w:b w:val="0"/>
                <w:bCs w:val="0"/>
                <w:i w:val="0"/>
                <w:iCs w:val="0"/>
                <w:color w:val="000000"/>
                <w:kern w:val="0"/>
                <w:sz w:val="20"/>
                <w:szCs w:val="20"/>
                <w:u w:val="none"/>
                <w:lang w:val="en-US" w:eastAsia="zh-CN" w:bidi="ar"/>
              </w:rPr>
              <w:t>服务类别</w:t>
            </w:r>
          </w:p>
        </w:tc>
        <w:tc>
          <w:tcPr>
            <w:tcW w:w="1644" w:type="pct"/>
            <w:shd w:val="clear" w:color="auto" w:fill="D9E1F2"/>
            <w:vAlign w:val="center"/>
          </w:tcPr>
          <w:p w14:paraId="31C8620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方正黑体_GBK" w:cs="方正黑体_GBK"/>
                <w:b w:val="0"/>
                <w:bCs w:val="0"/>
                <w:i w:val="0"/>
                <w:iCs w:val="0"/>
                <w:color w:val="000000"/>
                <w:sz w:val="20"/>
                <w:szCs w:val="20"/>
                <w:u w:val="none"/>
              </w:rPr>
            </w:pPr>
            <w:r>
              <w:rPr>
                <w:rFonts w:hint="eastAsia" w:ascii="Times New Roman" w:hAnsi="Times New Roman" w:eastAsia="方正黑体_GBK" w:cs="方正黑体_GBK"/>
                <w:b w:val="0"/>
                <w:bCs w:val="0"/>
                <w:i w:val="0"/>
                <w:iCs w:val="0"/>
                <w:color w:val="000000"/>
                <w:kern w:val="0"/>
                <w:sz w:val="20"/>
                <w:szCs w:val="20"/>
                <w:u w:val="none"/>
                <w:lang w:val="en-US" w:eastAsia="zh-CN" w:bidi="ar"/>
              </w:rPr>
              <w:t>服务明细</w:t>
            </w:r>
          </w:p>
        </w:tc>
        <w:tc>
          <w:tcPr>
            <w:tcW w:w="1005" w:type="pct"/>
            <w:shd w:val="clear" w:color="auto" w:fill="D9E1F2"/>
            <w:noWrap/>
            <w:vAlign w:val="center"/>
          </w:tcPr>
          <w:p w14:paraId="067D860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方正黑体_GBK" w:cs="方正黑体_GBK"/>
                <w:b w:val="0"/>
                <w:bCs w:val="0"/>
                <w:i w:val="0"/>
                <w:iCs w:val="0"/>
                <w:color w:val="000000"/>
                <w:sz w:val="20"/>
                <w:szCs w:val="20"/>
                <w:u w:val="none"/>
              </w:rPr>
            </w:pPr>
            <w:r>
              <w:rPr>
                <w:rFonts w:hint="eastAsia" w:ascii="Times New Roman" w:hAnsi="Times New Roman" w:eastAsia="方正黑体_GBK" w:cs="方正黑体_GBK"/>
                <w:b w:val="0"/>
                <w:bCs w:val="0"/>
                <w:i w:val="0"/>
                <w:iCs w:val="0"/>
                <w:color w:val="000000"/>
                <w:kern w:val="0"/>
                <w:sz w:val="20"/>
                <w:szCs w:val="20"/>
                <w:u w:val="none"/>
                <w:lang w:val="en-US" w:eastAsia="zh-CN" w:bidi="ar"/>
              </w:rPr>
              <w:t>指导价格</w:t>
            </w:r>
          </w:p>
        </w:tc>
        <w:tc>
          <w:tcPr>
            <w:tcW w:w="770" w:type="pct"/>
            <w:shd w:val="clear" w:color="auto" w:fill="D9E1F2"/>
            <w:vAlign w:val="center"/>
          </w:tcPr>
          <w:p w14:paraId="04570E7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方正黑体_GBK" w:cs="方正黑体_GBK"/>
                <w:b w:val="0"/>
                <w:bCs w:val="0"/>
                <w:i w:val="0"/>
                <w:iCs w:val="0"/>
                <w:color w:val="000000"/>
                <w:sz w:val="20"/>
                <w:szCs w:val="20"/>
                <w:u w:val="none"/>
              </w:rPr>
            </w:pPr>
            <w:r>
              <w:rPr>
                <w:rFonts w:hint="eastAsia" w:ascii="Times New Roman" w:hAnsi="Times New Roman" w:eastAsia="方正黑体_GBK" w:cs="方正黑体_GBK"/>
                <w:b w:val="0"/>
                <w:bCs w:val="0"/>
                <w:i w:val="0"/>
                <w:iCs w:val="0"/>
                <w:color w:val="000000"/>
                <w:kern w:val="0"/>
                <w:sz w:val="20"/>
                <w:szCs w:val="20"/>
                <w:u w:val="none"/>
                <w:lang w:val="en-US" w:eastAsia="zh-CN" w:bidi="ar"/>
              </w:rPr>
              <w:t>调整后比例</w:t>
            </w:r>
          </w:p>
        </w:tc>
        <w:tc>
          <w:tcPr>
            <w:tcW w:w="623" w:type="pct"/>
            <w:shd w:val="clear" w:color="auto" w:fill="D9E1F2"/>
            <w:vAlign w:val="center"/>
          </w:tcPr>
          <w:p w14:paraId="7086BD6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方正黑体_GBK" w:cs="方正黑体_GBK"/>
                <w:b w:val="0"/>
                <w:bCs w:val="0"/>
                <w:i w:val="0"/>
                <w:iCs w:val="0"/>
                <w:color w:val="000000"/>
                <w:sz w:val="20"/>
                <w:szCs w:val="20"/>
                <w:u w:val="none"/>
              </w:rPr>
            </w:pPr>
            <w:r>
              <w:rPr>
                <w:rFonts w:hint="eastAsia" w:ascii="Times New Roman" w:hAnsi="Times New Roman" w:eastAsia="方正黑体_GBK" w:cs="方正黑体_GBK"/>
                <w:b w:val="0"/>
                <w:bCs w:val="0"/>
                <w:i w:val="0"/>
                <w:iCs w:val="0"/>
                <w:color w:val="000000"/>
                <w:kern w:val="0"/>
                <w:sz w:val="20"/>
                <w:szCs w:val="20"/>
                <w:u w:val="none"/>
                <w:lang w:val="en-US" w:eastAsia="zh-CN" w:bidi="ar"/>
              </w:rPr>
              <w:t>最低时长</w:t>
            </w:r>
          </w:p>
        </w:tc>
      </w:tr>
      <w:tr w14:paraId="63D11CE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7" w:hRule="atLeast"/>
          <w:jc w:val="center"/>
        </w:trPr>
        <w:tc>
          <w:tcPr>
            <w:tcW w:w="229" w:type="pct"/>
            <w:vMerge w:val="restart"/>
            <w:shd w:val="clear" w:color="auto" w:fill="auto"/>
            <w:noWrap/>
            <w:vAlign w:val="center"/>
          </w:tcPr>
          <w:p w14:paraId="28BE8E0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方正楷体_GBK" w:cs="方正楷体_GBK"/>
                <w:i w:val="0"/>
                <w:iCs w:val="0"/>
                <w:color w:val="000000"/>
                <w:sz w:val="20"/>
                <w:szCs w:val="20"/>
                <w:u w:val="none"/>
              </w:rPr>
            </w:pPr>
            <w:r>
              <w:rPr>
                <w:rFonts w:hint="eastAsia" w:ascii="Times New Roman" w:hAnsi="Times New Roman" w:eastAsia="方正楷体_GBK" w:cs="方正楷体_GBK"/>
                <w:i w:val="0"/>
                <w:iCs w:val="0"/>
                <w:color w:val="000000"/>
                <w:kern w:val="0"/>
                <w:sz w:val="20"/>
                <w:szCs w:val="20"/>
                <w:u w:val="none"/>
                <w:lang w:val="en-US" w:eastAsia="zh-CN" w:bidi="ar"/>
              </w:rPr>
              <w:t>1</w:t>
            </w:r>
          </w:p>
        </w:tc>
        <w:tc>
          <w:tcPr>
            <w:tcW w:w="726" w:type="pct"/>
            <w:vMerge w:val="restart"/>
            <w:shd w:val="clear" w:color="auto" w:fill="auto"/>
            <w:vAlign w:val="center"/>
          </w:tcPr>
          <w:p w14:paraId="19F24B8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方正楷体_GBK" w:cs="方正楷体_GBK"/>
                <w:i w:val="0"/>
                <w:iCs w:val="0"/>
                <w:color w:val="000000"/>
                <w:sz w:val="20"/>
                <w:szCs w:val="20"/>
                <w:u w:val="none"/>
              </w:rPr>
            </w:pPr>
            <w:r>
              <w:rPr>
                <w:rFonts w:hint="eastAsia" w:ascii="Times New Roman" w:hAnsi="Times New Roman" w:eastAsia="方正楷体_GBK" w:cs="方正楷体_GBK"/>
                <w:i w:val="0"/>
                <w:iCs w:val="0"/>
                <w:color w:val="000000"/>
                <w:kern w:val="0"/>
                <w:sz w:val="20"/>
                <w:szCs w:val="20"/>
                <w:u w:val="none"/>
                <w:lang w:val="en-US" w:eastAsia="zh-CN" w:bidi="ar"/>
              </w:rPr>
              <w:t>基础类服务</w:t>
            </w:r>
          </w:p>
        </w:tc>
        <w:tc>
          <w:tcPr>
            <w:tcW w:w="1644" w:type="pct"/>
            <w:shd w:val="clear" w:color="auto" w:fill="auto"/>
            <w:vAlign w:val="center"/>
          </w:tcPr>
          <w:p w14:paraId="6263FE9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方正楷体_GBK" w:cs="方正楷体_GBK"/>
                <w:i w:val="0"/>
                <w:iCs w:val="0"/>
                <w:color w:val="000000"/>
                <w:sz w:val="20"/>
                <w:szCs w:val="20"/>
                <w:u w:val="none"/>
              </w:rPr>
            </w:pPr>
            <w:r>
              <w:rPr>
                <w:rFonts w:hint="eastAsia" w:ascii="Times New Roman" w:hAnsi="Times New Roman" w:eastAsia="方正楷体_GBK" w:cs="方正楷体_GBK"/>
                <w:i w:val="0"/>
                <w:iCs w:val="0"/>
                <w:color w:val="000000"/>
                <w:kern w:val="0"/>
                <w:sz w:val="20"/>
                <w:szCs w:val="20"/>
                <w:u w:val="none"/>
                <w:lang w:val="en-US" w:eastAsia="zh-CN" w:bidi="ar"/>
              </w:rPr>
              <w:t>洗发、理发</w:t>
            </w:r>
          </w:p>
        </w:tc>
        <w:tc>
          <w:tcPr>
            <w:tcW w:w="1005" w:type="pct"/>
            <w:shd w:val="clear" w:color="auto" w:fill="auto"/>
            <w:vAlign w:val="center"/>
          </w:tcPr>
          <w:p w14:paraId="387269C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方正楷体_GBK" w:cs="方正楷体_GBK"/>
                <w:i w:val="0"/>
                <w:iCs w:val="0"/>
                <w:color w:val="000000"/>
                <w:sz w:val="20"/>
                <w:szCs w:val="20"/>
                <w:u w:val="none"/>
              </w:rPr>
            </w:pPr>
            <w:r>
              <w:rPr>
                <w:rFonts w:hint="eastAsia" w:ascii="Times New Roman" w:hAnsi="Times New Roman" w:eastAsia="方正楷体_GBK" w:cs="方正楷体_GBK"/>
                <w:i w:val="0"/>
                <w:iCs w:val="0"/>
                <w:color w:val="000000"/>
                <w:kern w:val="0"/>
                <w:sz w:val="20"/>
                <w:szCs w:val="20"/>
                <w:u w:val="none"/>
                <w:lang w:val="en-US" w:eastAsia="zh-CN" w:bidi="ar"/>
              </w:rPr>
              <w:t>20元/次</w:t>
            </w:r>
          </w:p>
        </w:tc>
        <w:tc>
          <w:tcPr>
            <w:tcW w:w="770" w:type="pct"/>
            <w:shd w:val="clear" w:color="auto" w:fill="auto"/>
            <w:noWrap/>
            <w:vAlign w:val="center"/>
          </w:tcPr>
          <w:p w14:paraId="159FB14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方正楷体_GBK" w:cs="方正楷体_GBK"/>
                <w:i w:val="0"/>
                <w:iCs w:val="0"/>
                <w:color w:val="000000"/>
                <w:sz w:val="20"/>
                <w:szCs w:val="20"/>
                <w:u w:val="none"/>
              </w:rPr>
            </w:pPr>
            <w:r>
              <w:rPr>
                <w:rFonts w:hint="eastAsia" w:ascii="Times New Roman" w:hAnsi="Times New Roman" w:eastAsia="方正楷体_GBK" w:cs="方正楷体_GBK"/>
                <w:i w:val="0"/>
                <w:iCs w:val="0"/>
                <w:color w:val="000000"/>
                <w:kern w:val="0"/>
                <w:sz w:val="20"/>
                <w:szCs w:val="20"/>
                <w:u w:val="none"/>
                <w:lang w:val="en-US" w:eastAsia="zh-CN" w:bidi="ar"/>
              </w:rPr>
              <w:t>100%</w:t>
            </w:r>
          </w:p>
        </w:tc>
        <w:tc>
          <w:tcPr>
            <w:tcW w:w="623" w:type="pct"/>
            <w:shd w:val="clear" w:color="auto" w:fill="auto"/>
            <w:noWrap/>
            <w:vAlign w:val="center"/>
          </w:tcPr>
          <w:p w14:paraId="78CDC89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方正楷体_GBK" w:cs="方正楷体_GBK"/>
                <w:i w:val="0"/>
                <w:iCs w:val="0"/>
                <w:color w:val="000000"/>
                <w:sz w:val="20"/>
                <w:szCs w:val="20"/>
                <w:u w:val="none"/>
              </w:rPr>
            </w:pPr>
            <w:r>
              <w:rPr>
                <w:rFonts w:hint="eastAsia" w:ascii="Times New Roman" w:hAnsi="Times New Roman" w:eastAsia="方正楷体_GBK" w:cs="方正楷体_GBK"/>
                <w:i w:val="0"/>
                <w:iCs w:val="0"/>
                <w:color w:val="000000"/>
                <w:kern w:val="0"/>
                <w:sz w:val="20"/>
                <w:szCs w:val="20"/>
                <w:u w:val="none"/>
                <w:lang w:val="en-US" w:eastAsia="zh-CN" w:bidi="ar"/>
              </w:rPr>
              <w:t>30分钟</w:t>
            </w:r>
          </w:p>
        </w:tc>
      </w:tr>
      <w:tr w14:paraId="7A8F19A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7" w:hRule="atLeast"/>
          <w:jc w:val="center"/>
        </w:trPr>
        <w:tc>
          <w:tcPr>
            <w:tcW w:w="229" w:type="pct"/>
            <w:vMerge w:val="continue"/>
            <w:shd w:val="clear" w:color="auto" w:fill="auto"/>
            <w:noWrap/>
            <w:vAlign w:val="center"/>
          </w:tcPr>
          <w:p w14:paraId="71BD7A85">
            <w:pPr>
              <w:keepNext w:val="0"/>
              <w:keepLines w:val="0"/>
              <w:pageBreakBefore w:val="0"/>
              <w:widowControl/>
              <w:kinsoku/>
              <w:wordWrap/>
              <w:overflowPunct/>
              <w:topLinePunct w:val="0"/>
              <w:autoSpaceDE/>
              <w:autoSpaceDN/>
              <w:bidi w:val="0"/>
              <w:adjustRightInd/>
              <w:snapToGrid/>
              <w:spacing w:line="0" w:lineRule="atLeast"/>
              <w:jc w:val="center"/>
              <w:rPr>
                <w:rFonts w:hint="eastAsia" w:ascii="Times New Roman" w:hAnsi="Times New Roman" w:eastAsia="方正楷体_GBK" w:cs="方正楷体_GBK"/>
                <w:i w:val="0"/>
                <w:iCs w:val="0"/>
                <w:color w:val="000000"/>
                <w:sz w:val="20"/>
                <w:szCs w:val="20"/>
                <w:u w:val="none"/>
              </w:rPr>
            </w:pPr>
          </w:p>
        </w:tc>
        <w:tc>
          <w:tcPr>
            <w:tcW w:w="726" w:type="pct"/>
            <w:vMerge w:val="continue"/>
            <w:shd w:val="clear" w:color="auto" w:fill="auto"/>
            <w:vAlign w:val="center"/>
          </w:tcPr>
          <w:p w14:paraId="122FA0AC">
            <w:pPr>
              <w:keepNext w:val="0"/>
              <w:keepLines w:val="0"/>
              <w:pageBreakBefore w:val="0"/>
              <w:widowControl/>
              <w:kinsoku/>
              <w:wordWrap/>
              <w:overflowPunct/>
              <w:topLinePunct w:val="0"/>
              <w:autoSpaceDE/>
              <w:autoSpaceDN/>
              <w:bidi w:val="0"/>
              <w:adjustRightInd/>
              <w:snapToGrid/>
              <w:spacing w:line="0" w:lineRule="atLeast"/>
              <w:jc w:val="center"/>
              <w:rPr>
                <w:rFonts w:hint="eastAsia" w:ascii="Times New Roman" w:hAnsi="Times New Roman" w:eastAsia="方正楷体_GBK" w:cs="方正楷体_GBK"/>
                <w:i w:val="0"/>
                <w:iCs w:val="0"/>
                <w:color w:val="000000"/>
                <w:sz w:val="20"/>
                <w:szCs w:val="20"/>
                <w:u w:val="none"/>
              </w:rPr>
            </w:pPr>
          </w:p>
        </w:tc>
        <w:tc>
          <w:tcPr>
            <w:tcW w:w="1644" w:type="pct"/>
            <w:shd w:val="clear" w:color="auto" w:fill="auto"/>
            <w:vAlign w:val="center"/>
          </w:tcPr>
          <w:p w14:paraId="3EAE911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方正楷体_GBK" w:cs="方正楷体_GBK"/>
                <w:i w:val="0"/>
                <w:iCs w:val="0"/>
                <w:color w:val="000000"/>
                <w:sz w:val="20"/>
                <w:szCs w:val="20"/>
                <w:u w:val="none"/>
              </w:rPr>
            </w:pPr>
            <w:r>
              <w:rPr>
                <w:rFonts w:hint="eastAsia" w:ascii="Times New Roman" w:hAnsi="Times New Roman" w:eastAsia="方正楷体_GBK" w:cs="方正楷体_GBK"/>
                <w:i w:val="0"/>
                <w:iCs w:val="0"/>
                <w:color w:val="000000"/>
                <w:kern w:val="0"/>
                <w:sz w:val="20"/>
                <w:szCs w:val="20"/>
                <w:u w:val="none"/>
                <w:lang w:val="en-US" w:eastAsia="zh-CN" w:bidi="ar"/>
              </w:rPr>
              <w:t>手足护理</w:t>
            </w:r>
          </w:p>
        </w:tc>
        <w:tc>
          <w:tcPr>
            <w:tcW w:w="1005" w:type="pct"/>
            <w:shd w:val="clear" w:color="auto" w:fill="auto"/>
            <w:vAlign w:val="center"/>
          </w:tcPr>
          <w:p w14:paraId="2C799D3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方正楷体_GBK" w:cs="方正楷体_GBK"/>
                <w:i w:val="0"/>
                <w:iCs w:val="0"/>
                <w:color w:val="000000"/>
                <w:sz w:val="20"/>
                <w:szCs w:val="20"/>
                <w:u w:val="none"/>
              </w:rPr>
            </w:pPr>
            <w:r>
              <w:rPr>
                <w:rFonts w:hint="eastAsia" w:ascii="Times New Roman" w:hAnsi="Times New Roman" w:eastAsia="方正楷体_GBK" w:cs="方正楷体_GBK"/>
                <w:i w:val="0"/>
                <w:iCs w:val="0"/>
                <w:color w:val="000000"/>
                <w:kern w:val="0"/>
                <w:sz w:val="20"/>
                <w:szCs w:val="20"/>
                <w:u w:val="none"/>
                <w:lang w:val="en-US" w:eastAsia="zh-CN" w:bidi="ar"/>
              </w:rPr>
              <w:t>20元/次</w:t>
            </w:r>
          </w:p>
        </w:tc>
        <w:tc>
          <w:tcPr>
            <w:tcW w:w="770" w:type="pct"/>
            <w:shd w:val="clear" w:color="auto" w:fill="auto"/>
            <w:noWrap/>
            <w:vAlign w:val="center"/>
          </w:tcPr>
          <w:p w14:paraId="7D66073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方正楷体_GBK" w:cs="方正楷体_GBK"/>
                <w:i w:val="0"/>
                <w:iCs w:val="0"/>
                <w:color w:val="000000"/>
                <w:sz w:val="20"/>
                <w:szCs w:val="20"/>
                <w:u w:val="none"/>
              </w:rPr>
            </w:pPr>
            <w:r>
              <w:rPr>
                <w:rFonts w:hint="eastAsia" w:ascii="Times New Roman" w:hAnsi="Times New Roman" w:eastAsia="方正楷体_GBK" w:cs="方正楷体_GBK"/>
                <w:i w:val="0"/>
                <w:iCs w:val="0"/>
                <w:color w:val="000000"/>
                <w:kern w:val="0"/>
                <w:sz w:val="20"/>
                <w:szCs w:val="20"/>
                <w:u w:val="none"/>
                <w:lang w:val="en-US" w:eastAsia="zh-CN" w:bidi="ar"/>
              </w:rPr>
              <w:t>100%</w:t>
            </w:r>
          </w:p>
        </w:tc>
        <w:tc>
          <w:tcPr>
            <w:tcW w:w="623" w:type="pct"/>
            <w:shd w:val="clear" w:color="auto" w:fill="auto"/>
            <w:noWrap/>
            <w:vAlign w:val="center"/>
          </w:tcPr>
          <w:p w14:paraId="083E774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方正楷体_GBK" w:cs="方正楷体_GBK"/>
                <w:i w:val="0"/>
                <w:iCs w:val="0"/>
                <w:color w:val="000000"/>
                <w:sz w:val="20"/>
                <w:szCs w:val="20"/>
                <w:u w:val="none"/>
              </w:rPr>
            </w:pPr>
            <w:r>
              <w:rPr>
                <w:rFonts w:hint="eastAsia" w:ascii="Times New Roman" w:hAnsi="Times New Roman" w:eastAsia="方正楷体_GBK" w:cs="方正楷体_GBK"/>
                <w:i w:val="0"/>
                <w:iCs w:val="0"/>
                <w:color w:val="000000"/>
                <w:kern w:val="0"/>
                <w:sz w:val="20"/>
                <w:szCs w:val="20"/>
                <w:u w:val="none"/>
                <w:lang w:val="en-US" w:eastAsia="zh-CN" w:bidi="ar"/>
              </w:rPr>
              <w:t>30分钟</w:t>
            </w:r>
          </w:p>
        </w:tc>
      </w:tr>
      <w:tr w14:paraId="140BCC5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7" w:hRule="atLeast"/>
          <w:jc w:val="center"/>
        </w:trPr>
        <w:tc>
          <w:tcPr>
            <w:tcW w:w="229" w:type="pct"/>
            <w:vMerge w:val="restart"/>
            <w:shd w:val="clear" w:color="auto" w:fill="auto"/>
            <w:noWrap/>
            <w:vAlign w:val="center"/>
          </w:tcPr>
          <w:p w14:paraId="62A58A8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方正楷体_GBK" w:cs="方正楷体_GBK"/>
                <w:i w:val="0"/>
                <w:iCs w:val="0"/>
                <w:color w:val="000000"/>
                <w:sz w:val="20"/>
                <w:szCs w:val="20"/>
                <w:u w:val="none"/>
              </w:rPr>
            </w:pPr>
            <w:r>
              <w:rPr>
                <w:rFonts w:hint="eastAsia" w:ascii="Times New Roman" w:hAnsi="Times New Roman" w:eastAsia="方正楷体_GBK" w:cs="方正楷体_GBK"/>
                <w:i w:val="0"/>
                <w:iCs w:val="0"/>
                <w:color w:val="000000"/>
                <w:kern w:val="0"/>
                <w:sz w:val="20"/>
                <w:szCs w:val="20"/>
                <w:u w:val="none"/>
                <w:lang w:val="en-US" w:eastAsia="zh-CN" w:bidi="ar"/>
              </w:rPr>
              <w:t>2</w:t>
            </w:r>
          </w:p>
        </w:tc>
        <w:tc>
          <w:tcPr>
            <w:tcW w:w="726" w:type="pct"/>
            <w:vMerge w:val="restart"/>
            <w:shd w:val="clear" w:color="auto" w:fill="auto"/>
            <w:vAlign w:val="center"/>
          </w:tcPr>
          <w:p w14:paraId="3905AE5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方正楷体_GBK" w:cs="方正楷体_GBK"/>
                <w:i w:val="0"/>
                <w:iCs w:val="0"/>
                <w:color w:val="000000"/>
                <w:sz w:val="20"/>
                <w:szCs w:val="20"/>
                <w:u w:val="none"/>
              </w:rPr>
            </w:pPr>
            <w:r>
              <w:rPr>
                <w:rFonts w:hint="eastAsia" w:ascii="Times New Roman" w:hAnsi="Times New Roman" w:eastAsia="方正楷体_GBK" w:cs="方正楷体_GBK"/>
                <w:i w:val="0"/>
                <w:iCs w:val="0"/>
                <w:color w:val="000000"/>
                <w:kern w:val="0"/>
                <w:sz w:val="20"/>
                <w:szCs w:val="20"/>
                <w:u w:val="none"/>
                <w:lang w:val="en-US" w:eastAsia="zh-CN" w:bidi="ar"/>
              </w:rPr>
              <w:t>生活照护类</w:t>
            </w:r>
          </w:p>
        </w:tc>
        <w:tc>
          <w:tcPr>
            <w:tcW w:w="1644" w:type="pct"/>
            <w:shd w:val="clear" w:color="auto" w:fill="auto"/>
            <w:vAlign w:val="center"/>
          </w:tcPr>
          <w:p w14:paraId="75C3B45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方正楷体_GBK" w:cs="方正楷体_GBK"/>
                <w:i w:val="0"/>
                <w:iCs w:val="0"/>
                <w:color w:val="000000"/>
                <w:sz w:val="20"/>
                <w:szCs w:val="20"/>
                <w:u w:val="none"/>
              </w:rPr>
            </w:pPr>
            <w:r>
              <w:rPr>
                <w:rFonts w:hint="eastAsia" w:ascii="Times New Roman" w:hAnsi="Times New Roman" w:eastAsia="方正楷体_GBK" w:cs="方正楷体_GBK"/>
                <w:i w:val="0"/>
                <w:iCs w:val="0"/>
                <w:color w:val="000000"/>
                <w:kern w:val="0"/>
                <w:sz w:val="20"/>
                <w:szCs w:val="20"/>
                <w:u w:val="none"/>
                <w:lang w:val="en-US" w:eastAsia="zh-CN" w:bidi="ar"/>
              </w:rPr>
              <w:t>助浴（医护人员参与）</w:t>
            </w:r>
          </w:p>
        </w:tc>
        <w:tc>
          <w:tcPr>
            <w:tcW w:w="1005" w:type="pct"/>
            <w:shd w:val="clear" w:color="auto" w:fill="FFFFFF"/>
            <w:vAlign w:val="center"/>
          </w:tcPr>
          <w:p w14:paraId="2064170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方正楷体_GBK" w:cs="方正楷体_GBK"/>
                <w:i w:val="0"/>
                <w:iCs w:val="0"/>
                <w:color w:val="000000"/>
                <w:sz w:val="20"/>
                <w:szCs w:val="20"/>
                <w:u w:val="none"/>
              </w:rPr>
            </w:pPr>
            <w:r>
              <w:rPr>
                <w:rFonts w:hint="eastAsia" w:ascii="Times New Roman" w:hAnsi="Times New Roman" w:eastAsia="方正楷体_GBK" w:cs="方正楷体_GBK"/>
                <w:i w:val="0"/>
                <w:iCs w:val="0"/>
                <w:color w:val="000000"/>
                <w:kern w:val="0"/>
                <w:sz w:val="20"/>
                <w:szCs w:val="20"/>
                <w:u w:val="none"/>
                <w:lang w:val="en-US" w:eastAsia="zh-CN" w:bidi="ar"/>
              </w:rPr>
              <w:t>200元/次</w:t>
            </w:r>
          </w:p>
        </w:tc>
        <w:tc>
          <w:tcPr>
            <w:tcW w:w="770" w:type="pct"/>
            <w:shd w:val="clear" w:color="auto" w:fill="auto"/>
            <w:noWrap/>
            <w:vAlign w:val="center"/>
          </w:tcPr>
          <w:p w14:paraId="45CFE07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方正楷体_GBK" w:cs="方正楷体_GBK"/>
                <w:i w:val="0"/>
                <w:iCs w:val="0"/>
                <w:color w:val="000000"/>
                <w:sz w:val="20"/>
                <w:szCs w:val="20"/>
                <w:u w:val="none"/>
              </w:rPr>
            </w:pPr>
            <w:r>
              <w:rPr>
                <w:rFonts w:hint="eastAsia" w:ascii="Times New Roman" w:hAnsi="Times New Roman" w:eastAsia="方正楷体_GBK" w:cs="方正楷体_GBK"/>
                <w:i w:val="0"/>
                <w:iCs w:val="0"/>
                <w:color w:val="000000"/>
                <w:kern w:val="0"/>
                <w:sz w:val="20"/>
                <w:szCs w:val="20"/>
                <w:u w:val="none"/>
                <w:lang w:val="en-US" w:eastAsia="zh-CN" w:bidi="ar"/>
              </w:rPr>
              <w:t>90%</w:t>
            </w:r>
          </w:p>
        </w:tc>
        <w:tc>
          <w:tcPr>
            <w:tcW w:w="623" w:type="pct"/>
            <w:shd w:val="clear" w:color="auto" w:fill="FFFFFF"/>
            <w:noWrap/>
            <w:vAlign w:val="center"/>
          </w:tcPr>
          <w:p w14:paraId="3A82998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方正楷体_GBK" w:cs="方正楷体_GBK"/>
                <w:i w:val="0"/>
                <w:iCs w:val="0"/>
                <w:color w:val="000000"/>
                <w:sz w:val="20"/>
                <w:szCs w:val="20"/>
                <w:u w:val="none"/>
              </w:rPr>
            </w:pPr>
            <w:r>
              <w:rPr>
                <w:rFonts w:hint="eastAsia" w:ascii="Times New Roman" w:hAnsi="Times New Roman" w:eastAsia="方正楷体_GBK" w:cs="方正楷体_GBK"/>
                <w:i w:val="0"/>
                <w:iCs w:val="0"/>
                <w:color w:val="000000"/>
                <w:kern w:val="0"/>
                <w:sz w:val="20"/>
                <w:szCs w:val="20"/>
                <w:u w:val="none"/>
                <w:lang w:val="en-US" w:eastAsia="zh-CN" w:bidi="ar"/>
              </w:rPr>
              <w:t>60分钟</w:t>
            </w:r>
          </w:p>
        </w:tc>
      </w:tr>
      <w:tr w14:paraId="6531DA6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229" w:type="pct"/>
            <w:vMerge w:val="continue"/>
            <w:shd w:val="clear" w:color="auto" w:fill="auto"/>
            <w:noWrap/>
            <w:vAlign w:val="center"/>
          </w:tcPr>
          <w:p w14:paraId="368AD3A9">
            <w:pPr>
              <w:keepNext w:val="0"/>
              <w:keepLines w:val="0"/>
              <w:pageBreakBefore w:val="0"/>
              <w:widowControl/>
              <w:kinsoku/>
              <w:wordWrap/>
              <w:overflowPunct/>
              <w:topLinePunct w:val="0"/>
              <w:autoSpaceDE/>
              <w:autoSpaceDN/>
              <w:bidi w:val="0"/>
              <w:adjustRightInd/>
              <w:snapToGrid/>
              <w:spacing w:line="0" w:lineRule="atLeast"/>
              <w:jc w:val="center"/>
              <w:rPr>
                <w:rFonts w:hint="eastAsia" w:ascii="Times New Roman" w:hAnsi="Times New Roman" w:eastAsia="方正楷体_GBK" w:cs="方正楷体_GBK"/>
                <w:i w:val="0"/>
                <w:iCs w:val="0"/>
                <w:color w:val="000000"/>
                <w:sz w:val="20"/>
                <w:szCs w:val="20"/>
                <w:u w:val="none"/>
              </w:rPr>
            </w:pPr>
          </w:p>
        </w:tc>
        <w:tc>
          <w:tcPr>
            <w:tcW w:w="726" w:type="pct"/>
            <w:vMerge w:val="continue"/>
            <w:shd w:val="clear" w:color="auto" w:fill="auto"/>
            <w:vAlign w:val="center"/>
          </w:tcPr>
          <w:p w14:paraId="0462EAF9">
            <w:pPr>
              <w:keepNext w:val="0"/>
              <w:keepLines w:val="0"/>
              <w:pageBreakBefore w:val="0"/>
              <w:widowControl/>
              <w:kinsoku/>
              <w:wordWrap/>
              <w:overflowPunct/>
              <w:topLinePunct w:val="0"/>
              <w:autoSpaceDE/>
              <w:autoSpaceDN/>
              <w:bidi w:val="0"/>
              <w:adjustRightInd/>
              <w:snapToGrid/>
              <w:spacing w:line="0" w:lineRule="atLeast"/>
              <w:jc w:val="center"/>
              <w:rPr>
                <w:rFonts w:hint="eastAsia" w:ascii="Times New Roman" w:hAnsi="Times New Roman" w:eastAsia="方正楷体_GBK" w:cs="方正楷体_GBK"/>
                <w:i w:val="0"/>
                <w:iCs w:val="0"/>
                <w:color w:val="000000"/>
                <w:sz w:val="20"/>
                <w:szCs w:val="20"/>
                <w:u w:val="none"/>
              </w:rPr>
            </w:pPr>
          </w:p>
        </w:tc>
        <w:tc>
          <w:tcPr>
            <w:tcW w:w="1644" w:type="pct"/>
            <w:shd w:val="clear" w:color="auto" w:fill="auto"/>
            <w:vAlign w:val="center"/>
          </w:tcPr>
          <w:p w14:paraId="5C7D32F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方正楷体_GBK" w:cs="方正楷体_GBK"/>
                <w:i w:val="0"/>
                <w:iCs w:val="0"/>
                <w:color w:val="000000"/>
                <w:sz w:val="20"/>
                <w:szCs w:val="20"/>
                <w:u w:val="none"/>
              </w:rPr>
            </w:pPr>
            <w:r>
              <w:rPr>
                <w:rFonts w:hint="eastAsia" w:ascii="Times New Roman" w:hAnsi="Times New Roman" w:eastAsia="方正楷体_GBK" w:cs="方正楷体_GBK"/>
                <w:i w:val="0"/>
                <w:iCs w:val="0"/>
                <w:color w:val="000000"/>
                <w:kern w:val="0"/>
                <w:sz w:val="20"/>
                <w:szCs w:val="20"/>
                <w:u w:val="none"/>
                <w:lang w:val="en-US" w:eastAsia="zh-CN" w:bidi="ar"/>
              </w:rPr>
              <w:t>助浴（助浴师参与）</w:t>
            </w:r>
          </w:p>
        </w:tc>
        <w:tc>
          <w:tcPr>
            <w:tcW w:w="1005" w:type="pct"/>
            <w:shd w:val="clear" w:color="auto" w:fill="FFFFFF"/>
            <w:vAlign w:val="center"/>
          </w:tcPr>
          <w:p w14:paraId="02F6CF0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方正楷体_GBK" w:cs="方正楷体_GBK"/>
                <w:i w:val="0"/>
                <w:iCs w:val="0"/>
                <w:color w:val="000000"/>
                <w:sz w:val="20"/>
                <w:szCs w:val="20"/>
                <w:u w:val="none"/>
              </w:rPr>
            </w:pPr>
            <w:r>
              <w:rPr>
                <w:rFonts w:hint="eastAsia" w:ascii="Times New Roman" w:hAnsi="Times New Roman" w:eastAsia="方正楷体_GBK" w:cs="方正楷体_GBK"/>
                <w:i w:val="0"/>
                <w:iCs w:val="0"/>
                <w:color w:val="000000"/>
                <w:kern w:val="0"/>
                <w:sz w:val="20"/>
                <w:szCs w:val="20"/>
                <w:u w:val="none"/>
                <w:lang w:val="en-US" w:eastAsia="zh-CN" w:bidi="ar"/>
              </w:rPr>
              <w:t>120元/次</w:t>
            </w:r>
          </w:p>
        </w:tc>
        <w:tc>
          <w:tcPr>
            <w:tcW w:w="770" w:type="pct"/>
            <w:shd w:val="clear" w:color="auto" w:fill="auto"/>
            <w:noWrap/>
            <w:vAlign w:val="center"/>
          </w:tcPr>
          <w:p w14:paraId="088B4F2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方正楷体_GBK" w:cs="方正楷体_GBK"/>
                <w:i w:val="0"/>
                <w:iCs w:val="0"/>
                <w:color w:val="000000"/>
                <w:sz w:val="20"/>
                <w:szCs w:val="20"/>
                <w:u w:val="none"/>
              </w:rPr>
            </w:pPr>
            <w:r>
              <w:rPr>
                <w:rFonts w:hint="eastAsia" w:ascii="Times New Roman" w:hAnsi="Times New Roman" w:eastAsia="方正楷体_GBK" w:cs="方正楷体_GBK"/>
                <w:i w:val="0"/>
                <w:iCs w:val="0"/>
                <w:color w:val="000000"/>
                <w:kern w:val="0"/>
                <w:sz w:val="20"/>
                <w:szCs w:val="20"/>
                <w:u w:val="none"/>
                <w:lang w:val="en-US" w:eastAsia="zh-CN" w:bidi="ar"/>
              </w:rPr>
              <w:t>90%</w:t>
            </w:r>
          </w:p>
        </w:tc>
        <w:tc>
          <w:tcPr>
            <w:tcW w:w="623" w:type="pct"/>
            <w:shd w:val="clear" w:color="auto" w:fill="FFFFFF"/>
            <w:noWrap/>
            <w:vAlign w:val="center"/>
          </w:tcPr>
          <w:p w14:paraId="6FEFDAD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方正楷体_GBK" w:cs="方正楷体_GBK"/>
                <w:i w:val="0"/>
                <w:iCs w:val="0"/>
                <w:color w:val="000000"/>
                <w:sz w:val="20"/>
                <w:szCs w:val="20"/>
                <w:u w:val="none"/>
              </w:rPr>
            </w:pPr>
            <w:r>
              <w:rPr>
                <w:rFonts w:hint="eastAsia" w:ascii="Times New Roman" w:hAnsi="Times New Roman" w:eastAsia="方正楷体_GBK" w:cs="方正楷体_GBK"/>
                <w:i w:val="0"/>
                <w:iCs w:val="0"/>
                <w:color w:val="000000"/>
                <w:kern w:val="0"/>
                <w:sz w:val="20"/>
                <w:szCs w:val="20"/>
                <w:u w:val="none"/>
                <w:lang w:val="en-US" w:eastAsia="zh-CN" w:bidi="ar"/>
              </w:rPr>
              <w:t>60分钟</w:t>
            </w:r>
          </w:p>
        </w:tc>
      </w:tr>
      <w:tr w14:paraId="66675C5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7" w:hRule="atLeast"/>
          <w:jc w:val="center"/>
        </w:trPr>
        <w:tc>
          <w:tcPr>
            <w:tcW w:w="229" w:type="pct"/>
            <w:vMerge w:val="continue"/>
            <w:shd w:val="clear" w:color="auto" w:fill="auto"/>
            <w:noWrap/>
            <w:vAlign w:val="center"/>
          </w:tcPr>
          <w:p w14:paraId="5C99CB82">
            <w:pPr>
              <w:keepNext w:val="0"/>
              <w:keepLines w:val="0"/>
              <w:pageBreakBefore w:val="0"/>
              <w:widowControl/>
              <w:kinsoku/>
              <w:wordWrap/>
              <w:overflowPunct/>
              <w:topLinePunct w:val="0"/>
              <w:autoSpaceDE/>
              <w:autoSpaceDN/>
              <w:bidi w:val="0"/>
              <w:adjustRightInd/>
              <w:snapToGrid/>
              <w:spacing w:line="0" w:lineRule="atLeast"/>
              <w:jc w:val="center"/>
              <w:rPr>
                <w:rFonts w:hint="eastAsia" w:ascii="Times New Roman" w:hAnsi="Times New Roman" w:eastAsia="方正楷体_GBK" w:cs="方正楷体_GBK"/>
                <w:i w:val="0"/>
                <w:iCs w:val="0"/>
                <w:color w:val="000000"/>
                <w:sz w:val="20"/>
                <w:szCs w:val="20"/>
                <w:u w:val="none"/>
              </w:rPr>
            </w:pPr>
          </w:p>
        </w:tc>
        <w:tc>
          <w:tcPr>
            <w:tcW w:w="726" w:type="pct"/>
            <w:vMerge w:val="continue"/>
            <w:shd w:val="clear" w:color="auto" w:fill="auto"/>
            <w:vAlign w:val="center"/>
          </w:tcPr>
          <w:p w14:paraId="4E3CB263">
            <w:pPr>
              <w:keepNext w:val="0"/>
              <w:keepLines w:val="0"/>
              <w:pageBreakBefore w:val="0"/>
              <w:widowControl/>
              <w:kinsoku/>
              <w:wordWrap/>
              <w:overflowPunct/>
              <w:topLinePunct w:val="0"/>
              <w:autoSpaceDE/>
              <w:autoSpaceDN/>
              <w:bidi w:val="0"/>
              <w:adjustRightInd/>
              <w:snapToGrid/>
              <w:spacing w:line="0" w:lineRule="atLeast"/>
              <w:jc w:val="center"/>
              <w:rPr>
                <w:rFonts w:hint="eastAsia" w:ascii="Times New Roman" w:hAnsi="Times New Roman" w:eastAsia="方正楷体_GBK" w:cs="方正楷体_GBK"/>
                <w:i w:val="0"/>
                <w:iCs w:val="0"/>
                <w:color w:val="000000"/>
                <w:sz w:val="20"/>
                <w:szCs w:val="20"/>
                <w:u w:val="none"/>
              </w:rPr>
            </w:pPr>
          </w:p>
        </w:tc>
        <w:tc>
          <w:tcPr>
            <w:tcW w:w="1644" w:type="pct"/>
            <w:shd w:val="clear" w:color="auto" w:fill="auto"/>
            <w:vAlign w:val="center"/>
          </w:tcPr>
          <w:p w14:paraId="01EEB36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方正楷体_GBK" w:cs="方正楷体_GBK"/>
                <w:i w:val="0"/>
                <w:iCs w:val="0"/>
                <w:color w:val="000000"/>
                <w:sz w:val="20"/>
                <w:szCs w:val="20"/>
                <w:u w:val="none"/>
              </w:rPr>
            </w:pPr>
            <w:r>
              <w:rPr>
                <w:rFonts w:hint="eastAsia" w:ascii="Times New Roman" w:hAnsi="Times New Roman" w:eastAsia="方正楷体_GBK" w:cs="方正楷体_GBK"/>
                <w:i w:val="0"/>
                <w:iCs w:val="0"/>
                <w:color w:val="000000"/>
                <w:kern w:val="0"/>
                <w:sz w:val="20"/>
                <w:szCs w:val="20"/>
                <w:u w:val="none"/>
                <w:lang w:val="en-US" w:eastAsia="zh-CN" w:bidi="ar"/>
              </w:rPr>
              <w:t>足疗服务（无药包）</w:t>
            </w:r>
          </w:p>
        </w:tc>
        <w:tc>
          <w:tcPr>
            <w:tcW w:w="1005" w:type="pct"/>
            <w:shd w:val="clear" w:color="auto" w:fill="auto"/>
            <w:vAlign w:val="center"/>
          </w:tcPr>
          <w:p w14:paraId="51B8934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方正楷体_GBK" w:cs="方正楷体_GBK"/>
                <w:i w:val="0"/>
                <w:iCs w:val="0"/>
                <w:color w:val="000000"/>
                <w:sz w:val="20"/>
                <w:szCs w:val="20"/>
                <w:u w:val="none"/>
              </w:rPr>
            </w:pPr>
            <w:r>
              <w:rPr>
                <w:rFonts w:hint="eastAsia" w:ascii="Times New Roman" w:hAnsi="Times New Roman" w:eastAsia="方正楷体_GBK" w:cs="方正楷体_GBK"/>
                <w:i w:val="0"/>
                <w:iCs w:val="0"/>
                <w:color w:val="000000"/>
                <w:kern w:val="0"/>
                <w:sz w:val="20"/>
                <w:szCs w:val="20"/>
                <w:u w:val="none"/>
                <w:lang w:val="en-US" w:eastAsia="zh-CN" w:bidi="ar"/>
              </w:rPr>
              <w:t>50元/次</w:t>
            </w:r>
          </w:p>
        </w:tc>
        <w:tc>
          <w:tcPr>
            <w:tcW w:w="770" w:type="pct"/>
            <w:shd w:val="clear" w:color="auto" w:fill="auto"/>
            <w:noWrap/>
            <w:vAlign w:val="center"/>
          </w:tcPr>
          <w:p w14:paraId="5104F33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方正楷体_GBK" w:cs="方正楷体_GBK"/>
                <w:i w:val="0"/>
                <w:iCs w:val="0"/>
                <w:color w:val="000000"/>
                <w:sz w:val="20"/>
                <w:szCs w:val="20"/>
                <w:u w:val="none"/>
              </w:rPr>
            </w:pPr>
            <w:r>
              <w:rPr>
                <w:rFonts w:hint="eastAsia" w:ascii="Times New Roman" w:hAnsi="Times New Roman" w:eastAsia="方正楷体_GBK" w:cs="方正楷体_GBK"/>
                <w:i w:val="0"/>
                <w:iCs w:val="0"/>
                <w:color w:val="000000"/>
                <w:kern w:val="0"/>
                <w:sz w:val="20"/>
                <w:szCs w:val="20"/>
                <w:u w:val="none"/>
                <w:lang w:val="en-US" w:eastAsia="zh-CN" w:bidi="ar"/>
              </w:rPr>
              <w:t>90%</w:t>
            </w:r>
          </w:p>
        </w:tc>
        <w:tc>
          <w:tcPr>
            <w:tcW w:w="623" w:type="pct"/>
            <w:shd w:val="clear" w:color="auto" w:fill="FFFFFF"/>
            <w:noWrap/>
            <w:vAlign w:val="center"/>
          </w:tcPr>
          <w:p w14:paraId="1752347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方正楷体_GBK" w:cs="方正楷体_GBK"/>
                <w:i w:val="0"/>
                <w:iCs w:val="0"/>
                <w:color w:val="000000"/>
                <w:sz w:val="20"/>
                <w:szCs w:val="20"/>
                <w:u w:val="none"/>
              </w:rPr>
            </w:pPr>
            <w:r>
              <w:rPr>
                <w:rFonts w:hint="eastAsia" w:ascii="Times New Roman" w:hAnsi="Times New Roman" w:eastAsia="方正楷体_GBK" w:cs="方正楷体_GBK"/>
                <w:i w:val="0"/>
                <w:iCs w:val="0"/>
                <w:color w:val="000000"/>
                <w:kern w:val="0"/>
                <w:sz w:val="20"/>
                <w:szCs w:val="20"/>
                <w:u w:val="none"/>
                <w:lang w:val="en-US" w:eastAsia="zh-CN" w:bidi="ar"/>
              </w:rPr>
              <w:t>60分钟</w:t>
            </w:r>
          </w:p>
        </w:tc>
      </w:tr>
      <w:tr w14:paraId="67A725A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229" w:type="pct"/>
            <w:vMerge w:val="continue"/>
            <w:shd w:val="clear" w:color="auto" w:fill="auto"/>
            <w:noWrap/>
            <w:vAlign w:val="center"/>
          </w:tcPr>
          <w:p w14:paraId="08BEB0B0">
            <w:pPr>
              <w:keepNext w:val="0"/>
              <w:keepLines w:val="0"/>
              <w:pageBreakBefore w:val="0"/>
              <w:widowControl/>
              <w:kinsoku/>
              <w:wordWrap/>
              <w:overflowPunct/>
              <w:topLinePunct w:val="0"/>
              <w:autoSpaceDE/>
              <w:autoSpaceDN/>
              <w:bidi w:val="0"/>
              <w:adjustRightInd/>
              <w:snapToGrid/>
              <w:spacing w:line="0" w:lineRule="atLeast"/>
              <w:jc w:val="center"/>
              <w:rPr>
                <w:rFonts w:hint="eastAsia" w:ascii="Times New Roman" w:hAnsi="Times New Roman" w:eastAsia="方正楷体_GBK" w:cs="方正楷体_GBK"/>
                <w:i w:val="0"/>
                <w:iCs w:val="0"/>
                <w:color w:val="000000"/>
                <w:sz w:val="20"/>
                <w:szCs w:val="20"/>
                <w:u w:val="none"/>
              </w:rPr>
            </w:pPr>
          </w:p>
        </w:tc>
        <w:tc>
          <w:tcPr>
            <w:tcW w:w="726" w:type="pct"/>
            <w:vMerge w:val="continue"/>
            <w:shd w:val="clear" w:color="auto" w:fill="auto"/>
            <w:vAlign w:val="center"/>
          </w:tcPr>
          <w:p w14:paraId="18D0008B">
            <w:pPr>
              <w:keepNext w:val="0"/>
              <w:keepLines w:val="0"/>
              <w:pageBreakBefore w:val="0"/>
              <w:widowControl/>
              <w:kinsoku/>
              <w:wordWrap/>
              <w:overflowPunct/>
              <w:topLinePunct w:val="0"/>
              <w:autoSpaceDE/>
              <w:autoSpaceDN/>
              <w:bidi w:val="0"/>
              <w:adjustRightInd/>
              <w:snapToGrid/>
              <w:spacing w:line="0" w:lineRule="atLeast"/>
              <w:jc w:val="center"/>
              <w:rPr>
                <w:rFonts w:hint="eastAsia" w:ascii="Times New Roman" w:hAnsi="Times New Roman" w:eastAsia="方正楷体_GBK" w:cs="方正楷体_GBK"/>
                <w:i w:val="0"/>
                <w:iCs w:val="0"/>
                <w:color w:val="000000"/>
                <w:sz w:val="20"/>
                <w:szCs w:val="20"/>
                <w:u w:val="none"/>
              </w:rPr>
            </w:pPr>
          </w:p>
        </w:tc>
        <w:tc>
          <w:tcPr>
            <w:tcW w:w="1644" w:type="pct"/>
            <w:shd w:val="clear" w:color="auto" w:fill="auto"/>
            <w:vAlign w:val="center"/>
          </w:tcPr>
          <w:p w14:paraId="0616A6C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方正楷体_GBK" w:cs="方正楷体_GBK"/>
                <w:i w:val="0"/>
                <w:iCs w:val="0"/>
                <w:color w:val="000000"/>
                <w:sz w:val="20"/>
                <w:szCs w:val="20"/>
                <w:u w:val="none"/>
              </w:rPr>
            </w:pPr>
            <w:r>
              <w:rPr>
                <w:rFonts w:hint="eastAsia" w:ascii="Times New Roman" w:hAnsi="Times New Roman" w:eastAsia="方正楷体_GBK" w:cs="方正楷体_GBK"/>
                <w:i w:val="0"/>
                <w:iCs w:val="0"/>
                <w:color w:val="000000"/>
                <w:kern w:val="0"/>
                <w:sz w:val="20"/>
                <w:szCs w:val="20"/>
                <w:u w:val="none"/>
                <w:lang w:val="en-US" w:eastAsia="zh-CN" w:bidi="ar"/>
              </w:rPr>
              <w:t>足疗服务（含药包）</w:t>
            </w:r>
          </w:p>
        </w:tc>
        <w:tc>
          <w:tcPr>
            <w:tcW w:w="1005" w:type="pct"/>
            <w:shd w:val="clear" w:color="auto" w:fill="auto"/>
            <w:vAlign w:val="center"/>
          </w:tcPr>
          <w:p w14:paraId="3DCCA6D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方正楷体_GBK" w:cs="方正楷体_GBK"/>
                <w:i w:val="0"/>
                <w:iCs w:val="0"/>
                <w:color w:val="000000"/>
                <w:sz w:val="20"/>
                <w:szCs w:val="20"/>
                <w:u w:val="none"/>
              </w:rPr>
            </w:pPr>
            <w:r>
              <w:rPr>
                <w:rFonts w:hint="eastAsia" w:ascii="Times New Roman" w:hAnsi="Times New Roman" w:eastAsia="方正楷体_GBK" w:cs="方正楷体_GBK"/>
                <w:i w:val="0"/>
                <w:iCs w:val="0"/>
                <w:color w:val="000000"/>
                <w:kern w:val="0"/>
                <w:sz w:val="20"/>
                <w:szCs w:val="20"/>
                <w:u w:val="none"/>
                <w:lang w:val="en-US" w:eastAsia="zh-CN" w:bidi="ar"/>
              </w:rPr>
              <w:t>70元/次</w:t>
            </w:r>
          </w:p>
        </w:tc>
        <w:tc>
          <w:tcPr>
            <w:tcW w:w="770" w:type="pct"/>
            <w:shd w:val="clear" w:color="auto" w:fill="auto"/>
            <w:noWrap/>
            <w:vAlign w:val="center"/>
          </w:tcPr>
          <w:p w14:paraId="209BB66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方正楷体_GBK" w:cs="方正楷体_GBK"/>
                <w:i w:val="0"/>
                <w:iCs w:val="0"/>
                <w:color w:val="000000"/>
                <w:sz w:val="20"/>
                <w:szCs w:val="20"/>
                <w:u w:val="none"/>
              </w:rPr>
            </w:pPr>
            <w:r>
              <w:rPr>
                <w:rFonts w:hint="eastAsia" w:ascii="Times New Roman" w:hAnsi="Times New Roman" w:eastAsia="方正楷体_GBK" w:cs="方正楷体_GBK"/>
                <w:i w:val="0"/>
                <w:iCs w:val="0"/>
                <w:color w:val="000000"/>
                <w:kern w:val="0"/>
                <w:sz w:val="20"/>
                <w:szCs w:val="20"/>
                <w:u w:val="none"/>
                <w:lang w:val="en-US" w:eastAsia="zh-CN" w:bidi="ar"/>
              </w:rPr>
              <w:t>90%</w:t>
            </w:r>
          </w:p>
        </w:tc>
        <w:tc>
          <w:tcPr>
            <w:tcW w:w="623" w:type="pct"/>
            <w:shd w:val="clear" w:color="auto" w:fill="FFFFFF"/>
            <w:noWrap/>
            <w:vAlign w:val="center"/>
          </w:tcPr>
          <w:p w14:paraId="246E639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方正楷体_GBK" w:cs="方正楷体_GBK"/>
                <w:i w:val="0"/>
                <w:iCs w:val="0"/>
                <w:color w:val="000000"/>
                <w:sz w:val="20"/>
                <w:szCs w:val="20"/>
                <w:u w:val="none"/>
              </w:rPr>
            </w:pPr>
            <w:r>
              <w:rPr>
                <w:rFonts w:hint="eastAsia" w:ascii="Times New Roman" w:hAnsi="Times New Roman" w:eastAsia="方正楷体_GBK" w:cs="方正楷体_GBK"/>
                <w:i w:val="0"/>
                <w:iCs w:val="0"/>
                <w:color w:val="000000"/>
                <w:kern w:val="0"/>
                <w:sz w:val="20"/>
                <w:szCs w:val="20"/>
                <w:u w:val="none"/>
                <w:lang w:val="en-US" w:eastAsia="zh-CN" w:bidi="ar"/>
              </w:rPr>
              <w:t>60分钟</w:t>
            </w:r>
          </w:p>
        </w:tc>
      </w:tr>
      <w:tr w14:paraId="2C97C0F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229" w:type="pct"/>
            <w:vMerge w:val="continue"/>
            <w:shd w:val="clear" w:color="auto" w:fill="auto"/>
            <w:noWrap/>
            <w:vAlign w:val="center"/>
          </w:tcPr>
          <w:p w14:paraId="024BC5A2">
            <w:pPr>
              <w:keepNext w:val="0"/>
              <w:keepLines w:val="0"/>
              <w:pageBreakBefore w:val="0"/>
              <w:widowControl/>
              <w:kinsoku/>
              <w:wordWrap/>
              <w:overflowPunct/>
              <w:topLinePunct w:val="0"/>
              <w:autoSpaceDE/>
              <w:autoSpaceDN/>
              <w:bidi w:val="0"/>
              <w:adjustRightInd/>
              <w:snapToGrid/>
              <w:spacing w:line="0" w:lineRule="atLeast"/>
              <w:jc w:val="center"/>
              <w:rPr>
                <w:rFonts w:hint="eastAsia" w:ascii="Times New Roman" w:hAnsi="Times New Roman" w:eastAsia="方正楷体_GBK" w:cs="方正楷体_GBK"/>
                <w:i w:val="0"/>
                <w:iCs w:val="0"/>
                <w:color w:val="000000"/>
                <w:sz w:val="20"/>
                <w:szCs w:val="20"/>
                <w:u w:val="none"/>
              </w:rPr>
            </w:pPr>
          </w:p>
        </w:tc>
        <w:tc>
          <w:tcPr>
            <w:tcW w:w="726" w:type="pct"/>
            <w:vMerge w:val="continue"/>
            <w:shd w:val="clear" w:color="auto" w:fill="auto"/>
            <w:vAlign w:val="center"/>
          </w:tcPr>
          <w:p w14:paraId="00B38109">
            <w:pPr>
              <w:keepNext w:val="0"/>
              <w:keepLines w:val="0"/>
              <w:pageBreakBefore w:val="0"/>
              <w:widowControl/>
              <w:kinsoku/>
              <w:wordWrap/>
              <w:overflowPunct/>
              <w:topLinePunct w:val="0"/>
              <w:autoSpaceDE/>
              <w:autoSpaceDN/>
              <w:bidi w:val="0"/>
              <w:adjustRightInd/>
              <w:snapToGrid/>
              <w:spacing w:line="0" w:lineRule="atLeast"/>
              <w:jc w:val="center"/>
              <w:rPr>
                <w:rFonts w:hint="eastAsia" w:ascii="Times New Roman" w:hAnsi="Times New Roman" w:eastAsia="方正楷体_GBK" w:cs="方正楷体_GBK"/>
                <w:i w:val="0"/>
                <w:iCs w:val="0"/>
                <w:color w:val="000000"/>
                <w:sz w:val="20"/>
                <w:szCs w:val="20"/>
                <w:u w:val="none"/>
              </w:rPr>
            </w:pPr>
          </w:p>
        </w:tc>
        <w:tc>
          <w:tcPr>
            <w:tcW w:w="1644" w:type="pct"/>
            <w:shd w:val="clear" w:color="auto" w:fill="auto"/>
            <w:vAlign w:val="center"/>
          </w:tcPr>
          <w:p w14:paraId="5E38143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方正楷体_GBK" w:cs="方正楷体_GBK"/>
                <w:i w:val="0"/>
                <w:iCs w:val="0"/>
                <w:color w:val="000000"/>
                <w:sz w:val="20"/>
                <w:szCs w:val="20"/>
                <w:u w:val="none"/>
              </w:rPr>
            </w:pPr>
            <w:r>
              <w:rPr>
                <w:rFonts w:hint="eastAsia" w:ascii="Times New Roman" w:hAnsi="Times New Roman" w:eastAsia="方正楷体_GBK" w:cs="方正楷体_GBK"/>
                <w:i w:val="0"/>
                <w:iCs w:val="0"/>
                <w:color w:val="000000"/>
                <w:kern w:val="0"/>
                <w:sz w:val="20"/>
                <w:szCs w:val="20"/>
                <w:u w:val="none"/>
                <w:lang w:val="en-US" w:eastAsia="zh-CN" w:bidi="ar"/>
              </w:rPr>
              <w:t>足疗按摩（普通技师）</w:t>
            </w:r>
          </w:p>
        </w:tc>
        <w:tc>
          <w:tcPr>
            <w:tcW w:w="1005" w:type="pct"/>
            <w:shd w:val="clear" w:color="auto" w:fill="auto"/>
            <w:vAlign w:val="center"/>
          </w:tcPr>
          <w:p w14:paraId="1303B39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方正楷体_GBK" w:cs="方正楷体_GBK"/>
                <w:i w:val="0"/>
                <w:iCs w:val="0"/>
                <w:color w:val="000000"/>
                <w:sz w:val="20"/>
                <w:szCs w:val="20"/>
                <w:u w:val="none"/>
              </w:rPr>
            </w:pPr>
            <w:r>
              <w:rPr>
                <w:rFonts w:hint="eastAsia" w:ascii="Times New Roman" w:hAnsi="Times New Roman" w:eastAsia="方正楷体_GBK" w:cs="方正楷体_GBK"/>
                <w:i w:val="0"/>
                <w:iCs w:val="0"/>
                <w:color w:val="000000"/>
                <w:kern w:val="0"/>
                <w:sz w:val="20"/>
                <w:szCs w:val="20"/>
                <w:u w:val="none"/>
                <w:lang w:val="en-US" w:eastAsia="zh-CN" w:bidi="ar"/>
              </w:rPr>
              <w:t>50元/次</w:t>
            </w:r>
          </w:p>
        </w:tc>
        <w:tc>
          <w:tcPr>
            <w:tcW w:w="770" w:type="pct"/>
            <w:shd w:val="clear" w:color="auto" w:fill="auto"/>
            <w:noWrap/>
            <w:vAlign w:val="center"/>
          </w:tcPr>
          <w:p w14:paraId="5840BDD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方正楷体_GBK" w:cs="方正楷体_GBK"/>
                <w:i w:val="0"/>
                <w:iCs w:val="0"/>
                <w:color w:val="000000"/>
                <w:sz w:val="20"/>
                <w:szCs w:val="20"/>
                <w:u w:val="none"/>
              </w:rPr>
            </w:pPr>
            <w:r>
              <w:rPr>
                <w:rFonts w:hint="eastAsia" w:ascii="Times New Roman" w:hAnsi="Times New Roman" w:eastAsia="方正楷体_GBK" w:cs="方正楷体_GBK"/>
                <w:i w:val="0"/>
                <w:iCs w:val="0"/>
                <w:color w:val="000000"/>
                <w:kern w:val="0"/>
                <w:sz w:val="20"/>
                <w:szCs w:val="20"/>
                <w:u w:val="none"/>
                <w:lang w:val="en-US" w:eastAsia="zh-CN" w:bidi="ar"/>
              </w:rPr>
              <w:t>90%</w:t>
            </w:r>
          </w:p>
        </w:tc>
        <w:tc>
          <w:tcPr>
            <w:tcW w:w="623" w:type="pct"/>
            <w:shd w:val="clear" w:color="auto" w:fill="FFFFFF"/>
            <w:noWrap/>
            <w:vAlign w:val="center"/>
          </w:tcPr>
          <w:p w14:paraId="746C771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方正楷体_GBK" w:cs="方正楷体_GBK"/>
                <w:i w:val="0"/>
                <w:iCs w:val="0"/>
                <w:color w:val="000000"/>
                <w:sz w:val="20"/>
                <w:szCs w:val="20"/>
                <w:u w:val="none"/>
              </w:rPr>
            </w:pPr>
            <w:r>
              <w:rPr>
                <w:rFonts w:hint="eastAsia" w:ascii="Times New Roman" w:hAnsi="Times New Roman" w:eastAsia="方正楷体_GBK" w:cs="方正楷体_GBK"/>
                <w:i w:val="0"/>
                <w:iCs w:val="0"/>
                <w:color w:val="000000"/>
                <w:kern w:val="0"/>
                <w:sz w:val="20"/>
                <w:szCs w:val="20"/>
                <w:u w:val="none"/>
                <w:lang w:val="en-US" w:eastAsia="zh-CN" w:bidi="ar"/>
              </w:rPr>
              <w:t>60分钟</w:t>
            </w:r>
          </w:p>
        </w:tc>
      </w:tr>
      <w:tr w14:paraId="63CA1BD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229" w:type="pct"/>
            <w:vMerge w:val="continue"/>
            <w:shd w:val="clear" w:color="auto" w:fill="auto"/>
            <w:noWrap/>
            <w:vAlign w:val="center"/>
          </w:tcPr>
          <w:p w14:paraId="7B8BB2BF">
            <w:pPr>
              <w:keepNext w:val="0"/>
              <w:keepLines w:val="0"/>
              <w:pageBreakBefore w:val="0"/>
              <w:widowControl/>
              <w:kinsoku/>
              <w:wordWrap/>
              <w:overflowPunct/>
              <w:topLinePunct w:val="0"/>
              <w:autoSpaceDE/>
              <w:autoSpaceDN/>
              <w:bidi w:val="0"/>
              <w:adjustRightInd/>
              <w:snapToGrid/>
              <w:spacing w:line="0" w:lineRule="atLeast"/>
              <w:jc w:val="center"/>
              <w:rPr>
                <w:rFonts w:hint="eastAsia" w:ascii="Times New Roman" w:hAnsi="Times New Roman" w:eastAsia="方正楷体_GBK" w:cs="方正楷体_GBK"/>
                <w:i w:val="0"/>
                <w:iCs w:val="0"/>
                <w:color w:val="000000"/>
                <w:sz w:val="20"/>
                <w:szCs w:val="20"/>
                <w:u w:val="none"/>
              </w:rPr>
            </w:pPr>
          </w:p>
        </w:tc>
        <w:tc>
          <w:tcPr>
            <w:tcW w:w="726" w:type="pct"/>
            <w:vMerge w:val="continue"/>
            <w:shd w:val="clear" w:color="auto" w:fill="auto"/>
            <w:vAlign w:val="center"/>
          </w:tcPr>
          <w:p w14:paraId="1567BCF3">
            <w:pPr>
              <w:keepNext w:val="0"/>
              <w:keepLines w:val="0"/>
              <w:pageBreakBefore w:val="0"/>
              <w:widowControl/>
              <w:kinsoku/>
              <w:wordWrap/>
              <w:overflowPunct/>
              <w:topLinePunct w:val="0"/>
              <w:autoSpaceDE/>
              <w:autoSpaceDN/>
              <w:bidi w:val="0"/>
              <w:adjustRightInd/>
              <w:snapToGrid/>
              <w:spacing w:line="0" w:lineRule="atLeast"/>
              <w:jc w:val="center"/>
              <w:rPr>
                <w:rFonts w:hint="eastAsia" w:ascii="Times New Roman" w:hAnsi="Times New Roman" w:eastAsia="方正楷体_GBK" w:cs="方正楷体_GBK"/>
                <w:i w:val="0"/>
                <w:iCs w:val="0"/>
                <w:color w:val="000000"/>
                <w:sz w:val="20"/>
                <w:szCs w:val="20"/>
                <w:u w:val="none"/>
              </w:rPr>
            </w:pPr>
          </w:p>
        </w:tc>
        <w:tc>
          <w:tcPr>
            <w:tcW w:w="1644" w:type="pct"/>
            <w:shd w:val="clear" w:color="auto" w:fill="auto"/>
            <w:vAlign w:val="center"/>
          </w:tcPr>
          <w:p w14:paraId="5680396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方正楷体_GBK" w:cs="方正楷体_GBK"/>
                <w:i w:val="0"/>
                <w:iCs w:val="0"/>
                <w:color w:val="000000"/>
                <w:sz w:val="20"/>
                <w:szCs w:val="20"/>
                <w:u w:val="none"/>
              </w:rPr>
            </w:pPr>
            <w:r>
              <w:rPr>
                <w:rFonts w:hint="eastAsia" w:ascii="Times New Roman" w:hAnsi="Times New Roman" w:eastAsia="方正楷体_GBK" w:cs="方正楷体_GBK"/>
                <w:i w:val="0"/>
                <w:iCs w:val="0"/>
                <w:color w:val="000000"/>
                <w:kern w:val="0"/>
                <w:sz w:val="20"/>
                <w:szCs w:val="20"/>
                <w:u w:val="none"/>
                <w:lang w:val="en-US" w:eastAsia="zh-CN" w:bidi="ar"/>
              </w:rPr>
              <w:t>足疗按摩（金牌技师）</w:t>
            </w:r>
          </w:p>
        </w:tc>
        <w:tc>
          <w:tcPr>
            <w:tcW w:w="1005" w:type="pct"/>
            <w:shd w:val="clear" w:color="auto" w:fill="auto"/>
            <w:vAlign w:val="center"/>
          </w:tcPr>
          <w:p w14:paraId="04E5749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方正楷体_GBK" w:cs="方正楷体_GBK"/>
                <w:i w:val="0"/>
                <w:iCs w:val="0"/>
                <w:color w:val="000000"/>
                <w:sz w:val="20"/>
                <w:szCs w:val="20"/>
                <w:u w:val="none"/>
              </w:rPr>
            </w:pPr>
            <w:r>
              <w:rPr>
                <w:rFonts w:hint="eastAsia" w:ascii="Times New Roman" w:hAnsi="Times New Roman" w:eastAsia="方正楷体_GBK" w:cs="方正楷体_GBK"/>
                <w:i w:val="0"/>
                <w:iCs w:val="0"/>
                <w:color w:val="000000"/>
                <w:kern w:val="0"/>
                <w:sz w:val="20"/>
                <w:szCs w:val="20"/>
                <w:u w:val="none"/>
                <w:lang w:val="en-US" w:eastAsia="zh-CN" w:bidi="ar"/>
              </w:rPr>
              <w:t>80元/次</w:t>
            </w:r>
          </w:p>
        </w:tc>
        <w:tc>
          <w:tcPr>
            <w:tcW w:w="770" w:type="pct"/>
            <w:shd w:val="clear" w:color="auto" w:fill="auto"/>
            <w:noWrap/>
            <w:vAlign w:val="center"/>
          </w:tcPr>
          <w:p w14:paraId="4DCCE48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方正楷体_GBK" w:cs="方正楷体_GBK"/>
                <w:i w:val="0"/>
                <w:iCs w:val="0"/>
                <w:color w:val="000000"/>
                <w:sz w:val="20"/>
                <w:szCs w:val="20"/>
                <w:u w:val="none"/>
              </w:rPr>
            </w:pPr>
            <w:r>
              <w:rPr>
                <w:rFonts w:hint="eastAsia" w:ascii="Times New Roman" w:hAnsi="Times New Roman" w:eastAsia="方正楷体_GBK" w:cs="方正楷体_GBK"/>
                <w:i w:val="0"/>
                <w:iCs w:val="0"/>
                <w:color w:val="000000"/>
                <w:kern w:val="0"/>
                <w:sz w:val="20"/>
                <w:szCs w:val="20"/>
                <w:u w:val="none"/>
                <w:lang w:val="en-US" w:eastAsia="zh-CN" w:bidi="ar"/>
              </w:rPr>
              <w:t>90%</w:t>
            </w:r>
          </w:p>
        </w:tc>
        <w:tc>
          <w:tcPr>
            <w:tcW w:w="623" w:type="pct"/>
            <w:shd w:val="clear" w:color="auto" w:fill="FFFFFF"/>
            <w:noWrap/>
            <w:vAlign w:val="center"/>
          </w:tcPr>
          <w:p w14:paraId="607A51D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方正楷体_GBK" w:cs="方正楷体_GBK"/>
                <w:i w:val="0"/>
                <w:iCs w:val="0"/>
                <w:color w:val="000000"/>
                <w:sz w:val="20"/>
                <w:szCs w:val="20"/>
                <w:u w:val="none"/>
              </w:rPr>
            </w:pPr>
            <w:r>
              <w:rPr>
                <w:rFonts w:hint="eastAsia" w:ascii="Times New Roman" w:hAnsi="Times New Roman" w:eastAsia="方正楷体_GBK" w:cs="方正楷体_GBK"/>
                <w:i w:val="0"/>
                <w:iCs w:val="0"/>
                <w:color w:val="000000"/>
                <w:kern w:val="0"/>
                <w:sz w:val="20"/>
                <w:szCs w:val="20"/>
                <w:u w:val="none"/>
                <w:lang w:val="en-US" w:eastAsia="zh-CN" w:bidi="ar"/>
              </w:rPr>
              <w:t>60分钟</w:t>
            </w:r>
          </w:p>
        </w:tc>
      </w:tr>
      <w:tr w14:paraId="03D01D4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229" w:type="pct"/>
            <w:vMerge w:val="continue"/>
            <w:shd w:val="clear" w:color="auto" w:fill="auto"/>
            <w:noWrap/>
            <w:vAlign w:val="center"/>
          </w:tcPr>
          <w:p w14:paraId="416119CA">
            <w:pPr>
              <w:keepNext w:val="0"/>
              <w:keepLines w:val="0"/>
              <w:pageBreakBefore w:val="0"/>
              <w:widowControl/>
              <w:kinsoku/>
              <w:wordWrap/>
              <w:overflowPunct/>
              <w:topLinePunct w:val="0"/>
              <w:autoSpaceDE/>
              <w:autoSpaceDN/>
              <w:bidi w:val="0"/>
              <w:adjustRightInd/>
              <w:snapToGrid/>
              <w:spacing w:line="0" w:lineRule="atLeast"/>
              <w:jc w:val="center"/>
              <w:rPr>
                <w:rFonts w:hint="eastAsia" w:ascii="Times New Roman" w:hAnsi="Times New Roman" w:eastAsia="方正楷体_GBK" w:cs="方正楷体_GBK"/>
                <w:i w:val="0"/>
                <w:iCs w:val="0"/>
                <w:color w:val="000000"/>
                <w:sz w:val="20"/>
                <w:szCs w:val="20"/>
                <w:u w:val="none"/>
              </w:rPr>
            </w:pPr>
          </w:p>
        </w:tc>
        <w:tc>
          <w:tcPr>
            <w:tcW w:w="726" w:type="pct"/>
            <w:vMerge w:val="continue"/>
            <w:shd w:val="clear" w:color="auto" w:fill="auto"/>
            <w:vAlign w:val="center"/>
          </w:tcPr>
          <w:p w14:paraId="21ED0444">
            <w:pPr>
              <w:keepNext w:val="0"/>
              <w:keepLines w:val="0"/>
              <w:pageBreakBefore w:val="0"/>
              <w:widowControl/>
              <w:kinsoku/>
              <w:wordWrap/>
              <w:overflowPunct/>
              <w:topLinePunct w:val="0"/>
              <w:autoSpaceDE/>
              <w:autoSpaceDN/>
              <w:bidi w:val="0"/>
              <w:adjustRightInd/>
              <w:snapToGrid/>
              <w:spacing w:line="0" w:lineRule="atLeast"/>
              <w:jc w:val="center"/>
              <w:rPr>
                <w:rFonts w:hint="eastAsia" w:ascii="Times New Roman" w:hAnsi="Times New Roman" w:eastAsia="方正楷体_GBK" w:cs="方正楷体_GBK"/>
                <w:i w:val="0"/>
                <w:iCs w:val="0"/>
                <w:color w:val="000000"/>
                <w:sz w:val="20"/>
                <w:szCs w:val="20"/>
                <w:u w:val="none"/>
              </w:rPr>
            </w:pPr>
          </w:p>
        </w:tc>
        <w:tc>
          <w:tcPr>
            <w:tcW w:w="1644" w:type="pct"/>
            <w:shd w:val="clear" w:color="auto" w:fill="auto"/>
            <w:vAlign w:val="center"/>
          </w:tcPr>
          <w:p w14:paraId="51C66AC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方正楷体_GBK" w:cs="方正楷体_GBK"/>
                <w:i w:val="0"/>
                <w:iCs w:val="0"/>
                <w:color w:val="000000"/>
                <w:kern w:val="0"/>
                <w:sz w:val="20"/>
                <w:szCs w:val="20"/>
                <w:u w:val="none"/>
                <w:lang w:val="en-US" w:eastAsia="zh-CN" w:bidi="ar"/>
              </w:rPr>
            </w:pPr>
            <w:r>
              <w:rPr>
                <w:rFonts w:hint="eastAsia" w:ascii="Times New Roman" w:hAnsi="Times New Roman" w:eastAsia="方正楷体_GBK" w:cs="方正楷体_GBK"/>
                <w:i w:val="0"/>
                <w:iCs w:val="0"/>
                <w:color w:val="000000"/>
                <w:kern w:val="0"/>
                <w:sz w:val="20"/>
                <w:szCs w:val="20"/>
                <w:u w:val="none"/>
                <w:lang w:val="en-US" w:eastAsia="zh-CN" w:bidi="ar"/>
              </w:rPr>
              <w:t>修脚三项</w:t>
            </w:r>
          </w:p>
          <w:p w14:paraId="17E5093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方正楷体_GBK" w:cs="方正楷体_GBK"/>
                <w:i w:val="0"/>
                <w:iCs w:val="0"/>
                <w:color w:val="000000"/>
                <w:sz w:val="20"/>
                <w:szCs w:val="20"/>
                <w:u w:val="none"/>
              </w:rPr>
            </w:pPr>
            <w:r>
              <w:rPr>
                <w:rFonts w:hint="eastAsia" w:ascii="Times New Roman" w:hAnsi="Times New Roman" w:eastAsia="方正楷体_GBK" w:cs="方正楷体_GBK"/>
                <w:i w:val="0"/>
                <w:iCs w:val="0"/>
                <w:color w:val="000000"/>
                <w:kern w:val="0"/>
                <w:sz w:val="20"/>
                <w:szCs w:val="20"/>
                <w:u w:val="none"/>
                <w:lang w:val="en-US" w:eastAsia="zh-CN" w:bidi="ar"/>
              </w:rPr>
              <w:t>（洗脚、泡脚、修脚）</w:t>
            </w:r>
          </w:p>
        </w:tc>
        <w:tc>
          <w:tcPr>
            <w:tcW w:w="1005" w:type="pct"/>
            <w:shd w:val="clear" w:color="auto" w:fill="auto"/>
            <w:vAlign w:val="center"/>
          </w:tcPr>
          <w:p w14:paraId="2E07A13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方正楷体_GBK" w:cs="方正楷体_GBK"/>
                <w:i w:val="0"/>
                <w:iCs w:val="0"/>
                <w:color w:val="000000"/>
                <w:sz w:val="20"/>
                <w:szCs w:val="20"/>
                <w:u w:val="none"/>
              </w:rPr>
            </w:pPr>
            <w:r>
              <w:rPr>
                <w:rFonts w:hint="eastAsia" w:ascii="Times New Roman" w:hAnsi="Times New Roman" w:eastAsia="方正楷体_GBK" w:cs="方正楷体_GBK"/>
                <w:i w:val="0"/>
                <w:iCs w:val="0"/>
                <w:color w:val="000000"/>
                <w:kern w:val="0"/>
                <w:sz w:val="20"/>
                <w:szCs w:val="20"/>
                <w:u w:val="none"/>
                <w:lang w:val="en-US" w:eastAsia="zh-CN" w:bidi="ar"/>
              </w:rPr>
              <w:t>50元/次</w:t>
            </w:r>
          </w:p>
        </w:tc>
        <w:tc>
          <w:tcPr>
            <w:tcW w:w="770" w:type="pct"/>
            <w:shd w:val="clear" w:color="auto" w:fill="auto"/>
            <w:noWrap/>
            <w:vAlign w:val="center"/>
          </w:tcPr>
          <w:p w14:paraId="12C44F3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方正楷体_GBK" w:cs="方正楷体_GBK"/>
                <w:i w:val="0"/>
                <w:iCs w:val="0"/>
                <w:color w:val="000000"/>
                <w:sz w:val="20"/>
                <w:szCs w:val="20"/>
                <w:u w:val="none"/>
              </w:rPr>
            </w:pPr>
            <w:r>
              <w:rPr>
                <w:rFonts w:hint="eastAsia" w:ascii="Times New Roman" w:hAnsi="Times New Roman" w:eastAsia="方正楷体_GBK" w:cs="方正楷体_GBK"/>
                <w:i w:val="0"/>
                <w:iCs w:val="0"/>
                <w:color w:val="000000"/>
                <w:kern w:val="0"/>
                <w:sz w:val="20"/>
                <w:szCs w:val="20"/>
                <w:u w:val="none"/>
                <w:lang w:val="en-US" w:eastAsia="zh-CN" w:bidi="ar"/>
              </w:rPr>
              <w:t>90%</w:t>
            </w:r>
          </w:p>
        </w:tc>
        <w:tc>
          <w:tcPr>
            <w:tcW w:w="623" w:type="pct"/>
            <w:shd w:val="clear" w:color="auto" w:fill="FFFFFF"/>
            <w:noWrap/>
            <w:vAlign w:val="center"/>
          </w:tcPr>
          <w:p w14:paraId="791B28F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方正楷体_GBK" w:cs="方正楷体_GBK"/>
                <w:i w:val="0"/>
                <w:iCs w:val="0"/>
                <w:color w:val="000000"/>
                <w:sz w:val="20"/>
                <w:szCs w:val="20"/>
                <w:u w:val="none"/>
              </w:rPr>
            </w:pPr>
            <w:r>
              <w:rPr>
                <w:rFonts w:hint="eastAsia" w:ascii="Times New Roman" w:hAnsi="Times New Roman" w:eastAsia="方正楷体_GBK" w:cs="方正楷体_GBK"/>
                <w:i w:val="0"/>
                <w:iCs w:val="0"/>
                <w:color w:val="000000"/>
                <w:kern w:val="0"/>
                <w:sz w:val="20"/>
                <w:szCs w:val="20"/>
                <w:u w:val="none"/>
                <w:lang w:val="en-US" w:eastAsia="zh-CN" w:bidi="ar"/>
              </w:rPr>
              <w:t>45分钟</w:t>
            </w:r>
          </w:p>
        </w:tc>
      </w:tr>
      <w:tr w14:paraId="3C750B8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229" w:type="pct"/>
            <w:vMerge w:val="restart"/>
            <w:shd w:val="clear" w:color="auto" w:fill="auto"/>
            <w:noWrap/>
            <w:vAlign w:val="center"/>
          </w:tcPr>
          <w:p w14:paraId="5F0A4DA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方正楷体_GBK" w:cs="方正楷体_GBK"/>
                <w:i w:val="0"/>
                <w:iCs w:val="0"/>
                <w:color w:val="000000"/>
                <w:sz w:val="20"/>
                <w:szCs w:val="20"/>
                <w:u w:val="none"/>
              </w:rPr>
            </w:pPr>
            <w:r>
              <w:rPr>
                <w:rFonts w:hint="eastAsia" w:ascii="Times New Roman" w:hAnsi="Times New Roman" w:eastAsia="方正楷体_GBK" w:cs="方正楷体_GBK"/>
                <w:i w:val="0"/>
                <w:iCs w:val="0"/>
                <w:color w:val="000000"/>
                <w:kern w:val="0"/>
                <w:sz w:val="20"/>
                <w:szCs w:val="20"/>
                <w:u w:val="none"/>
                <w:lang w:val="en-US" w:eastAsia="zh-CN" w:bidi="ar"/>
              </w:rPr>
              <w:t>3</w:t>
            </w:r>
          </w:p>
        </w:tc>
        <w:tc>
          <w:tcPr>
            <w:tcW w:w="726" w:type="pct"/>
            <w:vMerge w:val="restart"/>
            <w:shd w:val="clear" w:color="auto" w:fill="auto"/>
            <w:vAlign w:val="center"/>
          </w:tcPr>
          <w:p w14:paraId="51A9A2C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方正楷体_GBK" w:cs="方正楷体_GBK"/>
                <w:i w:val="0"/>
                <w:iCs w:val="0"/>
                <w:color w:val="000000"/>
                <w:sz w:val="20"/>
                <w:szCs w:val="20"/>
                <w:u w:val="none"/>
              </w:rPr>
            </w:pPr>
            <w:r>
              <w:rPr>
                <w:rFonts w:hint="eastAsia" w:ascii="Times New Roman" w:hAnsi="Times New Roman" w:eastAsia="方正楷体_GBK" w:cs="方正楷体_GBK"/>
                <w:i w:val="0"/>
                <w:iCs w:val="0"/>
                <w:color w:val="000000"/>
                <w:kern w:val="0"/>
                <w:sz w:val="20"/>
                <w:szCs w:val="20"/>
                <w:u w:val="none"/>
                <w:lang w:val="en-US" w:eastAsia="zh-CN" w:bidi="ar"/>
              </w:rPr>
              <w:t>医疗护理</w:t>
            </w:r>
          </w:p>
        </w:tc>
        <w:tc>
          <w:tcPr>
            <w:tcW w:w="1644" w:type="pct"/>
            <w:vMerge w:val="restart"/>
            <w:shd w:val="clear" w:color="auto" w:fill="auto"/>
            <w:vAlign w:val="center"/>
          </w:tcPr>
          <w:p w14:paraId="6D73056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方正楷体_GBK" w:cs="方正楷体_GBK"/>
                <w:i w:val="0"/>
                <w:iCs w:val="0"/>
                <w:color w:val="000000"/>
                <w:kern w:val="0"/>
                <w:sz w:val="20"/>
                <w:szCs w:val="20"/>
                <w:u w:val="none"/>
                <w:lang w:val="en-US" w:eastAsia="zh-CN" w:bidi="ar"/>
              </w:rPr>
            </w:pPr>
            <w:r>
              <w:rPr>
                <w:rFonts w:hint="eastAsia" w:ascii="Times New Roman" w:hAnsi="Times New Roman" w:eastAsia="方正楷体_GBK" w:cs="方正楷体_GBK"/>
                <w:i w:val="0"/>
                <w:iCs w:val="0"/>
                <w:color w:val="000000"/>
                <w:kern w:val="0"/>
                <w:sz w:val="20"/>
                <w:szCs w:val="20"/>
                <w:u w:val="none"/>
                <w:lang w:val="en-US" w:eastAsia="zh-CN" w:bidi="ar"/>
              </w:rPr>
              <w:t>健康监测</w:t>
            </w:r>
          </w:p>
          <w:p w14:paraId="27E2994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方正楷体_GBK" w:cs="方正楷体_GBK"/>
                <w:i w:val="0"/>
                <w:iCs w:val="0"/>
                <w:color w:val="000000"/>
                <w:sz w:val="20"/>
                <w:szCs w:val="20"/>
                <w:u w:val="none"/>
              </w:rPr>
            </w:pPr>
            <w:r>
              <w:rPr>
                <w:rFonts w:hint="eastAsia" w:ascii="Times New Roman" w:hAnsi="Times New Roman" w:eastAsia="方正楷体_GBK" w:cs="方正楷体_GBK"/>
                <w:i w:val="0"/>
                <w:iCs w:val="0"/>
                <w:color w:val="000000"/>
                <w:kern w:val="0"/>
                <w:sz w:val="20"/>
                <w:szCs w:val="20"/>
                <w:u w:val="none"/>
                <w:lang w:val="en-US" w:eastAsia="zh-CN" w:bidi="ar"/>
              </w:rPr>
              <w:t>（血压、血糖检测，用药管理）</w:t>
            </w:r>
          </w:p>
        </w:tc>
        <w:tc>
          <w:tcPr>
            <w:tcW w:w="1005" w:type="pct"/>
            <w:shd w:val="clear" w:color="auto" w:fill="auto"/>
            <w:vAlign w:val="center"/>
          </w:tcPr>
          <w:p w14:paraId="7C6FFD5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方正楷体_GBK" w:cs="方正楷体_GBK"/>
                <w:i w:val="0"/>
                <w:iCs w:val="0"/>
                <w:color w:val="000000"/>
                <w:sz w:val="20"/>
                <w:szCs w:val="20"/>
                <w:u w:val="none"/>
              </w:rPr>
            </w:pPr>
            <w:r>
              <w:rPr>
                <w:rFonts w:hint="eastAsia" w:ascii="Times New Roman" w:hAnsi="Times New Roman" w:eastAsia="方正楷体_GBK" w:cs="方正楷体_GBK"/>
                <w:i w:val="0"/>
                <w:iCs w:val="0"/>
                <w:color w:val="000000"/>
                <w:kern w:val="0"/>
                <w:sz w:val="20"/>
                <w:szCs w:val="20"/>
                <w:u w:val="none"/>
                <w:lang w:val="en-US" w:eastAsia="zh-CN" w:bidi="ar"/>
              </w:rPr>
              <w:t>10元/次</w:t>
            </w:r>
          </w:p>
        </w:tc>
        <w:tc>
          <w:tcPr>
            <w:tcW w:w="770" w:type="pct"/>
            <w:shd w:val="clear" w:color="auto" w:fill="auto"/>
            <w:noWrap/>
            <w:vAlign w:val="center"/>
          </w:tcPr>
          <w:p w14:paraId="72538E3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方正楷体_GBK" w:cs="方正楷体_GBK"/>
                <w:i w:val="0"/>
                <w:iCs w:val="0"/>
                <w:color w:val="000000"/>
                <w:sz w:val="20"/>
                <w:szCs w:val="20"/>
                <w:u w:val="none"/>
              </w:rPr>
            </w:pPr>
            <w:r>
              <w:rPr>
                <w:rFonts w:hint="eastAsia" w:ascii="Times New Roman" w:hAnsi="Times New Roman" w:eastAsia="方正楷体_GBK" w:cs="方正楷体_GBK"/>
                <w:i w:val="0"/>
                <w:iCs w:val="0"/>
                <w:color w:val="000000"/>
                <w:kern w:val="0"/>
                <w:sz w:val="20"/>
                <w:szCs w:val="20"/>
                <w:u w:val="none"/>
                <w:lang w:val="en-US" w:eastAsia="zh-CN" w:bidi="ar"/>
              </w:rPr>
              <w:t>90%</w:t>
            </w:r>
          </w:p>
        </w:tc>
        <w:tc>
          <w:tcPr>
            <w:tcW w:w="623" w:type="pct"/>
            <w:shd w:val="clear" w:color="auto" w:fill="FFFFFF"/>
            <w:noWrap/>
            <w:vAlign w:val="center"/>
          </w:tcPr>
          <w:p w14:paraId="0EBBB579">
            <w:pPr>
              <w:keepNext w:val="0"/>
              <w:keepLines w:val="0"/>
              <w:pageBreakBefore w:val="0"/>
              <w:widowControl/>
              <w:kinsoku/>
              <w:wordWrap/>
              <w:overflowPunct/>
              <w:topLinePunct w:val="0"/>
              <w:autoSpaceDE/>
              <w:autoSpaceDN/>
              <w:bidi w:val="0"/>
              <w:adjustRightInd/>
              <w:snapToGrid/>
              <w:spacing w:line="0" w:lineRule="atLeast"/>
              <w:jc w:val="center"/>
              <w:rPr>
                <w:rFonts w:hint="eastAsia" w:ascii="Times New Roman" w:hAnsi="Times New Roman" w:eastAsia="方正楷体_GBK" w:cs="方正楷体_GBK"/>
                <w:i w:val="0"/>
                <w:iCs w:val="0"/>
                <w:color w:val="000000"/>
                <w:sz w:val="20"/>
                <w:szCs w:val="20"/>
                <w:u w:val="none"/>
              </w:rPr>
            </w:pPr>
          </w:p>
        </w:tc>
      </w:tr>
      <w:tr w14:paraId="66AD172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229" w:type="pct"/>
            <w:vMerge w:val="continue"/>
            <w:shd w:val="clear" w:color="auto" w:fill="auto"/>
            <w:noWrap/>
            <w:vAlign w:val="center"/>
          </w:tcPr>
          <w:p w14:paraId="7455CB03">
            <w:pPr>
              <w:keepNext w:val="0"/>
              <w:keepLines w:val="0"/>
              <w:pageBreakBefore w:val="0"/>
              <w:widowControl/>
              <w:kinsoku/>
              <w:wordWrap/>
              <w:overflowPunct/>
              <w:topLinePunct w:val="0"/>
              <w:autoSpaceDE/>
              <w:autoSpaceDN/>
              <w:bidi w:val="0"/>
              <w:adjustRightInd/>
              <w:snapToGrid/>
              <w:spacing w:line="0" w:lineRule="atLeast"/>
              <w:jc w:val="center"/>
              <w:rPr>
                <w:rFonts w:hint="eastAsia" w:ascii="Times New Roman" w:hAnsi="Times New Roman" w:eastAsia="方正楷体_GBK" w:cs="方正楷体_GBK"/>
                <w:i w:val="0"/>
                <w:iCs w:val="0"/>
                <w:color w:val="000000"/>
                <w:sz w:val="20"/>
                <w:szCs w:val="20"/>
                <w:u w:val="none"/>
              </w:rPr>
            </w:pPr>
          </w:p>
        </w:tc>
        <w:tc>
          <w:tcPr>
            <w:tcW w:w="726" w:type="pct"/>
            <w:vMerge w:val="continue"/>
            <w:shd w:val="clear" w:color="auto" w:fill="auto"/>
            <w:vAlign w:val="center"/>
          </w:tcPr>
          <w:p w14:paraId="36D47CEB">
            <w:pPr>
              <w:keepNext w:val="0"/>
              <w:keepLines w:val="0"/>
              <w:pageBreakBefore w:val="0"/>
              <w:widowControl/>
              <w:kinsoku/>
              <w:wordWrap/>
              <w:overflowPunct/>
              <w:topLinePunct w:val="0"/>
              <w:autoSpaceDE/>
              <w:autoSpaceDN/>
              <w:bidi w:val="0"/>
              <w:adjustRightInd/>
              <w:snapToGrid/>
              <w:spacing w:line="0" w:lineRule="atLeast"/>
              <w:jc w:val="center"/>
              <w:rPr>
                <w:rFonts w:hint="eastAsia" w:ascii="Times New Roman" w:hAnsi="Times New Roman" w:eastAsia="方正楷体_GBK" w:cs="方正楷体_GBK"/>
                <w:i w:val="0"/>
                <w:iCs w:val="0"/>
                <w:color w:val="000000"/>
                <w:sz w:val="20"/>
                <w:szCs w:val="20"/>
                <w:u w:val="none"/>
              </w:rPr>
            </w:pPr>
          </w:p>
        </w:tc>
        <w:tc>
          <w:tcPr>
            <w:tcW w:w="1644" w:type="pct"/>
            <w:vMerge w:val="continue"/>
            <w:shd w:val="clear" w:color="auto" w:fill="auto"/>
            <w:vAlign w:val="center"/>
          </w:tcPr>
          <w:p w14:paraId="5829B30A">
            <w:pPr>
              <w:keepNext w:val="0"/>
              <w:keepLines w:val="0"/>
              <w:pageBreakBefore w:val="0"/>
              <w:widowControl/>
              <w:kinsoku/>
              <w:wordWrap/>
              <w:overflowPunct/>
              <w:topLinePunct w:val="0"/>
              <w:autoSpaceDE/>
              <w:autoSpaceDN/>
              <w:bidi w:val="0"/>
              <w:adjustRightInd/>
              <w:snapToGrid/>
              <w:spacing w:line="0" w:lineRule="atLeast"/>
              <w:jc w:val="center"/>
              <w:rPr>
                <w:rFonts w:hint="eastAsia" w:ascii="Times New Roman" w:hAnsi="Times New Roman" w:eastAsia="方正楷体_GBK" w:cs="方正楷体_GBK"/>
                <w:i w:val="0"/>
                <w:iCs w:val="0"/>
                <w:color w:val="000000"/>
                <w:sz w:val="20"/>
                <w:szCs w:val="20"/>
                <w:u w:val="none"/>
              </w:rPr>
            </w:pPr>
          </w:p>
        </w:tc>
        <w:tc>
          <w:tcPr>
            <w:tcW w:w="1005" w:type="pct"/>
            <w:shd w:val="clear" w:color="auto" w:fill="auto"/>
            <w:vAlign w:val="center"/>
          </w:tcPr>
          <w:p w14:paraId="7208B80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方正楷体_GBK" w:cs="方正楷体_GBK"/>
                <w:i w:val="0"/>
                <w:iCs w:val="0"/>
                <w:color w:val="000000"/>
                <w:sz w:val="20"/>
                <w:szCs w:val="20"/>
                <w:u w:val="none"/>
              </w:rPr>
            </w:pPr>
            <w:r>
              <w:rPr>
                <w:rFonts w:hint="eastAsia" w:ascii="Times New Roman" w:hAnsi="Times New Roman" w:eastAsia="方正楷体_GBK" w:cs="方正楷体_GBK"/>
                <w:i w:val="0"/>
                <w:iCs w:val="0"/>
                <w:color w:val="000000"/>
                <w:kern w:val="0"/>
                <w:sz w:val="20"/>
                <w:szCs w:val="20"/>
                <w:u w:val="none"/>
                <w:lang w:val="en-US" w:eastAsia="zh-CN" w:bidi="ar"/>
              </w:rPr>
              <w:t>免费（是否N+1）</w:t>
            </w:r>
          </w:p>
        </w:tc>
        <w:tc>
          <w:tcPr>
            <w:tcW w:w="770" w:type="pct"/>
            <w:shd w:val="clear" w:color="auto" w:fill="auto"/>
            <w:noWrap/>
            <w:vAlign w:val="center"/>
          </w:tcPr>
          <w:p w14:paraId="4860944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方正楷体_GBK" w:cs="方正楷体_GBK"/>
                <w:i w:val="0"/>
                <w:iCs w:val="0"/>
                <w:color w:val="000000"/>
                <w:sz w:val="20"/>
                <w:szCs w:val="20"/>
                <w:u w:val="none"/>
              </w:rPr>
            </w:pPr>
            <w:r>
              <w:rPr>
                <w:rFonts w:hint="eastAsia" w:ascii="Times New Roman" w:hAnsi="Times New Roman" w:eastAsia="方正楷体_GBK" w:cs="方正楷体_GBK"/>
                <w:i w:val="0"/>
                <w:iCs w:val="0"/>
                <w:color w:val="000000"/>
                <w:kern w:val="0"/>
                <w:sz w:val="20"/>
                <w:szCs w:val="20"/>
                <w:u w:val="none"/>
                <w:lang w:val="en-US" w:eastAsia="zh-CN" w:bidi="ar"/>
              </w:rPr>
              <w:t>90%</w:t>
            </w:r>
          </w:p>
        </w:tc>
        <w:tc>
          <w:tcPr>
            <w:tcW w:w="623" w:type="pct"/>
            <w:shd w:val="clear" w:color="auto" w:fill="FFFFFF"/>
            <w:noWrap/>
            <w:vAlign w:val="center"/>
          </w:tcPr>
          <w:p w14:paraId="1B771AF5">
            <w:pPr>
              <w:keepNext w:val="0"/>
              <w:keepLines w:val="0"/>
              <w:pageBreakBefore w:val="0"/>
              <w:widowControl/>
              <w:kinsoku/>
              <w:wordWrap/>
              <w:overflowPunct/>
              <w:topLinePunct w:val="0"/>
              <w:autoSpaceDE/>
              <w:autoSpaceDN/>
              <w:bidi w:val="0"/>
              <w:adjustRightInd/>
              <w:snapToGrid/>
              <w:spacing w:line="0" w:lineRule="atLeast"/>
              <w:jc w:val="center"/>
              <w:rPr>
                <w:rFonts w:hint="eastAsia" w:ascii="Times New Roman" w:hAnsi="Times New Roman" w:eastAsia="方正楷体_GBK" w:cs="方正楷体_GBK"/>
                <w:i w:val="0"/>
                <w:iCs w:val="0"/>
                <w:color w:val="000000"/>
                <w:sz w:val="20"/>
                <w:szCs w:val="20"/>
                <w:u w:val="none"/>
              </w:rPr>
            </w:pPr>
          </w:p>
        </w:tc>
      </w:tr>
      <w:tr w14:paraId="0054D1D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229" w:type="pct"/>
            <w:vMerge w:val="continue"/>
            <w:shd w:val="clear" w:color="auto" w:fill="auto"/>
            <w:noWrap/>
            <w:vAlign w:val="center"/>
          </w:tcPr>
          <w:p w14:paraId="70168C1C">
            <w:pPr>
              <w:keepNext w:val="0"/>
              <w:keepLines w:val="0"/>
              <w:pageBreakBefore w:val="0"/>
              <w:widowControl/>
              <w:kinsoku/>
              <w:wordWrap/>
              <w:overflowPunct/>
              <w:topLinePunct w:val="0"/>
              <w:autoSpaceDE/>
              <w:autoSpaceDN/>
              <w:bidi w:val="0"/>
              <w:adjustRightInd/>
              <w:snapToGrid/>
              <w:spacing w:line="0" w:lineRule="atLeast"/>
              <w:jc w:val="center"/>
              <w:rPr>
                <w:rFonts w:hint="eastAsia" w:ascii="Times New Roman" w:hAnsi="Times New Roman" w:eastAsia="方正楷体_GBK" w:cs="方正楷体_GBK"/>
                <w:i w:val="0"/>
                <w:iCs w:val="0"/>
                <w:color w:val="000000"/>
                <w:sz w:val="20"/>
                <w:szCs w:val="20"/>
                <w:u w:val="none"/>
              </w:rPr>
            </w:pPr>
          </w:p>
        </w:tc>
        <w:tc>
          <w:tcPr>
            <w:tcW w:w="726" w:type="pct"/>
            <w:vMerge w:val="continue"/>
            <w:shd w:val="clear" w:color="auto" w:fill="auto"/>
            <w:vAlign w:val="center"/>
          </w:tcPr>
          <w:p w14:paraId="5D5F94E8">
            <w:pPr>
              <w:keepNext w:val="0"/>
              <w:keepLines w:val="0"/>
              <w:pageBreakBefore w:val="0"/>
              <w:widowControl/>
              <w:kinsoku/>
              <w:wordWrap/>
              <w:overflowPunct/>
              <w:topLinePunct w:val="0"/>
              <w:autoSpaceDE/>
              <w:autoSpaceDN/>
              <w:bidi w:val="0"/>
              <w:adjustRightInd/>
              <w:snapToGrid/>
              <w:spacing w:line="0" w:lineRule="atLeast"/>
              <w:jc w:val="center"/>
              <w:rPr>
                <w:rFonts w:hint="eastAsia" w:ascii="Times New Roman" w:hAnsi="Times New Roman" w:eastAsia="方正楷体_GBK" w:cs="方正楷体_GBK"/>
                <w:i w:val="0"/>
                <w:iCs w:val="0"/>
                <w:color w:val="000000"/>
                <w:sz w:val="20"/>
                <w:szCs w:val="20"/>
                <w:u w:val="none"/>
              </w:rPr>
            </w:pPr>
          </w:p>
        </w:tc>
        <w:tc>
          <w:tcPr>
            <w:tcW w:w="1644" w:type="pct"/>
            <w:shd w:val="clear" w:color="auto" w:fill="auto"/>
            <w:vAlign w:val="center"/>
          </w:tcPr>
          <w:p w14:paraId="1CF9A87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方正楷体_GBK" w:cs="方正楷体_GBK"/>
                <w:i w:val="0"/>
                <w:iCs w:val="0"/>
                <w:color w:val="000000"/>
                <w:sz w:val="20"/>
                <w:szCs w:val="20"/>
                <w:u w:val="none"/>
              </w:rPr>
            </w:pPr>
            <w:r>
              <w:rPr>
                <w:rFonts w:hint="eastAsia" w:ascii="Times New Roman" w:hAnsi="Times New Roman" w:eastAsia="方正楷体_GBK" w:cs="方正楷体_GBK"/>
                <w:i w:val="0"/>
                <w:iCs w:val="0"/>
                <w:color w:val="000000"/>
                <w:kern w:val="0"/>
                <w:sz w:val="20"/>
                <w:szCs w:val="20"/>
                <w:u w:val="none"/>
                <w:lang w:val="en-US" w:eastAsia="zh-CN" w:bidi="ar"/>
              </w:rPr>
              <w:t>超声雾化</w:t>
            </w:r>
          </w:p>
        </w:tc>
        <w:tc>
          <w:tcPr>
            <w:tcW w:w="1005" w:type="pct"/>
            <w:shd w:val="clear" w:color="auto" w:fill="auto"/>
            <w:vAlign w:val="center"/>
          </w:tcPr>
          <w:p w14:paraId="653EA6F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方正楷体_GBK" w:cs="方正楷体_GBK"/>
                <w:i w:val="0"/>
                <w:iCs w:val="0"/>
                <w:color w:val="000000"/>
                <w:sz w:val="20"/>
                <w:szCs w:val="20"/>
                <w:u w:val="none"/>
              </w:rPr>
            </w:pPr>
            <w:r>
              <w:rPr>
                <w:rFonts w:hint="eastAsia" w:ascii="Times New Roman" w:hAnsi="Times New Roman" w:eastAsia="方正楷体_GBK" w:cs="方正楷体_GBK"/>
                <w:i w:val="0"/>
                <w:iCs w:val="0"/>
                <w:color w:val="000000"/>
                <w:kern w:val="0"/>
                <w:sz w:val="20"/>
                <w:szCs w:val="20"/>
                <w:u w:val="none"/>
                <w:lang w:val="en-US" w:eastAsia="zh-CN" w:bidi="ar"/>
              </w:rPr>
              <w:t>30元/次</w:t>
            </w:r>
          </w:p>
        </w:tc>
        <w:tc>
          <w:tcPr>
            <w:tcW w:w="770" w:type="pct"/>
            <w:shd w:val="clear" w:color="auto" w:fill="auto"/>
            <w:noWrap/>
            <w:vAlign w:val="center"/>
          </w:tcPr>
          <w:p w14:paraId="6FF2787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方正楷体_GBK" w:cs="方正楷体_GBK"/>
                <w:i w:val="0"/>
                <w:iCs w:val="0"/>
                <w:color w:val="000000"/>
                <w:sz w:val="20"/>
                <w:szCs w:val="20"/>
                <w:u w:val="none"/>
              </w:rPr>
            </w:pPr>
            <w:r>
              <w:rPr>
                <w:rFonts w:hint="eastAsia" w:ascii="Times New Roman" w:hAnsi="Times New Roman" w:eastAsia="方正楷体_GBK" w:cs="方正楷体_GBK"/>
                <w:i w:val="0"/>
                <w:iCs w:val="0"/>
                <w:color w:val="000000"/>
                <w:kern w:val="0"/>
                <w:sz w:val="20"/>
                <w:szCs w:val="20"/>
                <w:u w:val="none"/>
                <w:lang w:val="en-US" w:eastAsia="zh-CN" w:bidi="ar"/>
              </w:rPr>
              <w:t>90%</w:t>
            </w:r>
          </w:p>
        </w:tc>
        <w:tc>
          <w:tcPr>
            <w:tcW w:w="623" w:type="pct"/>
            <w:shd w:val="clear" w:color="auto" w:fill="auto"/>
            <w:noWrap/>
            <w:vAlign w:val="center"/>
          </w:tcPr>
          <w:p w14:paraId="2E06E2F2">
            <w:pPr>
              <w:keepNext w:val="0"/>
              <w:keepLines w:val="0"/>
              <w:pageBreakBefore w:val="0"/>
              <w:widowControl/>
              <w:kinsoku/>
              <w:wordWrap/>
              <w:overflowPunct/>
              <w:topLinePunct w:val="0"/>
              <w:autoSpaceDE/>
              <w:autoSpaceDN/>
              <w:bidi w:val="0"/>
              <w:adjustRightInd/>
              <w:snapToGrid/>
              <w:spacing w:line="0" w:lineRule="atLeast"/>
              <w:jc w:val="center"/>
              <w:rPr>
                <w:rFonts w:hint="eastAsia" w:ascii="Times New Roman" w:hAnsi="Times New Roman" w:eastAsia="方正楷体_GBK" w:cs="方正楷体_GBK"/>
                <w:i w:val="0"/>
                <w:iCs w:val="0"/>
                <w:color w:val="000000"/>
                <w:sz w:val="20"/>
                <w:szCs w:val="20"/>
                <w:u w:val="none"/>
              </w:rPr>
            </w:pPr>
          </w:p>
        </w:tc>
      </w:tr>
      <w:tr w14:paraId="29FD3D9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229" w:type="pct"/>
            <w:vMerge w:val="continue"/>
            <w:shd w:val="clear" w:color="auto" w:fill="auto"/>
            <w:noWrap/>
            <w:vAlign w:val="center"/>
          </w:tcPr>
          <w:p w14:paraId="3E5985D3">
            <w:pPr>
              <w:keepNext w:val="0"/>
              <w:keepLines w:val="0"/>
              <w:pageBreakBefore w:val="0"/>
              <w:widowControl/>
              <w:kinsoku/>
              <w:wordWrap/>
              <w:overflowPunct/>
              <w:topLinePunct w:val="0"/>
              <w:autoSpaceDE/>
              <w:autoSpaceDN/>
              <w:bidi w:val="0"/>
              <w:adjustRightInd/>
              <w:snapToGrid/>
              <w:spacing w:line="0" w:lineRule="atLeast"/>
              <w:jc w:val="center"/>
              <w:rPr>
                <w:rFonts w:hint="eastAsia" w:ascii="Times New Roman" w:hAnsi="Times New Roman" w:eastAsia="方正楷体_GBK" w:cs="方正楷体_GBK"/>
                <w:i w:val="0"/>
                <w:iCs w:val="0"/>
                <w:color w:val="000000"/>
                <w:sz w:val="20"/>
                <w:szCs w:val="20"/>
                <w:u w:val="none"/>
              </w:rPr>
            </w:pPr>
          </w:p>
        </w:tc>
        <w:tc>
          <w:tcPr>
            <w:tcW w:w="726" w:type="pct"/>
            <w:vMerge w:val="continue"/>
            <w:shd w:val="clear" w:color="auto" w:fill="auto"/>
            <w:vAlign w:val="center"/>
          </w:tcPr>
          <w:p w14:paraId="6D05944A">
            <w:pPr>
              <w:keepNext w:val="0"/>
              <w:keepLines w:val="0"/>
              <w:pageBreakBefore w:val="0"/>
              <w:widowControl/>
              <w:kinsoku/>
              <w:wordWrap/>
              <w:overflowPunct/>
              <w:topLinePunct w:val="0"/>
              <w:autoSpaceDE/>
              <w:autoSpaceDN/>
              <w:bidi w:val="0"/>
              <w:adjustRightInd/>
              <w:snapToGrid/>
              <w:spacing w:line="0" w:lineRule="atLeast"/>
              <w:jc w:val="center"/>
              <w:rPr>
                <w:rFonts w:hint="eastAsia" w:ascii="Times New Roman" w:hAnsi="Times New Roman" w:eastAsia="方正楷体_GBK" w:cs="方正楷体_GBK"/>
                <w:i w:val="0"/>
                <w:iCs w:val="0"/>
                <w:color w:val="000000"/>
                <w:sz w:val="20"/>
                <w:szCs w:val="20"/>
                <w:u w:val="none"/>
              </w:rPr>
            </w:pPr>
          </w:p>
        </w:tc>
        <w:tc>
          <w:tcPr>
            <w:tcW w:w="1644" w:type="pct"/>
            <w:shd w:val="clear" w:color="auto" w:fill="auto"/>
            <w:vAlign w:val="center"/>
          </w:tcPr>
          <w:p w14:paraId="69AE89B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方正楷体_GBK" w:cs="方正楷体_GBK"/>
                <w:i w:val="0"/>
                <w:iCs w:val="0"/>
                <w:color w:val="000000"/>
                <w:sz w:val="20"/>
                <w:szCs w:val="20"/>
                <w:u w:val="none"/>
              </w:rPr>
            </w:pPr>
            <w:r>
              <w:rPr>
                <w:rFonts w:hint="eastAsia" w:ascii="Times New Roman" w:hAnsi="Times New Roman" w:eastAsia="方正楷体_GBK" w:cs="方正楷体_GBK"/>
                <w:i w:val="0"/>
                <w:iCs w:val="0"/>
                <w:color w:val="000000"/>
                <w:kern w:val="0"/>
                <w:sz w:val="20"/>
                <w:szCs w:val="20"/>
                <w:u w:val="none"/>
                <w:lang w:val="en-US" w:eastAsia="zh-CN" w:bidi="ar"/>
              </w:rPr>
              <w:t>胃管护理</w:t>
            </w:r>
          </w:p>
        </w:tc>
        <w:tc>
          <w:tcPr>
            <w:tcW w:w="1005" w:type="pct"/>
            <w:shd w:val="clear" w:color="auto" w:fill="auto"/>
            <w:vAlign w:val="center"/>
          </w:tcPr>
          <w:p w14:paraId="018B34B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方正楷体_GBK" w:cs="方正楷体_GBK"/>
                <w:i w:val="0"/>
                <w:iCs w:val="0"/>
                <w:color w:val="000000"/>
                <w:sz w:val="20"/>
                <w:szCs w:val="20"/>
                <w:u w:val="none"/>
              </w:rPr>
            </w:pPr>
            <w:r>
              <w:rPr>
                <w:rFonts w:hint="eastAsia" w:ascii="Times New Roman" w:hAnsi="Times New Roman" w:eastAsia="方正楷体_GBK" w:cs="方正楷体_GBK"/>
                <w:i w:val="0"/>
                <w:iCs w:val="0"/>
                <w:color w:val="000000"/>
                <w:kern w:val="0"/>
                <w:sz w:val="20"/>
                <w:szCs w:val="20"/>
                <w:u w:val="none"/>
                <w:lang w:val="en-US" w:eastAsia="zh-CN" w:bidi="ar"/>
              </w:rPr>
              <w:t>80元/次</w:t>
            </w:r>
          </w:p>
        </w:tc>
        <w:tc>
          <w:tcPr>
            <w:tcW w:w="770" w:type="pct"/>
            <w:shd w:val="clear" w:color="auto" w:fill="auto"/>
            <w:noWrap/>
            <w:vAlign w:val="center"/>
          </w:tcPr>
          <w:p w14:paraId="65129E1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方正楷体_GBK" w:cs="方正楷体_GBK"/>
                <w:i w:val="0"/>
                <w:iCs w:val="0"/>
                <w:color w:val="000000"/>
                <w:sz w:val="20"/>
                <w:szCs w:val="20"/>
                <w:u w:val="none"/>
              </w:rPr>
            </w:pPr>
            <w:r>
              <w:rPr>
                <w:rFonts w:hint="eastAsia" w:ascii="Times New Roman" w:hAnsi="Times New Roman" w:eastAsia="方正楷体_GBK" w:cs="方正楷体_GBK"/>
                <w:i w:val="0"/>
                <w:iCs w:val="0"/>
                <w:color w:val="000000"/>
                <w:kern w:val="0"/>
                <w:sz w:val="20"/>
                <w:szCs w:val="20"/>
                <w:u w:val="none"/>
                <w:lang w:val="en-US" w:eastAsia="zh-CN" w:bidi="ar"/>
              </w:rPr>
              <w:t>90%</w:t>
            </w:r>
          </w:p>
        </w:tc>
        <w:tc>
          <w:tcPr>
            <w:tcW w:w="623" w:type="pct"/>
            <w:shd w:val="clear" w:color="auto" w:fill="auto"/>
            <w:noWrap/>
            <w:vAlign w:val="center"/>
          </w:tcPr>
          <w:p w14:paraId="05112220">
            <w:pPr>
              <w:keepNext w:val="0"/>
              <w:keepLines w:val="0"/>
              <w:pageBreakBefore w:val="0"/>
              <w:widowControl/>
              <w:kinsoku/>
              <w:wordWrap/>
              <w:overflowPunct/>
              <w:topLinePunct w:val="0"/>
              <w:autoSpaceDE/>
              <w:autoSpaceDN/>
              <w:bidi w:val="0"/>
              <w:adjustRightInd/>
              <w:snapToGrid/>
              <w:spacing w:line="0" w:lineRule="atLeast"/>
              <w:jc w:val="center"/>
              <w:rPr>
                <w:rFonts w:hint="eastAsia" w:ascii="Times New Roman" w:hAnsi="Times New Roman" w:eastAsia="方正楷体_GBK" w:cs="方正楷体_GBK"/>
                <w:i w:val="0"/>
                <w:iCs w:val="0"/>
                <w:color w:val="000000"/>
                <w:sz w:val="20"/>
                <w:szCs w:val="20"/>
                <w:u w:val="none"/>
              </w:rPr>
            </w:pPr>
          </w:p>
        </w:tc>
      </w:tr>
      <w:tr w14:paraId="313444B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229" w:type="pct"/>
            <w:vMerge w:val="continue"/>
            <w:shd w:val="clear" w:color="auto" w:fill="auto"/>
            <w:noWrap/>
            <w:vAlign w:val="center"/>
          </w:tcPr>
          <w:p w14:paraId="7517223B">
            <w:pPr>
              <w:keepNext w:val="0"/>
              <w:keepLines w:val="0"/>
              <w:pageBreakBefore w:val="0"/>
              <w:widowControl/>
              <w:kinsoku/>
              <w:wordWrap/>
              <w:overflowPunct/>
              <w:topLinePunct w:val="0"/>
              <w:autoSpaceDE/>
              <w:autoSpaceDN/>
              <w:bidi w:val="0"/>
              <w:adjustRightInd/>
              <w:snapToGrid/>
              <w:spacing w:line="0" w:lineRule="atLeast"/>
              <w:jc w:val="center"/>
              <w:rPr>
                <w:rFonts w:hint="eastAsia" w:ascii="Times New Roman" w:hAnsi="Times New Roman" w:eastAsia="方正楷体_GBK" w:cs="方正楷体_GBK"/>
                <w:i w:val="0"/>
                <w:iCs w:val="0"/>
                <w:color w:val="000000"/>
                <w:sz w:val="20"/>
                <w:szCs w:val="20"/>
                <w:u w:val="none"/>
              </w:rPr>
            </w:pPr>
          </w:p>
        </w:tc>
        <w:tc>
          <w:tcPr>
            <w:tcW w:w="726" w:type="pct"/>
            <w:vMerge w:val="continue"/>
            <w:shd w:val="clear" w:color="auto" w:fill="auto"/>
            <w:vAlign w:val="center"/>
          </w:tcPr>
          <w:p w14:paraId="3AC59D2D">
            <w:pPr>
              <w:keepNext w:val="0"/>
              <w:keepLines w:val="0"/>
              <w:pageBreakBefore w:val="0"/>
              <w:widowControl/>
              <w:kinsoku/>
              <w:wordWrap/>
              <w:overflowPunct/>
              <w:topLinePunct w:val="0"/>
              <w:autoSpaceDE/>
              <w:autoSpaceDN/>
              <w:bidi w:val="0"/>
              <w:adjustRightInd/>
              <w:snapToGrid/>
              <w:spacing w:line="0" w:lineRule="atLeast"/>
              <w:jc w:val="center"/>
              <w:rPr>
                <w:rFonts w:hint="eastAsia" w:ascii="Times New Roman" w:hAnsi="Times New Roman" w:eastAsia="方正楷体_GBK" w:cs="方正楷体_GBK"/>
                <w:i w:val="0"/>
                <w:iCs w:val="0"/>
                <w:color w:val="000000"/>
                <w:sz w:val="20"/>
                <w:szCs w:val="20"/>
                <w:u w:val="none"/>
              </w:rPr>
            </w:pPr>
          </w:p>
        </w:tc>
        <w:tc>
          <w:tcPr>
            <w:tcW w:w="1644" w:type="pct"/>
            <w:shd w:val="clear" w:color="auto" w:fill="auto"/>
            <w:vAlign w:val="center"/>
          </w:tcPr>
          <w:p w14:paraId="1335062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方正楷体_GBK" w:cs="方正楷体_GBK"/>
                <w:i w:val="0"/>
                <w:iCs w:val="0"/>
                <w:color w:val="000000"/>
                <w:sz w:val="20"/>
                <w:szCs w:val="20"/>
                <w:u w:val="none"/>
              </w:rPr>
            </w:pPr>
            <w:r>
              <w:rPr>
                <w:rFonts w:hint="eastAsia" w:ascii="Times New Roman" w:hAnsi="Times New Roman" w:eastAsia="方正楷体_GBK" w:cs="方正楷体_GBK"/>
                <w:i w:val="0"/>
                <w:iCs w:val="0"/>
                <w:color w:val="000000"/>
                <w:kern w:val="0"/>
                <w:sz w:val="20"/>
                <w:szCs w:val="20"/>
                <w:u w:val="none"/>
                <w:lang w:val="en-US" w:eastAsia="zh-CN" w:bidi="ar"/>
              </w:rPr>
              <w:t>更换胃管</w:t>
            </w:r>
          </w:p>
        </w:tc>
        <w:tc>
          <w:tcPr>
            <w:tcW w:w="1005" w:type="pct"/>
            <w:shd w:val="clear" w:color="auto" w:fill="auto"/>
            <w:noWrap/>
            <w:vAlign w:val="center"/>
          </w:tcPr>
          <w:p w14:paraId="398B134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方正楷体_GBK" w:cs="方正楷体_GBK"/>
                <w:i w:val="0"/>
                <w:iCs w:val="0"/>
                <w:color w:val="000000"/>
                <w:sz w:val="20"/>
                <w:szCs w:val="20"/>
                <w:u w:val="none"/>
              </w:rPr>
            </w:pPr>
            <w:r>
              <w:rPr>
                <w:rFonts w:hint="eastAsia" w:ascii="Times New Roman" w:hAnsi="Times New Roman" w:eastAsia="方正楷体_GBK" w:cs="方正楷体_GBK"/>
                <w:i w:val="0"/>
                <w:iCs w:val="0"/>
                <w:color w:val="000000"/>
                <w:kern w:val="0"/>
                <w:sz w:val="20"/>
                <w:szCs w:val="20"/>
                <w:u w:val="none"/>
                <w:lang w:val="en-US" w:eastAsia="zh-CN" w:bidi="ar"/>
              </w:rPr>
              <w:t>150元/次</w:t>
            </w:r>
          </w:p>
        </w:tc>
        <w:tc>
          <w:tcPr>
            <w:tcW w:w="770" w:type="pct"/>
            <w:shd w:val="clear" w:color="auto" w:fill="auto"/>
            <w:noWrap/>
            <w:vAlign w:val="center"/>
          </w:tcPr>
          <w:p w14:paraId="40F22E3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方正楷体_GBK" w:cs="方正楷体_GBK"/>
                <w:i w:val="0"/>
                <w:iCs w:val="0"/>
                <w:color w:val="000000"/>
                <w:sz w:val="20"/>
                <w:szCs w:val="20"/>
                <w:u w:val="none"/>
              </w:rPr>
            </w:pPr>
            <w:r>
              <w:rPr>
                <w:rFonts w:hint="eastAsia" w:ascii="Times New Roman" w:hAnsi="Times New Roman" w:eastAsia="方正楷体_GBK" w:cs="方正楷体_GBK"/>
                <w:i w:val="0"/>
                <w:iCs w:val="0"/>
                <w:color w:val="000000"/>
                <w:kern w:val="0"/>
                <w:sz w:val="20"/>
                <w:szCs w:val="20"/>
                <w:u w:val="none"/>
                <w:lang w:val="en-US" w:eastAsia="zh-CN" w:bidi="ar"/>
              </w:rPr>
              <w:t>90%</w:t>
            </w:r>
          </w:p>
        </w:tc>
        <w:tc>
          <w:tcPr>
            <w:tcW w:w="623" w:type="pct"/>
            <w:shd w:val="clear" w:color="auto" w:fill="auto"/>
            <w:noWrap/>
            <w:vAlign w:val="center"/>
          </w:tcPr>
          <w:p w14:paraId="6FD5FD37">
            <w:pPr>
              <w:keepNext w:val="0"/>
              <w:keepLines w:val="0"/>
              <w:pageBreakBefore w:val="0"/>
              <w:widowControl/>
              <w:kinsoku/>
              <w:wordWrap/>
              <w:overflowPunct/>
              <w:topLinePunct w:val="0"/>
              <w:autoSpaceDE/>
              <w:autoSpaceDN/>
              <w:bidi w:val="0"/>
              <w:adjustRightInd/>
              <w:snapToGrid/>
              <w:spacing w:line="0" w:lineRule="atLeast"/>
              <w:jc w:val="center"/>
              <w:rPr>
                <w:rFonts w:hint="eastAsia" w:ascii="Times New Roman" w:hAnsi="Times New Roman" w:eastAsia="方正楷体_GBK" w:cs="方正楷体_GBK"/>
                <w:i w:val="0"/>
                <w:iCs w:val="0"/>
                <w:color w:val="000000"/>
                <w:sz w:val="20"/>
                <w:szCs w:val="20"/>
                <w:u w:val="none"/>
              </w:rPr>
            </w:pPr>
          </w:p>
        </w:tc>
      </w:tr>
      <w:tr w14:paraId="76EC8D6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229" w:type="pct"/>
            <w:vMerge w:val="continue"/>
            <w:shd w:val="clear" w:color="auto" w:fill="auto"/>
            <w:noWrap/>
            <w:vAlign w:val="center"/>
          </w:tcPr>
          <w:p w14:paraId="51105BEC">
            <w:pPr>
              <w:keepNext w:val="0"/>
              <w:keepLines w:val="0"/>
              <w:pageBreakBefore w:val="0"/>
              <w:widowControl/>
              <w:kinsoku/>
              <w:wordWrap/>
              <w:overflowPunct/>
              <w:topLinePunct w:val="0"/>
              <w:autoSpaceDE/>
              <w:autoSpaceDN/>
              <w:bidi w:val="0"/>
              <w:adjustRightInd/>
              <w:snapToGrid/>
              <w:spacing w:line="0" w:lineRule="atLeast"/>
              <w:jc w:val="center"/>
              <w:rPr>
                <w:rFonts w:hint="eastAsia" w:ascii="Times New Roman" w:hAnsi="Times New Roman" w:eastAsia="方正楷体_GBK" w:cs="方正楷体_GBK"/>
                <w:i w:val="0"/>
                <w:iCs w:val="0"/>
                <w:color w:val="000000"/>
                <w:sz w:val="20"/>
                <w:szCs w:val="20"/>
                <w:u w:val="none"/>
              </w:rPr>
            </w:pPr>
          </w:p>
        </w:tc>
        <w:tc>
          <w:tcPr>
            <w:tcW w:w="726" w:type="pct"/>
            <w:vMerge w:val="continue"/>
            <w:shd w:val="clear" w:color="auto" w:fill="auto"/>
            <w:vAlign w:val="center"/>
          </w:tcPr>
          <w:p w14:paraId="74A91D91">
            <w:pPr>
              <w:keepNext w:val="0"/>
              <w:keepLines w:val="0"/>
              <w:pageBreakBefore w:val="0"/>
              <w:widowControl/>
              <w:kinsoku/>
              <w:wordWrap/>
              <w:overflowPunct/>
              <w:topLinePunct w:val="0"/>
              <w:autoSpaceDE/>
              <w:autoSpaceDN/>
              <w:bidi w:val="0"/>
              <w:adjustRightInd/>
              <w:snapToGrid/>
              <w:spacing w:line="0" w:lineRule="atLeast"/>
              <w:jc w:val="center"/>
              <w:rPr>
                <w:rFonts w:hint="eastAsia" w:ascii="Times New Roman" w:hAnsi="Times New Roman" w:eastAsia="方正楷体_GBK" w:cs="方正楷体_GBK"/>
                <w:i w:val="0"/>
                <w:iCs w:val="0"/>
                <w:color w:val="000000"/>
                <w:sz w:val="20"/>
                <w:szCs w:val="20"/>
                <w:u w:val="none"/>
              </w:rPr>
            </w:pPr>
          </w:p>
        </w:tc>
        <w:tc>
          <w:tcPr>
            <w:tcW w:w="1644" w:type="pct"/>
            <w:shd w:val="clear" w:color="auto" w:fill="auto"/>
            <w:vAlign w:val="center"/>
          </w:tcPr>
          <w:p w14:paraId="33F25E3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方正楷体_GBK" w:cs="方正楷体_GBK"/>
                <w:i w:val="0"/>
                <w:iCs w:val="0"/>
                <w:color w:val="000000"/>
                <w:sz w:val="20"/>
                <w:szCs w:val="20"/>
                <w:u w:val="none"/>
              </w:rPr>
            </w:pPr>
            <w:r>
              <w:rPr>
                <w:rFonts w:hint="eastAsia" w:ascii="Times New Roman" w:hAnsi="Times New Roman" w:eastAsia="方正楷体_GBK" w:cs="方正楷体_GBK"/>
                <w:i w:val="0"/>
                <w:iCs w:val="0"/>
                <w:color w:val="000000"/>
                <w:kern w:val="0"/>
                <w:sz w:val="20"/>
                <w:szCs w:val="20"/>
                <w:u w:val="none"/>
                <w:lang w:val="en-US" w:eastAsia="zh-CN" w:bidi="ar"/>
              </w:rPr>
              <w:t>更换导尿管</w:t>
            </w:r>
          </w:p>
        </w:tc>
        <w:tc>
          <w:tcPr>
            <w:tcW w:w="1005" w:type="pct"/>
            <w:shd w:val="clear" w:color="auto" w:fill="auto"/>
            <w:vAlign w:val="center"/>
          </w:tcPr>
          <w:p w14:paraId="39E1E97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方正楷体_GBK" w:cs="方正楷体_GBK"/>
                <w:i w:val="0"/>
                <w:iCs w:val="0"/>
                <w:color w:val="000000"/>
                <w:sz w:val="20"/>
                <w:szCs w:val="20"/>
                <w:u w:val="none"/>
              </w:rPr>
            </w:pPr>
            <w:r>
              <w:rPr>
                <w:rFonts w:hint="eastAsia" w:ascii="Times New Roman" w:hAnsi="Times New Roman" w:eastAsia="方正楷体_GBK" w:cs="方正楷体_GBK"/>
                <w:i w:val="0"/>
                <w:iCs w:val="0"/>
                <w:color w:val="000000"/>
                <w:kern w:val="0"/>
                <w:sz w:val="20"/>
                <w:szCs w:val="20"/>
                <w:u w:val="none"/>
                <w:lang w:val="en-US" w:eastAsia="zh-CN" w:bidi="ar"/>
              </w:rPr>
              <w:t>120元/次</w:t>
            </w:r>
          </w:p>
        </w:tc>
        <w:tc>
          <w:tcPr>
            <w:tcW w:w="770" w:type="pct"/>
            <w:shd w:val="clear" w:color="auto" w:fill="auto"/>
            <w:noWrap/>
            <w:vAlign w:val="center"/>
          </w:tcPr>
          <w:p w14:paraId="79BB6D6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方正楷体_GBK" w:cs="方正楷体_GBK"/>
                <w:i w:val="0"/>
                <w:iCs w:val="0"/>
                <w:color w:val="000000"/>
                <w:sz w:val="20"/>
                <w:szCs w:val="20"/>
                <w:u w:val="none"/>
              </w:rPr>
            </w:pPr>
            <w:r>
              <w:rPr>
                <w:rFonts w:hint="eastAsia" w:ascii="Times New Roman" w:hAnsi="Times New Roman" w:eastAsia="方正楷体_GBK" w:cs="方正楷体_GBK"/>
                <w:i w:val="0"/>
                <w:iCs w:val="0"/>
                <w:color w:val="000000"/>
                <w:kern w:val="0"/>
                <w:sz w:val="20"/>
                <w:szCs w:val="20"/>
                <w:u w:val="none"/>
                <w:lang w:val="en-US" w:eastAsia="zh-CN" w:bidi="ar"/>
              </w:rPr>
              <w:t>90%</w:t>
            </w:r>
          </w:p>
        </w:tc>
        <w:tc>
          <w:tcPr>
            <w:tcW w:w="623" w:type="pct"/>
            <w:shd w:val="clear" w:color="auto" w:fill="auto"/>
            <w:noWrap/>
            <w:vAlign w:val="center"/>
          </w:tcPr>
          <w:p w14:paraId="747AAB02">
            <w:pPr>
              <w:keepNext w:val="0"/>
              <w:keepLines w:val="0"/>
              <w:pageBreakBefore w:val="0"/>
              <w:widowControl/>
              <w:kinsoku/>
              <w:wordWrap/>
              <w:overflowPunct/>
              <w:topLinePunct w:val="0"/>
              <w:autoSpaceDE/>
              <w:autoSpaceDN/>
              <w:bidi w:val="0"/>
              <w:adjustRightInd/>
              <w:snapToGrid/>
              <w:spacing w:line="0" w:lineRule="atLeast"/>
              <w:jc w:val="center"/>
              <w:rPr>
                <w:rFonts w:hint="eastAsia" w:ascii="Times New Roman" w:hAnsi="Times New Roman" w:eastAsia="方正楷体_GBK" w:cs="方正楷体_GBK"/>
                <w:i w:val="0"/>
                <w:iCs w:val="0"/>
                <w:color w:val="000000"/>
                <w:sz w:val="20"/>
                <w:szCs w:val="20"/>
                <w:u w:val="none"/>
              </w:rPr>
            </w:pPr>
          </w:p>
        </w:tc>
      </w:tr>
      <w:tr w14:paraId="10BB7EA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229" w:type="pct"/>
            <w:vMerge w:val="continue"/>
            <w:shd w:val="clear" w:color="auto" w:fill="auto"/>
            <w:noWrap/>
            <w:vAlign w:val="center"/>
          </w:tcPr>
          <w:p w14:paraId="75DB385D">
            <w:pPr>
              <w:keepNext w:val="0"/>
              <w:keepLines w:val="0"/>
              <w:pageBreakBefore w:val="0"/>
              <w:widowControl/>
              <w:kinsoku/>
              <w:wordWrap/>
              <w:overflowPunct/>
              <w:topLinePunct w:val="0"/>
              <w:autoSpaceDE/>
              <w:autoSpaceDN/>
              <w:bidi w:val="0"/>
              <w:adjustRightInd/>
              <w:snapToGrid/>
              <w:spacing w:line="0" w:lineRule="atLeast"/>
              <w:jc w:val="center"/>
              <w:rPr>
                <w:rFonts w:hint="eastAsia" w:ascii="Times New Roman" w:hAnsi="Times New Roman" w:eastAsia="方正楷体_GBK" w:cs="方正楷体_GBK"/>
                <w:i w:val="0"/>
                <w:iCs w:val="0"/>
                <w:color w:val="000000"/>
                <w:sz w:val="20"/>
                <w:szCs w:val="20"/>
                <w:u w:val="none"/>
              </w:rPr>
            </w:pPr>
          </w:p>
        </w:tc>
        <w:tc>
          <w:tcPr>
            <w:tcW w:w="726" w:type="pct"/>
            <w:vMerge w:val="continue"/>
            <w:shd w:val="clear" w:color="auto" w:fill="auto"/>
            <w:vAlign w:val="center"/>
          </w:tcPr>
          <w:p w14:paraId="06791D25">
            <w:pPr>
              <w:keepNext w:val="0"/>
              <w:keepLines w:val="0"/>
              <w:pageBreakBefore w:val="0"/>
              <w:widowControl/>
              <w:kinsoku/>
              <w:wordWrap/>
              <w:overflowPunct/>
              <w:topLinePunct w:val="0"/>
              <w:autoSpaceDE/>
              <w:autoSpaceDN/>
              <w:bidi w:val="0"/>
              <w:adjustRightInd/>
              <w:snapToGrid/>
              <w:spacing w:line="0" w:lineRule="atLeast"/>
              <w:jc w:val="center"/>
              <w:rPr>
                <w:rFonts w:hint="eastAsia" w:ascii="Times New Roman" w:hAnsi="Times New Roman" w:eastAsia="方正楷体_GBK" w:cs="方正楷体_GBK"/>
                <w:i w:val="0"/>
                <w:iCs w:val="0"/>
                <w:color w:val="000000"/>
                <w:sz w:val="20"/>
                <w:szCs w:val="20"/>
                <w:u w:val="none"/>
              </w:rPr>
            </w:pPr>
          </w:p>
        </w:tc>
        <w:tc>
          <w:tcPr>
            <w:tcW w:w="1644" w:type="pct"/>
            <w:shd w:val="clear" w:color="auto" w:fill="auto"/>
            <w:vAlign w:val="center"/>
          </w:tcPr>
          <w:p w14:paraId="4D0A363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方正楷体_GBK" w:cs="方正楷体_GBK"/>
                <w:i w:val="0"/>
                <w:iCs w:val="0"/>
                <w:color w:val="000000"/>
                <w:sz w:val="20"/>
                <w:szCs w:val="20"/>
                <w:u w:val="none"/>
              </w:rPr>
            </w:pPr>
            <w:r>
              <w:rPr>
                <w:rFonts w:hint="eastAsia" w:ascii="Times New Roman" w:hAnsi="Times New Roman" w:eastAsia="方正楷体_GBK" w:cs="方正楷体_GBK"/>
                <w:i w:val="0"/>
                <w:iCs w:val="0"/>
                <w:color w:val="000000"/>
                <w:kern w:val="0"/>
                <w:sz w:val="20"/>
                <w:szCs w:val="20"/>
                <w:u w:val="none"/>
                <w:lang w:val="en-US" w:eastAsia="zh-CN" w:bidi="ar"/>
              </w:rPr>
              <w:t>膀胱冲洗</w:t>
            </w:r>
          </w:p>
        </w:tc>
        <w:tc>
          <w:tcPr>
            <w:tcW w:w="1005" w:type="pct"/>
            <w:shd w:val="clear" w:color="auto" w:fill="auto"/>
            <w:vAlign w:val="center"/>
          </w:tcPr>
          <w:p w14:paraId="57A67A5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方正楷体_GBK" w:cs="方正楷体_GBK"/>
                <w:i w:val="0"/>
                <w:iCs w:val="0"/>
                <w:color w:val="000000"/>
                <w:sz w:val="20"/>
                <w:szCs w:val="20"/>
                <w:u w:val="none"/>
              </w:rPr>
            </w:pPr>
            <w:r>
              <w:rPr>
                <w:rFonts w:hint="eastAsia" w:ascii="Times New Roman" w:hAnsi="Times New Roman" w:eastAsia="方正楷体_GBK" w:cs="方正楷体_GBK"/>
                <w:i w:val="0"/>
                <w:iCs w:val="0"/>
                <w:color w:val="000000"/>
                <w:kern w:val="0"/>
                <w:sz w:val="20"/>
                <w:szCs w:val="20"/>
                <w:u w:val="none"/>
                <w:lang w:val="en-US" w:eastAsia="zh-CN" w:bidi="ar"/>
              </w:rPr>
              <w:t>120元/次</w:t>
            </w:r>
          </w:p>
        </w:tc>
        <w:tc>
          <w:tcPr>
            <w:tcW w:w="770" w:type="pct"/>
            <w:shd w:val="clear" w:color="auto" w:fill="auto"/>
            <w:noWrap/>
            <w:vAlign w:val="center"/>
          </w:tcPr>
          <w:p w14:paraId="11714B9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方正楷体_GBK" w:cs="方正楷体_GBK"/>
                <w:i w:val="0"/>
                <w:iCs w:val="0"/>
                <w:color w:val="000000"/>
                <w:sz w:val="20"/>
                <w:szCs w:val="20"/>
                <w:u w:val="none"/>
              </w:rPr>
            </w:pPr>
            <w:r>
              <w:rPr>
                <w:rFonts w:hint="eastAsia" w:ascii="Times New Roman" w:hAnsi="Times New Roman" w:eastAsia="方正楷体_GBK" w:cs="方正楷体_GBK"/>
                <w:i w:val="0"/>
                <w:iCs w:val="0"/>
                <w:color w:val="000000"/>
                <w:kern w:val="0"/>
                <w:sz w:val="20"/>
                <w:szCs w:val="20"/>
                <w:u w:val="none"/>
                <w:lang w:val="en-US" w:eastAsia="zh-CN" w:bidi="ar"/>
              </w:rPr>
              <w:t>90%</w:t>
            </w:r>
          </w:p>
        </w:tc>
        <w:tc>
          <w:tcPr>
            <w:tcW w:w="623" w:type="pct"/>
            <w:shd w:val="clear" w:color="auto" w:fill="auto"/>
            <w:noWrap/>
            <w:vAlign w:val="center"/>
          </w:tcPr>
          <w:p w14:paraId="458DD7CA">
            <w:pPr>
              <w:keepNext w:val="0"/>
              <w:keepLines w:val="0"/>
              <w:pageBreakBefore w:val="0"/>
              <w:widowControl/>
              <w:kinsoku/>
              <w:wordWrap/>
              <w:overflowPunct/>
              <w:topLinePunct w:val="0"/>
              <w:autoSpaceDE/>
              <w:autoSpaceDN/>
              <w:bidi w:val="0"/>
              <w:adjustRightInd/>
              <w:snapToGrid/>
              <w:spacing w:line="0" w:lineRule="atLeast"/>
              <w:jc w:val="center"/>
              <w:rPr>
                <w:rFonts w:hint="eastAsia" w:ascii="Times New Roman" w:hAnsi="Times New Roman" w:eastAsia="方正楷体_GBK" w:cs="方正楷体_GBK"/>
                <w:i w:val="0"/>
                <w:iCs w:val="0"/>
                <w:color w:val="000000"/>
                <w:sz w:val="20"/>
                <w:szCs w:val="20"/>
                <w:u w:val="none"/>
              </w:rPr>
            </w:pPr>
          </w:p>
        </w:tc>
      </w:tr>
      <w:tr w14:paraId="16E1D4B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229" w:type="pct"/>
            <w:vMerge w:val="continue"/>
            <w:shd w:val="clear" w:color="auto" w:fill="auto"/>
            <w:noWrap/>
            <w:vAlign w:val="center"/>
          </w:tcPr>
          <w:p w14:paraId="3EA61D17">
            <w:pPr>
              <w:keepNext w:val="0"/>
              <w:keepLines w:val="0"/>
              <w:pageBreakBefore w:val="0"/>
              <w:widowControl/>
              <w:kinsoku/>
              <w:wordWrap/>
              <w:overflowPunct/>
              <w:topLinePunct w:val="0"/>
              <w:autoSpaceDE/>
              <w:autoSpaceDN/>
              <w:bidi w:val="0"/>
              <w:adjustRightInd/>
              <w:snapToGrid/>
              <w:spacing w:line="0" w:lineRule="atLeast"/>
              <w:jc w:val="center"/>
              <w:rPr>
                <w:rFonts w:hint="eastAsia" w:ascii="Times New Roman" w:hAnsi="Times New Roman" w:eastAsia="方正楷体_GBK" w:cs="方正楷体_GBK"/>
                <w:i w:val="0"/>
                <w:iCs w:val="0"/>
                <w:color w:val="000000"/>
                <w:sz w:val="20"/>
                <w:szCs w:val="20"/>
                <w:u w:val="none"/>
              </w:rPr>
            </w:pPr>
          </w:p>
        </w:tc>
        <w:tc>
          <w:tcPr>
            <w:tcW w:w="726" w:type="pct"/>
            <w:vMerge w:val="continue"/>
            <w:shd w:val="clear" w:color="auto" w:fill="auto"/>
            <w:vAlign w:val="center"/>
          </w:tcPr>
          <w:p w14:paraId="3F0C3E8E">
            <w:pPr>
              <w:keepNext w:val="0"/>
              <w:keepLines w:val="0"/>
              <w:pageBreakBefore w:val="0"/>
              <w:widowControl/>
              <w:kinsoku/>
              <w:wordWrap/>
              <w:overflowPunct/>
              <w:topLinePunct w:val="0"/>
              <w:autoSpaceDE/>
              <w:autoSpaceDN/>
              <w:bidi w:val="0"/>
              <w:adjustRightInd/>
              <w:snapToGrid/>
              <w:spacing w:line="0" w:lineRule="atLeast"/>
              <w:jc w:val="center"/>
              <w:rPr>
                <w:rFonts w:hint="eastAsia" w:ascii="Times New Roman" w:hAnsi="Times New Roman" w:eastAsia="方正楷体_GBK" w:cs="方正楷体_GBK"/>
                <w:i w:val="0"/>
                <w:iCs w:val="0"/>
                <w:color w:val="000000"/>
                <w:sz w:val="20"/>
                <w:szCs w:val="20"/>
                <w:u w:val="none"/>
              </w:rPr>
            </w:pPr>
          </w:p>
        </w:tc>
        <w:tc>
          <w:tcPr>
            <w:tcW w:w="1644" w:type="pct"/>
            <w:shd w:val="clear" w:color="auto" w:fill="auto"/>
            <w:vAlign w:val="center"/>
          </w:tcPr>
          <w:p w14:paraId="11E7954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方正楷体_GBK" w:cs="方正楷体_GBK"/>
                <w:i w:val="0"/>
                <w:iCs w:val="0"/>
                <w:color w:val="000000"/>
                <w:sz w:val="20"/>
                <w:szCs w:val="20"/>
                <w:u w:val="none"/>
              </w:rPr>
            </w:pPr>
            <w:r>
              <w:rPr>
                <w:rFonts w:hint="eastAsia" w:ascii="Times New Roman" w:hAnsi="Times New Roman" w:eastAsia="方正楷体_GBK" w:cs="方正楷体_GBK"/>
                <w:i w:val="0"/>
                <w:iCs w:val="0"/>
                <w:color w:val="000000"/>
                <w:kern w:val="0"/>
                <w:sz w:val="20"/>
                <w:szCs w:val="20"/>
                <w:u w:val="none"/>
                <w:lang w:val="en-US" w:eastAsia="zh-CN" w:bidi="ar"/>
              </w:rPr>
              <w:t>创口清理、术后拆线</w:t>
            </w:r>
          </w:p>
        </w:tc>
        <w:tc>
          <w:tcPr>
            <w:tcW w:w="1005" w:type="pct"/>
            <w:shd w:val="clear" w:color="auto" w:fill="auto"/>
            <w:vAlign w:val="center"/>
          </w:tcPr>
          <w:p w14:paraId="2747856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方正楷体_GBK" w:cs="方正楷体_GBK"/>
                <w:i w:val="0"/>
                <w:iCs w:val="0"/>
                <w:color w:val="000000"/>
                <w:sz w:val="20"/>
                <w:szCs w:val="20"/>
                <w:u w:val="none"/>
              </w:rPr>
            </w:pPr>
            <w:r>
              <w:rPr>
                <w:rFonts w:hint="eastAsia" w:ascii="Times New Roman" w:hAnsi="Times New Roman" w:eastAsia="方正楷体_GBK" w:cs="方正楷体_GBK"/>
                <w:i w:val="0"/>
                <w:iCs w:val="0"/>
                <w:color w:val="000000"/>
                <w:kern w:val="0"/>
                <w:sz w:val="20"/>
                <w:szCs w:val="20"/>
                <w:u w:val="none"/>
                <w:lang w:val="en-US" w:eastAsia="zh-CN" w:bidi="ar"/>
              </w:rPr>
              <w:t>80元/次</w:t>
            </w:r>
          </w:p>
        </w:tc>
        <w:tc>
          <w:tcPr>
            <w:tcW w:w="770" w:type="pct"/>
            <w:shd w:val="clear" w:color="auto" w:fill="auto"/>
            <w:noWrap/>
            <w:vAlign w:val="center"/>
          </w:tcPr>
          <w:p w14:paraId="009892B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方正楷体_GBK" w:cs="方正楷体_GBK"/>
                <w:i w:val="0"/>
                <w:iCs w:val="0"/>
                <w:color w:val="000000"/>
                <w:sz w:val="20"/>
                <w:szCs w:val="20"/>
                <w:u w:val="none"/>
              </w:rPr>
            </w:pPr>
            <w:r>
              <w:rPr>
                <w:rFonts w:hint="eastAsia" w:ascii="Times New Roman" w:hAnsi="Times New Roman" w:eastAsia="方正楷体_GBK" w:cs="方正楷体_GBK"/>
                <w:i w:val="0"/>
                <w:iCs w:val="0"/>
                <w:color w:val="000000"/>
                <w:kern w:val="0"/>
                <w:sz w:val="20"/>
                <w:szCs w:val="20"/>
                <w:u w:val="none"/>
                <w:lang w:val="en-US" w:eastAsia="zh-CN" w:bidi="ar"/>
              </w:rPr>
              <w:t>90%</w:t>
            </w:r>
          </w:p>
        </w:tc>
        <w:tc>
          <w:tcPr>
            <w:tcW w:w="623" w:type="pct"/>
            <w:shd w:val="clear" w:color="auto" w:fill="auto"/>
            <w:noWrap/>
            <w:vAlign w:val="center"/>
          </w:tcPr>
          <w:p w14:paraId="4D241C70">
            <w:pPr>
              <w:keepNext w:val="0"/>
              <w:keepLines w:val="0"/>
              <w:pageBreakBefore w:val="0"/>
              <w:widowControl/>
              <w:kinsoku/>
              <w:wordWrap/>
              <w:overflowPunct/>
              <w:topLinePunct w:val="0"/>
              <w:autoSpaceDE/>
              <w:autoSpaceDN/>
              <w:bidi w:val="0"/>
              <w:adjustRightInd/>
              <w:snapToGrid/>
              <w:spacing w:line="0" w:lineRule="atLeast"/>
              <w:jc w:val="center"/>
              <w:rPr>
                <w:rFonts w:hint="eastAsia" w:ascii="Times New Roman" w:hAnsi="Times New Roman" w:eastAsia="方正楷体_GBK" w:cs="方正楷体_GBK"/>
                <w:i w:val="0"/>
                <w:iCs w:val="0"/>
                <w:color w:val="000000"/>
                <w:sz w:val="20"/>
                <w:szCs w:val="20"/>
                <w:u w:val="none"/>
              </w:rPr>
            </w:pPr>
          </w:p>
        </w:tc>
      </w:tr>
      <w:tr w14:paraId="5D3D26D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229" w:type="pct"/>
            <w:vMerge w:val="continue"/>
            <w:shd w:val="clear" w:color="auto" w:fill="auto"/>
            <w:noWrap/>
            <w:vAlign w:val="center"/>
          </w:tcPr>
          <w:p w14:paraId="154AD2F8">
            <w:pPr>
              <w:keepNext w:val="0"/>
              <w:keepLines w:val="0"/>
              <w:pageBreakBefore w:val="0"/>
              <w:widowControl/>
              <w:kinsoku/>
              <w:wordWrap/>
              <w:overflowPunct/>
              <w:topLinePunct w:val="0"/>
              <w:autoSpaceDE/>
              <w:autoSpaceDN/>
              <w:bidi w:val="0"/>
              <w:adjustRightInd/>
              <w:snapToGrid/>
              <w:spacing w:line="0" w:lineRule="atLeast"/>
              <w:jc w:val="center"/>
              <w:rPr>
                <w:rFonts w:hint="eastAsia" w:ascii="Times New Roman" w:hAnsi="Times New Roman" w:eastAsia="方正楷体_GBK" w:cs="方正楷体_GBK"/>
                <w:i w:val="0"/>
                <w:iCs w:val="0"/>
                <w:color w:val="000000"/>
                <w:sz w:val="20"/>
                <w:szCs w:val="20"/>
                <w:u w:val="none"/>
              </w:rPr>
            </w:pPr>
          </w:p>
        </w:tc>
        <w:tc>
          <w:tcPr>
            <w:tcW w:w="726" w:type="pct"/>
            <w:vMerge w:val="continue"/>
            <w:shd w:val="clear" w:color="auto" w:fill="auto"/>
            <w:vAlign w:val="center"/>
          </w:tcPr>
          <w:p w14:paraId="42252DC3">
            <w:pPr>
              <w:keepNext w:val="0"/>
              <w:keepLines w:val="0"/>
              <w:pageBreakBefore w:val="0"/>
              <w:widowControl/>
              <w:kinsoku/>
              <w:wordWrap/>
              <w:overflowPunct/>
              <w:topLinePunct w:val="0"/>
              <w:autoSpaceDE/>
              <w:autoSpaceDN/>
              <w:bidi w:val="0"/>
              <w:adjustRightInd/>
              <w:snapToGrid/>
              <w:spacing w:line="0" w:lineRule="atLeast"/>
              <w:jc w:val="center"/>
              <w:rPr>
                <w:rFonts w:hint="eastAsia" w:ascii="Times New Roman" w:hAnsi="Times New Roman" w:eastAsia="方正楷体_GBK" w:cs="方正楷体_GBK"/>
                <w:i w:val="0"/>
                <w:iCs w:val="0"/>
                <w:color w:val="000000"/>
                <w:sz w:val="20"/>
                <w:szCs w:val="20"/>
                <w:u w:val="none"/>
              </w:rPr>
            </w:pPr>
          </w:p>
        </w:tc>
        <w:tc>
          <w:tcPr>
            <w:tcW w:w="1644" w:type="pct"/>
            <w:shd w:val="clear" w:color="auto" w:fill="auto"/>
            <w:vAlign w:val="center"/>
          </w:tcPr>
          <w:p w14:paraId="00D205F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方正楷体_GBK" w:cs="方正楷体_GBK"/>
                <w:i w:val="0"/>
                <w:iCs w:val="0"/>
                <w:color w:val="000000"/>
                <w:sz w:val="20"/>
                <w:szCs w:val="20"/>
                <w:u w:val="none"/>
              </w:rPr>
            </w:pPr>
            <w:r>
              <w:rPr>
                <w:rFonts w:hint="eastAsia" w:ascii="Times New Roman" w:hAnsi="Times New Roman" w:eastAsia="方正楷体_GBK" w:cs="方正楷体_GBK"/>
                <w:i w:val="0"/>
                <w:iCs w:val="0"/>
                <w:color w:val="000000"/>
                <w:kern w:val="0"/>
                <w:sz w:val="20"/>
                <w:szCs w:val="20"/>
                <w:u w:val="none"/>
                <w:lang w:val="en-US" w:eastAsia="zh-CN" w:bidi="ar"/>
              </w:rPr>
              <w:t>人工造口护理</w:t>
            </w:r>
          </w:p>
        </w:tc>
        <w:tc>
          <w:tcPr>
            <w:tcW w:w="1005" w:type="pct"/>
            <w:shd w:val="clear" w:color="auto" w:fill="auto"/>
            <w:vAlign w:val="center"/>
          </w:tcPr>
          <w:p w14:paraId="6FF1984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方正楷体_GBK" w:cs="方正楷体_GBK"/>
                <w:i w:val="0"/>
                <w:iCs w:val="0"/>
                <w:color w:val="000000"/>
                <w:sz w:val="20"/>
                <w:szCs w:val="20"/>
                <w:u w:val="none"/>
              </w:rPr>
            </w:pPr>
            <w:r>
              <w:rPr>
                <w:rFonts w:hint="eastAsia" w:ascii="Times New Roman" w:hAnsi="Times New Roman" w:eastAsia="方正楷体_GBK" w:cs="方正楷体_GBK"/>
                <w:i w:val="0"/>
                <w:iCs w:val="0"/>
                <w:color w:val="000000"/>
                <w:kern w:val="0"/>
                <w:sz w:val="20"/>
                <w:szCs w:val="20"/>
                <w:u w:val="none"/>
                <w:lang w:val="en-US" w:eastAsia="zh-CN" w:bidi="ar"/>
              </w:rPr>
              <w:t>60元/次</w:t>
            </w:r>
          </w:p>
        </w:tc>
        <w:tc>
          <w:tcPr>
            <w:tcW w:w="770" w:type="pct"/>
            <w:shd w:val="clear" w:color="auto" w:fill="auto"/>
            <w:noWrap/>
            <w:vAlign w:val="center"/>
          </w:tcPr>
          <w:p w14:paraId="524F5C5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方正楷体_GBK" w:cs="方正楷体_GBK"/>
                <w:i w:val="0"/>
                <w:iCs w:val="0"/>
                <w:color w:val="000000"/>
                <w:sz w:val="20"/>
                <w:szCs w:val="20"/>
                <w:u w:val="none"/>
              </w:rPr>
            </w:pPr>
            <w:r>
              <w:rPr>
                <w:rFonts w:hint="eastAsia" w:ascii="Times New Roman" w:hAnsi="Times New Roman" w:eastAsia="方正楷体_GBK" w:cs="方正楷体_GBK"/>
                <w:i w:val="0"/>
                <w:iCs w:val="0"/>
                <w:color w:val="000000"/>
                <w:kern w:val="0"/>
                <w:sz w:val="20"/>
                <w:szCs w:val="20"/>
                <w:u w:val="none"/>
                <w:lang w:val="en-US" w:eastAsia="zh-CN" w:bidi="ar"/>
              </w:rPr>
              <w:t>90%</w:t>
            </w:r>
          </w:p>
        </w:tc>
        <w:tc>
          <w:tcPr>
            <w:tcW w:w="623" w:type="pct"/>
            <w:shd w:val="clear" w:color="auto" w:fill="auto"/>
            <w:noWrap/>
            <w:vAlign w:val="center"/>
          </w:tcPr>
          <w:p w14:paraId="6492597B">
            <w:pPr>
              <w:keepNext w:val="0"/>
              <w:keepLines w:val="0"/>
              <w:pageBreakBefore w:val="0"/>
              <w:widowControl/>
              <w:kinsoku/>
              <w:wordWrap/>
              <w:overflowPunct/>
              <w:topLinePunct w:val="0"/>
              <w:autoSpaceDE/>
              <w:autoSpaceDN/>
              <w:bidi w:val="0"/>
              <w:adjustRightInd/>
              <w:snapToGrid/>
              <w:spacing w:line="0" w:lineRule="atLeast"/>
              <w:jc w:val="center"/>
              <w:rPr>
                <w:rFonts w:hint="eastAsia" w:ascii="Times New Roman" w:hAnsi="Times New Roman" w:eastAsia="方正楷体_GBK" w:cs="方正楷体_GBK"/>
                <w:i w:val="0"/>
                <w:iCs w:val="0"/>
                <w:color w:val="000000"/>
                <w:sz w:val="20"/>
                <w:szCs w:val="20"/>
                <w:u w:val="none"/>
              </w:rPr>
            </w:pPr>
          </w:p>
        </w:tc>
      </w:tr>
      <w:tr w14:paraId="7601848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229" w:type="pct"/>
            <w:vMerge w:val="continue"/>
            <w:shd w:val="clear" w:color="auto" w:fill="auto"/>
            <w:noWrap/>
            <w:vAlign w:val="center"/>
          </w:tcPr>
          <w:p w14:paraId="092BC696">
            <w:pPr>
              <w:keepNext w:val="0"/>
              <w:keepLines w:val="0"/>
              <w:pageBreakBefore w:val="0"/>
              <w:widowControl/>
              <w:kinsoku/>
              <w:wordWrap/>
              <w:overflowPunct/>
              <w:topLinePunct w:val="0"/>
              <w:autoSpaceDE/>
              <w:autoSpaceDN/>
              <w:bidi w:val="0"/>
              <w:adjustRightInd/>
              <w:snapToGrid/>
              <w:spacing w:line="0" w:lineRule="atLeast"/>
              <w:jc w:val="center"/>
              <w:rPr>
                <w:rFonts w:hint="eastAsia" w:ascii="Times New Roman" w:hAnsi="Times New Roman" w:eastAsia="方正楷体_GBK" w:cs="方正楷体_GBK"/>
                <w:i w:val="0"/>
                <w:iCs w:val="0"/>
                <w:color w:val="000000"/>
                <w:sz w:val="20"/>
                <w:szCs w:val="20"/>
                <w:u w:val="none"/>
              </w:rPr>
            </w:pPr>
          </w:p>
        </w:tc>
        <w:tc>
          <w:tcPr>
            <w:tcW w:w="726" w:type="pct"/>
            <w:vMerge w:val="continue"/>
            <w:shd w:val="clear" w:color="auto" w:fill="auto"/>
            <w:vAlign w:val="center"/>
          </w:tcPr>
          <w:p w14:paraId="446E4E53">
            <w:pPr>
              <w:keepNext w:val="0"/>
              <w:keepLines w:val="0"/>
              <w:pageBreakBefore w:val="0"/>
              <w:widowControl/>
              <w:kinsoku/>
              <w:wordWrap/>
              <w:overflowPunct/>
              <w:topLinePunct w:val="0"/>
              <w:autoSpaceDE/>
              <w:autoSpaceDN/>
              <w:bidi w:val="0"/>
              <w:adjustRightInd/>
              <w:snapToGrid/>
              <w:spacing w:line="0" w:lineRule="atLeast"/>
              <w:jc w:val="center"/>
              <w:rPr>
                <w:rFonts w:hint="eastAsia" w:ascii="Times New Roman" w:hAnsi="Times New Roman" w:eastAsia="方正楷体_GBK" w:cs="方正楷体_GBK"/>
                <w:i w:val="0"/>
                <w:iCs w:val="0"/>
                <w:color w:val="000000"/>
                <w:sz w:val="20"/>
                <w:szCs w:val="20"/>
                <w:u w:val="none"/>
              </w:rPr>
            </w:pPr>
          </w:p>
        </w:tc>
        <w:tc>
          <w:tcPr>
            <w:tcW w:w="1644" w:type="pct"/>
            <w:shd w:val="clear" w:color="auto" w:fill="auto"/>
            <w:vAlign w:val="center"/>
          </w:tcPr>
          <w:p w14:paraId="389E9E5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方正楷体_GBK" w:cs="方正楷体_GBK"/>
                <w:i w:val="0"/>
                <w:iCs w:val="0"/>
                <w:color w:val="000000"/>
                <w:sz w:val="20"/>
                <w:szCs w:val="20"/>
                <w:u w:val="none"/>
              </w:rPr>
            </w:pPr>
            <w:r>
              <w:rPr>
                <w:rFonts w:hint="eastAsia" w:ascii="Times New Roman" w:hAnsi="Times New Roman" w:eastAsia="方正楷体_GBK" w:cs="方正楷体_GBK"/>
                <w:i w:val="0"/>
                <w:iCs w:val="0"/>
                <w:color w:val="000000"/>
                <w:kern w:val="0"/>
                <w:sz w:val="20"/>
                <w:szCs w:val="20"/>
                <w:u w:val="none"/>
                <w:lang w:val="en-US" w:eastAsia="zh-CN" w:bidi="ar"/>
              </w:rPr>
              <w:t>化验送检（大小便、血液）</w:t>
            </w:r>
          </w:p>
        </w:tc>
        <w:tc>
          <w:tcPr>
            <w:tcW w:w="1005" w:type="pct"/>
            <w:shd w:val="clear" w:color="auto" w:fill="auto"/>
            <w:vAlign w:val="center"/>
          </w:tcPr>
          <w:p w14:paraId="36F4A84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方正楷体_GBK" w:cs="方正楷体_GBK"/>
                <w:i w:val="0"/>
                <w:iCs w:val="0"/>
                <w:color w:val="000000"/>
                <w:sz w:val="20"/>
                <w:szCs w:val="20"/>
                <w:u w:val="none"/>
              </w:rPr>
            </w:pPr>
            <w:r>
              <w:rPr>
                <w:rFonts w:hint="eastAsia" w:ascii="Times New Roman" w:hAnsi="Times New Roman" w:eastAsia="方正楷体_GBK" w:cs="方正楷体_GBK"/>
                <w:i w:val="0"/>
                <w:iCs w:val="0"/>
                <w:color w:val="000000"/>
                <w:kern w:val="0"/>
                <w:sz w:val="20"/>
                <w:szCs w:val="20"/>
                <w:u w:val="none"/>
                <w:lang w:val="en-US" w:eastAsia="zh-CN" w:bidi="ar"/>
              </w:rPr>
              <w:t>20元/次</w:t>
            </w:r>
          </w:p>
        </w:tc>
        <w:tc>
          <w:tcPr>
            <w:tcW w:w="770" w:type="pct"/>
            <w:shd w:val="clear" w:color="auto" w:fill="auto"/>
            <w:noWrap/>
            <w:vAlign w:val="center"/>
          </w:tcPr>
          <w:p w14:paraId="48B4B92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方正楷体_GBK" w:cs="方正楷体_GBK"/>
                <w:i w:val="0"/>
                <w:iCs w:val="0"/>
                <w:color w:val="000000"/>
                <w:sz w:val="20"/>
                <w:szCs w:val="20"/>
                <w:u w:val="none"/>
              </w:rPr>
            </w:pPr>
            <w:r>
              <w:rPr>
                <w:rFonts w:hint="eastAsia" w:ascii="Times New Roman" w:hAnsi="Times New Roman" w:eastAsia="方正楷体_GBK" w:cs="方正楷体_GBK"/>
                <w:i w:val="0"/>
                <w:iCs w:val="0"/>
                <w:color w:val="000000"/>
                <w:kern w:val="0"/>
                <w:sz w:val="20"/>
                <w:szCs w:val="20"/>
                <w:u w:val="none"/>
                <w:lang w:val="en-US" w:eastAsia="zh-CN" w:bidi="ar"/>
              </w:rPr>
              <w:t>90%</w:t>
            </w:r>
          </w:p>
        </w:tc>
        <w:tc>
          <w:tcPr>
            <w:tcW w:w="623" w:type="pct"/>
            <w:shd w:val="clear" w:color="auto" w:fill="auto"/>
            <w:noWrap/>
            <w:vAlign w:val="center"/>
          </w:tcPr>
          <w:p w14:paraId="4A79729B">
            <w:pPr>
              <w:keepNext w:val="0"/>
              <w:keepLines w:val="0"/>
              <w:pageBreakBefore w:val="0"/>
              <w:widowControl/>
              <w:kinsoku/>
              <w:wordWrap/>
              <w:overflowPunct/>
              <w:topLinePunct w:val="0"/>
              <w:autoSpaceDE/>
              <w:autoSpaceDN/>
              <w:bidi w:val="0"/>
              <w:adjustRightInd/>
              <w:snapToGrid/>
              <w:spacing w:line="0" w:lineRule="atLeast"/>
              <w:jc w:val="center"/>
              <w:rPr>
                <w:rFonts w:hint="eastAsia" w:ascii="Times New Roman" w:hAnsi="Times New Roman" w:eastAsia="方正楷体_GBK" w:cs="方正楷体_GBK"/>
                <w:i w:val="0"/>
                <w:iCs w:val="0"/>
                <w:color w:val="000000"/>
                <w:sz w:val="20"/>
                <w:szCs w:val="20"/>
                <w:u w:val="none"/>
              </w:rPr>
            </w:pPr>
          </w:p>
        </w:tc>
      </w:tr>
      <w:tr w14:paraId="33FCEAD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229" w:type="pct"/>
            <w:vMerge w:val="restart"/>
            <w:shd w:val="clear" w:color="auto" w:fill="auto"/>
            <w:noWrap/>
            <w:vAlign w:val="center"/>
          </w:tcPr>
          <w:p w14:paraId="78B369B7">
            <w:pPr>
              <w:keepNext w:val="0"/>
              <w:keepLines w:val="0"/>
              <w:pageBreakBefore w:val="0"/>
              <w:widowControl/>
              <w:kinsoku/>
              <w:wordWrap/>
              <w:overflowPunct/>
              <w:topLinePunct w:val="0"/>
              <w:autoSpaceDE/>
              <w:autoSpaceDN/>
              <w:bidi w:val="0"/>
              <w:adjustRightInd/>
              <w:snapToGrid/>
              <w:spacing w:line="0" w:lineRule="atLeast"/>
              <w:jc w:val="center"/>
              <w:rPr>
                <w:rFonts w:hint="eastAsia" w:ascii="Times New Roman" w:hAnsi="Times New Roman" w:eastAsia="方正楷体_GBK" w:cs="方正楷体_GBK"/>
                <w:i w:val="0"/>
                <w:iCs w:val="0"/>
                <w:color w:val="000000"/>
                <w:sz w:val="20"/>
                <w:szCs w:val="20"/>
                <w:u w:val="none"/>
                <w:lang w:val="en-US" w:eastAsia="zh-CN"/>
              </w:rPr>
            </w:pPr>
            <w:r>
              <w:rPr>
                <w:rFonts w:hint="eastAsia" w:ascii="Times New Roman" w:hAnsi="Times New Roman" w:eastAsia="方正楷体_GBK" w:cs="方正楷体_GBK"/>
                <w:i w:val="0"/>
                <w:iCs w:val="0"/>
                <w:color w:val="000000"/>
                <w:sz w:val="20"/>
                <w:szCs w:val="20"/>
                <w:u w:val="none"/>
                <w:lang w:val="en-US" w:eastAsia="zh-CN"/>
              </w:rPr>
              <w:t>4</w:t>
            </w:r>
          </w:p>
        </w:tc>
        <w:tc>
          <w:tcPr>
            <w:tcW w:w="726" w:type="pct"/>
            <w:vMerge w:val="restart"/>
            <w:shd w:val="clear" w:color="auto" w:fill="auto"/>
            <w:vAlign w:val="center"/>
          </w:tcPr>
          <w:p w14:paraId="7F21C4C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方正楷体_GBK" w:cs="方正楷体_GBK"/>
                <w:i w:val="0"/>
                <w:iCs w:val="0"/>
                <w:color w:val="000000"/>
                <w:sz w:val="20"/>
                <w:szCs w:val="20"/>
                <w:u w:val="none"/>
              </w:rPr>
            </w:pPr>
            <w:r>
              <w:rPr>
                <w:rFonts w:hint="eastAsia" w:ascii="Times New Roman" w:hAnsi="Times New Roman" w:eastAsia="方正楷体_GBK" w:cs="方正楷体_GBK"/>
                <w:i w:val="0"/>
                <w:iCs w:val="0"/>
                <w:color w:val="000000"/>
                <w:kern w:val="0"/>
                <w:sz w:val="20"/>
                <w:szCs w:val="20"/>
                <w:u w:val="none"/>
                <w:lang w:val="en-US" w:eastAsia="zh-CN" w:bidi="ar"/>
              </w:rPr>
              <w:t>康复理疗</w:t>
            </w:r>
          </w:p>
        </w:tc>
        <w:tc>
          <w:tcPr>
            <w:tcW w:w="1644" w:type="pct"/>
            <w:shd w:val="clear" w:color="auto" w:fill="auto"/>
            <w:vAlign w:val="center"/>
          </w:tcPr>
          <w:p w14:paraId="66F9EA8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方正楷体_GBK" w:cs="方正楷体_GBK"/>
                <w:i w:val="0"/>
                <w:iCs w:val="0"/>
                <w:color w:val="000000"/>
                <w:sz w:val="20"/>
                <w:szCs w:val="20"/>
                <w:u w:val="none"/>
              </w:rPr>
            </w:pPr>
            <w:r>
              <w:rPr>
                <w:rFonts w:hint="eastAsia" w:ascii="Times New Roman" w:hAnsi="Times New Roman" w:eastAsia="方正楷体_GBK" w:cs="方正楷体_GBK"/>
                <w:i w:val="0"/>
                <w:iCs w:val="0"/>
                <w:color w:val="000000"/>
                <w:kern w:val="0"/>
                <w:sz w:val="20"/>
                <w:szCs w:val="20"/>
                <w:u w:val="none"/>
                <w:lang w:val="en-US" w:eastAsia="zh-CN" w:bidi="ar"/>
              </w:rPr>
              <w:t>肢体功能训练</w:t>
            </w:r>
          </w:p>
        </w:tc>
        <w:tc>
          <w:tcPr>
            <w:tcW w:w="1005" w:type="pct"/>
            <w:shd w:val="clear" w:color="auto" w:fill="auto"/>
            <w:vAlign w:val="center"/>
          </w:tcPr>
          <w:p w14:paraId="3291E9B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方正楷体_GBK" w:cs="方正楷体_GBK"/>
                <w:i w:val="0"/>
                <w:iCs w:val="0"/>
                <w:color w:val="000000"/>
                <w:sz w:val="20"/>
                <w:szCs w:val="20"/>
                <w:u w:val="none"/>
              </w:rPr>
            </w:pPr>
            <w:r>
              <w:rPr>
                <w:rFonts w:hint="eastAsia" w:ascii="Times New Roman" w:hAnsi="Times New Roman" w:eastAsia="方正楷体_GBK" w:cs="方正楷体_GBK"/>
                <w:i w:val="0"/>
                <w:iCs w:val="0"/>
                <w:color w:val="000000"/>
                <w:kern w:val="0"/>
                <w:sz w:val="20"/>
                <w:szCs w:val="20"/>
                <w:u w:val="none"/>
                <w:lang w:val="en-US" w:eastAsia="zh-CN" w:bidi="ar"/>
              </w:rPr>
              <w:t>120元/次</w:t>
            </w:r>
          </w:p>
        </w:tc>
        <w:tc>
          <w:tcPr>
            <w:tcW w:w="770" w:type="pct"/>
            <w:shd w:val="clear" w:color="auto" w:fill="auto"/>
            <w:noWrap/>
            <w:vAlign w:val="center"/>
          </w:tcPr>
          <w:p w14:paraId="30BA746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方正楷体_GBK" w:cs="方正楷体_GBK"/>
                <w:i w:val="0"/>
                <w:iCs w:val="0"/>
                <w:color w:val="000000"/>
                <w:sz w:val="20"/>
                <w:szCs w:val="20"/>
                <w:u w:val="none"/>
              </w:rPr>
            </w:pPr>
            <w:r>
              <w:rPr>
                <w:rFonts w:hint="eastAsia" w:ascii="Times New Roman" w:hAnsi="Times New Roman" w:eastAsia="方正楷体_GBK" w:cs="方正楷体_GBK"/>
                <w:i w:val="0"/>
                <w:iCs w:val="0"/>
                <w:color w:val="000000"/>
                <w:kern w:val="0"/>
                <w:sz w:val="20"/>
                <w:szCs w:val="20"/>
                <w:u w:val="none"/>
                <w:lang w:val="en-US" w:eastAsia="zh-CN" w:bidi="ar"/>
              </w:rPr>
              <w:t>90%</w:t>
            </w:r>
          </w:p>
        </w:tc>
        <w:tc>
          <w:tcPr>
            <w:tcW w:w="623" w:type="pct"/>
            <w:shd w:val="clear" w:color="auto" w:fill="auto"/>
            <w:noWrap/>
            <w:vAlign w:val="center"/>
          </w:tcPr>
          <w:p w14:paraId="1E67948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方正楷体_GBK" w:cs="方正楷体_GBK"/>
                <w:i w:val="0"/>
                <w:iCs w:val="0"/>
                <w:color w:val="000000"/>
                <w:sz w:val="20"/>
                <w:szCs w:val="20"/>
                <w:u w:val="none"/>
              </w:rPr>
            </w:pPr>
            <w:r>
              <w:rPr>
                <w:rFonts w:hint="eastAsia" w:ascii="Times New Roman" w:hAnsi="Times New Roman" w:eastAsia="方正楷体_GBK" w:cs="方正楷体_GBK"/>
                <w:i w:val="0"/>
                <w:iCs w:val="0"/>
                <w:color w:val="000000"/>
                <w:kern w:val="0"/>
                <w:sz w:val="20"/>
                <w:szCs w:val="20"/>
                <w:u w:val="none"/>
                <w:lang w:val="en-US" w:eastAsia="zh-CN" w:bidi="ar"/>
              </w:rPr>
              <w:t>60分钟</w:t>
            </w:r>
          </w:p>
        </w:tc>
      </w:tr>
      <w:tr w14:paraId="5428A45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7" w:hRule="atLeast"/>
          <w:jc w:val="center"/>
        </w:trPr>
        <w:tc>
          <w:tcPr>
            <w:tcW w:w="229" w:type="pct"/>
            <w:vMerge w:val="continue"/>
            <w:shd w:val="clear" w:color="auto" w:fill="auto"/>
            <w:noWrap/>
            <w:vAlign w:val="center"/>
          </w:tcPr>
          <w:p w14:paraId="35FA99EF">
            <w:pPr>
              <w:keepNext w:val="0"/>
              <w:keepLines w:val="0"/>
              <w:pageBreakBefore w:val="0"/>
              <w:widowControl/>
              <w:kinsoku/>
              <w:wordWrap/>
              <w:overflowPunct/>
              <w:topLinePunct w:val="0"/>
              <w:autoSpaceDE/>
              <w:autoSpaceDN/>
              <w:bidi w:val="0"/>
              <w:adjustRightInd/>
              <w:snapToGrid/>
              <w:spacing w:line="0" w:lineRule="atLeast"/>
              <w:jc w:val="center"/>
              <w:rPr>
                <w:rFonts w:hint="eastAsia" w:ascii="Times New Roman" w:hAnsi="Times New Roman" w:eastAsia="方正楷体_GBK" w:cs="方正楷体_GBK"/>
                <w:i w:val="0"/>
                <w:iCs w:val="0"/>
                <w:color w:val="000000"/>
                <w:sz w:val="20"/>
                <w:szCs w:val="20"/>
                <w:u w:val="none"/>
              </w:rPr>
            </w:pPr>
          </w:p>
        </w:tc>
        <w:tc>
          <w:tcPr>
            <w:tcW w:w="726" w:type="pct"/>
            <w:vMerge w:val="continue"/>
            <w:shd w:val="clear" w:color="auto" w:fill="auto"/>
            <w:vAlign w:val="center"/>
          </w:tcPr>
          <w:p w14:paraId="463ECDAA">
            <w:pPr>
              <w:keepNext w:val="0"/>
              <w:keepLines w:val="0"/>
              <w:pageBreakBefore w:val="0"/>
              <w:widowControl/>
              <w:kinsoku/>
              <w:wordWrap/>
              <w:overflowPunct/>
              <w:topLinePunct w:val="0"/>
              <w:autoSpaceDE/>
              <w:autoSpaceDN/>
              <w:bidi w:val="0"/>
              <w:adjustRightInd/>
              <w:snapToGrid/>
              <w:spacing w:line="0" w:lineRule="atLeast"/>
              <w:jc w:val="center"/>
              <w:rPr>
                <w:rFonts w:hint="eastAsia" w:ascii="Times New Roman" w:hAnsi="Times New Roman" w:eastAsia="方正楷体_GBK" w:cs="方正楷体_GBK"/>
                <w:i w:val="0"/>
                <w:iCs w:val="0"/>
                <w:color w:val="000000"/>
                <w:sz w:val="20"/>
                <w:szCs w:val="20"/>
                <w:u w:val="none"/>
              </w:rPr>
            </w:pPr>
          </w:p>
        </w:tc>
        <w:tc>
          <w:tcPr>
            <w:tcW w:w="1644" w:type="pct"/>
            <w:shd w:val="clear" w:color="auto" w:fill="auto"/>
            <w:vAlign w:val="center"/>
          </w:tcPr>
          <w:p w14:paraId="0FF2495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方正楷体_GBK" w:cs="方正楷体_GBK"/>
                <w:i w:val="0"/>
                <w:iCs w:val="0"/>
                <w:color w:val="000000"/>
                <w:sz w:val="20"/>
                <w:szCs w:val="20"/>
                <w:u w:val="none"/>
              </w:rPr>
            </w:pPr>
            <w:r>
              <w:rPr>
                <w:rFonts w:hint="eastAsia" w:ascii="Times New Roman" w:hAnsi="Times New Roman" w:eastAsia="方正楷体_GBK" w:cs="方正楷体_GBK"/>
                <w:i w:val="0"/>
                <w:iCs w:val="0"/>
                <w:color w:val="000000"/>
                <w:kern w:val="0"/>
                <w:sz w:val="20"/>
                <w:szCs w:val="20"/>
                <w:u w:val="none"/>
                <w:lang w:val="en-US" w:eastAsia="zh-CN" w:bidi="ar"/>
              </w:rPr>
              <w:t>手部功能训练</w:t>
            </w:r>
          </w:p>
        </w:tc>
        <w:tc>
          <w:tcPr>
            <w:tcW w:w="1005" w:type="pct"/>
            <w:shd w:val="clear" w:color="auto" w:fill="auto"/>
            <w:vAlign w:val="center"/>
          </w:tcPr>
          <w:p w14:paraId="462F8EC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方正楷体_GBK" w:cs="方正楷体_GBK"/>
                <w:i w:val="0"/>
                <w:iCs w:val="0"/>
                <w:color w:val="000000"/>
                <w:sz w:val="20"/>
                <w:szCs w:val="20"/>
                <w:u w:val="none"/>
              </w:rPr>
            </w:pPr>
            <w:r>
              <w:rPr>
                <w:rFonts w:hint="eastAsia" w:ascii="Times New Roman" w:hAnsi="Times New Roman" w:eastAsia="方正楷体_GBK" w:cs="方正楷体_GBK"/>
                <w:i w:val="0"/>
                <w:iCs w:val="0"/>
                <w:color w:val="000000"/>
                <w:kern w:val="0"/>
                <w:sz w:val="20"/>
                <w:szCs w:val="20"/>
                <w:u w:val="none"/>
                <w:lang w:val="en-US" w:eastAsia="zh-CN" w:bidi="ar"/>
              </w:rPr>
              <w:t>80元/次</w:t>
            </w:r>
          </w:p>
        </w:tc>
        <w:tc>
          <w:tcPr>
            <w:tcW w:w="770" w:type="pct"/>
            <w:shd w:val="clear" w:color="auto" w:fill="auto"/>
            <w:noWrap/>
            <w:vAlign w:val="center"/>
          </w:tcPr>
          <w:p w14:paraId="4776C65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方正楷体_GBK" w:cs="方正楷体_GBK"/>
                <w:i w:val="0"/>
                <w:iCs w:val="0"/>
                <w:color w:val="000000"/>
                <w:sz w:val="20"/>
                <w:szCs w:val="20"/>
                <w:u w:val="none"/>
              </w:rPr>
            </w:pPr>
            <w:r>
              <w:rPr>
                <w:rFonts w:hint="eastAsia" w:ascii="Times New Roman" w:hAnsi="Times New Roman" w:eastAsia="方正楷体_GBK" w:cs="方正楷体_GBK"/>
                <w:i w:val="0"/>
                <w:iCs w:val="0"/>
                <w:color w:val="000000"/>
                <w:kern w:val="0"/>
                <w:sz w:val="20"/>
                <w:szCs w:val="20"/>
                <w:u w:val="none"/>
                <w:lang w:val="en-US" w:eastAsia="zh-CN" w:bidi="ar"/>
              </w:rPr>
              <w:t>90%</w:t>
            </w:r>
          </w:p>
        </w:tc>
        <w:tc>
          <w:tcPr>
            <w:tcW w:w="623" w:type="pct"/>
            <w:shd w:val="clear" w:color="auto" w:fill="auto"/>
            <w:noWrap/>
            <w:vAlign w:val="center"/>
          </w:tcPr>
          <w:p w14:paraId="3A4B5A1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方正楷体_GBK" w:cs="方正楷体_GBK"/>
                <w:i w:val="0"/>
                <w:iCs w:val="0"/>
                <w:color w:val="000000"/>
                <w:sz w:val="20"/>
                <w:szCs w:val="20"/>
                <w:u w:val="none"/>
              </w:rPr>
            </w:pPr>
            <w:r>
              <w:rPr>
                <w:rFonts w:hint="eastAsia" w:ascii="Times New Roman" w:hAnsi="Times New Roman" w:eastAsia="方正楷体_GBK" w:cs="方正楷体_GBK"/>
                <w:i w:val="0"/>
                <w:iCs w:val="0"/>
                <w:color w:val="000000"/>
                <w:kern w:val="0"/>
                <w:sz w:val="20"/>
                <w:szCs w:val="20"/>
                <w:u w:val="none"/>
                <w:lang w:val="en-US" w:eastAsia="zh-CN" w:bidi="ar"/>
              </w:rPr>
              <w:t>45分钟</w:t>
            </w:r>
          </w:p>
        </w:tc>
      </w:tr>
      <w:tr w14:paraId="5624765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229" w:type="pct"/>
            <w:vMerge w:val="continue"/>
            <w:shd w:val="clear" w:color="auto" w:fill="auto"/>
            <w:noWrap/>
            <w:vAlign w:val="center"/>
          </w:tcPr>
          <w:p w14:paraId="78E67FE5">
            <w:pPr>
              <w:keepNext w:val="0"/>
              <w:keepLines w:val="0"/>
              <w:pageBreakBefore w:val="0"/>
              <w:widowControl/>
              <w:kinsoku/>
              <w:wordWrap/>
              <w:overflowPunct/>
              <w:topLinePunct w:val="0"/>
              <w:autoSpaceDE/>
              <w:autoSpaceDN/>
              <w:bidi w:val="0"/>
              <w:adjustRightInd/>
              <w:snapToGrid/>
              <w:spacing w:line="0" w:lineRule="atLeast"/>
              <w:jc w:val="center"/>
              <w:rPr>
                <w:rFonts w:hint="eastAsia" w:ascii="Times New Roman" w:hAnsi="Times New Roman" w:eastAsia="方正楷体_GBK" w:cs="方正楷体_GBK"/>
                <w:i w:val="0"/>
                <w:iCs w:val="0"/>
                <w:color w:val="000000"/>
                <w:sz w:val="20"/>
                <w:szCs w:val="20"/>
                <w:u w:val="none"/>
              </w:rPr>
            </w:pPr>
          </w:p>
        </w:tc>
        <w:tc>
          <w:tcPr>
            <w:tcW w:w="726" w:type="pct"/>
            <w:vMerge w:val="continue"/>
            <w:shd w:val="clear" w:color="auto" w:fill="auto"/>
            <w:vAlign w:val="center"/>
          </w:tcPr>
          <w:p w14:paraId="6F7F2E93">
            <w:pPr>
              <w:keepNext w:val="0"/>
              <w:keepLines w:val="0"/>
              <w:pageBreakBefore w:val="0"/>
              <w:widowControl/>
              <w:kinsoku/>
              <w:wordWrap/>
              <w:overflowPunct/>
              <w:topLinePunct w:val="0"/>
              <w:autoSpaceDE/>
              <w:autoSpaceDN/>
              <w:bidi w:val="0"/>
              <w:adjustRightInd/>
              <w:snapToGrid/>
              <w:spacing w:line="0" w:lineRule="atLeast"/>
              <w:jc w:val="center"/>
              <w:rPr>
                <w:rFonts w:hint="eastAsia" w:ascii="Times New Roman" w:hAnsi="Times New Roman" w:eastAsia="方正楷体_GBK" w:cs="方正楷体_GBK"/>
                <w:i w:val="0"/>
                <w:iCs w:val="0"/>
                <w:color w:val="000000"/>
                <w:sz w:val="20"/>
                <w:szCs w:val="20"/>
                <w:u w:val="none"/>
              </w:rPr>
            </w:pPr>
          </w:p>
        </w:tc>
        <w:tc>
          <w:tcPr>
            <w:tcW w:w="1644" w:type="pct"/>
            <w:shd w:val="clear" w:color="auto" w:fill="auto"/>
            <w:vAlign w:val="center"/>
          </w:tcPr>
          <w:p w14:paraId="5C47AA0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方正楷体_GBK" w:cs="方正楷体_GBK"/>
                <w:i w:val="0"/>
                <w:iCs w:val="0"/>
                <w:color w:val="000000"/>
                <w:sz w:val="20"/>
                <w:szCs w:val="20"/>
                <w:u w:val="none"/>
              </w:rPr>
            </w:pPr>
            <w:r>
              <w:rPr>
                <w:rFonts w:hint="eastAsia" w:ascii="Times New Roman" w:hAnsi="Times New Roman" w:eastAsia="方正楷体_GBK" w:cs="方正楷体_GBK"/>
                <w:i w:val="0"/>
                <w:iCs w:val="0"/>
                <w:color w:val="000000"/>
                <w:kern w:val="0"/>
                <w:sz w:val="20"/>
                <w:szCs w:val="20"/>
                <w:u w:val="none"/>
                <w:lang w:val="en-US" w:eastAsia="zh-CN" w:bidi="ar"/>
              </w:rPr>
              <w:t>手指功能训练仪</w:t>
            </w:r>
          </w:p>
        </w:tc>
        <w:tc>
          <w:tcPr>
            <w:tcW w:w="1005" w:type="pct"/>
            <w:shd w:val="clear" w:color="auto" w:fill="auto"/>
            <w:vAlign w:val="center"/>
          </w:tcPr>
          <w:p w14:paraId="7C6279B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方正楷体_GBK" w:cs="方正楷体_GBK"/>
                <w:i w:val="0"/>
                <w:iCs w:val="0"/>
                <w:color w:val="000000"/>
                <w:sz w:val="20"/>
                <w:szCs w:val="20"/>
                <w:u w:val="none"/>
              </w:rPr>
            </w:pPr>
            <w:r>
              <w:rPr>
                <w:rFonts w:hint="eastAsia" w:ascii="Times New Roman" w:hAnsi="Times New Roman" w:eastAsia="方正楷体_GBK" w:cs="方正楷体_GBK"/>
                <w:i w:val="0"/>
                <w:iCs w:val="0"/>
                <w:color w:val="000000"/>
                <w:kern w:val="0"/>
                <w:sz w:val="20"/>
                <w:szCs w:val="20"/>
                <w:u w:val="none"/>
                <w:lang w:val="en-US" w:eastAsia="zh-CN" w:bidi="ar"/>
              </w:rPr>
              <w:t>80元/次</w:t>
            </w:r>
          </w:p>
        </w:tc>
        <w:tc>
          <w:tcPr>
            <w:tcW w:w="770" w:type="pct"/>
            <w:shd w:val="clear" w:color="auto" w:fill="auto"/>
            <w:noWrap/>
            <w:vAlign w:val="center"/>
          </w:tcPr>
          <w:p w14:paraId="5B68D4D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方正楷体_GBK" w:cs="方正楷体_GBK"/>
                <w:i w:val="0"/>
                <w:iCs w:val="0"/>
                <w:color w:val="000000"/>
                <w:sz w:val="20"/>
                <w:szCs w:val="20"/>
                <w:u w:val="none"/>
              </w:rPr>
            </w:pPr>
            <w:r>
              <w:rPr>
                <w:rFonts w:hint="eastAsia" w:ascii="Times New Roman" w:hAnsi="Times New Roman" w:eastAsia="方正楷体_GBK" w:cs="方正楷体_GBK"/>
                <w:i w:val="0"/>
                <w:iCs w:val="0"/>
                <w:color w:val="000000"/>
                <w:kern w:val="0"/>
                <w:sz w:val="20"/>
                <w:szCs w:val="20"/>
                <w:u w:val="none"/>
                <w:lang w:val="en-US" w:eastAsia="zh-CN" w:bidi="ar"/>
              </w:rPr>
              <w:t>90%</w:t>
            </w:r>
          </w:p>
        </w:tc>
        <w:tc>
          <w:tcPr>
            <w:tcW w:w="623" w:type="pct"/>
            <w:shd w:val="clear" w:color="auto" w:fill="auto"/>
            <w:noWrap/>
            <w:vAlign w:val="center"/>
          </w:tcPr>
          <w:p w14:paraId="3A612CB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方正楷体_GBK" w:cs="方正楷体_GBK"/>
                <w:i w:val="0"/>
                <w:iCs w:val="0"/>
                <w:color w:val="000000"/>
                <w:sz w:val="20"/>
                <w:szCs w:val="20"/>
                <w:u w:val="none"/>
              </w:rPr>
            </w:pPr>
            <w:r>
              <w:rPr>
                <w:rFonts w:hint="eastAsia" w:ascii="Times New Roman" w:hAnsi="Times New Roman" w:eastAsia="方正楷体_GBK" w:cs="方正楷体_GBK"/>
                <w:i w:val="0"/>
                <w:iCs w:val="0"/>
                <w:color w:val="000000"/>
                <w:kern w:val="0"/>
                <w:sz w:val="20"/>
                <w:szCs w:val="20"/>
                <w:u w:val="none"/>
                <w:lang w:val="en-US" w:eastAsia="zh-CN" w:bidi="ar"/>
              </w:rPr>
              <w:t>30分钟</w:t>
            </w:r>
          </w:p>
        </w:tc>
      </w:tr>
      <w:tr w14:paraId="5041AF6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7" w:hRule="atLeast"/>
          <w:jc w:val="center"/>
        </w:trPr>
        <w:tc>
          <w:tcPr>
            <w:tcW w:w="229" w:type="pct"/>
            <w:vMerge w:val="continue"/>
            <w:shd w:val="clear" w:color="auto" w:fill="auto"/>
            <w:noWrap/>
            <w:vAlign w:val="center"/>
          </w:tcPr>
          <w:p w14:paraId="6743841F">
            <w:pPr>
              <w:keepNext w:val="0"/>
              <w:keepLines w:val="0"/>
              <w:pageBreakBefore w:val="0"/>
              <w:widowControl/>
              <w:kinsoku/>
              <w:wordWrap/>
              <w:overflowPunct/>
              <w:topLinePunct w:val="0"/>
              <w:autoSpaceDE/>
              <w:autoSpaceDN/>
              <w:bidi w:val="0"/>
              <w:adjustRightInd/>
              <w:snapToGrid/>
              <w:spacing w:line="0" w:lineRule="atLeast"/>
              <w:jc w:val="center"/>
              <w:rPr>
                <w:rFonts w:hint="eastAsia" w:ascii="Times New Roman" w:hAnsi="Times New Roman" w:eastAsia="方正楷体_GBK" w:cs="方正楷体_GBK"/>
                <w:i w:val="0"/>
                <w:iCs w:val="0"/>
                <w:color w:val="000000"/>
                <w:sz w:val="20"/>
                <w:szCs w:val="20"/>
                <w:u w:val="none"/>
              </w:rPr>
            </w:pPr>
          </w:p>
        </w:tc>
        <w:tc>
          <w:tcPr>
            <w:tcW w:w="726" w:type="pct"/>
            <w:vMerge w:val="continue"/>
            <w:shd w:val="clear" w:color="auto" w:fill="auto"/>
            <w:vAlign w:val="center"/>
          </w:tcPr>
          <w:p w14:paraId="0B870C31">
            <w:pPr>
              <w:keepNext w:val="0"/>
              <w:keepLines w:val="0"/>
              <w:pageBreakBefore w:val="0"/>
              <w:widowControl/>
              <w:kinsoku/>
              <w:wordWrap/>
              <w:overflowPunct/>
              <w:topLinePunct w:val="0"/>
              <w:autoSpaceDE/>
              <w:autoSpaceDN/>
              <w:bidi w:val="0"/>
              <w:adjustRightInd/>
              <w:snapToGrid/>
              <w:spacing w:line="0" w:lineRule="atLeast"/>
              <w:jc w:val="center"/>
              <w:rPr>
                <w:rFonts w:hint="eastAsia" w:ascii="Times New Roman" w:hAnsi="Times New Roman" w:eastAsia="方正楷体_GBK" w:cs="方正楷体_GBK"/>
                <w:i w:val="0"/>
                <w:iCs w:val="0"/>
                <w:color w:val="000000"/>
                <w:sz w:val="20"/>
                <w:szCs w:val="20"/>
                <w:u w:val="none"/>
              </w:rPr>
            </w:pPr>
          </w:p>
        </w:tc>
        <w:tc>
          <w:tcPr>
            <w:tcW w:w="1644" w:type="pct"/>
            <w:shd w:val="clear" w:color="auto" w:fill="auto"/>
            <w:vAlign w:val="center"/>
          </w:tcPr>
          <w:p w14:paraId="7E33A4E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方正楷体_GBK" w:cs="方正楷体_GBK"/>
                <w:i w:val="0"/>
                <w:iCs w:val="0"/>
                <w:color w:val="000000"/>
                <w:sz w:val="20"/>
                <w:szCs w:val="20"/>
                <w:u w:val="none"/>
              </w:rPr>
            </w:pPr>
            <w:r>
              <w:rPr>
                <w:rFonts w:hint="eastAsia" w:ascii="Times New Roman" w:hAnsi="Times New Roman" w:eastAsia="方正楷体_GBK" w:cs="方正楷体_GBK"/>
                <w:i w:val="0"/>
                <w:iCs w:val="0"/>
                <w:color w:val="000000"/>
                <w:kern w:val="0"/>
                <w:sz w:val="20"/>
                <w:szCs w:val="20"/>
                <w:u w:val="none"/>
                <w:lang w:val="en-US" w:eastAsia="zh-CN" w:bidi="ar"/>
              </w:rPr>
              <w:t>睡眠理疗改善</w:t>
            </w:r>
          </w:p>
        </w:tc>
        <w:tc>
          <w:tcPr>
            <w:tcW w:w="1005" w:type="pct"/>
            <w:shd w:val="clear" w:color="auto" w:fill="auto"/>
            <w:vAlign w:val="center"/>
          </w:tcPr>
          <w:p w14:paraId="2E18B7B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方正楷体_GBK" w:cs="方正楷体_GBK"/>
                <w:i w:val="0"/>
                <w:iCs w:val="0"/>
                <w:color w:val="000000"/>
                <w:sz w:val="20"/>
                <w:szCs w:val="20"/>
                <w:u w:val="none"/>
              </w:rPr>
            </w:pPr>
            <w:r>
              <w:rPr>
                <w:rFonts w:hint="eastAsia" w:ascii="Times New Roman" w:hAnsi="Times New Roman" w:eastAsia="方正楷体_GBK" w:cs="方正楷体_GBK"/>
                <w:i w:val="0"/>
                <w:iCs w:val="0"/>
                <w:color w:val="000000"/>
                <w:kern w:val="0"/>
                <w:sz w:val="20"/>
                <w:szCs w:val="20"/>
                <w:u w:val="none"/>
                <w:lang w:val="en-US" w:eastAsia="zh-CN" w:bidi="ar"/>
              </w:rPr>
              <w:t>60元/次</w:t>
            </w:r>
          </w:p>
        </w:tc>
        <w:tc>
          <w:tcPr>
            <w:tcW w:w="770" w:type="pct"/>
            <w:shd w:val="clear" w:color="auto" w:fill="auto"/>
            <w:noWrap/>
            <w:vAlign w:val="center"/>
          </w:tcPr>
          <w:p w14:paraId="25735AE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方正楷体_GBK" w:cs="方正楷体_GBK"/>
                <w:i w:val="0"/>
                <w:iCs w:val="0"/>
                <w:color w:val="000000"/>
                <w:sz w:val="20"/>
                <w:szCs w:val="20"/>
                <w:u w:val="none"/>
              </w:rPr>
            </w:pPr>
            <w:r>
              <w:rPr>
                <w:rFonts w:hint="eastAsia" w:ascii="Times New Roman" w:hAnsi="Times New Roman" w:eastAsia="方正楷体_GBK" w:cs="方正楷体_GBK"/>
                <w:i w:val="0"/>
                <w:iCs w:val="0"/>
                <w:color w:val="000000"/>
                <w:kern w:val="0"/>
                <w:sz w:val="20"/>
                <w:szCs w:val="20"/>
                <w:u w:val="none"/>
                <w:lang w:val="en-US" w:eastAsia="zh-CN" w:bidi="ar"/>
              </w:rPr>
              <w:t>90%</w:t>
            </w:r>
          </w:p>
        </w:tc>
        <w:tc>
          <w:tcPr>
            <w:tcW w:w="623" w:type="pct"/>
            <w:shd w:val="clear" w:color="auto" w:fill="auto"/>
            <w:noWrap/>
            <w:vAlign w:val="center"/>
          </w:tcPr>
          <w:p w14:paraId="2FF15AC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方正楷体_GBK" w:cs="方正楷体_GBK"/>
                <w:i w:val="0"/>
                <w:iCs w:val="0"/>
                <w:color w:val="000000"/>
                <w:sz w:val="20"/>
                <w:szCs w:val="20"/>
                <w:u w:val="none"/>
              </w:rPr>
            </w:pPr>
            <w:r>
              <w:rPr>
                <w:rFonts w:hint="eastAsia" w:ascii="Times New Roman" w:hAnsi="Times New Roman" w:eastAsia="方正楷体_GBK" w:cs="方正楷体_GBK"/>
                <w:i w:val="0"/>
                <w:iCs w:val="0"/>
                <w:color w:val="000000"/>
                <w:kern w:val="0"/>
                <w:sz w:val="20"/>
                <w:szCs w:val="20"/>
                <w:u w:val="none"/>
                <w:lang w:val="en-US" w:eastAsia="zh-CN" w:bidi="ar"/>
              </w:rPr>
              <w:t>45分钟</w:t>
            </w:r>
          </w:p>
        </w:tc>
      </w:tr>
      <w:tr w14:paraId="562B0E6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7" w:hRule="atLeast"/>
          <w:jc w:val="center"/>
        </w:trPr>
        <w:tc>
          <w:tcPr>
            <w:tcW w:w="229" w:type="pct"/>
            <w:vMerge w:val="continue"/>
            <w:shd w:val="clear" w:color="auto" w:fill="auto"/>
            <w:noWrap/>
            <w:vAlign w:val="center"/>
          </w:tcPr>
          <w:p w14:paraId="061470E4">
            <w:pPr>
              <w:keepNext w:val="0"/>
              <w:keepLines w:val="0"/>
              <w:pageBreakBefore w:val="0"/>
              <w:widowControl/>
              <w:kinsoku/>
              <w:wordWrap/>
              <w:overflowPunct/>
              <w:topLinePunct w:val="0"/>
              <w:autoSpaceDE/>
              <w:autoSpaceDN/>
              <w:bidi w:val="0"/>
              <w:adjustRightInd/>
              <w:snapToGrid/>
              <w:spacing w:line="0" w:lineRule="atLeast"/>
              <w:jc w:val="center"/>
              <w:rPr>
                <w:rFonts w:hint="eastAsia" w:ascii="Times New Roman" w:hAnsi="Times New Roman" w:eastAsia="方正楷体_GBK" w:cs="方正楷体_GBK"/>
                <w:i w:val="0"/>
                <w:iCs w:val="0"/>
                <w:color w:val="000000"/>
                <w:sz w:val="20"/>
                <w:szCs w:val="20"/>
                <w:u w:val="none"/>
              </w:rPr>
            </w:pPr>
          </w:p>
        </w:tc>
        <w:tc>
          <w:tcPr>
            <w:tcW w:w="726" w:type="pct"/>
            <w:vMerge w:val="continue"/>
            <w:shd w:val="clear" w:color="auto" w:fill="auto"/>
            <w:vAlign w:val="center"/>
          </w:tcPr>
          <w:p w14:paraId="588BBE93">
            <w:pPr>
              <w:keepNext w:val="0"/>
              <w:keepLines w:val="0"/>
              <w:pageBreakBefore w:val="0"/>
              <w:widowControl/>
              <w:kinsoku/>
              <w:wordWrap/>
              <w:overflowPunct/>
              <w:topLinePunct w:val="0"/>
              <w:autoSpaceDE/>
              <w:autoSpaceDN/>
              <w:bidi w:val="0"/>
              <w:adjustRightInd/>
              <w:snapToGrid/>
              <w:spacing w:line="0" w:lineRule="atLeast"/>
              <w:jc w:val="center"/>
              <w:rPr>
                <w:rFonts w:hint="eastAsia" w:ascii="Times New Roman" w:hAnsi="Times New Roman" w:eastAsia="方正楷体_GBK" w:cs="方正楷体_GBK"/>
                <w:i w:val="0"/>
                <w:iCs w:val="0"/>
                <w:color w:val="000000"/>
                <w:sz w:val="20"/>
                <w:szCs w:val="20"/>
                <w:u w:val="none"/>
              </w:rPr>
            </w:pPr>
          </w:p>
        </w:tc>
        <w:tc>
          <w:tcPr>
            <w:tcW w:w="1644" w:type="pct"/>
            <w:shd w:val="clear" w:color="auto" w:fill="auto"/>
            <w:vAlign w:val="center"/>
          </w:tcPr>
          <w:p w14:paraId="5FAAE79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方正楷体_GBK" w:cs="方正楷体_GBK"/>
                <w:i w:val="0"/>
                <w:iCs w:val="0"/>
                <w:color w:val="000000"/>
                <w:sz w:val="20"/>
                <w:szCs w:val="20"/>
                <w:u w:val="none"/>
              </w:rPr>
            </w:pPr>
            <w:r>
              <w:rPr>
                <w:rFonts w:hint="eastAsia" w:ascii="Times New Roman" w:hAnsi="Times New Roman" w:eastAsia="方正楷体_GBK" w:cs="方正楷体_GBK"/>
                <w:i w:val="0"/>
                <w:iCs w:val="0"/>
                <w:color w:val="000000"/>
                <w:kern w:val="0"/>
                <w:sz w:val="20"/>
                <w:szCs w:val="20"/>
                <w:u w:val="none"/>
                <w:lang w:val="en-US" w:eastAsia="zh-CN" w:bidi="ar"/>
              </w:rPr>
              <w:t>颈肩腰腿痛理疗改善</w:t>
            </w:r>
          </w:p>
        </w:tc>
        <w:tc>
          <w:tcPr>
            <w:tcW w:w="1005" w:type="pct"/>
            <w:shd w:val="clear" w:color="auto" w:fill="auto"/>
            <w:vAlign w:val="center"/>
          </w:tcPr>
          <w:p w14:paraId="5CC55A2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方正楷体_GBK" w:cs="方正楷体_GBK"/>
                <w:i w:val="0"/>
                <w:iCs w:val="0"/>
                <w:color w:val="000000"/>
                <w:sz w:val="20"/>
                <w:szCs w:val="20"/>
                <w:u w:val="none"/>
              </w:rPr>
            </w:pPr>
            <w:r>
              <w:rPr>
                <w:rFonts w:hint="eastAsia" w:ascii="Times New Roman" w:hAnsi="Times New Roman" w:eastAsia="方正楷体_GBK" w:cs="方正楷体_GBK"/>
                <w:i w:val="0"/>
                <w:iCs w:val="0"/>
                <w:color w:val="000000"/>
                <w:kern w:val="0"/>
                <w:sz w:val="20"/>
                <w:szCs w:val="20"/>
                <w:u w:val="none"/>
                <w:lang w:val="en-US" w:eastAsia="zh-CN" w:bidi="ar"/>
              </w:rPr>
              <w:t>80元/次</w:t>
            </w:r>
          </w:p>
        </w:tc>
        <w:tc>
          <w:tcPr>
            <w:tcW w:w="770" w:type="pct"/>
            <w:shd w:val="clear" w:color="auto" w:fill="auto"/>
            <w:noWrap/>
            <w:vAlign w:val="center"/>
          </w:tcPr>
          <w:p w14:paraId="02EBA9F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方正楷体_GBK" w:cs="方正楷体_GBK"/>
                <w:i w:val="0"/>
                <w:iCs w:val="0"/>
                <w:color w:val="000000"/>
                <w:sz w:val="20"/>
                <w:szCs w:val="20"/>
                <w:u w:val="none"/>
              </w:rPr>
            </w:pPr>
            <w:r>
              <w:rPr>
                <w:rFonts w:hint="eastAsia" w:ascii="Times New Roman" w:hAnsi="Times New Roman" w:eastAsia="方正楷体_GBK" w:cs="方正楷体_GBK"/>
                <w:i w:val="0"/>
                <w:iCs w:val="0"/>
                <w:color w:val="000000"/>
                <w:kern w:val="0"/>
                <w:sz w:val="20"/>
                <w:szCs w:val="20"/>
                <w:u w:val="none"/>
                <w:lang w:val="en-US" w:eastAsia="zh-CN" w:bidi="ar"/>
              </w:rPr>
              <w:t>90%</w:t>
            </w:r>
          </w:p>
        </w:tc>
        <w:tc>
          <w:tcPr>
            <w:tcW w:w="623" w:type="pct"/>
            <w:shd w:val="clear" w:color="auto" w:fill="auto"/>
            <w:noWrap/>
            <w:vAlign w:val="center"/>
          </w:tcPr>
          <w:p w14:paraId="6CDAC47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方正楷体_GBK" w:cs="方正楷体_GBK"/>
                <w:i w:val="0"/>
                <w:iCs w:val="0"/>
                <w:color w:val="000000"/>
                <w:sz w:val="20"/>
                <w:szCs w:val="20"/>
                <w:u w:val="none"/>
              </w:rPr>
            </w:pPr>
            <w:r>
              <w:rPr>
                <w:rFonts w:hint="eastAsia" w:ascii="Times New Roman" w:hAnsi="Times New Roman" w:eastAsia="方正楷体_GBK" w:cs="方正楷体_GBK"/>
                <w:i w:val="0"/>
                <w:iCs w:val="0"/>
                <w:color w:val="000000"/>
                <w:kern w:val="0"/>
                <w:sz w:val="20"/>
                <w:szCs w:val="20"/>
                <w:u w:val="none"/>
                <w:lang w:val="en-US" w:eastAsia="zh-CN" w:bidi="ar"/>
              </w:rPr>
              <w:t>60分钟</w:t>
            </w:r>
          </w:p>
        </w:tc>
      </w:tr>
      <w:tr w14:paraId="7EC5055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229" w:type="pct"/>
            <w:vMerge w:val="restart"/>
            <w:shd w:val="clear" w:color="auto" w:fill="auto"/>
            <w:noWrap/>
            <w:vAlign w:val="center"/>
          </w:tcPr>
          <w:p w14:paraId="6687E11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方正楷体_GBK" w:cs="方正楷体_GBK"/>
                <w:i w:val="0"/>
                <w:iCs w:val="0"/>
                <w:color w:val="000000"/>
                <w:sz w:val="20"/>
                <w:szCs w:val="20"/>
                <w:u w:val="none"/>
              </w:rPr>
            </w:pPr>
            <w:r>
              <w:rPr>
                <w:rFonts w:hint="eastAsia" w:ascii="Times New Roman" w:hAnsi="Times New Roman" w:eastAsia="方正楷体_GBK" w:cs="方正楷体_GBK"/>
                <w:i w:val="0"/>
                <w:iCs w:val="0"/>
                <w:color w:val="000000"/>
                <w:kern w:val="0"/>
                <w:sz w:val="20"/>
                <w:szCs w:val="20"/>
                <w:u w:val="none"/>
                <w:lang w:val="en-US" w:eastAsia="zh-CN" w:bidi="ar"/>
              </w:rPr>
              <w:t>5</w:t>
            </w:r>
          </w:p>
        </w:tc>
        <w:tc>
          <w:tcPr>
            <w:tcW w:w="726" w:type="pct"/>
            <w:vMerge w:val="restart"/>
            <w:shd w:val="clear" w:color="auto" w:fill="auto"/>
            <w:vAlign w:val="center"/>
          </w:tcPr>
          <w:p w14:paraId="0A5862A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方正楷体_GBK" w:cs="方正楷体_GBK"/>
                <w:i w:val="0"/>
                <w:iCs w:val="0"/>
                <w:color w:val="000000"/>
                <w:kern w:val="0"/>
                <w:sz w:val="20"/>
                <w:szCs w:val="20"/>
                <w:u w:val="none"/>
                <w:lang w:val="en-US" w:eastAsia="zh-CN" w:bidi="ar"/>
              </w:rPr>
            </w:pPr>
            <w:r>
              <w:rPr>
                <w:rFonts w:hint="eastAsia" w:ascii="Times New Roman" w:hAnsi="Times New Roman" w:eastAsia="方正楷体_GBK" w:cs="方正楷体_GBK"/>
                <w:i w:val="0"/>
                <w:iCs w:val="0"/>
                <w:color w:val="000000"/>
                <w:kern w:val="0"/>
                <w:sz w:val="20"/>
                <w:szCs w:val="20"/>
                <w:u w:val="none"/>
                <w:lang w:val="en-US" w:eastAsia="zh-CN" w:bidi="ar"/>
              </w:rPr>
              <w:t>精神慰藉</w:t>
            </w:r>
          </w:p>
          <w:p w14:paraId="65CABC5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方正楷体_GBK" w:cs="方正楷体_GBK"/>
                <w:i w:val="0"/>
                <w:iCs w:val="0"/>
                <w:color w:val="000000"/>
                <w:sz w:val="20"/>
                <w:szCs w:val="20"/>
                <w:u w:val="none"/>
              </w:rPr>
            </w:pPr>
            <w:r>
              <w:rPr>
                <w:rFonts w:hint="eastAsia" w:ascii="Times New Roman" w:hAnsi="Times New Roman" w:eastAsia="方正楷体_GBK" w:cs="方正楷体_GBK"/>
                <w:i w:val="0"/>
                <w:iCs w:val="0"/>
                <w:color w:val="000000"/>
                <w:kern w:val="0"/>
                <w:sz w:val="20"/>
                <w:szCs w:val="20"/>
                <w:u w:val="none"/>
                <w:lang w:val="en-US" w:eastAsia="zh-CN" w:bidi="ar"/>
              </w:rPr>
              <w:t>服务</w:t>
            </w:r>
          </w:p>
        </w:tc>
        <w:tc>
          <w:tcPr>
            <w:tcW w:w="1644" w:type="pct"/>
            <w:shd w:val="clear" w:color="auto" w:fill="auto"/>
            <w:vAlign w:val="center"/>
          </w:tcPr>
          <w:p w14:paraId="3D72076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方正楷体_GBK" w:cs="方正楷体_GBK"/>
                <w:i w:val="0"/>
                <w:iCs w:val="0"/>
                <w:color w:val="000000"/>
                <w:sz w:val="20"/>
                <w:szCs w:val="20"/>
                <w:u w:val="none"/>
              </w:rPr>
            </w:pPr>
            <w:r>
              <w:rPr>
                <w:rFonts w:hint="eastAsia" w:ascii="Times New Roman" w:hAnsi="Times New Roman" w:eastAsia="方正楷体_GBK" w:cs="方正楷体_GBK"/>
                <w:i w:val="0"/>
                <w:iCs w:val="0"/>
                <w:color w:val="000000"/>
                <w:kern w:val="0"/>
                <w:sz w:val="20"/>
                <w:szCs w:val="20"/>
                <w:u w:val="none"/>
                <w:lang w:val="en-US" w:eastAsia="zh-CN" w:bidi="ar"/>
              </w:rPr>
              <w:t>法律援助</w:t>
            </w:r>
          </w:p>
        </w:tc>
        <w:tc>
          <w:tcPr>
            <w:tcW w:w="1005" w:type="pct"/>
            <w:shd w:val="clear" w:color="auto" w:fill="auto"/>
            <w:vAlign w:val="center"/>
          </w:tcPr>
          <w:p w14:paraId="291AC9C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方正楷体_GBK" w:cs="方正楷体_GBK"/>
                <w:i w:val="0"/>
                <w:iCs w:val="0"/>
                <w:color w:val="000000"/>
                <w:sz w:val="20"/>
                <w:szCs w:val="20"/>
                <w:u w:val="none"/>
              </w:rPr>
            </w:pPr>
            <w:r>
              <w:rPr>
                <w:rFonts w:hint="eastAsia" w:ascii="Times New Roman" w:hAnsi="Times New Roman" w:eastAsia="方正楷体_GBK" w:cs="方正楷体_GBK"/>
                <w:i w:val="0"/>
                <w:iCs w:val="0"/>
                <w:color w:val="000000"/>
                <w:kern w:val="0"/>
                <w:sz w:val="20"/>
                <w:szCs w:val="20"/>
                <w:u w:val="none"/>
                <w:lang w:val="en-US" w:eastAsia="zh-CN" w:bidi="ar"/>
              </w:rPr>
              <w:t>100元/次</w:t>
            </w:r>
          </w:p>
        </w:tc>
        <w:tc>
          <w:tcPr>
            <w:tcW w:w="770" w:type="pct"/>
            <w:shd w:val="clear" w:color="auto" w:fill="auto"/>
            <w:noWrap/>
            <w:vAlign w:val="center"/>
          </w:tcPr>
          <w:p w14:paraId="5EEDAA7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方正楷体_GBK" w:cs="方正楷体_GBK"/>
                <w:i w:val="0"/>
                <w:iCs w:val="0"/>
                <w:color w:val="000000"/>
                <w:sz w:val="20"/>
                <w:szCs w:val="20"/>
                <w:u w:val="none"/>
              </w:rPr>
            </w:pPr>
            <w:r>
              <w:rPr>
                <w:rFonts w:hint="eastAsia" w:ascii="Times New Roman" w:hAnsi="Times New Roman" w:eastAsia="方正楷体_GBK" w:cs="方正楷体_GBK"/>
                <w:i w:val="0"/>
                <w:iCs w:val="0"/>
                <w:color w:val="000000"/>
                <w:kern w:val="0"/>
                <w:sz w:val="20"/>
                <w:szCs w:val="20"/>
                <w:u w:val="none"/>
                <w:lang w:val="en-US" w:eastAsia="zh-CN" w:bidi="ar"/>
              </w:rPr>
              <w:t>90%</w:t>
            </w:r>
          </w:p>
        </w:tc>
        <w:tc>
          <w:tcPr>
            <w:tcW w:w="623" w:type="pct"/>
            <w:shd w:val="clear" w:color="auto" w:fill="auto"/>
            <w:noWrap/>
            <w:vAlign w:val="center"/>
          </w:tcPr>
          <w:p w14:paraId="55F5A00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方正楷体_GBK" w:cs="方正楷体_GBK"/>
                <w:i w:val="0"/>
                <w:iCs w:val="0"/>
                <w:color w:val="000000"/>
                <w:sz w:val="20"/>
                <w:szCs w:val="20"/>
                <w:u w:val="none"/>
              </w:rPr>
            </w:pPr>
            <w:r>
              <w:rPr>
                <w:rFonts w:hint="eastAsia" w:ascii="Times New Roman" w:hAnsi="Times New Roman" w:eastAsia="方正楷体_GBK" w:cs="方正楷体_GBK"/>
                <w:i w:val="0"/>
                <w:iCs w:val="0"/>
                <w:color w:val="000000"/>
                <w:kern w:val="0"/>
                <w:sz w:val="20"/>
                <w:szCs w:val="20"/>
                <w:u w:val="none"/>
                <w:lang w:val="en-US" w:eastAsia="zh-CN" w:bidi="ar"/>
              </w:rPr>
              <w:t>60分钟</w:t>
            </w:r>
          </w:p>
        </w:tc>
      </w:tr>
      <w:tr w14:paraId="1AA5854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229" w:type="pct"/>
            <w:vMerge w:val="continue"/>
            <w:shd w:val="clear" w:color="auto" w:fill="auto"/>
            <w:noWrap/>
            <w:vAlign w:val="center"/>
          </w:tcPr>
          <w:p w14:paraId="0BC60312">
            <w:pPr>
              <w:keepNext w:val="0"/>
              <w:keepLines w:val="0"/>
              <w:pageBreakBefore w:val="0"/>
              <w:widowControl/>
              <w:kinsoku/>
              <w:wordWrap/>
              <w:overflowPunct/>
              <w:topLinePunct w:val="0"/>
              <w:autoSpaceDE/>
              <w:autoSpaceDN/>
              <w:bidi w:val="0"/>
              <w:adjustRightInd/>
              <w:snapToGrid/>
              <w:spacing w:line="0" w:lineRule="atLeast"/>
              <w:jc w:val="center"/>
              <w:rPr>
                <w:rFonts w:hint="eastAsia" w:ascii="Times New Roman" w:hAnsi="Times New Roman" w:eastAsia="方正楷体_GBK" w:cs="方正楷体_GBK"/>
                <w:i w:val="0"/>
                <w:iCs w:val="0"/>
                <w:color w:val="000000"/>
                <w:sz w:val="20"/>
                <w:szCs w:val="20"/>
                <w:u w:val="none"/>
              </w:rPr>
            </w:pPr>
          </w:p>
        </w:tc>
        <w:tc>
          <w:tcPr>
            <w:tcW w:w="726" w:type="pct"/>
            <w:vMerge w:val="continue"/>
            <w:shd w:val="clear" w:color="auto" w:fill="auto"/>
            <w:vAlign w:val="center"/>
          </w:tcPr>
          <w:p w14:paraId="7C7B7710">
            <w:pPr>
              <w:keepNext w:val="0"/>
              <w:keepLines w:val="0"/>
              <w:pageBreakBefore w:val="0"/>
              <w:widowControl/>
              <w:kinsoku/>
              <w:wordWrap/>
              <w:overflowPunct/>
              <w:topLinePunct w:val="0"/>
              <w:autoSpaceDE/>
              <w:autoSpaceDN/>
              <w:bidi w:val="0"/>
              <w:adjustRightInd/>
              <w:snapToGrid/>
              <w:spacing w:line="0" w:lineRule="atLeast"/>
              <w:jc w:val="center"/>
              <w:rPr>
                <w:rFonts w:hint="eastAsia" w:ascii="Times New Roman" w:hAnsi="Times New Roman" w:eastAsia="方正楷体_GBK" w:cs="方正楷体_GBK"/>
                <w:i w:val="0"/>
                <w:iCs w:val="0"/>
                <w:color w:val="000000"/>
                <w:sz w:val="20"/>
                <w:szCs w:val="20"/>
                <w:u w:val="none"/>
              </w:rPr>
            </w:pPr>
          </w:p>
        </w:tc>
        <w:tc>
          <w:tcPr>
            <w:tcW w:w="1644" w:type="pct"/>
            <w:shd w:val="clear" w:color="auto" w:fill="FFFFFF"/>
            <w:vAlign w:val="center"/>
          </w:tcPr>
          <w:p w14:paraId="701C840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方正楷体_GBK" w:cs="方正楷体_GBK"/>
                <w:i w:val="0"/>
                <w:iCs w:val="0"/>
                <w:color w:val="000000"/>
                <w:sz w:val="20"/>
                <w:szCs w:val="20"/>
                <w:u w:val="none"/>
              </w:rPr>
            </w:pPr>
            <w:r>
              <w:rPr>
                <w:rFonts w:hint="eastAsia" w:ascii="Times New Roman" w:hAnsi="Times New Roman" w:eastAsia="方正楷体_GBK" w:cs="方正楷体_GBK"/>
                <w:i w:val="0"/>
                <w:iCs w:val="0"/>
                <w:color w:val="000000"/>
                <w:kern w:val="0"/>
                <w:sz w:val="20"/>
                <w:szCs w:val="20"/>
                <w:u w:val="none"/>
                <w:lang w:val="en-US" w:eastAsia="zh-CN" w:bidi="ar"/>
              </w:rPr>
              <w:t>社工个案或心理咨询</w:t>
            </w:r>
          </w:p>
        </w:tc>
        <w:tc>
          <w:tcPr>
            <w:tcW w:w="1005" w:type="pct"/>
            <w:shd w:val="clear" w:color="auto" w:fill="auto"/>
            <w:vAlign w:val="center"/>
          </w:tcPr>
          <w:p w14:paraId="7D34D71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方正楷体_GBK" w:cs="方正楷体_GBK"/>
                <w:i w:val="0"/>
                <w:iCs w:val="0"/>
                <w:color w:val="000000"/>
                <w:sz w:val="20"/>
                <w:szCs w:val="20"/>
                <w:u w:val="none"/>
              </w:rPr>
            </w:pPr>
            <w:r>
              <w:rPr>
                <w:rFonts w:hint="eastAsia" w:ascii="Times New Roman" w:hAnsi="Times New Roman" w:eastAsia="方正楷体_GBK" w:cs="方正楷体_GBK"/>
                <w:i w:val="0"/>
                <w:iCs w:val="0"/>
                <w:color w:val="000000"/>
                <w:kern w:val="0"/>
                <w:sz w:val="20"/>
                <w:szCs w:val="20"/>
                <w:u w:val="none"/>
                <w:lang w:val="en-US" w:eastAsia="zh-CN" w:bidi="ar"/>
              </w:rPr>
              <w:t>100元/次</w:t>
            </w:r>
          </w:p>
        </w:tc>
        <w:tc>
          <w:tcPr>
            <w:tcW w:w="770" w:type="pct"/>
            <w:shd w:val="clear" w:color="auto" w:fill="auto"/>
            <w:noWrap/>
            <w:vAlign w:val="center"/>
          </w:tcPr>
          <w:p w14:paraId="594A062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方正楷体_GBK" w:cs="方正楷体_GBK"/>
                <w:i w:val="0"/>
                <w:iCs w:val="0"/>
                <w:color w:val="000000"/>
                <w:sz w:val="20"/>
                <w:szCs w:val="20"/>
                <w:u w:val="none"/>
              </w:rPr>
            </w:pPr>
            <w:r>
              <w:rPr>
                <w:rFonts w:hint="eastAsia" w:ascii="Times New Roman" w:hAnsi="Times New Roman" w:eastAsia="方正楷体_GBK" w:cs="方正楷体_GBK"/>
                <w:i w:val="0"/>
                <w:iCs w:val="0"/>
                <w:color w:val="000000"/>
                <w:kern w:val="0"/>
                <w:sz w:val="20"/>
                <w:szCs w:val="20"/>
                <w:u w:val="none"/>
                <w:lang w:val="en-US" w:eastAsia="zh-CN" w:bidi="ar"/>
              </w:rPr>
              <w:t>90%</w:t>
            </w:r>
          </w:p>
        </w:tc>
        <w:tc>
          <w:tcPr>
            <w:tcW w:w="623" w:type="pct"/>
            <w:shd w:val="clear" w:color="auto" w:fill="auto"/>
            <w:noWrap/>
            <w:vAlign w:val="center"/>
          </w:tcPr>
          <w:p w14:paraId="4C6356A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方正楷体_GBK" w:cs="方正楷体_GBK"/>
                <w:i w:val="0"/>
                <w:iCs w:val="0"/>
                <w:color w:val="000000"/>
                <w:sz w:val="20"/>
                <w:szCs w:val="20"/>
                <w:u w:val="none"/>
              </w:rPr>
            </w:pPr>
            <w:r>
              <w:rPr>
                <w:rFonts w:hint="eastAsia" w:ascii="Times New Roman" w:hAnsi="Times New Roman" w:eastAsia="方正楷体_GBK" w:cs="方正楷体_GBK"/>
                <w:i w:val="0"/>
                <w:iCs w:val="0"/>
                <w:color w:val="000000"/>
                <w:kern w:val="0"/>
                <w:sz w:val="20"/>
                <w:szCs w:val="20"/>
                <w:u w:val="none"/>
                <w:lang w:val="en-US" w:eastAsia="zh-CN" w:bidi="ar"/>
              </w:rPr>
              <w:t>60分钟</w:t>
            </w:r>
          </w:p>
        </w:tc>
      </w:tr>
      <w:tr w14:paraId="39B6677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7" w:hRule="atLeast"/>
          <w:jc w:val="center"/>
        </w:trPr>
        <w:tc>
          <w:tcPr>
            <w:tcW w:w="229" w:type="pct"/>
            <w:vMerge w:val="continue"/>
            <w:shd w:val="clear" w:color="auto" w:fill="auto"/>
            <w:noWrap/>
            <w:vAlign w:val="center"/>
          </w:tcPr>
          <w:p w14:paraId="6A2279DB">
            <w:pPr>
              <w:keepNext w:val="0"/>
              <w:keepLines w:val="0"/>
              <w:pageBreakBefore w:val="0"/>
              <w:widowControl/>
              <w:kinsoku/>
              <w:wordWrap/>
              <w:overflowPunct/>
              <w:topLinePunct w:val="0"/>
              <w:autoSpaceDE/>
              <w:autoSpaceDN/>
              <w:bidi w:val="0"/>
              <w:adjustRightInd/>
              <w:snapToGrid/>
              <w:spacing w:line="0" w:lineRule="atLeast"/>
              <w:jc w:val="center"/>
              <w:rPr>
                <w:rFonts w:hint="eastAsia" w:ascii="Times New Roman" w:hAnsi="Times New Roman" w:eastAsia="方正楷体_GBK" w:cs="方正楷体_GBK"/>
                <w:i w:val="0"/>
                <w:iCs w:val="0"/>
                <w:color w:val="000000"/>
                <w:sz w:val="20"/>
                <w:szCs w:val="20"/>
                <w:u w:val="none"/>
              </w:rPr>
            </w:pPr>
          </w:p>
        </w:tc>
        <w:tc>
          <w:tcPr>
            <w:tcW w:w="726" w:type="pct"/>
            <w:vMerge w:val="continue"/>
            <w:shd w:val="clear" w:color="auto" w:fill="auto"/>
            <w:vAlign w:val="center"/>
          </w:tcPr>
          <w:p w14:paraId="488F3152">
            <w:pPr>
              <w:keepNext w:val="0"/>
              <w:keepLines w:val="0"/>
              <w:pageBreakBefore w:val="0"/>
              <w:widowControl/>
              <w:kinsoku/>
              <w:wordWrap/>
              <w:overflowPunct/>
              <w:topLinePunct w:val="0"/>
              <w:autoSpaceDE/>
              <w:autoSpaceDN/>
              <w:bidi w:val="0"/>
              <w:adjustRightInd/>
              <w:snapToGrid/>
              <w:spacing w:line="0" w:lineRule="atLeast"/>
              <w:jc w:val="center"/>
              <w:rPr>
                <w:rFonts w:hint="eastAsia" w:ascii="Times New Roman" w:hAnsi="Times New Roman" w:eastAsia="方正楷体_GBK" w:cs="方正楷体_GBK"/>
                <w:i w:val="0"/>
                <w:iCs w:val="0"/>
                <w:color w:val="000000"/>
                <w:sz w:val="20"/>
                <w:szCs w:val="20"/>
                <w:u w:val="none"/>
              </w:rPr>
            </w:pPr>
          </w:p>
        </w:tc>
        <w:tc>
          <w:tcPr>
            <w:tcW w:w="1644" w:type="pct"/>
            <w:shd w:val="clear" w:color="auto" w:fill="auto"/>
            <w:vAlign w:val="center"/>
          </w:tcPr>
          <w:p w14:paraId="7267B83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方正楷体_GBK" w:cs="方正楷体_GBK"/>
                <w:i w:val="0"/>
                <w:iCs w:val="0"/>
                <w:color w:val="000000"/>
                <w:sz w:val="20"/>
                <w:szCs w:val="20"/>
                <w:u w:val="none"/>
              </w:rPr>
            </w:pPr>
            <w:r>
              <w:rPr>
                <w:rFonts w:hint="eastAsia" w:ascii="Times New Roman" w:hAnsi="Times New Roman" w:eastAsia="方正楷体_GBK" w:cs="方正楷体_GBK"/>
                <w:i w:val="0"/>
                <w:iCs w:val="0"/>
                <w:color w:val="000000"/>
                <w:kern w:val="0"/>
                <w:sz w:val="20"/>
                <w:szCs w:val="20"/>
                <w:u w:val="none"/>
                <w:lang w:val="en-US" w:eastAsia="zh-CN" w:bidi="ar"/>
              </w:rPr>
              <w:t>澄颐享老年课堂</w:t>
            </w:r>
          </w:p>
        </w:tc>
        <w:tc>
          <w:tcPr>
            <w:tcW w:w="1005" w:type="pct"/>
            <w:shd w:val="clear" w:color="auto" w:fill="auto"/>
            <w:vAlign w:val="center"/>
          </w:tcPr>
          <w:p w14:paraId="2D9F227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方正楷体_GBK" w:cs="方正楷体_GBK"/>
                <w:i w:val="0"/>
                <w:iCs w:val="0"/>
                <w:color w:val="000000"/>
                <w:sz w:val="20"/>
                <w:szCs w:val="20"/>
                <w:u w:val="none"/>
              </w:rPr>
            </w:pPr>
            <w:r>
              <w:rPr>
                <w:rFonts w:hint="eastAsia" w:ascii="Times New Roman" w:hAnsi="Times New Roman" w:eastAsia="方正楷体_GBK" w:cs="方正楷体_GBK"/>
                <w:i w:val="0"/>
                <w:iCs w:val="0"/>
                <w:color w:val="000000"/>
                <w:kern w:val="0"/>
                <w:sz w:val="20"/>
                <w:szCs w:val="20"/>
                <w:u w:val="none"/>
                <w:lang w:val="en-US" w:eastAsia="zh-CN" w:bidi="ar"/>
              </w:rPr>
              <w:t>30元/次</w:t>
            </w:r>
          </w:p>
        </w:tc>
        <w:tc>
          <w:tcPr>
            <w:tcW w:w="770" w:type="pct"/>
            <w:shd w:val="clear" w:color="auto" w:fill="auto"/>
            <w:noWrap/>
            <w:vAlign w:val="center"/>
          </w:tcPr>
          <w:p w14:paraId="430A2EB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方正楷体_GBK" w:cs="方正楷体_GBK"/>
                <w:i w:val="0"/>
                <w:iCs w:val="0"/>
                <w:color w:val="000000"/>
                <w:sz w:val="20"/>
                <w:szCs w:val="20"/>
                <w:u w:val="none"/>
              </w:rPr>
            </w:pPr>
            <w:r>
              <w:rPr>
                <w:rFonts w:hint="eastAsia" w:ascii="Times New Roman" w:hAnsi="Times New Roman" w:eastAsia="方正楷体_GBK" w:cs="方正楷体_GBK"/>
                <w:i w:val="0"/>
                <w:iCs w:val="0"/>
                <w:color w:val="000000"/>
                <w:kern w:val="0"/>
                <w:sz w:val="20"/>
                <w:szCs w:val="20"/>
                <w:u w:val="none"/>
                <w:lang w:val="en-US" w:eastAsia="zh-CN" w:bidi="ar"/>
              </w:rPr>
              <w:t>90%</w:t>
            </w:r>
          </w:p>
        </w:tc>
        <w:tc>
          <w:tcPr>
            <w:tcW w:w="623" w:type="pct"/>
            <w:shd w:val="clear" w:color="auto" w:fill="auto"/>
            <w:noWrap/>
            <w:vAlign w:val="center"/>
          </w:tcPr>
          <w:p w14:paraId="1E724A0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方正楷体_GBK" w:cs="方正楷体_GBK"/>
                <w:i w:val="0"/>
                <w:iCs w:val="0"/>
                <w:color w:val="000000"/>
                <w:sz w:val="20"/>
                <w:szCs w:val="20"/>
                <w:u w:val="none"/>
              </w:rPr>
            </w:pPr>
            <w:r>
              <w:rPr>
                <w:rFonts w:hint="eastAsia" w:ascii="Times New Roman" w:hAnsi="Times New Roman" w:eastAsia="方正楷体_GBK" w:cs="方正楷体_GBK"/>
                <w:i w:val="0"/>
                <w:iCs w:val="0"/>
                <w:color w:val="000000"/>
                <w:kern w:val="0"/>
                <w:sz w:val="20"/>
                <w:szCs w:val="20"/>
                <w:u w:val="none"/>
                <w:lang w:val="en-US" w:eastAsia="zh-CN" w:bidi="ar"/>
              </w:rPr>
              <w:t>45分钟</w:t>
            </w:r>
          </w:p>
        </w:tc>
      </w:tr>
      <w:tr w14:paraId="358BC9B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229" w:type="pct"/>
            <w:vMerge w:val="continue"/>
            <w:shd w:val="clear" w:color="auto" w:fill="auto"/>
            <w:noWrap/>
            <w:vAlign w:val="center"/>
          </w:tcPr>
          <w:p w14:paraId="7BBB5E67">
            <w:pPr>
              <w:keepNext w:val="0"/>
              <w:keepLines w:val="0"/>
              <w:pageBreakBefore w:val="0"/>
              <w:widowControl/>
              <w:kinsoku/>
              <w:wordWrap/>
              <w:overflowPunct/>
              <w:topLinePunct w:val="0"/>
              <w:autoSpaceDE/>
              <w:autoSpaceDN/>
              <w:bidi w:val="0"/>
              <w:adjustRightInd/>
              <w:snapToGrid/>
              <w:spacing w:line="0" w:lineRule="atLeast"/>
              <w:jc w:val="center"/>
              <w:rPr>
                <w:rFonts w:hint="eastAsia" w:ascii="Times New Roman" w:hAnsi="Times New Roman" w:eastAsia="方正楷体_GBK" w:cs="方正楷体_GBK"/>
                <w:i w:val="0"/>
                <w:iCs w:val="0"/>
                <w:color w:val="000000"/>
                <w:sz w:val="20"/>
                <w:szCs w:val="20"/>
                <w:u w:val="none"/>
              </w:rPr>
            </w:pPr>
          </w:p>
        </w:tc>
        <w:tc>
          <w:tcPr>
            <w:tcW w:w="726" w:type="pct"/>
            <w:vMerge w:val="continue"/>
            <w:shd w:val="clear" w:color="auto" w:fill="auto"/>
            <w:vAlign w:val="center"/>
          </w:tcPr>
          <w:p w14:paraId="18C86402">
            <w:pPr>
              <w:keepNext w:val="0"/>
              <w:keepLines w:val="0"/>
              <w:pageBreakBefore w:val="0"/>
              <w:widowControl/>
              <w:kinsoku/>
              <w:wordWrap/>
              <w:overflowPunct/>
              <w:topLinePunct w:val="0"/>
              <w:autoSpaceDE/>
              <w:autoSpaceDN/>
              <w:bidi w:val="0"/>
              <w:adjustRightInd/>
              <w:snapToGrid/>
              <w:spacing w:line="0" w:lineRule="atLeast"/>
              <w:jc w:val="center"/>
              <w:rPr>
                <w:rFonts w:hint="eastAsia" w:ascii="Times New Roman" w:hAnsi="Times New Roman" w:eastAsia="方正楷体_GBK" w:cs="方正楷体_GBK"/>
                <w:i w:val="0"/>
                <w:iCs w:val="0"/>
                <w:color w:val="000000"/>
                <w:sz w:val="20"/>
                <w:szCs w:val="20"/>
                <w:u w:val="none"/>
              </w:rPr>
            </w:pPr>
          </w:p>
        </w:tc>
        <w:tc>
          <w:tcPr>
            <w:tcW w:w="1644" w:type="pct"/>
            <w:shd w:val="clear" w:color="auto" w:fill="auto"/>
            <w:vAlign w:val="center"/>
          </w:tcPr>
          <w:p w14:paraId="4F2BC39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方正楷体_GBK" w:cs="方正楷体_GBK"/>
                <w:i w:val="0"/>
                <w:iCs w:val="0"/>
                <w:color w:val="000000"/>
                <w:sz w:val="20"/>
                <w:szCs w:val="20"/>
                <w:u w:val="none"/>
              </w:rPr>
            </w:pPr>
            <w:r>
              <w:rPr>
                <w:rFonts w:hint="eastAsia" w:ascii="Times New Roman" w:hAnsi="Times New Roman" w:eastAsia="方正楷体_GBK" w:cs="方正楷体_GBK"/>
                <w:i w:val="0"/>
                <w:iCs w:val="0"/>
                <w:color w:val="000000"/>
                <w:kern w:val="0"/>
                <w:sz w:val="20"/>
                <w:szCs w:val="20"/>
                <w:u w:val="none"/>
                <w:lang w:val="en-US" w:eastAsia="zh-CN" w:bidi="ar"/>
              </w:rPr>
              <w:t>电子产品操作指导</w:t>
            </w:r>
          </w:p>
        </w:tc>
        <w:tc>
          <w:tcPr>
            <w:tcW w:w="1005" w:type="pct"/>
            <w:shd w:val="clear" w:color="auto" w:fill="auto"/>
            <w:vAlign w:val="center"/>
          </w:tcPr>
          <w:p w14:paraId="3B55B1D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方正楷体_GBK" w:cs="方正楷体_GBK"/>
                <w:i w:val="0"/>
                <w:iCs w:val="0"/>
                <w:color w:val="000000"/>
                <w:sz w:val="20"/>
                <w:szCs w:val="20"/>
                <w:u w:val="none"/>
              </w:rPr>
            </w:pPr>
            <w:r>
              <w:rPr>
                <w:rFonts w:hint="eastAsia" w:ascii="Times New Roman" w:hAnsi="Times New Roman" w:eastAsia="方正楷体_GBK" w:cs="方正楷体_GBK"/>
                <w:i w:val="0"/>
                <w:iCs w:val="0"/>
                <w:color w:val="000000"/>
                <w:kern w:val="0"/>
                <w:sz w:val="20"/>
                <w:szCs w:val="20"/>
                <w:u w:val="none"/>
                <w:lang w:val="en-US" w:eastAsia="zh-CN" w:bidi="ar"/>
              </w:rPr>
              <w:t>20元/次</w:t>
            </w:r>
          </w:p>
        </w:tc>
        <w:tc>
          <w:tcPr>
            <w:tcW w:w="770" w:type="pct"/>
            <w:shd w:val="clear" w:color="auto" w:fill="auto"/>
            <w:noWrap/>
            <w:vAlign w:val="center"/>
          </w:tcPr>
          <w:p w14:paraId="01B55E8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方正楷体_GBK" w:cs="方正楷体_GBK"/>
                <w:i w:val="0"/>
                <w:iCs w:val="0"/>
                <w:color w:val="000000"/>
                <w:sz w:val="20"/>
                <w:szCs w:val="20"/>
                <w:u w:val="none"/>
              </w:rPr>
            </w:pPr>
            <w:r>
              <w:rPr>
                <w:rFonts w:hint="eastAsia" w:ascii="Times New Roman" w:hAnsi="Times New Roman" w:eastAsia="方正楷体_GBK" w:cs="方正楷体_GBK"/>
                <w:i w:val="0"/>
                <w:iCs w:val="0"/>
                <w:color w:val="000000"/>
                <w:kern w:val="0"/>
                <w:sz w:val="20"/>
                <w:szCs w:val="20"/>
                <w:u w:val="none"/>
                <w:lang w:val="en-US" w:eastAsia="zh-CN" w:bidi="ar"/>
              </w:rPr>
              <w:t>90%</w:t>
            </w:r>
          </w:p>
        </w:tc>
        <w:tc>
          <w:tcPr>
            <w:tcW w:w="623" w:type="pct"/>
            <w:shd w:val="clear" w:color="auto" w:fill="FFFFFF"/>
            <w:noWrap/>
            <w:vAlign w:val="center"/>
          </w:tcPr>
          <w:p w14:paraId="6824CD8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方正楷体_GBK" w:cs="方正楷体_GBK"/>
                <w:i w:val="0"/>
                <w:iCs w:val="0"/>
                <w:color w:val="000000"/>
                <w:sz w:val="20"/>
                <w:szCs w:val="20"/>
                <w:u w:val="none"/>
              </w:rPr>
            </w:pPr>
            <w:r>
              <w:rPr>
                <w:rFonts w:hint="eastAsia" w:ascii="Times New Roman" w:hAnsi="Times New Roman" w:eastAsia="方正楷体_GBK" w:cs="方正楷体_GBK"/>
                <w:i w:val="0"/>
                <w:iCs w:val="0"/>
                <w:color w:val="000000"/>
                <w:kern w:val="0"/>
                <w:sz w:val="20"/>
                <w:szCs w:val="20"/>
                <w:u w:val="none"/>
                <w:lang w:val="en-US" w:eastAsia="zh-CN" w:bidi="ar"/>
              </w:rPr>
              <w:t>30分钟</w:t>
            </w:r>
          </w:p>
        </w:tc>
      </w:tr>
      <w:tr w14:paraId="1932C1F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229" w:type="pct"/>
            <w:vMerge w:val="continue"/>
            <w:shd w:val="clear" w:color="auto" w:fill="auto"/>
            <w:noWrap/>
            <w:vAlign w:val="center"/>
          </w:tcPr>
          <w:p w14:paraId="5EE64946">
            <w:pPr>
              <w:keepNext w:val="0"/>
              <w:keepLines w:val="0"/>
              <w:pageBreakBefore w:val="0"/>
              <w:widowControl/>
              <w:kinsoku/>
              <w:wordWrap/>
              <w:overflowPunct/>
              <w:topLinePunct w:val="0"/>
              <w:autoSpaceDE/>
              <w:autoSpaceDN/>
              <w:bidi w:val="0"/>
              <w:adjustRightInd/>
              <w:snapToGrid/>
              <w:spacing w:line="0" w:lineRule="atLeast"/>
              <w:jc w:val="center"/>
              <w:rPr>
                <w:rFonts w:hint="eastAsia" w:ascii="Times New Roman" w:hAnsi="Times New Roman" w:eastAsia="方正楷体_GBK" w:cs="方正楷体_GBK"/>
                <w:i w:val="0"/>
                <w:iCs w:val="0"/>
                <w:color w:val="000000"/>
                <w:sz w:val="20"/>
                <w:szCs w:val="20"/>
                <w:u w:val="none"/>
              </w:rPr>
            </w:pPr>
          </w:p>
        </w:tc>
        <w:tc>
          <w:tcPr>
            <w:tcW w:w="726" w:type="pct"/>
            <w:vMerge w:val="continue"/>
            <w:shd w:val="clear" w:color="auto" w:fill="auto"/>
            <w:vAlign w:val="center"/>
          </w:tcPr>
          <w:p w14:paraId="66B88988">
            <w:pPr>
              <w:keepNext w:val="0"/>
              <w:keepLines w:val="0"/>
              <w:pageBreakBefore w:val="0"/>
              <w:widowControl/>
              <w:kinsoku/>
              <w:wordWrap/>
              <w:overflowPunct/>
              <w:topLinePunct w:val="0"/>
              <w:autoSpaceDE/>
              <w:autoSpaceDN/>
              <w:bidi w:val="0"/>
              <w:adjustRightInd/>
              <w:snapToGrid/>
              <w:spacing w:line="0" w:lineRule="atLeast"/>
              <w:jc w:val="center"/>
              <w:rPr>
                <w:rFonts w:hint="eastAsia" w:ascii="Times New Roman" w:hAnsi="Times New Roman" w:eastAsia="方正楷体_GBK" w:cs="方正楷体_GBK"/>
                <w:i w:val="0"/>
                <w:iCs w:val="0"/>
                <w:color w:val="000000"/>
                <w:sz w:val="20"/>
                <w:szCs w:val="20"/>
                <w:u w:val="none"/>
              </w:rPr>
            </w:pPr>
          </w:p>
        </w:tc>
        <w:tc>
          <w:tcPr>
            <w:tcW w:w="1644" w:type="pct"/>
            <w:shd w:val="clear" w:color="auto" w:fill="auto"/>
            <w:vAlign w:val="center"/>
          </w:tcPr>
          <w:p w14:paraId="6301853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方正楷体_GBK" w:cs="方正楷体_GBK"/>
                <w:i w:val="0"/>
                <w:iCs w:val="0"/>
                <w:color w:val="000000"/>
                <w:sz w:val="20"/>
                <w:szCs w:val="20"/>
                <w:u w:val="none"/>
              </w:rPr>
            </w:pPr>
            <w:r>
              <w:rPr>
                <w:rFonts w:hint="eastAsia" w:ascii="Times New Roman" w:hAnsi="Times New Roman" w:eastAsia="方正楷体_GBK" w:cs="方正楷体_GBK"/>
                <w:i w:val="0"/>
                <w:iCs w:val="0"/>
                <w:color w:val="000000"/>
                <w:kern w:val="0"/>
                <w:sz w:val="20"/>
                <w:szCs w:val="20"/>
                <w:u w:val="none"/>
                <w:lang w:val="en-US" w:eastAsia="zh-CN" w:bidi="ar"/>
              </w:rPr>
              <w:t>聊天读报</w:t>
            </w:r>
          </w:p>
        </w:tc>
        <w:tc>
          <w:tcPr>
            <w:tcW w:w="1005" w:type="pct"/>
            <w:shd w:val="clear" w:color="auto" w:fill="auto"/>
            <w:vAlign w:val="center"/>
          </w:tcPr>
          <w:p w14:paraId="6F2550A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方正楷体_GBK" w:cs="方正楷体_GBK"/>
                <w:i w:val="0"/>
                <w:iCs w:val="0"/>
                <w:color w:val="000000"/>
                <w:sz w:val="20"/>
                <w:szCs w:val="20"/>
                <w:u w:val="none"/>
              </w:rPr>
            </w:pPr>
            <w:r>
              <w:rPr>
                <w:rFonts w:hint="eastAsia" w:ascii="Times New Roman" w:hAnsi="Times New Roman" w:eastAsia="方正楷体_GBK" w:cs="方正楷体_GBK"/>
                <w:i w:val="0"/>
                <w:iCs w:val="0"/>
                <w:color w:val="000000"/>
                <w:kern w:val="0"/>
                <w:sz w:val="20"/>
                <w:szCs w:val="20"/>
                <w:u w:val="none"/>
                <w:lang w:val="en-US" w:eastAsia="zh-CN" w:bidi="ar"/>
              </w:rPr>
              <w:t>10元/次</w:t>
            </w:r>
          </w:p>
        </w:tc>
        <w:tc>
          <w:tcPr>
            <w:tcW w:w="770" w:type="pct"/>
            <w:shd w:val="clear" w:color="auto" w:fill="auto"/>
            <w:noWrap/>
            <w:vAlign w:val="center"/>
          </w:tcPr>
          <w:p w14:paraId="26910B9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方正楷体_GBK" w:cs="方正楷体_GBK"/>
                <w:i w:val="0"/>
                <w:iCs w:val="0"/>
                <w:color w:val="000000"/>
                <w:sz w:val="20"/>
                <w:szCs w:val="20"/>
                <w:u w:val="none"/>
              </w:rPr>
            </w:pPr>
            <w:r>
              <w:rPr>
                <w:rFonts w:hint="eastAsia" w:ascii="Times New Roman" w:hAnsi="Times New Roman" w:eastAsia="方正楷体_GBK" w:cs="方正楷体_GBK"/>
                <w:i w:val="0"/>
                <w:iCs w:val="0"/>
                <w:color w:val="000000"/>
                <w:kern w:val="0"/>
                <w:sz w:val="20"/>
                <w:szCs w:val="20"/>
                <w:u w:val="none"/>
                <w:lang w:val="en-US" w:eastAsia="zh-CN" w:bidi="ar"/>
              </w:rPr>
              <w:t>90%</w:t>
            </w:r>
          </w:p>
        </w:tc>
        <w:tc>
          <w:tcPr>
            <w:tcW w:w="623" w:type="pct"/>
            <w:shd w:val="clear" w:color="auto" w:fill="FFFFFF"/>
            <w:noWrap/>
            <w:vAlign w:val="center"/>
          </w:tcPr>
          <w:p w14:paraId="0CC05AD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方正楷体_GBK" w:cs="方正楷体_GBK"/>
                <w:i w:val="0"/>
                <w:iCs w:val="0"/>
                <w:color w:val="000000"/>
                <w:sz w:val="20"/>
                <w:szCs w:val="20"/>
                <w:u w:val="none"/>
              </w:rPr>
            </w:pPr>
            <w:r>
              <w:rPr>
                <w:rFonts w:hint="eastAsia" w:ascii="Times New Roman" w:hAnsi="Times New Roman" w:eastAsia="方正楷体_GBK" w:cs="方正楷体_GBK"/>
                <w:i w:val="0"/>
                <w:iCs w:val="0"/>
                <w:color w:val="000000"/>
                <w:kern w:val="0"/>
                <w:sz w:val="20"/>
                <w:szCs w:val="20"/>
                <w:u w:val="none"/>
                <w:lang w:val="en-US" w:eastAsia="zh-CN" w:bidi="ar"/>
              </w:rPr>
              <w:t>30分钟</w:t>
            </w:r>
          </w:p>
        </w:tc>
      </w:tr>
      <w:tr w14:paraId="7539F7D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229" w:type="pct"/>
            <w:vMerge w:val="continue"/>
            <w:shd w:val="clear" w:color="auto" w:fill="auto"/>
            <w:noWrap/>
            <w:vAlign w:val="center"/>
          </w:tcPr>
          <w:p w14:paraId="7020F4CA">
            <w:pPr>
              <w:keepNext w:val="0"/>
              <w:keepLines w:val="0"/>
              <w:pageBreakBefore w:val="0"/>
              <w:widowControl/>
              <w:kinsoku/>
              <w:wordWrap/>
              <w:overflowPunct/>
              <w:topLinePunct w:val="0"/>
              <w:autoSpaceDE/>
              <w:autoSpaceDN/>
              <w:bidi w:val="0"/>
              <w:adjustRightInd/>
              <w:snapToGrid/>
              <w:spacing w:line="0" w:lineRule="atLeast"/>
              <w:jc w:val="center"/>
              <w:rPr>
                <w:rFonts w:hint="eastAsia" w:ascii="Times New Roman" w:hAnsi="Times New Roman" w:eastAsia="方正楷体_GBK" w:cs="方正楷体_GBK"/>
                <w:i w:val="0"/>
                <w:iCs w:val="0"/>
                <w:color w:val="000000"/>
                <w:sz w:val="20"/>
                <w:szCs w:val="20"/>
                <w:u w:val="none"/>
              </w:rPr>
            </w:pPr>
          </w:p>
        </w:tc>
        <w:tc>
          <w:tcPr>
            <w:tcW w:w="726" w:type="pct"/>
            <w:vMerge w:val="continue"/>
            <w:shd w:val="clear" w:color="auto" w:fill="auto"/>
            <w:vAlign w:val="center"/>
          </w:tcPr>
          <w:p w14:paraId="27D216CD">
            <w:pPr>
              <w:keepNext w:val="0"/>
              <w:keepLines w:val="0"/>
              <w:pageBreakBefore w:val="0"/>
              <w:widowControl/>
              <w:kinsoku/>
              <w:wordWrap/>
              <w:overflowPunct/>
              <w:topLinePunct w:val="0"/>
              <w:autoSpaceDE/>
              <w:autoSpaceDN/>
              <w:bidi w:val="0"/>
              <w:adjustRightInd/>
              <w:snapToGrid/>
              <w:spacing w:line="0" w:lineRule="atLeast"/>
              <w:jc w:val="center"/>
              <w:rPr>
                <w:rFonts w:hint="eastAsia" w:ascii="Times New Roman" w:hAnsi="Times New Roman" w:eastAsia="方正楷体_GBK" w:cs="方正楷体_GBK"/>
                <w:i w:val="0"/>
                <w:iCs w:val="0"/>
                <w:color w:val="000000"/>
                <w:sz w:val="20"/>
                <w:szCs w:val="20"/>
                <w:u w:val="none"/>
              </w:rPr>
            </w:pPr>
          </w:p>
        </w:tc>
        <w:tc>
          <w:tcPr>
            <w:tcW w:w="1644" w:type="pct"/>
            <w:shd w:val="clear" w:color="auto" w:fill="auto"/>
            <w:vAlign w:val="center"/>
          </w:tcPr>
          <w:p w14:paraId="7394A00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方正楷体_GBK" w:cs="方正楷体_GBK"/>
                <w:i w:val="0"/>
                <w:iCs w:val="0"/>
                <w:color w:val="000000"/>
                <w:sz w:val="20"/>
                <w:szCs w:val="20"/>
                <w:u w:val="none"/>
              </w:rPr>
            </w:pPr>
            <w:r>
              <w:rPr>
                <w:rFonts w:hint="eastAsia" w:ascii="Times New Roman" w:hAnsi="Times New Roman" w:eastAsia="方正楷体_GBK" w:cs="方正楷体_GBK"/>
                <w:i w:val="0"/>
                <w:iCs w:val="0"/>
                <w:color w:val="000000"/>
                <w:kern w:val="0"/>
                <w:sz w:val="20"/>
                <w:szCs w:val="20"/>
                <w:u w:val="none"/>
                <w:lang w:val="en-US" w:eastAsia="zh-CN" w:bidi="ar"/>
              </w:rPr>
              <w:t>心理咨询与疏导</w:t>
            </w:r>
          </w:p>
        </w:tc>
        <w:tc>
          <w:tcPr>
            <w:tcW w:w="1005" w:type="pct"/>
            <w:shd w:val="clear" w:color="auto" w:fill="auto"/>
            <w:vAlign w:val="center"/>
          </w:tcPr>
          <w:p w14:paraId="0DCA7C3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方正楷体_GBK" w:cs="方正楷体_GBK"/>
                <w:i w:val="0"/>
                <w:iCs w:val="0"/>
                <w:color w:val="000000"/>
                <w:sz w:val="20"/>
                <w:szCs w:val="20"/>
                <w:u w:val="none"/>
              </w:rPr>
            </w:pPr>
            <w:r>
              <w:rPr>
                <w:rFonts w:hint="eastAsia" w:ascii="Times New Roman" w:hAnsi="Times New Roman" w:eastAsia="方正楷体_GBK" w:cs="方正楷体_GBK"/>
                <w:i w:val="0"/>
                <w:iCs w:val="0"/>
                <w:color w:val="000000"/>
                <w:kern w:val="0"/>
                <w:sz w:val="20"/>
                <w:szCs w:val="20"/>
                <w:u w:val="none"/>
                <w:lang w:val="en-US" w:eastAsia="zh-CN" w:bidi="ar"/>
              </w:rPr>
              <w:t>20元/次</w:t>
            </w:r>
          </w:p>
        </w:tc>
        <w:tc>
          <w:tcPr>
            <w:tcW w:w="770" w:type="pct"/>
            <w:shd w:val="clear" w:color="auto" w:fill="auto"/>
            <w:noWrap/>
            <w:vAlign w:val="center"/>
          </w:tcPr>
          <w:p w14:paraId="2C49A4C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方正楷体_GBK" w:cs="方正楷体_GBK"/>
                <w:i w:val="0"/>
                <w:iCs w:val="0"/>
                <w:color w:val="000000"/>
                <w:sz w:val="20"/>
                <w:szCs w:val="20"/>
                <w:u w:val="none"/>
              </w:rPr>
            </w:pPr>
            <w:r>
              <w:rPr>
                <w:rFonts w:hint="eastAsia" w:ascii="Times New Roman" w:hAnsi="Times New Roman" w:eastAsia="方正楷体_GBK" w:cs="方正楷体_GBK"/>
                <w:i w:val="0"/>
                <w:iCs w:val="0"/>
                <w:color w:val="000000"/>
                <w:kern w:val="0"/>
                <w:sz w:val="20"/>
                <w:szCs w:val="20"/>
                <w:u w:val="none"/>
                <w:lang w:val="en-US" w:eastAsia="zh-CN" w:bidi="ar"/>
              </w:rPr>
              <w:t>90%</w:t>
            </w:r>
          </w:p>
        </w:tc>
        <w:tc>
          <w:tcPr>
            <w:tcW w:w="623" w:type="pct"/>
            <w:shd w:val="clear" w:color="auto" w:fill="FFFFFF"/>
            <w:noWrap/>
            <w:vAlign w:val="center"/>
          </w:tcPr>
          <w:p w14:paraId="6D7157A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方正楷体_GBK" w:cs="方正楷体_GBK"/>
                <w:i w:val="0"/>
                <w:iCs w:val="0"/>
                <w:color w:val="000000"/>
                <w:sz w:val="20"/>
                <w:szCs w:val="20"/>
                <w:u w:val="none"/>
              </w:rPr>
            </w:pPr>
            <w:r>
              <w:rPr>
                <w:rFonts w:hint="eastAsia" w:ascii="Times New Roman" w:hAnsi="Times New Roman" w:eastAsia="方正楷体_GBK" w:cs="方正楷体_GBK"/>
                <w:i w:val="0"/>
                <w:iCs w:val="0"/>
                <w:color w:val="000000"/>
                <w:kern w:val="0"/>
                <w:sz w:val="20"/>
                <w:szCs w:val="20"/>
                <w:u w:val="none"/>
                <w:lang w:val="en-US" w:eastAsia="zh-CN" w:bidi="ar"/>
              </w:rPr>
              <w:t>30分钟</w:t>
            </w:r>
          </w:p>
        </w:tc>
      </w:tr>
      <w:tr w14:paraId="5B4951B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229" w:type="pct"/>
            <w:vMerge w:val="restart"/>
            <w:shd w:val="clear" w:color="auto" w:fill="auto"/>
            <w:noWrap/>
            <w:vAlign w:val="center"/>
          </w:tcPr>
          <w:p w14:paraId="07EB0B0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方正楷体_GBK" w:cs="方正楷体_GBK"/>
                <w:i w:val="0"/>
                <w:iCs w:val="0"/>
                <w:color w:val="000000"/>
                <w:sz w:val="20"/>
                <w:szCs w:val="20"/>
                <w:u w:val="none"/>
              </w:rPr>
            </w:pPr>
            <w:r>
              <w:rPr>
                <w:rFonts w:hint="eastAsia" w:ascii="Times New Roman" w:hAnsi="Times New Roman" w:eastAsia="方正楷体_GBK" w:cs="方正楷体_GBK"/>
                <w:i w:val="0"/>
                <w:iCs w:val="0"/>
                <w:color w:val="000000"/>
                <w:kern w:val="0"/>
                <w:sz w:val="20"/>
                <w:szCs w:val="20"/>
                <w:u w:val="none"/>
                <w:lang w:val="en-US" w:eastAsia="zh-CN" w:bidi="ar"/>
              </w:rPr>
              <w:t>6</w:t>
            </w:r>
          </w:p>
        </w:tc>
        <w:tc>
          <w:tcPr>
            <w:tcW w:w="726" w:type="pct"/>
            <w:vMerge w:val="restart"/>
            <w:shd w:val="clear" w:color="auto" w:fill="auto"/>
            <w:vAlign w:val="center"/>
          </w:tcPr>
          <w:p w14:paraId="6AADC31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方正楷体_GBK" w:cs="方正楷体_GBK"/>
                <w:i w:val="0"/>
                <w:iCs w:val="0"/>
                <w:color w:val="000000"/>
                <w:sz w:val="20"/>
                <w:szCs w:val="20"/>
                <w:u w:val="none"/>
              </w:rPr>
            </w:pPr>
            <w:r>
              <w:rPr>
                <w:rFonts w:hint="eastAsia" w:ascii="Times New Roman" w:hAnsi="Times New Roman" w:eastAsia="方正楷体_GBK" w:cs="方正楷体_GBK"/>
                <w:i w:val="0"/>
                <w:iCs w:val="0"/>
                <w:color w:val="000000"/>
                <w:kern w:val="0"/>
                <w:sz w:val="20"/>
                <w:szCs w:val="20"/>
                <w:u w:val="none"/>
                <w:lang w:val="en-US" w:eastAsia="zh-CN" w:bidi="ar"/>
              </w:rPr>
              <w:t>便民服务</w:t>
            </w:r>
          </w:p>
        </w:tc>
        <w:tc>
          <w:tcPr>
            <w:tcW w:w="1644" w:type="pct"/>
            <w:shd w:val="clear" w:color="auto" w:fill="auto"/>
            <w:vAlign w:val="center"/>
          </w:tcPr>
          <w:p w14:paraId="077D85A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方正楷体_GBK" w:cs="方正楷体_GBK"/>
                <w:i w:val="0"/>
                <w:iCs w:val="0"/>
                <w:color w:val="000000"/>
                <w:sz w:val="20"/>
                <w:szCs w:val="20"/>
                <w:u w:val="none"/>
              </w:rPr>
            </w:pPr>
            <w:r>
              <w:rPr>
                <w:rFonts w:hint="eastAsia" w:ascii="Times New Roman" w:hAnsi="Times New Roman" w:eastAsia="方正楷体_GBK" w:cs="方正楷体_GBK"/>
                <w:i w:val="0"/>
                <w:iCs w:val="0"/>
                <w:color w:val="000000"/>
                <w:kern w:val="0"/>
                <w:sz w:val="20"/>
                <w:szCs w:val="20"/>
                <w:u w:val="none"/>
                <w:lang w:val="en-US" w:eastAsia="zh-CN" w:bidi="ar"/>
              </w:rPr>
              <w:t>生活服务代办（3公里以内）</w:t>
            </w:r>
          </w:p>
        </w:tc>
        <w:tc>
          <w:tcPr>
            <w:tcW w:w="1005" w:type="pct"/>
            <w:shd w:val="clear" w:color="auto" w:fill="auto"/>
            <w:vAlign w:val="center"/>
          </w:tcPr>
          <w:p w14:paraId="6B298EB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方正楷体_GBK" w:cs="方正楷体_GBK"/>
                <w:i w:val="0"/>
                <w:iCs w:val="0"/>
                <w:color w:val="000000"/>
                <w:sz w:val="20"/>
                <w:szCs w:val="20"/>
                <w:u w:val="none"/>
              </w:rPr>
            </w:pPr>
            <w:r>
              <w:rPr>
                <w:rFonts w:hint="eastAsia" w:ascii="Times New Roman" w:hAnsi="Times New Roman" w:eastAsia="方正楷体_GBK" w:cs="方正楷体_GBK"/>
                <w:i w:val="0"/>
                <w:iCs w:val="0"/>
                <w:color w:val="000000"/>
                <w:kern w:val="0"/>
                <w:sz w:val="20"/>
                <w:szCs w:val="20"/>
                <w:u w:val="none"/>
                <w:lang w:val="en-US" w:eastAsia="zh-CN" w:bidi="ar"/>
              </w:rPr>
              <w:t>20元/次</w:t>
            </w:r>
          </w:p>
        </w:tc>
        <w:tc>
          <w:tcPr>
            <w:tcW w:w="770" w:type="pct"/>
            <w:shd w:val="clear" w:color="auto" w:fill="auto"/>
            <w:noWrap/>
            <w:vAlign w:val="center"/>
          </w:tcPr>
          <w:p w14:paraId="26EED0D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方正楷体_GBK" w:cs="方正楷体_GBK"/>
                <w:i w:val="0"/>
                <w:iCs w:val="0"/>
                <w:color w:val="000000"/>
                <w:sz w:val="20"/>
                <w:szCs w:val="20"/>
                <w:u w:val="none"/>
              </w:rPr>
            </w:pPr>
            <w:r>
              <w:rPr>
                <w:rFonts w:hint="eastAsia" w:ascii="Times New Roman" w:hAnsi="Times New Roman" w:eastAsia="方正楷体_GBK" w:cs="方正楷体_GBK"/>
                <w:i w:val="0"/>
                <w:iCs w:val="0"/>
                <w:color w:val="000000"/>
                <w:kern w:val="0"/>
                <w:sz w:val="20"/>
                <w:szCs w:val="20"/>
                <w:u w:val="none"/>
                <w:lang w:val="en-US" w:eastAsia="zh-CN" w:bidi="ar"/>
              </w:rPr>
              <w:t>90%</w:t>
            </w:r>
          </w:p>
        </w:tc>
        <w:tc>
          <w:tcPr>
            <w:tcW w:w="623" w:type="pct"/>
            <w:shd w:val="clear" w:color="auto" w:fill="FFFFFF"/>
            <w:noWrap/>
            <w:vAlign w:val="center"/>
          </w:tcPr>
          <w:p w14:paraId="587F3819">
            <w:pPr>
              <w:keepNext w:val="0"/>
              <w:keepLines w:val="0"/>
              <w:pageBreakBefore w:val="0"/>
              <w:widowControl/>
              <w:kinsoku/>
              <w:wordWrap/>
              <w:overflowPunct/>
              <w:topLinePunct w:val="0"/>
              <w:autoSpaceDE/>
              <w:autoSpaceDN/>
              <w:bidi w:val="0"/>
              <w:adjustRightInd/>
              <w:snapToGrid/>
              <w:spacing w:line="0" w:lineRule="atLeast"/>
              <w:jc w:val="center"/>
              <w:rPr>
                <w:rFonts w:hint="eastAsia" w:ascii="Times New Roman" w:hAnsi="Times New Roman" w:eastAsia="方正楷体_GBK" w:cs="方正楷体_GBK"/>
                <w:i w:val="0"/>
                <w:iCs w:val="0"/>
                <w:color w:val="000000"/>
                <w:sz w:val="20"/>
                <w:szCs w:val="20"/>
                <w:u w:val="none"/>
              </w:rPr>
            </w:pPr>
          </w:p>
        </w:tc>
      </w:tr>
      <w:tr w14:paraId="52998CD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229" w:type="pct"/>
            <w:vMerge w:val="continue"/>
            <w:shd w:val="clear" w:color="auto" w:fill="auto"/>
            <w:noWrap/>
            <w:vAlign w:val="center"/>
          </w:tcPr>
          <w:p w14:paraId="598FB650">
            <w:pPr>
              <w:keepNext w:val="0"/>
              <w:keepLines w:val="0"/>
              <w:pageBreakBefore w:val="0"/>
              <w:widowControl/>
              <w:kinsoku/>
              <w:wordWrap/>
              <w:overflowPunct/>
              <w:topLinePunct w:val="0"/>
              <w:autoSpaceDE/>
              <w:autoSpaceDN/>
              <w:bidi w:val="0"/>
              <w:adjustRightInd/>
              <w:snapToGrid/>
              <w:spacing w:line="0" w:lineRule="atLeast"/>
              <w:jc w:val="center"/>
              <w:rPr>
                <w:rFonts w:hint="eastAsia" w:ascii="Times New Roman" w:hAnsi="Times New Roman" w:eastAsia="方正楷体_GBK" w:cs="方正楷体_GBK"/>
                <w:i w:val="0"/>
                <w:iCs w:val="0"/>
                <w:color w:val="000000"/>
                <w:sz w:val="20"/>
                <w:szCs w:val="20"/>
                <w:u w:val="none"/>
              </w:rPr>
            </w:pPr>
          </w:p>
        </w:tc>
        <w:tc>
          <w:tcPr>
            <w:tcW w:w="726" w:type="pct"/>
            <w:vMerge w:val="continue"/>
            <w:shd w:val="clear" w:color="auto" w:fill="auto"/>
            <w:vAlign w:val="center"/>
          </w:tcPr>
          <w:p w14:paraId="42857626">
            <w:pPr>
              <w:keepNext w:val="0"/>
              <w:keepLines w:val="0"/>
              <w:pageBreakBefore w:val="0"/>
              <w:widowControl/>
              <w:kinsoku/>
              <w:wordWrap/>
              <w:overflowPunct/>
              <w:topLinePunct w:val="0"/>
              <w:autoSpaceDE/>
              <w:autoSpaceDN/>
              <w:bidi w:val="0"/>
              <w:adjustRightInd/>
              <w:snapToGrid/>
              <w:spacing w:line="0" w:lineRule="atLeast"/>
              <w:jc w:val="center"/>
              <w:rPr>
                <w:rFonts w:hint="eastAsia" w:ascii="Times New Roman" w:hAnsi="Times New Roman" w:eastAsia="方正楷体_GBK" w:cs="方正楷体_GBK"/>
                <w:i w:val="0"/>
                <w:iCs w:val="0"/>
                <w:color w:val="000000"/>
                <w:sz w:val="20"/>
                <w:szCs w:val="20"/>
                <w:u w:val="none"/>
              </w:rPr>
            </w:pPr>
          </w:p>
        </w:tc>
        <w:tc>
          <w:tcPr>
            <w:tcW w:w="1644" w:type="pct"/>
            <w:shd w:val="clear" w:color="auto" w:fill="auto"/>
            <w:vAlign w:val="center"/>
          </w:tcPr>
          <w:p w14:paraId="62A1D80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方正楷体_GBK" w:cs="方正楷体_GBK"/>
                <w:i w:val="0"/>
                <w:iCs w:val="0"/>
                <w:color w:val="000000"/>
                <w:sz w:val="20"/>
                <w:szCs w:val="20"/>
                <w:u w:val="none"/>
              </w:rPr>
            </w:pPr>
            <w:r>
              <w:rPr>
                <w:rFonts w:hint="eastAsia" w:ascii="Times New Roman" w:hAnsi="Times New Roman" w:eastAsia="方正楷体_GBK" w:cs="方正楷体_GBK"/>
                <w:i w:val="0"/>
                <w:iCs w:val="0"/>
                <w:color w:val="000000"/>
                <w:kern w:val="0"/>
                <w:sz w:val="20"/>
                <w:szCs w:val="20"/>
                <w:u w:val="none"/>
                <w:lang w:val="en-US" w:eastAsia="zh-CN" w:bidi="ar"/>
              </w:rPr>
              <w:t>代购物品</w:t>
            </w:r>
          </w:p>
        </w:tc>
        <w:tc>
          <w:tcPr>
            <w:tcW w:w="1005" w:type="pct"/>
            <w:shd w:val="clear" w:color="auto" w:fill="auto"/>
            <w:vAlign w:val="center"/>
          </w:tcPr>
          <w:p w14:paraId="282FA95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方正楷体_GBK" w:cs="方正楷体_GBK"/>
                <w:i w:val="0"/>
                <w:iCs w:val="0"/>
                <w:color w:val="000000"/>
                <w:sz w:val="20"/>
                <w:szCs w:val="20"/>
                <w:u w:val="none"/>
              </w:rPr>
            </w:pPr>
            <w:r>
              <w:rPr>
                <w:rFonts w:hint="eastAsia" w:ascii="Times New Roman" w:hAnsi="Times New Roman" w:eastAsia="方正楷体_GBK" w:cs="方正楷体_GBK"/>
                <w:i w:val="0"/>
                <w:iCs w:val="0"/>
                <w:color w:val="000000"/>
                <w:kern w:val="0"/>
                <w:sz w:val="20"/>
                <w:szCs w:val="20"/>
                <w:u w:val="none"/>
                <w:lang w:val="en-US" w:eastAsia="zh-CN" w:bidi="ar"/>
              </w:rPr>
              <w:t>20元/次</w:t>
            </w:r>
          </w:p>
        </w:tc>
        <w:tc>
          <w:tcPr>
            <w:tcW w:w="770" w:type="pct"/>
            <w:shd w:val="clear" w:color="auto" w:fill="auto"/>
            <w:noWrap/>
            <w:vAlign w:val="center"/>
          </w:tcPr>
          <w:p w14:paraId="091014C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方正楷体_GBK" w:cs="方正楷体_GBK"/>
                <w:i w:val="0"/>
                <w:iCs w:val="0"/>
                <w:color w:val="000000"/>
                <w:sz w:val="20"/>
                <w:szCs w:val="20"/>
                <w:u w:val="none"/>
              </w:rPr>
            </w:pPr>
            <w:r>
              <w:rPr>
                <w:rFonts w:hint="eastAsia" w:ascii="Times New Roman" w:hAnsi="Times New Roman" w:eastAsia="方正楷体_GBK" w:cs="方正楷体_GBK"/>
                <w:i w:val="0"/>
                <w:iCs w:val="0"/>
                <w:color w:val="000000"/>
                <w:kern w:val="0"/>
                <w:sz w:val="20"/>
                <w:szCs w:val="20"/>
                <w:u w:val="none"/>
                <w:lang w:val="en-US" w:eastAsia="zh-CN" w:bidi="ar"/>
              </w:rPr>
              <w:t>90%</w:t>
            </w:r>
          </w:p>
        </w:tc>
        <w:tc>
          <w:tcPr>
            <w:tcW w:w="623" w:type="pct"/>
            <w:shd w:val="clear" w:color="auto" w:fill="FFFFFF"/>
            <w:noWrap/>
            <w:vAlign w:val="center"/>
          </w:tcPr>
          <w:p w14:paraId="122E618C">
            <w:pPr>
              <w:keepNext w:val="0"/>
              <w:keepLines w:val="0"/>
              <w:pageBreakBefore w:val="0"/>
              <w:widowControl/>
              <w:kinsoku/>
              <w:wordWrap/>
              <w:overflowPunct/>
              <w:topLinePunct w:val="0"/>
              <w:autoSpaceDE/>
              <w:autoSpaceDN/>
              <w:bidi w:val="0"/>
              <w:adjustRightInd/>
              <w:snapToGrid/>
              <w:spacing w:line="0" w:lineRule="atLeast"/>
              <w:jc w:val="center"/>
              <w:rPr>
                <w:rFonts w:hint="eastAsia" w:ascii="Times New Roman" w:hAnsi="Times New Roman" w:eastAsia="方正楷体_GBK" w:cs="方正楷体_GBK"/>
                <w:i w:val="0"/>
                <w:iCs w:val="0"/>
                <w:color w:val="000000"/>
                <w:sz w:val="20"/>
                <w:szCs w:val="20"/>
                <w:u w:val="none"/>
              </w:rPr>
            </w:pPr>
          </w:p>
        </w:tc>
      </w:tr>
      <w:tr w14:paraId="1C787CB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229" w:type="pct"/>
            <w:vMerge w:val="continue"/>
            <w:shd w:val="clear" w:color="auto" w:fill="auto"/>
            <w:noWrap/>
            <w:vAlign w:val="center"/>
          </w:tcPr>
          <w:p w14:paraId="63FEB0E0">
            <w:pPr>
              <w:keepNext w:val="0"/>
              <w:keepLines w:val="0"/>
              <w:pageBreakBefore w:val="0"/>
              <w:widowControl/>
              <w:kinsoku/>
              <w:wordWrap/>
              <w:overflowPunct/>
              <w:topLinePunct w:val="0"/>
              <w:autoSpaceDE/>
              <w:autoSpaceDN/>
              <w:bidi w:val="0"/>
              <w:adjustRightInd/>
              <w:snapToGrid/>
              <w:spacing w:line="0" w:lineRule="atLeast"/>
              <w:jc w:val="center"/>
              <w:rPr>
                <w:rFonts w:hint="eastAsia" w:ascii="Times New Roman" w:hAnsi="Times New Roman" w:eastAsia="方正楷体_GBK" w:cs="方正楷体_GBK"/>
                <w:i w:val="0"/>
                <w:iCs w:val="0"/>
                <w:color w:val="000000"/>
                <w:sz w:val="20"/>
                <w:szCs w:val="20"/>
                <w:u w:val="none"/>
              </w:rPr>
            </w:pPr>
          </w:p>
        </w:tc>
        <w:tc>
          <w:tcPr>
            <w:tcW w:w="726" w:type="pct"/>
            <w:vMerge w:val="continue"/>
            <w:shd w:val="clear" w:color="auto" w:fill="auto"/>
            <w:vAlign w:val="center"/>
          </w:tcPr>
          <w:p w14:paraId="32E17A17">
            <w:pPr>
              <w:keepNext w:val="0"/>
              <w:keepLines w:val="0"/>
              <w:pageBreakBefore w:val="0"/>
              <w:widowControl/>
              <w:kinsoku/>
              <w:wordWrap/>
              <w:overflowPunct/>
              <w:topLinePunct w:val="0"/>
              <w:autoSpaceDE/>
              <w:autoSpaceDN/>
              <w:bidi w:val="0"/>
              <w:adjustRightInd/>
              <w:snapToGrid/>
              <w:spacing w:line="0" w:lineRule="atLeast"/>
              <w:jc w:val="center"/>
              <w:rPr>
                <w:rFonts w:hint="eastAsia" w:ascii="Times New Roman" w:hAnsi="Times New Roman" w:eastAsia="方正楷体_GBK" w:cs="方正楷体_GBK"/>
                <w:i w:val="0"/>
                <w:iCs w:val="0"/>
                <w:color w:val="000000"/>
                <w:sz w:val="20"/>
                <w:szCs w:val="20"/>
                <w:u w:val="none"/>
              </w:rPr>
            </w:pPr>
          </w:p>
        </w:tc>
        <w:tc>
          <w:tcPr>
            <w:tcW w:w="1644" w:type="pct"/>
            <w:shd w:val="clear" w:color="auto" w:fill="auto"/>
            <w:vAlign w:val="center"/>
          </w:tcPr>
          <w:p w14:paraId="705E7BA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方正楷体_GBK" w:cs="方正楷体_GBK"/>
                <w:i w:val="0"/>
                <w:iCs w:val="0"/>
                <w:color w:val="000000"/>
                <w:kern w:val="0"/>
                <w:sz w:val="20"/>
                <w:szCs w:val="20"/>
                <w:u w:val="none"/>
                <w:lang w:val="en-US" w:eastAsia="zh-CN" w:bidi="ar"/>
              </w:rPr>
            </w:pPr>
            <w:r>
              <w:rPr>
                <w:rFonts w:hint="eastAsia" w:ascii="Times New Roman" w:hAnsi="Times New Roman" w:eastAsia="方正楷体_GBK" w:cs="方正楷体_GBK"/>
                <w:i w:val="0"/>
                <w:iCs w:val="0"/>
                <w:color w:val="000000"/>
                <w:kern w:val="0"/>
                <w:sz w:val="20"/>
                <w:szCs w:val="20"/>
                <w:u w:val="none"/>
                <w:lang w:val="en-US" w:eastAsia="zh-CN" w:bidi="ar"/>
              </w:rPr>
              <w:t>陪诊服务</w:t>
            </w:r>
          </w:p>
          <w:p w14:paraId="734AD80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方正楷体_GBK" w:cs="方正楷体_GBK"/>
                <w:i w:val="0"/>
                <w:iCs w:val="0"/>
                <w:color w:val="000000"/>
                <w:sz w:val="20"/>
                <w:szCs w:val="20"/>
                <w:u w:val="none"/>
              </w:rPr>
            </w:pPr>
            <w:r>
              <w:rPr>
                <w:rFonts w:hint="eastAsia" w:ascii="Times New Roman" w:hAnsi="Times New Roman" w:eastAsia="方正楷体_GBK" w:cs="方正楷体_GBK"/>
                <w:i w:val="0"/>
                <w:iCs w:val="0"/>
                <w:color w:val="000000"/>
                <w:kern w:val="0"/>
                <w:sz w:val="20"/>
                <w:szCs w:val="20"/>
                <w:u w:val="none"/>
                <w:lang w:val="en-US" w:eastAsia="zh-CN" w:bidi="ar"/>
              </w:rPr>
              <w:t>（服务人员：陪诊师/医护人员，不含交通费）</w:t>
            </w:r>
          </w:p>
        </w:tc>
        <w:tc>
          <w:tcPr>
            <w:tcW w:w="1005" w:type="pct"/>
            <w:shd w:val="clear" w:color="auto" w:fill="auto"/>
            <w:vAlign w:val="center"/>
          </w:tcPr>
          <w:p w14:paraId="6050DEC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方正楷体_GBK" w:cs="方正楷体_GBK"/>
                <w:i w:val="0"/>
                <w:iCs w:val="0"/>
                <w:color w:val="000000"/>
                <w:kern w:val="0"/>
                <w:sz w:val="20"/>
                <w:szCs w:val="20"/>
                <w:u w:val="none"/>
                <w:lang w:val="en-US" w:eastAsia="zh-CN" w:bidi="ar"/>
              </w:rPr>
            </w:pPr>
            <w:r>
              <w:rPr>
                <w:rFonts w:hint="eastAsia" w:ascii="Times New Roman" w:hAnsi="Times New Roman" w:eastAsia="方正楷体_GBK" w:cs="方正楷体_GBK"/>
                <w:i w:val="0"/>
                <w:iCs w:val="0"/>
                <w:color w:val="000000"/>
                <w:kern w:val="0"/>
                <w:sz w:val="20"/>
                <w:szCs w:val="20"/>
                <w:u w:val="none"/>
                <w:lang w:val="en-US" w:eastAsia="zh-CN" w:bidi="ar"/>
              </w:rPr>
              <w:t>100元/次</w:t>
            </w:r>
          </w:p>
          <w:p w14:paraId="345B6B3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方正楷体_GBK" w:cs="方正楷体_GBK"/>
                <w:i w:val="0"/>
                <w:iCs w:val="0"/>
                <w:color w:val="000000"/>
                <w:sz w:val="20"/>
                <w:szCs w:val="20"/>
                <w:u w:val="none"/>
              </w:rPr>
            </w:pPr>
            <w:r>
              <w:rPr>
                <w:rFonts w:hint="eastAsia" w:ascii="Times New Roman" w:hAnsi="Times New Roman" w:eastAsia="方正楷体_GBK" w:cs="方正楷体_GBK"/>
                <w:i w:val="0"/>
                <w:iCs w:val="0"/>
                <w:color w:val="000000"/>
                <w:kern w:val="0"/>
                <w:sz w:val="20"/>
                <w:szCs w:val="20"/>
                <w:u w:val="none"/>
                <w:lang w:val="en-US" w:eastAsia="zh-CN" w:bidi="ar"/>
              </w:rPr>
              <w:t>（最低3小时）</w:t>
            </w:r>
          </w:p>
        </w:tc>
        <w:tc>
          <w:tcPr>
            <w:tcW w:w="770" w:type="pct"/>
            <w:shd w:val="clear" w:color="auto" w:fill="auto"/>
            <w:noWrap/>
            <w:vAlign w:val="center"/>
          </w:tcPr>
          <w:p w14:paraId="433EB60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方正楷体_GBK" w:cs="方正楷体_GBK"/>
                <w:i w:val="0"/>
                <w:iCs w:val="0"/>
                <w:color w:val="000000"/>
                <w:sz w:val="20"/>
                <w:szCs w:val="20"/>
                <w:u w:val="none"/>
              </w:rPr>
            </w:pPr>
            <w:r>
              <w:rPr>
                <w:rFonts w:hint="eastAsia" w:ascii="Times New Roman" w:hAnsi="Times New Roman" w:eastAsia="方正楷体_GBK" w:cs="方正楷体_GBK"/>
                <w:i w:val="0"/>
                <w:iCs w:val="0"/>
                <w:color w:val="000000"/>
                <w:kern w:val="0"/>
                <w:sz w:val="20"/>
                <w:szCs w:val="20"/>
                <w:u w:val="none"/>
                <w:lang w:val="en-US" w:eastAsia="zh-CN" w:bidi="ar"/>
              </w:rPr>
              <w:t>90%</w:t>
            </w:r>
          </w:p>
        </w:tc>
        <w:tc>
          <w:tcPr>
            <w:tcW w:w="623" w:type="pct"/>
            <w:shd w:val="clear" w:color="auto" w:fill="FFFFFF"/>
            <w:noWrap/>
            <w:vAlign w:val="center"/>
          </w:tcPr>
          <w:p w14:paraId="46E14312">
            <w:pPr>
              <w:keepNext w:val="0"/>
              <w:keepLines w:val="0"/>
              <w:pageBreakBefore w:val="0"/>
              <w:widowControl/>
              <w:kinsoku/>
              <w:wordWrap/>
              <w:overflowPunct/>
              <w:topLinePunct w:val="0"/>
              <w:autoSpaceDE/>
              <w:autoSpaceDN/>
              <w:bidi w:val="0"/>
              <w:adjustRightInd/>
              <w:snapToGrid/>
              <w:spacing w:line="0" w:lineRule="atLeast"/>
              <w:jc w:val="center"/>
              <w:rPr>
                <w:rFonts w:hint="eastAsia" w:ascii="Times New Roman" w:hAnsi="Times New Roman" w:eastAsia="方正楷体_GBK" w:cs="方正楷体_GBK"/>
                <w:i w:val="0"/>
                <w:iCs w:val="0"/>
                <w:color w:val="000000"/>
                <w:sz w:val="20"/>
                <w:szCs w:val="20"/>
                <w:u w:val="none"/>
              </w:rPr>
            </w:pPr>
          </w:p>
        </w:tc>
      </w:tr>
      <w:tr w14:paraId="0B60084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229" w:type="pct"/>
            <w:vMerge w:val="restart"/>
            <w:shd w:val="clear" w:color="auto" w:fill="auto"/>
            <w:vAlign w:val="center"/>
          </w:tcPr>
          <w:p w14:paraId="123289E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方正楷体_GBK" w:cs="方正楷体_GBK"/>
                <w:i w:val="0"/>
                <w:iCs w:val="0"/>
                <w:color w:val="000000"/>
                <w:sz w:val="20"/>
                <w:szCs w:val="20"/>
                <w:u w:val="none"/>
              </w:rPr>
            </w:pPr>
            <w:r>
              <w:rPr>
                <w:rFonts w:hint="eastAsia" w:ascii="Times New Roman" w:hAnsi="Times New Roman" w:eastAsia="方正楷体_GBK" w:cs="方正楷体_GBK"/>
                <w:i w:val="0"/>
                <w:iCs w:val="0"/>
                <w:color w:val="000000"/>
                <w:kern w:val="0"/>
                <w:sz w:val="20"/>
                <w:szCs w:val="20"/>
                <w:u w:val="none"/>
                <w:lang w:val="en-US" w:eastAsia="zh-CN" w:bidi="ar"/>
              </w:rPr>
              <w:t>7</w:t>
            </w:r>
          </w:p>
        </w:tc>
        <w:tc>
          <w:tcPr>
            <w:tcW w:w="726" w:type="pct"/>
            <w:vMerge w:val="restart"/>
            <w:shd w:val="clear" w:color="auto" w:fill="auto"/>
            <w:vAlign w:val="center"/>
          </w:tcPr>
          <w:p w14:paraId="11D3F90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方正楷体_GBK" w:cs="方正楷体_GBK"/>
                <w:i w:val="0"/>
                <w:iCs w:val="0"/>
                <w:color w:val="000000"/>
                <w:sz w:val="20"/>
                <w:szCs w:val="20"/>
                <w:u w:val="none"/>
              </w:rPr>
            </w:pPr>
            <w:r>
              <w:rPr>
                <w:rFonts w:hint="eastAsia" w:ascii="Times New Roman" w:hAnsi="Times New Roman" w:eastAsia="方正楷体_GBK" w:cs="方正楷体_GBK"/>
                <w:i w:val="0"/>
                <w:iCs w:val="0"/>
                <w:color w:val="000000"/>
                <w:kern w:val="0"/>
                <w:sz w:val="20"/>
                <w:szCs w:val="20"/>
                <w:u w:val="none"/>
                <w:lang w:val="en-US" w:eastAsia="zh-CN" w:bidi="ar"/>
              </w:rPr>
              <w:t>特色项目</w:t>
            </w:r>
          </w:p>
        </w:tc>
        <w:tc>
          <w:tcPr>
            <w:tcW w:w="1644" w:type="pct"/>
            <w:shd w:val="clear" w:color="auto" w:fill="auto"/>
            <w:vAlign w:val="center"/>
          </w:tcPr>
          <w:p w14:paraId="300997B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方正楷体_GBK" w:cs="方正楷体_GBK"/>
                <w:i w:val="0"/>
                <w:iCs w:val="0"/>
                <w:color w:val="000000"/>
                <w:sz w:val="20"/>
                <w:szCs w:val="20"/>
                <w:u w:val="none"/>
              </w:rPr>
            </w:pPr>
            <w:r>
              <w:rPr>
                <w:rFonts w:hint="eastAsia" w:ascii="Times New Roman" w:hAnsi="Times New Roman" w:eastAsia="方正楷体_GBK" w:cs="方正楷体_GBK"/>
                <w:i w:val="0"/>
                <w:iCs w:val="0"/>
                <w:color w:val="000000"/>
                <w:kern w:val="0"/>
                <w:sz w:val="20"/>
                <w:szCs w:val="20"/>
                <w:u w:val="none"/>
                <w:lang w:val="en-US" w:eastAsia="zh-CN" w:bidi="ar"/>
              </w:rPr>
              <w:t>中医问诊（望闻问切）</w:t>
            </w:r>
          </w:p>
        </w:tc>
        <w:tc>
          <w:tcPr>
            <w:tcW w:w="1005" w:type="pct"/>
            <w:shd w:val="clear" w:color="auto" w:fill="auto"/>
            <w:vAlign w:val="center"/>
          </w:tcPr>
          <w:p w14:paraId="3BDABAD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方正楷体_GBK" w:cs="方正楷体_GBK"/>
                <w:i w:val="0"/>
                <w:iCs w:val="0"/>
                <w:color w:val="000000"/>
                <w:sz w:val="20"/>
                <w:szCs w:val="20"/>
                <w:u w:val="none"/>
              </w:rPr>
            </w:pPr>
            <w:r>
              <w:rPr>
                <w:rFonts w:hint="eastAsia" w:ascii="Times New Roman" w:hAnsi="Times New Roman" w:eastAsia="方正楷体_GBK" w:cs="方正楷体_GBK"/>
                <w:i w:val="0"/>
                <w:iCs w:val="0"/>
                <w:color w:val="000000"/>
                <w:kern w:val="0"/>
                <w:sz w:val="20"/>
                <w:szCs w:val="20"/>
                <w:u w:val="none"/>
                <w:lang w:val="en-US" w:eastAsia="zh-CN" w:bidi="ar"/>
              </w:rPr>
              <w:t>免费</w:t>
            </w:r>
          </w:p>
        </w:tc>
        <w:tc>
          <w:tcPr>
            <w:tcW w:w="770" w:type="pct"/>
            <w:shd w:val="clear" w:color="auto" w:fill="auto"/>
            <w:vAlign w:val="center"/>
          </w:tcPr>
          <w:p w14:paraId="545F489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方正楷体_GBK" w:cs="方正楷体_GBK"/>
                <w:i w:val="0"/>
                <w:iCs w:val="0"/>
                <w:color w:val="000000"/>
                <w:sz w:val="20"/>
                <w:szCs w:val="20"/>
                <w:u w:val="none"/>
              </w:rPr>
            </w:pPr>
            <w:r>
              <w:rPr>
                <w:rFonts w:hint="eastAsia" w:ascii="Times New Roman" w:hAnsi="Times New Roman" w:eastAsia="方正楷体_GBK" w:cs="方正楷体_GBK"/>
                <w:i w:val="0"/>
                <w:iCs w:val="0"/>
                <w:color w:val="000000"/>
                <w:kern w:val="0"/>
                <w:sz w:val="20"/>
                <w:szCs w:val="20"/>
                <w:u w:val="none"/>
                <w:lang w:val="en-US" w:eastAsia="zh-CN" w:bidi="ar"/>
              </w:rPr>
              <w:t>/</w:t>
            </w:r>
          </w:p>
        </w:tc>
        <w:tc>
          <w:tcPr>
            <w:tcW w:w="623" w:type="pct"/>
            <w:shd w:val="clear" w:color="auto" w:fill="auto"/>
            <w:vAlign w:val="center"/>
          </w:tcPr>
          <w:p w14:paraId="7306F43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方正楷体_GBK" w:cs="方正楷体_GBK"/>
                <w:i w:val="0"/>
                <w:iCs w:val="0"/>
                <w:color w:val="000000"/>
                <w:sz w:val="20"/>
                <w:szCs w:val="20"/>
                <w:u w:val="none"/>
              </w:rPr>
            </w:pPr>
            <w:r>
              <w:rPr>
                <w:rFonts w:hint="eastAsia" w:ascii="Times New Roman" w:hAnsi="Times New Roman" w:eastAsia="方正楷体_GBK" w:cs="方正楷体_GBK"/>
                <w:i w:val="0"/>
                <w:iCs w:val="0"/>
                <w:color w:val="000000"/>
                <w:kern w:val="0"/>
                <w:sz w:val="20"/>
                <w:szCs w:val="20"/>
                <w:u w:val="none"/>
                <w:lang w:val="en-US" w:eastAsia="zh-CN" w:bidi="ar"/>
              </w:rPr>
              <w:t>/</w:t>
            </w:r>
          </w:p>
        </w:tc>
      </w:tr>
      <w:tr w14:paraId="37F25EB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7" w:hRule="atLeast"/>
          <w:jc w:val="center"/>
        </w:trPr>
        <w:tc>
          <w:tcPr>
            <w:tcW w:w="229" w:type="pct"/>
            <w:vMerge w:val="continue"/>
            <w:shd w:val="clear" w:color="auto" w:fill="auto"/>
            <w:vAlign w:val="center"/>
          </w:tcPr>
          <w:p w14:paraId="283D25D6">
            <w:pPr>
              <w:keepNext w:val="0"/>
              <w:keepLines w:val="0"/>
              <w:pageBreakBefore w:val="0"/>
              <w:widowControl/>
              <w:kinsoku/>
              <w:wordWrap/>
              <w:overflowPunct/>
              <w:topLinePunct w:val="0"/>
              <w:autoSpaceDE/>
              <w:autoSpaceDN/>
              <w:bidi w:val="0"/>
              <w:adjustRightInd/>
              <w:snapToGrid/>
              <w:spacing w:line="0" w:lineRule="atLeast"/>
              <w:jc w:val="center"/>
              <w:rPr>
                <w:rFonts w:hint="eastAsia" w:ascii="Times New Roman" w:hAnsi="Times New Roman" w:eastAsia="方正楷体_GBK" w:cs="方正楷体_GBK"/>
                <w:i w:val="0"/>
                <w:iCs w:val="0"/>
                <w:color w:val="000000"/>
                <w:sz w:val="20"/>
                <w:szCs w:val="20"/>
                <w:u w:val="none"/>
              </w:rPr>
            </w:pPr>
          </w:p>
        </w:tc>
        <w:tc>
          <w:tcPr>
            <w:tcW w:w="726" w:type="pct"/>
            <w:vMerge w:val="continue"/>
            <w:shd w:val="clear" w:color="auto" w:fill="auto"/>
            <w:vAlign w:val="center"/>
          </w:tcPr>
          <w:p w14:paraId="48ACC27D">
            <w:pPr>
              <w:keepNext w:val="0"/>
              <w:keepLines w:val="0"/>
              <w:pageBreakBefore w:val="0"/>
              <w:widowControl/>
              <w:kinsoku/>
              <w:wordWrap/>
              <w:overflowPunct/>
              <w:topLinePunct w:val="0"/>
              <w:autoSpaceDE/>
              <w:autoSpaceDN/>
              <w:bidi w:val="0"/>
              <w:adjustRightInd/>
              <w:snapToGrid/>
              <w:spacing w:line="0" w:lineRule="atLeast"/>
              <w:jc w:val="center"/>
              <w:rPr>
                <w:rFonts w:hint="eastAsia" w:ascii="Times New Roman" w:hAnsi="Times New Roman" w:eastAsia="方正楷体_GBK" w:cs="方正楷体_GBK"/>
                <w:i w:val="0"/>
                <w:iCs w:val="0"/>
                <w:color w:val="000000"/>
                <w:sz w:val="20"/>
                <w:szCs w:val="20"/>
                <w:u w:val="none"/>
              </w:rPr>
            </w:pPr>
          </w:p>
        </w:tc>
        <w:tc>
          <w:tcPr>
            <w:tcW w:w="1644" w:type="pct"/>
            <w:shd w:val="clear" w:color="auto" w:fill="auto"/>
            <w:vAlign w:val="center"/>
          </w:tcPr>
          <w:p w14:paraId="5E6A817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方正楷体_GBK" w:cs="方正楷体_GBK"/>
                <w:i w:val="0"/>
                <w:iCs w:val="0"/>
                <w:color w:val="000000"/>
                <w:kern w:val="0"/>
                <w:sz w:val="20"/>
                <w:szCs w:val="20"/>
                <w:u w:val="none"/>
                <w:lang w:val="en-US" w:eastAsia="zh-CN" w:bidi="ar"/>
              </w:rPr>
            </w:pPr>
            <w:r>
              <w:rPr>
                <w:rFonts w:hint="eastAsia" w:ascii="Times New Roman" w:hAnsi="Times New Roman" w:eastAsia="方正楷体_GBK" w:cs="方正楷体_GBK"/>
                <w:i w:val="0"/>
                <w:iCs w:val="0"/>
                <w:color w:val="000000"/>
                <w:kern w:val="0"/>
                <w:sz w:val="20"/>
                <w:szCs w:val="20"/>
                <w:u w:val="none"/>
                <w:lang w:val="en-US" w:eastAsia="zh-CN" w:bidi="ar"/>
              </w:rPr>
              <w:t>针灸、康复</w:t>
            </w:r>
          </w:p>
          <w:p w14:paraId="5796C6D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方正楷体_GBK" w:cs="方正楷体_GBK"/>
                <w:i w:val="0"/>
                <w:iCs w:val="0"/>
                <w:color w:val="000000"/>
                <w:sz w:val="20"/>
                <w:szCs w:val="20"/>
                <w:u w:val="none"/>
              </w:rPr>
            </w:pPr>
            <w:r>
              <w:rPr>
                <w:rFonts w:hint="eastAsia" w:ascii="Times New Roman" w:hAnsi="Times New Roman" w:eastAsia="方正楷体_GBK" w:cs="方正楷体_GBK"/>
                <w:i w:val="0"/>
                <w:iCs w:val="0"/>
                <w:color w:val="000000"/>
                <w:kern w:val="0"/>
                <w:sz w:val="20"/>
                <w:szCs w:val="20"/>
                <w:u w:val="none"/>
                <w:lang w:val="en-US" w:eastAsia="zh-CN" w:bidi="ar"/>
              </w:rPr>
              <w:t>（季度套餐）</w:t>
            </w:r>
          </w:p>
        </w:tc>
        <w:tc>
          <w:tcPr>
            <w:tcW w:w="1005" w:type="pct"/>
            <w:shd w:val="clear" w:color="auto" w:fill="auto"/>
            <w:vAlign w:val="center"/>
          </w:tcPr>
          <w:p w14:paraId="588F157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方正楷体_GBK" w:cs="方正楷体_GBK"/>
                <w:i w:val="0"/>
                <w:iCs w:val="0"/>
                <w:color w:val="000000"/>
                <w:sz w:val="20"/>
                <w:szCs w:val="20"/>
                <w:u w:val="none"/>
              </w:rPr>
            </w:pPr>
            <w:r>
              <w:rPr>
                <w:rFonts w:hint="eastAsia" w:ascii="Times New Roman" w:hAnsi="Times New Roman" w:eastAsia="方正楷体_GBK" w:cs="方正楷体_GBK"/>
                <w:i w:val="0"/>
                <w:iCs w:val="0"/>
                <w:color w:val="000000"/>
                <w:kern w:val="0"/>
                <w:sz w:val="20"/>
                <w:szCs w:val="20"/>
                <w:u w:val="none"/>
                <w:lang w:val="en-US" w:eastAsia="zh-CN" w:bidi="ar"/>
              </w:rPr>
              <w:t>450元/3次</w:t>
            </w:r>
          </w:p>
        </w:tc>
        <w:tc>
          <w:tcPr>
            <w:tcW w:w="770" w:type="pct"/>
            <w:shd w:val="clear" w:color="auto" w:fill="auto"/>
            <w:vAlign w:val="center"/>
          </w:tcPr>
          <w:p w14:paraId="0BF7C0F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方正楷体_GBK" w:cs="方正楷体_GBK"/>
                <w:i w:val="0"/>
                <w:iCs w:val="0"/>
                <w:color w:val="000000"/>
                <w:sz w:val="20"/>
                <w:szCs w:val="20"/>
                <w:u w:val="none"/>
              </w:rPr>
            </w:pPr>
            <w:r>
              <w:rPr>
                <w:rFonts w:hint="eastAsia" w:ascii="Times New Roman" w:hAnsi="Times New Roman" w:eastAsia="方正楷体_GBK" w:cs="方正楷体_GBK"/>
                <w:i w:val="0"/>
                <w:iCs w:val="0"/>
                <w:color w:val="000000"/>
                <w:kern w:val="0"/>
                <w:sz w:val="20"/>
                <w:szCs w:val="20"/>
                <w:u w:val="none"/>
                <w:lang w:val="en-US" w:eastAsia="zh-CN" w:bidi="ar"/>
              </w:rPr>
              <w:t>90%</w:t>
            </w:r>
          </w:p>
        </w:tc>
        <w:tc>
          <w:tcPr>
            <w:tcW w:w="623" w:type="pct"/>
            <w:shd w:val="clear" w:color="auto" w:fill="auto"/>
            <w:vAlign w:val="center"/>
          </w:tcPr>
          <w:p w14:paraId="108F36F9">
            <w:pPr>
              <w:keepNext w:val="0"/>
              <w:keepLines w:val="0"/>
              <w:pageBreakBefore w:val="0"/>
              <w:widowControl/>
              <w:kinsoku/>
              <w:wordWrap/>
              <w:overflowPunct/>
              <w:topLinePunct w:val="0"/>
              <w:autoSpaceDE/>
              <w:autoSpaceDN/>
              <w:bidi w:val="0"/>
              <w:adjustRightInd/>
              <w:snapToGrid/>
              <w:spacing w:line="0" w:lineRule="atLeast"/>
              <w:jc w:val="center"/>
              <w:rPr>
                <w:rFonts w:hint="eastAsia" w:ascii="Times New Roman" w:hAnsi="Times New Roman" w:eastAsia="方正楷体_GBK" w:cs="方正楷体_GBK"/>
                <w:i w:val="0"/>
                <w:iCs w:val="0"/>
                <w:color w:val="000000"/>
                <w:sz w:val="20"/>
                <w:szCs w:val="20"/>
                <w:u w:val="none"/>
              </w:rPr>
            </w:pPr>
          </w:p>
        </w:tc>
      </w:tr>
      <w:tr w14:paraId="433BCE0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229" w:type="pct"/>
            <w:vMerge w:val="continue"/>
            <w:shd w:val="clear" w:color="auto" w:fill="auto"/>
            <w:vAlign w:val="center"/>
          </w:tcPr>
          <w:p w14:paraId="0A77AC4E">
            <w:pPr>
              <w:keepNext w:val="0"/>
              <w:keepLines w:val="0"/>
              <w:pageBreakBefore w:val="0"/>
              <w:widowControl/>
              <w:kinsoku/>
              <w:wordWrap/>
              <w:overflowPunct/>
              <w:topLinePunct w:val="0"/>
              <w:autoSpaceDE/>
              <w:autoSpaceDN/>
              <w:bidi w:val="0"/>
              <w:adjustRightInd/>
              <w:snapToGrid/>
              <w:spacing w:line="0" w:lineRule="atLeast"/>
              <w:jc w:val="center"/>
              <w:rPr>
                <w:rFonts w:hint="eastAsia" w:ascii="Times New Roman" w:hAnsi="Times New Roman" w:eastAsia="方正楷体_GBK" w:cs="方正楷体_GBK"/>
                <w:i w:val="0"/>
                <w:iCs w:val="0"/>
                <w:color w:val="000000"/>
                <w:sz w:val="20"/>
                <w:szCs w:val="20"/>
                <w:u w:val="none"/>
              </w:rPr>
            </w:pPr>
          </w:p>
        </w:tc>
        <w:tc>
          <w:tcPr>
            <w:tcW w:w="726" w:type="pct"/>
            <w:vMerge w:val="continue"/>
            <w:shd w:val="clear" w:color="auto" w:fill="auto"/>
            <w:vAlign w:val="center"/>
          </w:tcPr>
          <w:p w14:paraId="481222EC">
            <w:pPr>
              <w:keepNext w:val="0"/>
              <w:keepLines w:val="0"/>
              <w:pageBreakBefore w:val="0"/>
              <w:widowControl/>
              <w:kinsoku/>
              <w:wordWrap/>
              <w:overflowPunct/>
              <w:topLinePunct w:val="0"/>
              <w:autoSpaceDE/>
              <w:autoSpaceDN/>
              <w:bidi w:val="0"/>
              <w:adjustRightInd/>
              <w:snapToGrid/>
              <w:spacing w:line="0" w:lineRule="atLeast"/>
              <w:jc w:val="center"/>
              <w:rPr>
                <w:rFonts w:hint="eastAsia" w:ascii="Times New Roman" w:hAnsi="Times New Roman" w:eastAsia="方正楷体_GBK" w:cs="方正楷体_GBK"/>
                <w:i w:val="0"/>
                <w:iCs w:val="0"/>
                <w:color w:val="000000"/>
                <w:sz w:val="20"/>
                <w:szCs w:val="20"/>
                <w:u w:val="none"/>
              </w:rPr>
            </w:pPr>
          </w:p>
        </w:tc>
        <w:tc>
          <w:tcPr>
            <w:tcW w:w="1644" w:type="pct"/>
            <w:shd w:val="clear" w:color="auto" w:fill="auto"/>
            <w:vAlign w:val="center"/>
          </w:tcPr>
          <w:p w14:paraId="29C6C06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方正楷体_GBK" w:cs="方正楷体_GBK"/>
                <w:i w:val="0"/>
                <w:iCs w:val="0"/>
                <w:color w:val="000000"/>
                <w:kern w:val="0"/>
                <w:sz w:val="20"/>
                <w:szCs w:val="20"/>
                <w:u w:val="none"/>
                <w:lang w:val="en-US" w:eastAsia="zh-CN" w:bidi="ar"/>
              </w:rPr>
            </w:pPr>
            <w:r>
              <w:rPr>
                <w:rFonts w:hint="eastAsia" w:ascii="Times New Roman" w:hAnsi="Times New Roman" w:eastAsia="方正楷体_GBK" w:cs="方正楷体_GBK"/>
                <w:i w:val="0"/>
                <w:iCs w:val="0"/>
                <w:color w:val="000000"/>
                <w:kern w:val="0"/>
                <w:sz w:val="20"/>
                <w:szCs w:val="20"/>
                <w:u w:val="none"/>
                <w:lang w:val="en-US" w:eastAsia="zh-CN" w:bidi="ar"/>
              </w:rPr>
              <w:t>针灸、康复手法</w:t>
            </w:r>
          </w:p>
          <w:p w14:paraId="57CA9F0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方正楷体_GBK" w:cs="方正楷体_GBK"/>
                <w:i w:val="0"/>
                <w:iCs w:val="0"/>
                <w:color w:val="000000"/>
                <w:sz w:val="20"/>
                <w:szCs w:val="20"/>
                <w:u w:val="none"/>
              </w:rPr>
            </w:pPr>
            <w:r>
              <w:rPr>
                <w:rFonts w:hint="eastAsia" w:ascii="Times New Roman" w:hAnsi="Times New Roman" w:eastAsia="方正楷体_GBK" w:cs="方正楷体_GBK"/>
                <w:i w:val="0"/>
                <w:iCs w:val="0"/>
                <w:color w:val="000000"/>
                <w:kern w:val="0"/>
                <w:sz w:val="20"/>
                <w:szCs w:val="20"/>
                <w:u w:val="none"/>
                <w:lang w:val="en-US" w:eastAsia="zh-CN" w:bidi="ar"/>
              </w:rPr>
              <w:t>（季度套餐）</w:t>
            </w:r>
          </w:p>
        </w:tc>
        <w:tc>
          <w:tcPr>
            <w:tcW w:w="1005" w:type="pct"/>
            <w:shd w:val="clear" w:color="auto" w:fill="auto"/>
            <w:vAlign w:val="center"/>
          </w:tcPr>
          <w:p w14:paraId="289DACF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方正楷体_GBK" w:cs="方正楷体_GBK"/>
                <w:i w:val="0"/>
                <w:iCs w:val="0"/>
                <w:color w:val="000000"/>
                <w:sz w:val="20"/>
                <w:szCs w:val="20"/>
                <w:u w:val="none"/>
              </w:rPr>
            </w:pPr>
            <w:r>
              <w:rPr>
                <w:rFonts w:hint="eastAsia" w:ascii="Times New Roman" w:hAnsi="Times New Roman" w:eastAsia="方正楷体_GBK" w:cs="方正楷体_GBK"/>
                <w:i w:val="0"/>
                <w:iCs w:val="0"/>
                <w:color w:val="000000"/>
                <w:kern w:val="0"/>
                <w:sz w:val="20"/>
                <w:szCs w:val="20"/>
                <w:u w:val="none"/>
                <w:lang w:val="en-US" w:eastAsia="zh-CN" w:bidi="ar"/>
              </w:rPr>
              <w:t>900元/3次</w:t>
            </w:r>
          </w:p>
        </w:tc>
        <w:tc>
          <w:tcPr>
            <w:tcW w:w="770" w:type="pct"/>
            <w:shd w:val="clear" w:color="auto" w:fill="auto"/>
            <w:noWrap/>
            <w:vAlign w:val="center"/>
          </w:tcPr>
          <w:p w14:paraId="552A31F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方正楷体_GBK" w:cs="方正楷体_GBK"/>
                <w:i w:val="0"/>
                <w:iCs w:val="0"/>
                <w:color w:val="000000"/>
                <w:sz w:val="20"/>
                <w:szCs w:val="20"/>
                <w:u w:val="none"/>
              </w:rPr>
            </w:pPr>
            <w:r>
              <w:rPr>
                <w:rFonts w:hint="eastAsia" w:ascii="Times New Roman" w:hAnsi="Times New Roman" w:eastAsia="方正楷体_GBK" w:cs="方正楷体_GBK"/>
                <w:i w:val="0"/>
                <w:iCs w:val="0"/>
                <w:color w:val="000000"/>
                <w:kern w:val="0"/>
                <w:sz w:val="20"/>
                <w:szCs w:val="20"/>
                <w:u w:val="none"/>
                <w:lang w:val="en-US" w:eastAsia="zh-CN" w:bidi="ar"/>
              </w:rPr>
              <w:t>90%</w:t>
            </w:r>
          </w:p>
        </w:tc>
        <w:tc>
          <w:tcPr>
            <w:tcW w:w="623" w:type="pct"/>
            <w:shd w:val="clear" w:color="auto" w:fill="auto"/>
            <w:vAlign w:val="center"/>
          </w:tcPr>
          <w:p w14:paraId="3BBCB9D5">
            <w:pPr>
              <w:keepNext w:val="0"/>
              <w:keepLines w:val="0"/>
              <w:pageBreakBefore w:val="0"/>
              <w:widowControl/>
              <w:kinsoku/>
              <w:wordWrap/>
              <w:overflowPunct/>
              <w:topLinePunct w:val="0"/>
              <w:autoSpaceDE/>
              <w:autoSpaceDN/>
              <w:bidi w:val="0"/>
              <w:adjustRightInd/>
              <w:snapToGrid/>
              <w:spacing w:line="0" w:lineRule="atLeast"/>
              <w:jc w:val="center"/>
              <w:rPr>
                <w:rFonts w:hint="eastAsia" w:ascii="Times New Roman" w:hAnsi="Times New Roman" w:eastAsia="方正楷体_GBK" w:cs="方正楷体_GBK"/>
                <w:i w:val="0"/>
                <w:iCs w:val="0"/>
                <w:color w:val="000000"/>
                <w:sz w:val="20"/>
                <w:szCs w:val="20"/>
                <w:u w:val="none"/>
              </w:rPr>
            </w:pPr>
          </w:p>
        </w:tc>
      </w:tr>
      <w:tr w14:paraId="4AAD266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7" w:hRule="atLeast"/>
          <w:jc w:val="center"/>
        </w:trPr>
        <w:tc>
          <w:tcPr>
            <w:tcW w:w="229" w:type="pct"/>
            <w:vMerge w:val="continue"/>
            <w:shd w:val="clear" w:color="auto" w:fill="auto"/>
            <w:vAlign w:val="center"/>
          </w:tcPr>
          <w:p w14:paraId="232DFCCD">
            <w:pPr>
              <w:keepNext w:val="0"/>
              <w:keepLines w:val="0"/>
              <w:pageBreakBefore w:val="0"/>
              <w:widowControl/>
              <w:kinsoku/>
              <w:wordWrap/>
              <w:overflowPunct/>
              <w:topLinePunct w:val="0"/>
              <w:autoSpaceDE/>
              <w:autoSpaceDN/>
              <w:bidi w:val="0"/>
              <w:adjustRightInd/>
              <w:snapToGrid/>
              <w:spacing w:line="0" w:lineRule="atLeast"/>
              <w:jc w:val="center"/>
              <w:rPr>
                <w:rFonts w:hint="eastAsia" w:ascii="Times New Roman" w:hAnsi="Times New Roman" w:eastAsia="方正楷体_GBK" w:cs="方正楷体_GBK"/>
                <w:i w:val="0"/>
                <w:iCs w:val="0"/>
                <w:color w:val="000000"/>
                <w:sz w:val="20"/>
                <w:szCs w:val="20"/>
                <w:u w:val="none"/>
              </w:rPr>
            </w:pPr>
          </w:p>
        </w:tc>
        <w:tc>
          <w:tcPr>
            <w:tcW w:w="726" w:type="pct"/>
            <w:vMerge w:val="continue"/>
            <w:shd w:val="clear" w:color="auto" w:fill="auto"/>
            <w:vAlign w:val="center"/>
          </w:tcPr>
          <w:p w14:paraId="3E1FB3E2">
            <w:pPr>
              <w:keepNext w:val="0"/>
              <w:keepLines w:val="0"/>
              <w:pageBreakBefore w:val="0"/>
              <w:widowControl/>
              <w:kinsoku/>
              <w:wordWrap/>
              <w:overflowPunct/>
              <w:topLinePunct w:val="0"/>
              <w:autoSpaceDE/>
              <w:autoSpaceDN/>
              <w:bidi w:val="0"/>
              <w:adjustRightInd/>
              <w:snapToGrid/>
              <w:spacing w:line="0" w:lineRule="atLeast"/>
              <w:jc w:val="center"/>
              <w:rPr>
                <w:rFonts w:hint="eastAsia" w:ascii="Times New Roman" w:hAnsi="Times New Roman" w:eastAsia="方正楷体_GBK" w:cs="方正楷体_GBK"/>
                <w:i w:val="0"/>
                <w:iCs w:val="0"/>
                <w:color w:val="000000"/>
                <w:sz w:val="20"/>
                <w:szCs w:val="20"/>
                <w:u w:val="none"/>
              </w:rPr>
            </w:pPr>
          </w:p>
        </w:tc>
        <w:tc>
          <w:tcPr>
            <w:tcW w:w="1644" w:type="pct"/>
            <w:shd w:val="clear" w:color="auto" w:fill="auto"/>
            <w:vAlign w:val="center"/>
          </w:tcPr>
          <w:p w14:paraId="1873F03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方正楷体_GBK" w:cs="方正楷体_GBK"/>
                <w:i w:val="0"/>
                <w:iCs w:val="0"/>
                <w:color w:val="000000"/>
                <w:kern w:val="0"/>
                <w:sz w:val="20"/>
                <w:szCs w:val="20"/>
                <w:u w:val="none"/>
                <w:lang w:val="en-US" w:eastAsia="zh-CN" w:bidi="ar"/>
              </w:rPr>
            </w:pPr>
            <w:r>
              <w:rPr>
                <w:rFonts w:hint="eastAsia" w:ascii="Times New Roman" w:hAnsi="Times New Roman" w:eastAsia="方正楷体_GBK" w:cs="方正楷体_GBK"/>
                <w:i w:val="0"/>
                <w:iCs w:val="0"/>
                <w:color w:val="000000"/>
                <w:kern w:val="0"/>
                <w:sz w:val="20"/>
                <w:szCs w:val="20"/>
                <w:u w:val="none"/>
                <w:lang w:val="en-US" w:eastAsia="zh-CN" w:bidi="ar"/>
              </w:rPr>
              <w:t>针灸、康复手法、理疗仪器</w:t>
            </w:r>
          </w:p>
          <w:p w14:paraId="7AA82A2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方正楷体_GBK" w:cs="方正楷体_GBK"/>
                <w:i w:val="0"/>
                <w:iCs w:val="0"/>
                <w:color w:val="000000"/>
                <w:sz w:val="20"/>
                <w:szCs w:val="20"/>
                <w:u w:val="none"/>
              </w:rPr>
            </w:pPr>
            <w:r>
              <w:rPr>
                <w:rFonts w:hint="eastAsia" w:ascii="Times New Roman" w:hAnsi="Times New Roman" w:eastAsia="方正楷体_GBK" w:cs="方正楷体_GBK"/>
                <w:i w:val="0"/>
                <w:iCs w:val="0"/>
                <w:color w:val="000000"/>
                <w:kern w:val="0"/>
                <w:sz w:val="20"/>
                <w:szCs w:val="20"/>
                <w:u w:val="none"/>
                <w:lang w:val="en-US" w:eastAsia="zh-CN" w:bidi="ar"/>
              </w:rPr>
              <w:t>（季度套餐）</w:t>
            </w:r>
          </w:p>
        </w:tc>
        <w:tc>
          <w:tcPr>
            <w:tcW w:w="1005" w:type="pct"/>
            <w:shd w:val="clear" w:color="auto" w:fill="auto"/>
            <w:vAlign w:val="center"/>
          </w:tcPr>
          <w:p w14:paraId="61B668E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方正楷体_GBK" w:cs="方正楷体_GBK"/>
                <w:i w:val="0"/>
                <w:iCs w:val="0"/>
                <w:color w:val="000000"/>
                <w:sz w:val="20"/>
                <w:szCs w:val="20"/>
                <w:u w:val="none"/>
              </w:rPr>
            </w:pPr>
            <w:r>
              <w:rPr>
                <w:rFonts w:hint="eastAsia" w:ascii="Times New Roman" w:hAnsi="Times New Roman" w:eastAsia="方正楷体_GBK" w:cs="方正楷体_GBK"/>
                <w:i w:val="0"/>
                <w:iCs w:val="0"/>
                <w:color w:val="000000"/>
                <w:kern w:val="0"/>
                <w:sz w:val="20"/>
                <w:szCs w:val="20"/>
                <w:u w:val="none"/>
                <w:lang w:val="en-US" w:eastAsia="zh-CN" w:bidi="ar"/>
              </w:rPr>
              <w:t>960元/3次</w:t>
            </w:r>
          </w:p>
        </w:tc>
        <w:tc>
          <w:tcPr>
            <w:tcW w:w="770" w:type="pct"/>
            <w:shd w:val="clear" w:color="auto" w:fill="auto"/>
            <w:noWrap/>
            <w:vAlign w:val="center"/>
          </w:tcPr>
          <w:p w14:paraId="4B8FB0D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方正楷体_GBK" w:cs="方正楷体_GBK"/>
                <w:i w:val="0"/>
                <w:iCs w:val="0"/>
                <w:color w:val="000000"/>
                <w:sz w:val="20"/>
                <w:szCs w:val="20"/>
                <w:u w:val="none"/>
              </w:rPr>
            </w:pPr>
            <w:r>
              <w:rPr>
                <w:rFonts w:hint="eastAsia" w:ascii="Times New Roman" w:hAnsi="Times New Roman" w:eastAsia="方正楷体_GBK" w:cs="方正楷体_GBK"/>
                <w:i w:val="0"/>
                <w:iCs w:val="0"/>
                <w:color w:val="000000"/>
                <w:kern w:val="0"/>
                <w:sz w:val="20"/>
                <w:szCs w:val="20"/>
                <w:u w:val="none"/>
                <w:lang w:val="en-US" w:eastAsia="zh-CN" w:bidi="ar"/>
              </w:rPr>
              <w:t>90%</w:t>
            </w:r>
          </w:p>
        </w:tc>
        <w:tc>
          <w:tcPr>
            <w:tcW w:w="623" w:type="pct"/>
            <w:shd w:val="clear" w:color="auto" w:fill="auto"/>
            <w:vAlign w:val="center"/>
          </w:tcPr>
          <w:p w14:paraId="28EB504A">
            <w:pPr>
              <w:keepNext w:val="0"/>
              <w:keepLines w:val="0"/>
              <w:pageBreakBefore w:val="0"/>
              <w:widowControl/>
              <w:kinsoku/>
              <w:wordWrap/>
              <w:overflowPunct/>
              <w:topLinePunct w:val="0"/>
              <w:autoSpaceDE/>
              <w:autoSpaceDN/>
              <w:bidi w:val="0"/>
              <w:adjustRightInd/>
              <w:snapToGrid/>
              <w:spacing w:line="0" w:lineRule="atLeast"/>
              <w:jc w:val="center"/>
              <w:rPr>
                <w:rFonts w:hint="eastAsia" w:ascii="Times New Roman" w:hAnsi="Times New Roman" w:eastAsia="方正楷体_GBK" w:cs="方正楷体_GBK"/>
                <w:i w:val="0"/>
                <w:iCs w:val="0"/>
                <w:color w:val="000000"/>
                <w:sz w:val="20"/>
                <w:szCs w:val="20"/>
                <w:u w:val="none"/>
              </w:rPr>
            </w:pPr>
          </w:p>
        </w:tc>
      </w:tr>
      <w:tr w14:paraId="03F0DC8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229" w:type="pct"/>
            <w:vMerge w:val="continue"/>
            <w:shd w:val="clear" w:color="auto" w:fill="auto"/>
            <w:vAlign w:val="center"/>
          </w:tcPr>
          <w:p w14:paraId="0735F073">
            <w:pPr>
              <w:keepNext w:val="0"/>
              <w:keepLines w:val="0"/>
              <w:pageBreakBefore w:val="0"/>
              <w:widowControl/>
              <w:kinsoku/>
              <w:wordWrap/>
              <w:overflowPunct/>
              <w:topLinePunct w:val="0"/>
              <w:autoSpaceDE/>
              <w:autoSpaceDN/>
              <w:bidi w:val="0"/>
              <w:adjustRightInd/>
              <w:snapToGrid/>
              <w:spacing w:line="0" w:lineRule="atLeast"/>
              <w:jc w:val="center"/>
              <w:rPr>
                <w:rFonts w:hint="eastAsia" w:ascii="Times New Roman" w:hAnsi="Times New Roman" w:eastAsia="方正楷体_GBK" w:cs="方正楷体_GBK"/>
                <w:i w:val="0"/>
                <w:iCs w:val="0"/>
                <w:color w:val="000000"/>
                <w:sz w:val="20"/>
                <w:szCs w:val="20"/>
                <w:u w:val="none"/>
              </w:rPr>
            </w:pPr>
          </w:p>
        </w:tc>
        <w:tc>
          <w:tcPr>
            <w:tcW w:w="726" w:type="pct"/>
            <w:vMerge w:val="continue"/>
            <w:shd w:val="clear" w:color="auto" w:fill="auto"/>
            <w:vAlign w:val="center"/>
          </w:tcPr>
          <w:p w14:paraId="3C159CA0">
            <w:pPr>
              <w:keepNext w:val="0"/>
              <w:keepLines w:val="0"/>
              <w:pageBreakBefore w:val="0"/>
              <w:widowControl/>
              <w:kinsoku/>
              <w:wordWrap/>
              <w:overflowPunct/>
              <w:topLinePunct w:val="0"/>
              <w:autoSpaceDE/>
              <w:autoSpaceDN/>
              <w:bidi w:val="0"/>
              <w:adjustRightInd/>
              <w:snapToGrid/>
              <w:spacing w:line="0" w:lineRule="atLeast"/>
              <w:jc w:val="center"/>
              <w:rPr>
                <w:rFonts w:hint="eastAsia" w:ascii="Times New Roman" w:hAnsi="Times New Roman" w:eastAsia="方正楷体_GBK" w:cs="方正楷体_GBK"/>
                <w:i w:val="0"/>
                <w:iCs w:val="0"/>
                <w:color w:val="000000"/>
                <w:sz w:val="20"/>
                <w:szCs w:val="20"/>
                <w:u w:val="none"/>
              </w:rPr>
            </w:pPr>
          </w:p>
        </w:tc>
        <w:tc>
          <w:tcPr>
            <w:tcW w:w="1644" w:type="pct"/>
            <w:shd w:val="clear" w:color="auto" w:fill="auto"/>
            <w:vAlign w:val="center"/>
          </w:tcPr>
          <w:p w14:paraId="2990BB2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方正楷体_GBK" w:cs="方正楷体_GBK"/>
                <w:i w:val="0"/>
                <w:iCs w:val="0"/>
                <w:color w:val="000000"/>
                <w:kern w:val="0"/>
                <w:sz w:val="20"/>
                <w:szCs w:val="20"/>
                <w:u w:val="none"/>
                <w:lang w:val="en-US" w:eastAsia="zh-CN" w:bidi="ar"/>
              </w:rPr>
            </w:pPr>
            <w:r>
              <w:rPr>
                <w:rFonts w:hint="eastAsia" w:ascii="Times New Roman" w:hAnsi="Times New Roman" w:eastAsia="方正楷体_GBK" w:cs="方正楷体_GBK"/>
                <w:i w:val="0"/>
                <w:iCs w:val="0"/>
                <w:color w:val="000000"/>
                <w:kern w:val="0"/>
                <w:sz w:val="20"/>
                <w:szCs w:val="20"/>
                <w:u w:val="none"/>
                <w:lang w:val="en-US" w:eastAsia="zh-CN" w:bidi="ar"/>
              </w:rPr>
              <w:t>悬空灸2处穴位</w:t>
            </w:r>
          </w:p>
          <w:p w14:paraId="76AE854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方正楷体_GBK" w:cs="方正楷体_GBK"/>
                <w:i w:val="0"/>
                <w:iCs w:val="0"/>
                <w:color w:val="000000"/>
                <w:sz w:val="20"/>
                <w:szCs w:val="20"/>
                <w:u w:val="none"/>
              </w:rPr>
            </w:pPr>
            <w:r>
              <w:rPr>
                <w:rFonts w:hint="eastAsia" w:ascii="Times New Roman" w:hAnsi="Times New Roman" w:eastAsia="方正楷体_GBK" w:cs="方正楷体_GBK"/>
                <w:i w:val="0"/>
                <w:iCs w:val="0"/>
                <w:color w:val="000000"/>
                <w:kern w:val="0"/>
                <w:sz w:val="20"/>
                <w:szCs w:val="20"/>
                <w:u w:val="none"/>
                <w:lang w:val="en-US" w:eastAsia="zh-CN" w:bidi="ar"/>
              </w:rPr>
              <w:t>（季度套餐）</w:t>
            </w:r>
          </w:p>
        </w:tc>
        <w:tc>
          <w:tcPr>
            <w:tcW w:w="1005" w:type="pct"/>
            <w:shd w:val="clear" w:color="auto" w:fill="auto"/>
            <w:vAlign w:val="center"/>
          </w:tcPr>
          <w:p w14:paraId="1FD3F72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方正楷体_GBK" w:cs="方正楷体_GBK"/>
                <w:i w:val="0"/>
                <w:iCs w:val="0"/>
                <w:color w:val="000000"/>
                <w:sz w:val="20"/>
                <w:szCs w:val="20"/>
                <w:u w:val="none"/>
              </w:rPr>
            </w:pPr>
            <w:r>
              <w:rPr>
                <w:rFonts w:hint="eastAsia" w:ascii="Times New Roman" w:hAnsi="Times New Roman" w:eastAsia="方正楷体_GBK" w:cs="方正楷体_GBK"/>
                <w:i w:val="0"/>
                <w:iCs w:val="0"/>
                <w:color w:val="000000"/>
                <w:kern w:val="0"/>
                <w:sz w:val="20"/>
                <w:szCs w:val="20"/>
                <w:u w:val="none"/>
                <w:lang w:val="en-US" w:eastAsia="zh-CN" w:bidi="ar"/>
              </w:rPr>
              <w:t>180元/3次</w:t>
            </w:r>
          </w:p>
        </w:tc>
        <w:tc>
          <w:tcPr>
            <w:tcW w:w="770" w:type="pct"/>
            <w:shd w:val="clear" w:color="auto" w:fill="auto"/>
            <w:vAlign w:val="center"/>
          </w:tcPr>
          <w:p w14:paraId="1D1F5EE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方正楷体_GBK" w:cs="方正楷体_GBK"/>
                <w:i w:val="0"/>
                <w:iCs w:val="0"/>
                <w:color w:val="000000"/>
                <w:sz w:val="20"/>
                <w:szCs w:val="20"/>
                <w:u w:val="none"/>
              </w:rPr>
            </w:pPr>
            <w:r>
              <w:rPr>
                <w:rFonts w:hint="eastAsia" w:ascii="Times New Roman" w:hAnsi="Times New Roman" w:eastAsia="方正楷体_GBK" w:cs="方正楷体_GBK"/>
                <w:i w:val="0"/>
                <w:iCs w:val="0"/>
                <w:color w:val="000000"/>
                <w:kern w:val="0"/>
                <w:sz w:val="20"/>
                <w:szCs w:val="20"/>
                <w:u w:val="none"/>
                <w:lang w:val="en-US" w:eastAsia="zh-CN" w:bidi="ar"/>
              </w:rPr>
              <w:t>90%</w:t>
            </w:r>
          </w:p>
        </w:tc>
        <w:tc>
          <w:tcPr>
            <w:tcW w:w="623" w:type="pct"/>
            <w:shd w:val="clear" w:color="auto" w:fill="auto"/>
            <w:vAlign w:val="center"/>
          </w:tcPr>
          <w:p w14:paraId="3D38A81D">
            <w:pPr>
              <w:keepNext w:val="0"/>
              <w:keepLines w:val="0"/>
              <w:pageBreakBefore w:val="0"/>
              <w:widowControl/>
              <w:kinsoku/>
              <w:wordWrap/>
              <w:overflowPunct/>
              <w:topLinePunct w:val="0"/>
              <w:autoSpaceDE/>
              <w:autoSpaceDN/>
              <w:bidi w:val="0"/>
              <w:adjustRightInd/>
              <w:snapToGrid/>
              <w:spacing w:line="0" w:lineRule="atLeast"/>
              <w:jc w:val="center"/>
              <w:rPr>
                <w:rFonts w:hint="eastAsia" w:ascii="Times New Roman" w:hAnsi="Times New Roman" w:eastAsia="方正楷体_GBK" w:cs="方正楷体_GBK"/>
                <w:i w:val="0"/>
                <w:iCs w:val="0"/>
                <w:color w:val="000000"/>
                <w:sz w:val="20"/>
                <w:szCs w:val="20"/>
                <w:u w:val="none"/>
              </w:rPr>
            </w:pPr>
          </w:p>
        </w:tc>
      </w:tr>
      <w:tr w14:paraId="041CDF2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229" w:type="pct"/>
            <w:vMerge w:val="continue"/>
            <w:shd w:val="clear" w:color="auto" w:fill="auto"/>
            <w:vAlign w:val="center"/>
          </w:tcPr>
          <w:p w14:paraId="39068B08">
            <w:pPr>
              <w:keepNext w:val="0"/>
              <w:keepLines w:val="0"/>
              <w:pageBreakBefore w:val="0"/>
              <w:widowControl/>
              <w:kinsoku/>
              <w:wordWrap/>
              <w:overflowPunct/>
              <w:topLinePunct w:val="0"/>
              <w:autoSpaceDE/>
              <w:autoSpaceDN/>
              <w:bidi w:val="0"/>
              <w:adjustRightInd/>
              <w:snapToGrid/>
              <w:spacing w:line="0" w:lineRule="atLeast"/>
              <w:jc w:val="center"/>
              <w:rPr>
                <w:rFonts w:hint="eastAsia" w:ascii="Times New Roman" w:hAnsi="Times New Roman" w:eastAsia="方正楷体_GBK" w:cs="方正楷体_GBK"/>
                <w:i w:val="0"/>
                <w:iCs w:val="0"/>
                <w:color w:val="000000"/>
                <w:sz w:val="20"/>
                <w:szCs w:val="20"/>
                <w:u w:val="none"/>
              </w:rPr>
            </w:pPr>
          </w:p>
        </w:tc>
        <w:tc>
          <w:tcPr>
            <w:tcW w:w="726" w:type="pct"/>
            <w:vMerge w:val="continue"/>
            <w:shd w:val="clear" w:color="auto" w:fill="auto"/>
            <w:vAlign w:val="center"/>
          </w:tcPr>
          <w:p w14:paraId="22EFCEA1">
            <w:pPr>
              <w:keepNext w:val="0"/>
              <w:keepLines w:val="0"/>
              <w:pageBreakBefore w:val="0"/>
              <w:widowControl/>
              <w:kinsoku/>
              <w:wordWrap/>
              <w:overflowPunct/>
              <w:topLinePunct w:val="0"/>
              <w:autoSpaceDE/>
              <w:autoSpaceDN/>
              <w:bidi w:val="0"/>
              <w:adjustRightInd/>
              <w:snapToGrid/>
              <w:spacing w:line="0" w:lineRule="atLeast"/>
              <w:jc w:val="center"/>
              <w:rPr>
                <w:rFonts w:hint="eastAsia" w:ascii="Times New Roman" w:hAnsi="Times New Roman" w:eastAsia="方正楷体_GBK" w:cs="方正楷体_GBK"/>
                <w:i w:val="0"/>
                <w:iCs w:val="0"/>
                <w:color w:val="000000"/>
                <w:sz w:val="20"/>
                <w:szCs w:val="20"/>
                <w:u w:val="none"/>
              </w:rPr>
            </w:pPr>
          </w:p>
        </w:tc>
        <w:tc>
          <w:tcPr>
            <w:tcW w:w="1644" w:type="pct"/>
            <w:shd w:val="clear" w:color="auto" w:fill="auto"/>
            <w:vAlign w:val="center"/>
          </w:tcPr>
          <w:p w14:paraId="65D8680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方正楷体_GBK" w:cs="方正楷体_GBK"/>
                <w:i w:val="0"/>
                <w:iCs w:val="0"/>
                <w:color w:val="000000"/>
                <w:kern w:val="0"/>
                <w:sz w:val="20"/>
                <w:szCs w:val="20"/>
                <w:u w:val="none"/>
                <w:lang w:val="en-US" w:eastAsia="zh-CN" w:bidi="ar"/>
              </w:rPr>
            </w:pPr>
            <w:r>
              <w:rPr>
                <w:rFonts w:hint="eastAsia" w:ascii="Times New Roman" w:hAnsi="Times New Roman" w:eastAsia="方正楷体_GBK" w:cs="方正楷体_GBK"/>
                <w:i w:val="0"/>
                <w:iCs w:val="0"/>
                <w:color w:val="000000"/>
                <w:kern w:val="0"/>
                <w:sz w:val="20"/>
                <w:szCs w:val="20"/>
                <w:u w:val="none"/>
                <w:lang w:val="en-US" w:eastAsia="zh-CN" w:bidi="ar"/>
              </w:rPr>
              <w:t>针灸</w:t>
            </w:r>
          </w:p>
          <w:p w14:paraId="4E07A4A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方正楷体_GBK" w:cs="方正楷体_GBK"/>
                <w:i w:val="0"/>
                <w:iCs w:val="0"/>
                <w:color w:val="000000"/>
                <w:sz w:val="20"/>
                <w:szCs w:val="20"/>
                <w:u w:val="none"/>
              </w:rPr>
            </w:pPr>
            <w:r>
              <w:rPr>
                <w:rFonts w:hint="eastAsia" w:ascii="Times New Roman" w:hAnsi="Times New Roman" w:eastAsia="方正楷体_GBK" w:cs="方正楷体_GBK"/>
                <w:i w:val="0"/>
                <w:iCs w:val="0"/>
                <w:color w:val="000000"/>
                <w:kern w:val="0"/>
                <w:sz w:val="20"/>
                <w:szCs w:val="20"/>
                <w:u w:val="none"/>
                <w:lang w:val="en-US" w:eastAsia="zh-CN" w:bidi="ar"/>
              </w:rPr>
              <w:t>（季度套餐）</w:t>
            </w:r>
          </w:p>
        </w:tc>
        <w:tc>
          <w:tcPr>
            <w:tcW w:w="1005" w:type="pct"/>
            <w:shd w:val="clear" w:color="auto" w:fill="auto"/>
            <w:vAlign w:val="center"/>
          </w:tcPr>
          <w:p w14:paraId="46C3B31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方正楷体_GBK" w:cs="方正楷体_GBK"/>
                <w:i w:val="0"/>
                <w:iCs w:val="0"/>
                <w:color w:val="000000"/>
                <w:sz w:val="20"/>
                <w:szCs w:val="20"/>
                <w:u w:val="none"/>
              </w:rPr>
            </w:pPr>
            <w:r>
              <w:rPr>
                <w:rFonts w:hint="eastAsia" w:ascii="Times New Roman" w:hAnsi="Times New Roman" w:eastAsia="方正楷体_GBK" w:cs="方正楷体_GBK"/>
                <w:i w:val="0"/>
                <w:iCs w:val="0"/>
                <w:color w:val="000000"/>
                <w:kern w:val="0"/>
                <w:sz w:val="20"/>
                <w:szCs w:val="20"/>
                <w:u w:val="none"/>
                <w:lang w:val="en-US" w:eastAsia="zh-CN" w:bidi="ar"/>
              </w:rPr>
              <w:t>300元/3次</w:t>
            </w:r>
          </w:p>
        </w:tc>
        <w:tc>
          <w:tcPr>
            <w:tcW w:w="770" w:type="pct"/>
            <w:shd w:val="clear" w:color="auto" w:fill="auto"/>
            <w:vAlign w:val="center"/>
          </w:tcPr>
          <w:p w14:paraId="3681AE7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方正楷体_GBK" w:cs="方正楷体_GBK"/>
                <w:i w:val="0"/>
                <w:iCs w:val="0"/>
                <w:color w:val="000000"/>
                <w:sz w:val="20"/>
                <w:szCs w:val="20"/>
                <w:u w:val="none"/>
              </w:rPr>
            </w:pPr>
            <w:r>
              <w:rPr>
                <w:rFonts w:hint="eastAsia" w:ascii="Times New Roman" w:hAnsi="Times New Roman" w:eastAsia="方正楷体_GBK" w:cs="方正楷体_GBK"/>
                <w:i w:val="0"/>
                <w:iCs w:val="0"/>
                <w:color w:val="000000"/>
                <w:kern w:val="0"/>
                <w:sz w:val="20"/>
                <w:szCs w:val="20"/>
                <w:u w:val="none"/>
                <w:lang w:val="en-US" w:eastAsia="zh-CN" w:bidi="ar"/>
              </w:rPr>
              <w:t>90%</w:t>
            </w:r>
          </w:p>
        </w:tc>
        <w:tc>
          <w:tcPr>
            <w:tcW w:w="623" w:type="pct"/>
            <w:shd w:val="clear" w:color="auto" w:fill="auto"/>
            <w:vAlign w:val="center"/>
          </w:tcPr>
          <w:p w14:paraId="144692E6">
            <w:pPr>
              <w:keepNext w:val="0"/>
              <w:keepLines w:val="0"/>
              <w:pageBreakBefore w:val="0"/>
              <w:widowControl/>
              <w:kinsoku/>
              <w:wordWrap/>
              <w:overflowPunct/>
              <w:topLinePunct w:val="0"/>
              <w:autoSpaceDE/>
              <w:autoSpaceDN/>
              <w:bidi w:val="0"/>
              <w:adjustRightInd/>
              <w:snapToGrid/>
              <w:spacing w:line="0" w:lineRule="atLeast"/>
              <w:jc w:val="center"/>
              <w:rPr>
                <w:rFonts w:hint="eastAsia" w:ascii="Times New Roman" w:hAnsi="Times New Roman" w:eastAsia="方正楷体_GBK" w:cs="方正楷体_GBK"/>
                <w:i w:val="0"/>
                <w:iCs w:val="0"/>
                <w:color w:val="000000"/>
                <w:sz w:val="20"/>
                <w:szCs w:val="20"/>
                <w:u w:val="none"/>
              </w:rPr>
            </w:pPr>
          </w:p>
        </w:tc>
      </w:tr>
      <w:tr w14:paraId="592CFDE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229" w:type="pct"/>
            <w:vMerge w:val="continue"/>
            <w:shd w:val="clear" w:color="auto" w:fill="auto"/>
            <w:vAlign w:val="center"/>
          </w:tcPr>
          <w:p w14:paraId="63A42833">
            <w:pPr>
              <w:keepNext w:val="0"/>
              <w:keepLines w:val="0"/>
              <w:pageBreakBefore w:val="0"/>
              <w:widowControl/>
              <w:kinsoku/>
              <w:wordWrap/>
              <w:overflowPunct/>
              <w:topLinePunct w:val="0"/>
              <w:autoSpaceDE/>
              <w:autoSpaceDN/>
              <w:bidi w:val="0"/>
              <w:adjustRightInd/>
              <w:snapToGrid/>
              <w:spacing w:line="0" w:lineRule="atLeast"/>
              <w:jc w:val="center"/>
              <w:rPr>
                <w:rFonts w:hint="eastAsia" w:ascii="Times New Roman" w:hAnsi="Times New Roman" w:eastAsia="方正楷体_GBK" w:cs="方正楷体_GBK"/>
                <w:i w:val="0"/>
                <w:iCs w:val="0"/>
                <w:color w:val="000000"/>
                <w:sz w:val="20"/>
                <w:szCs w:val="20"/>
                <w:u w:val="none"/>
              </w:rPr>
            </w:pPr>
          </w:p>
        </w:tc>
        <w:tc>
          <w:tcPr>
            <w:tcW w:w="726" w:type="pct"/>
            <w:vMerge w:val="continue"/>
            <w:shd w:val="clear" w:color="auto" w:fill="auto"/>
            <w:vAlign w:val="center"/>
          </w:tcPr>
          <w:p w14:paraId="25D1E196">
            <w:pPr>
              <w:keepNext w:val="0"/>
              <w:keepLines w:val="0"/>
              <w:pageBreakBefore w:val="0"/>
              <w:widowControl/>
              <w:kinsoku/>
              <w:wordWrap/>
              <w:overflowPunct/>
              <w:topLinePunct w:val="0"/>
              <w:autoSpaceDE/>
              <w:autoSpaceDN/>
              <w:bidi w:val="0"/>
              <w:adjustRightInd/>
              <w:snapToGrid/>
              <w:spacing w:line="0" w:lineRule="atLeast"/>
              <w:jc w:val="center"/>
              <w:rPr>
                <w:rFonts w:hint="eastAsia" w:ascii="Times New Roman" w:hAnsi="Times New Roman" w:eastAsia="方正楷体_GBK" w:cs="方正楷体_GBK"/>
                <w:i w:val="0"/>
                <w:iCs w:val="0"/>
                <w:color w:val="000000"/>
                <w:sz w:val="20"/>
                <w:szCs w:val="20"/>
                <w:u w:val="none"/>
              </w:rPr>
            </w:pPr>
          </w:p>
        </w:tc>
        <w:tc>
          <w:tcPr>
            <w:tcW w:w="1644" w:type="pct"/>
            <w:shd w:val="clear" w:color="auto" w:fill="auto"/>
            <w:vAlign w:val="center"/>
          </w:tcPr>
          <w:p w14:paraId="6D109E6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方正楷体_GBK" w:cs="方正楷体_GBK"/>
                <w:i w:val="0"/>
                <w:iCs w:val="0"/>
                <w:color w:val="000000"/>
                <w:kern w:val="0"/>
                <w:sz w:val="20"/>
                <w:szCs w:val="20"/>
                <w:u w:val="none"/>
                <w:lang w:val="en-US" w:eastAsia="zh-CN" w:bidi="ar"/>
              </w:rPr>
            </w:pPr>
            <w:r>
              <w:rPr>
                <w:rFonts w:hint="eastAsia" w:ascii="Times New Roman" w:hAnsi="Times New Roman" w:eastAsia="方正楷体_GBK" w:cs="方正楷体_GBK"/>
                <w:i w:val="0"/>
                <w:iCs w:val="0"/>
                <w:color w:val="000000"/>
                <w:kern w:val="0"/>
                <w:sz w:val="20"/>
                <w:szCs w:val="20"/>
                <w:u w:val="none"/>
                <w:lang w:val="en-US" w:eastAsia="zh-CN" w:bidi="ar"/>
              </w:rPr>
              <w:t>拔罐</w:t>
            </w:r>
          </w:p>
          <w:p w14:paraId="0E33C43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方正楷体_GBK" w:cs="方正楷体_GBK"/>
                <w:i w:val="0"/>
                <w:iCs w:val="0"/>
                <w:color w:val="000000"/>
                <w:sz w:val="20"/>
                <w:szCs w:val="20"/>
                <w:u w:val="none"/>
              </w:rPr>
            </w:pPr>
            <w:r>
              <w:rPr>
                <w:rFonts w:hint="eastAsia" w:ascii="Times New Roman" w:hAnsi="Times New Roman" w:eastAsia="方正楷体_GBK" w:cs="方正楷体_GBK"/>
                <w:i w:val="0"/>
                <w:iCs w:val="0"/>
                <w:color w:val="000000"/>
                <w:kern w:val="0"/>
                <w:sz w:val="20"/>
                <w:szCs w:val="20"/>
                <w:u w:val="none"/>
                <w:lang w:val="en-US" w:eastAsia="zh-CN" w:bidi="ar"/>
              </w:rPr>
              <w:t>（季度套餐）</w:t>
            </w:r>
          </w:p>
        </w:tc>
        <w:tc>
          <w:tcPr>
            <w:tcW w:w="1005" w:type="pct"/>
            <w:shd w:val="clear" w:color="auto" w:fill="auto"/>
            <w:vAlign w:val="center"/>
          </w:tcPr>
          <w:p w14:paraId="48DD499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方正楷体_GBK" w:cs="方正楷体_GBK"/>
                <w:i w:val="0"/>
                <w:iCs w:val="0"/>
                <w:color w:val="000000"/>
                <w:sz w:val="20"/>
                <w:szCs w:val="20"/>
                <w:u w:val="none"/>
              </w:rPr>
            </w:pPr>
            <w:r>
              <w:rPr>
                <w:rFonts w:hint="eastAsia" w:ascii="Times New Roman" w:hAnsi="Times New Roman" w:eastAsia="方正楷体_GBK" w:cs="方正楷体_GBK"/>
                <w:i w:val="0"/>
                <w:iCs w:val="0"/>
                <w:color w:val="000000"/>
                <w:kern w:val="0"/>
                <w:sz w:val="20"/>
                <w:szCs w:val="20"/>
                <w:u w:val="none"/>
                <w:lang w:val="en-US" w:eastAsia="zh-CN" w:bidi="ar"/>
              </w:rPr>
              <w:t>60元/2次</w:t>
            </w:r>
          </w:p>
        </w:tc>
        <w:tc>
          <w:tcPr>
            <w:tcW w:w="770" w:type="pct"/>
            <w:shd w:val="clear" w:color="auto" w:fill="auto"/>
            <w:vAlign w:val="center"/>
          </w:tcPr>
          <w:p w14:paraId="448DEFA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方正楷体_GBK" w:cs="方正楷体_GBK"/>
                <w:i w:val="0"/>
                <w:iCs w:val="0"/>
                <w:color w:val="000000"/>
                <w:sz w:val="20"/>
                <w:szCs w:val="20"/>
                <w:u w:val="none"/>
              </w:rPr>
            </w:pPr>
            <w:r>
              <w:rPr>
                <w:rFonts w:hint="eastAsia" w:ascii="Times New Roman" w:hAnsi="Times New Roman" w:eastAsia="方正楷体_GBK" w:cs="方正楷体_GBK"/>
                <w:i w:val="0"/>
                <w:iCs w:val="0"/>
                <w:color w:val="000000"/>
                <w:kern w:val="0"/>
                <w:sz w:val="20"/>
                <w:szCs w:val="20"/>
                <w:u w:val="none"/>
                <w:lang w:val="en-US" w:eastAsia="zh-CN" w:bidi="ar"/>
              </w:rPr>
              <w:t>90%</w:t>
            </w:r>
          </w:p>
        </w:tc>
        <w:tc>
          <w:tcPr>
            <w:tcW w:w="623" w:type="pct"/>
            <w:shd w:val="clear" w:color="auto" w:fill="auto"/>
            <w:vAlign w:val="center"/>
          </w:tcPr>
          <w:p w14:paraId="7737E9F9">
            <w:pPr>
              <w:keepNext w:val="0"/>
              <w:keepLines w:val="0"/>
              <w:pageBreakBefore w:val="0"/>
              <w:widowControl/>
              <w:kinsoku/>
              <w:wordWrap/>
              <w:overflowPunct/>
              <w:topLinePunct w:val="0"/>
              <w:autoSpaceDE/>
              <w:autoSpaceDN/>
              <w:bidi w:val="0"/>
              <w:adjustRightInd/>
              <w:snapToGrid/>
              <w:spacing w:line="0" w:lineRule="atLeast"/>
              <w:jc w:val="center"/>
              <w:rPr>
                <w:rFonts w:hint="eastAsia" w:ascii="Times New Roman" w:hAnsi="Times New Roman" w:eastAsia="方正楷体_GBK" w:cs="方正楷体_GBK"/>
                <w:i w:val="0"/>
                <w:iCs w:val="0"/>
                <w:color w:val="000000"/>
                <w:sz w:val="20"/>
                <w:szCs w:val="20"/>
                <w:u w:val="none"/>
              </w:rPr>
            </w:pPr>
          </w:p>
        </w:tc>
      </w:tr>
      <w:tr w14:paraId="6A21A58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7" w:hRule="atLeast"/>
          <w:jc w:val="center"/>
        </w:trPr>
        <w:tc>
          <w:tcPr>
            <w:tcW w:w="229" w:type="pct"/>
            <w:vMerge w:val="continue"/>
            <w:shd w:val="clear" w:color="auto" w:fill="auto"/>
            <w:vAlign w:val="center"/>
          </w:tcPr>
          <w:p w14:paraId="7A68D383">
            <w:pPr>
              <w:keepNext w:val="0"/>
              <w:keepLines w:val="0"/>
              <w:pageBreakBefore w:val="0"/>
              <w:widowControl/>
              <w:kinsoku/>
              <w:wordWrap/>
              <w:overflowPunct/>
              <w:topLinePunct w:val="0"/>
              <w:autoSpaceDE/>
              <w:autoSpaceDN/>
              <w:bidi w:val="0"/>
              <w:adjustRightInd/>
              <w:snapToGrid/>
              <w:spacing w:line="0" w:lineRule="atLeast"/>
              <w:jc w:val="center"/>
              <w:rPr>
                <w:rFonts w:hint="eastAsia" w:ascii="Times New Roman" w:hAnsi="Times New Roman" w:eastAsia="方正楷体_GBK" w:cs="方正楷体_GBK"/>
                <w:i w:val="0"/>
                <w:iCs w:val="0"/>
                <w:color w:val="000000"/>
                <w:sz w:val="20"/>
                <w:szCs w:val="20"/>
                <w:u w:val="none"/>
              </w:rPr>
            </w:pPr>
          </w:p>
        </w:tc>
        <w:tc>
          <w:tcPr>
            <w:tcW w:w="726" w:type="pct"/>
            <w:vMerge w:val="continue"/>
            <w:shd w:val="clear" w:color="auto" w:fill="auto"/>
            <w:vAlign w:val="center"/>
          </w:tcPr>
          <w:p w14:paraId="4D09B85D">
            <w:pPr>
              <w:keepNext w:val="0"/>
              <w:keepLines w:val="0"/>
              <w:pageBreakBefore w:val="0"/>
              <w:widowControl/>
              <w:kinsoku/>
              <w:wordWrap/>
              <w:overflowPunct/>
              <w:topLinePunct w:val="0"/>
              <w:autoSpaceDE/>
              <w:autoSpaceDN/>
              <w:bidi w:val="0"/>
              <w:adjustRightInd/>
              <w:snapToGrid/>
              <w:spacing w:line="0" w:lineRule="atLeast"/>
              <w:jc w:val="center"/>
              <w:rPr>
                <w:rFonts w:hint="eastAsia" w:ascii="Times New Roman" w:hAnsi="Times New Roman" w:eastAsia="方正楷体_GBK" w:cs="方正楷体_GBK"/>
                <w:i w:val="0"/>
                <w:iCs w:val="0"/>
                <w:color w:val="000000"/>
                <w:sz w:val="20"/>
                <w:szCs w:val="20"/>
                <w:u w:val="none"/>
              </w:rPr>
            </w:pPr>
          </w:p>
        </w:tc>
        <w:tc>
          <w:tcPr>
            <w:tcW w:w="1644" w:type="pct"/>
            <w:shd w:val="clear" w:color="auto" w:fill="auto"/>
            <w:vAlign w:val="center"/>
          </w:tcPr>
          <w:p w14:paraId="746096C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方正楷体_GBK" w:cs="方正楷体_GBK"/>
                <w:i w:val="0"/>
                <w:iCs w:val="0"/>
                <w:color w:val="000000"/>
                <w:kern w:val="0"/>
                <w:sz w:val="20"/>
                <w:szCs w:val="20"/>
                <w:u w:val="none"/>
                <w:lang w:val="en-US" w:eastAsia="zh-CN" w:bidi="ar"/>
              </w:rPr>
            </w:pPr>
            <w:r>
              <w:rPr>
                <w:rFonts w:hint="eastAsia" w:ascii="Times New Roman" w:hAnsi="Times New Roman" w:eastAsia="方正楷体_GBK" w:cs="方正楷体_GBK"/>
                <w:i w:val="0"/>
                <w:iCs w:val="0"/>
                <w:color w:val="000000"/>
                <w:kern w:val="0"/>
                <w:sz w:val="20"/>
                <w:szCs w:val="20"/>
                <w:u w:val="none"/>
                <w:lang w:val="en-US" w:eastAsia="zh-CN" w:bidi="ar"/>
              </w:rPr>
              <w:t>三伏贴</w:t>
            </w:r>
          </w:p>
          <w:p w14:paraId="403413D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方正楷体_GBK" w:cs="方正楷体_GBK"/>
                <w:i w:val="0"/>
                <w:iCs w:val="0"/>
                <w:color w:val="000000"/>
                <w:sz w:val="20"/>
                <w:szCs w:val="20"/>
                <w:u w:val="none"/>
              </w:rPr>
            </w:pPr>
            <w:r>
              <w:rPr>
                <w:rFonts w:hint="eastAsia" w:ascii="Times New Roman" w:hAnsi="Times New Roman" w:eastAsia="方正楷体_GBK" w:cs="方正楷体_GBK"/>
                <w:i w:val="0"/>
                <w:iCs w:val="0"/>
                <w:color w:val="000000"/>
                <w:kern w:val="0"/>
                <w:sz w:val="20"/>
                <w:szCs w:val="20"/>
                <w:u w:val="none"/>
                <w:lang w:val="en-US" w:eastAsia="zh-CN" w:bidi="ar"/>
              </w:rPr>
              <w:t>（季度套餐）</w:t>
            </w:r>
          </w:p>
        </w:tc>
        <w:tc>
          <w:tcPr>
            <w:tcW w:w="1005" w:type="pct"/>
            <w:shd w:val="clear" w:color="auto" w:fill="auto"/>
            <w:vAlign w:val="center"/>
          </w:tcPr>
          <w:p w14:paraId="7103C8C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方正楷体_GBK" w:cs="方正楷体_GBK"/>
                <w:i w:val="0"/>
                <w:iCs w:val="0"/>
                <w:color w:val="000000"/>
                <w:sz w:val="20"/>
                <w:szCs w:val="20"/>
                <w:u w:val="none"/>
              </w:rPr>
            </w:pPr>
            <w:r>
              <w:rPr>
                <w:rFonts w:hint="eastAsia" w:ascii="Times New Roman" w:hAnsi="Times New Roman" w:eastAsia="方正楷体_GBK" w:cs="方正楷体_GBK"/>
                <w:i w:val="0"/>
                <w:iCs w:val="0"/>
                <w:color w:val="000000"/>
                <w:kern w:val="0"/>
                <w:sz w:val="20"/>
                <w:szCs w:val="20"/>
                <w:u w:val="none"/>
                <w:lang w:val="en-US" w:eastAsia="zh-CN" w:bidi="ar"/>
              </w:rPr>
              <w:t>350元/4次</w:t>
            </w:r>
          </w:p>
        </w:tc>
        <w:tc>
          <w:tcPr>
            <w:tcW w:w="770" w:type="pct"/>
            <w:shd w:val="clear" w:color="auto" w:fill="auto"/>
            <w:vAlign w:val="center"/>
          </w:tcPr>
          <w:p w14:paraId="634E309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方正楷体_GBK" w:cs="方正楷体_GBK"/>
                <w:i w:val="0"/>
                <w:iCs w:val="0"/>
                <w:color w:val="000000"/>
                <w:sz w:val="20"/>
                <w:szCs w:val="20"/>
                <w:u w:val="none"/>
              </w:rPr>
            </w:pPr>
            <w:r>
              <w:rPr>
                <w:rFonts w:hint="eastAsia" w:ascii="Times New Roman" w:hAnsi="Times New Roman" w:eastAsia="方正楷体_GBK" w:cs="方正楷体_GBK"/>
                <w:i w:val="0"/>
                <w:iCs w:val="0"/>
                <w:color w:val="000000"/>
                <w:kern w:val="0"/>
                <w:sz w:val="20"/>
                <w:szCs w:val="20"/>
                <w:u w:val="none"/>
                <w:lang w:val="en-US" w:eastAsia="zh-CN" w:bidi="ar"/>
              </w:rPr>
              <w:t>90%</w:t>
            </w:r>
          </w:p>
        </w:tc>
        <w:tc>
          <w:tcPr>
            <w:tcW w:w="623" w:type="pct"/>
            <w:shd w:val="clear" w:color="auto" w:fill="auto"/>
            <w:vAlign w:val="center"/>
          </w:tcPr>
          <w:p w14:paraId="316B7751">
            <w:pPr>
              <w:keepNext w:val="0"/>
              <w:keepLines w:val="0"/>
              <w:pageBreakBefore w:val="0"/>
              <w:widowControl/>
              <w:kinsoku/>
              <w:wordWrap/>
              <w:overflowPunct/>
              <w:topLinePunct w:val="0"/>
              <w:autoSpaceDE/>
              <w:autoSpaceDN/>
              <w:bidi w:val="0"/>
              <w:adjustRightInd/>
              <w:snapToGrid/>
              <w:spacing w:line="0" w:lineRule="atLeast"/>
              <w:jc w:val="center"/>
              <w:rPr>
                <w:rFonts w:hint="eastAsia" w:ascii="Times New Roman" w:hAnsi="Times New Roman" w:eastAsia="方正楷体_GBK" w:cs="方正楷体_GBK"/>
                <w:i w:val="0"/>
                <w:iCs w:val="0"/>
                <w:color w:val="000000"/>
                <w:sz w:val="20"/>
                <w:szCs w:val="20"/>
                <w:u w:val="none"/>
              </w:rPr>
            </w:pPr>
          </w:p>
        </w:tc>
      </w:tr>
      <w:tr w14:paraId="69EF46A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7" w:hRule="atLeast"/>
          <w:jc w:val="center"/>
        </w:trPr>
        <w:tc>
          <w:tcPr>
            <w:tcW w:w="229" w:type="pct"/>
            <w:vMerge w:val="continue"/>
            <w:shd w:val="clear" w:color="auto" w:fill="auto"/>
            <w:vAlign w:val="center"/>
          </w:tcPr>
          <w:p w14:paraId="2724CEE8">
            <w:pPr>
              <w:keepNext w:val="0"/>
              <w:keepLines w:val="0"/>
              <w:pageBreakBefore w:val="0"/>
              <w:widowControl/>
              <w:kinsoku/>
              <w:wordWrap/>
              <w:overflowPunct/>
              <w:topLinePunct w:val="0"/>
              <w:autoSpaceDE/>
              <w:autoSpaceDN/>
              <w:bidi w:val="0"/>
              <w:adjustRightInd/>
              <w:snapToGrid/>
              <w:spacing w:line="0" w:lineRule="atLeast"/>
              <w:jc w:val="center"/>
              <w:rPr>
                <w:rFonts w:hint="eastAsia" w:ascii="Times New Roman" w:hAnsi="Times New Roman" w:eastAsia="方正楷体_GBK" w:cs="方正楷体_GBK"/>
                <w:i w:val="0"/>
                <w:iCs w:val="0"/>
                <w:color w:val="000000"/>
                <w:sz w:val="20"/>
                <w:szCs w:val="20"/>
                <w:u w:val="none"/>
              </w:rPr>
            </w:pPr>
          </w:p>
        </w:tc>
        <w:tc>
          <w:tcPr>
            <w:tcW w:w="726" w:type="pct"/>
            <w:vMerge w:val="continue"/>
            <w:shd w:val="clear" w:color="auto" w:fill="auto"/>
            <w:vAlign w:val="center"/>
          </w:tcPr>
          <w:p w14:paraId="6036C830">
            <w:pPr>
              <w:keepNext w:val="0"/>
              <w:keepLines w:val="0"/>
              <w:pageBreakBefore w:val="0"/>
              <w:widowControl/>
              <w:kinsoku/>
              <w:wordWrap/>
              <w:overflowPunct/>
              <w:topLinePunct w:val="0"/>
              <w:autoSpaceDE/>
              <w:autoSpaceDN/>
              <w:bidi w:val="0"/>
              <w:adjustRightInd/>
              <w:snapToGrid/>
              <w:spacing w:line="0" w:lineRule="atLeast"/>
              <w:jc w:val="center"/>
              <w:rPr>
                <w:rFonts w:hint="eastAsia" w:ascii="Times New Roman" w:hAnsi="Times New Roman" w:eastAsia="方正楷体_GBK" w:cs="方正楷体_GBK"/>
                <w:i w:val="0"/>
                <w:iCs w:val="0"/>
                <w:color w:val="000000"/>
                <w:sz w:val="20"/>
                <w:szCs w:val="20"/>
                <w:u w:val="none"/>
              </w:rPr>
            </w:pPr>
          </w:p>
        </w:tc>
        <w:tc>
          <w:tcPr>
            <w:tcW w:w="1644" w:type="pct"/>
            <w:shd w:val="clear" w:color="auto" w:fill="auto"/>
            <w:vAlign w:val="center"/>
          </w:tcPr>
          <w:p w14:paraId="5BEE646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方正楷体_GBK" w:cs="方正楷体_GBK"/>
                <w:i w:val="0"/>
                <w:iCs w:val="0"/>
                <w:color w:val="000000"/>
                <w:kern w:val="0"/>
                <w:sz w:val="20"/>
                <w:szCs w:val="20"/>
                <w:u w:val="none"/>
                <w:lang w:val="en-US" w:eastAsia="zh-CN" w:bidi="ar"/>
              </w:rPr>
            </w:pPr>
            <w:r>
              <w:rPr>
                <w:rFonts w:hint="eastAsia" w:ascii="Times New Roman" w:hAnsi="Times New Roman" w:eastAsia="方正楷体_GBK" w:cs="方正楷体_GBK"/>
                <w:i w:val="0"/>
                <w:iCs w:val="0"/>
                <w:color w:val="000000"/>
                <w:kern w:val="0"/>
                <w:sz w:val="20"/>
                <w:szCs w:val="20"/>
                <w:u w:val="none"/>
                <w:lang w:val="en-US" w:eastAsia="zh-CN" w:bidi="ar"/>
              </w:rPr>
              <w:t>拔罐、泥灸</w:t>
            </w:r>
          </w:p>
          <w:p w14:paraId="6B8248D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方正楷体_GBK" w:cs="方正楷体_GBK"/>
                <w:i w:val="0"/>
                <w:iCs w:val="0"/>
                <w:color w:val="000000"/>
                <w:sz w:val="20"/>
                <w:szCs w:val="20"/>
                <w:u w:val="none"/>
              </w:rPr>
            </w:pPr>
            <w:r>
              <w:rPr>
                <w:rFonts w:hint="eastAsia" w:ascii="Times New Roman" w:hAnsi="Times New Roman" w:eastAsia="方正楷体_GBK" w:cs="方正楷体_GBK"/>
                <w:i w:val="0"/>
                <w:iCs w:val="0"/>
                <w:color w:val="000000"/>
                <w:kern w:val="0"/>
                <w:sz w:val="20"/>
                <w:szCs w:val="20"/>
                <w:u w:val="none"/>
                <w:lang w:val="en-US" w:eastAsia="zh-CN" w:bidi="ar"/>
              </w:rPr>
              <w:t>（月套餐）</w:t>
            </w:r>
          </w:p>
        </w:tc>
        <w:tc>
          <w:tcPr>
            <w:tcW w:w="1005" w:type="pct"/>
            <w:shd w:val="clear" w:color="auto" w:fill="auto"/>
            <w:vAlign w:val="center"/>
          </w:tcPr>
          <w:p w14:paraId="279F7A3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方正楷体_GBK" w:cs="方正楷体_GBK"/>
                <w:i w:val="0"/>
                <w:iCs w:val="0"/>
                <w:color w:val="000000"/>
                <w:sz w:val="20"/>
                <w:szCs w:val="20"/>
                <w:u w:val="none"/>
              </w:rPr>
            </w:pPr>
            <w:r>
              <w:rPr>
                <w:rFonts w:hint="eastAsia" w:ascii="Times New Roman" w:hAnsi="Times New Roman" w:eastAsia="方正楷体_GBK" w:cs="方正楷体_GBK"/>
                <w:i w:val="0"/>
                <w:iCs w:val="0"/>
                <w:color w:val="000000"/>
                <w:kern w:val="0"/>
                <w:sz w:val="20"/>
                <w:szCs w:val="20"/>
                <w:u w:val="none"/>
                <w:lang w:val="en-US" w:eastAsia="zh-CN" w:bidi="ar"/>
              </w:rPr>
              <w:t>60元/2次</w:t>
            </w:r>
          </w:p>
        </w:tc>
        <w:tc>
          <w:tcPr>
            <w:tcW w:w="770" w:type="pct"/>
            <w:shd w:val="clear" w:color="auto" w:fill="auto"/>
            <w:vAlign w:val="center"/>
          </w:tcPr>
          <w:p w14:paraId="3B3F1BE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方正楷体_GBK" w:cs="方正楷体_GBK"/>
                <w:i w:val="0"/>
                <w:iCs w:val="0"/>
                <w:color w:val="000000"/>
                <w:sz w:val="20"/>
                <w:szCs w:val="20"/>
                <w:u w:val="none"/>
              </w:rPr>
            </w:pPr>
            <w:r>
              <w:rPr>
                <w:rFonts w:hint="eastAsia" w:ascii="Times New Roman" w:hAnsi="Times New Roman" w:eastAsia="方正楷体_GBK" w:cs="方正楷体_GBK"/>
                <w:i w:val="0"/>
                <w:iCs w:val="0"/>
                <w:color w:val="000000"/>
                <w:kern w:val="0"/>
                <w:sz w:val="20"/>
                <w:szCs w:val="20"/>
                <w:u w:val="none"/>
                <w:lang w:val="en-US" w:eastAsia="zh-CN" w:bidi="ar"/>
              </w:rPr>
              <w:t>90%</w:t>
            </w:r>
          </w:p>
        </w:tc>
        <w:tc>
          <w:tcPr>
            <w:tcW w:w="623" w:type="pct"/>
            <w:shd w:val="clear" w:color="auto" w:fill="auto"/>
            <w:vAlign w:val="center"/>
          </w:tcPr>
          <w:p w14:paraId="7214C599">
            <w:pPr>
              <w:keepNext w:val="0"/>
              <w:keepLines w:val="0"/>
              <w:pageBreakBefore w:val="0"/>
              <w:widowControl/>
              <w:kinsoku/>
              <w:wordWrap/>
              <w:overflowPunct/>
              <w:topLinePunct w:val="0"/>
              <w:autoSpaceDE/>
              <w:autoSpaceDN/>
              <w:bidi w:val="0"/>
              <w:adjustRightInd/>
              <w:snapToGrid/>
              <w:spacing w:line="0" w:lineRule="atLeast"/>
              <w:jc w:val="center"/>
              <w:rPr>
                <w:rFonts w:hint="eastAsia" w:ascii="Times New Roman" w:hAnsi="Times New Roman" w:eastAsia="方正楷体_GBK" w:cs="方正楷体_GBK"/>
                <w:i w:val="0"/>
                <w:iCs w:val="0"/>
                <w:color w:val="000000"/>
                <w:sz w:val="20"/>
                <w:szCs w:val="20"/>
                <w:u w:val="none"/>
              </w:rPr>
            </w:pPr>
          </w:p>
        </w:tc>
      </w:tr>
      <w:tr w14:paraId="4722CE9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229" w:type="pct"/>
            <w:vMerge w:val="continue"/>
            <w:shd w:val="clear" w:color="auto" w:fill="auto"/>
            <w:vAlign w:val="center"/>
          </w:tcPr>
          <w:p w14:paraId="1650B848">
            <w:pPr>
              <w:keepNext w:val="0"/>
              <w:keepLines w:val="0"/>
              <w:pageBreakBefore w:val="0"/>
              <w:widowControl/>
              <w:kinsoku/>
              <w:wordWrap/>
              <w:overflowPunct/>
              <w:topLinePunct w:val="0"/>
              <w:autoSpaceDE/>
              <w:autoSpaceDN/>
              <w:bidi w:val="0"/>
              <w:adjustRightInd/>
              <w:snapToGrid/>
              <w:spacing w:line="0" w:lineRule="atLeast"/>
              <w:jc w:val="center"/>
              <w:rPr>
                <w:rFonts w:hint="eastAsia" w:ascii="Times New Roman" w:hAnsi="Times New Roman" w:eastAsia="方正楷体_GBK" w:cs="方正楷体_GBK"/>
                <w:i w:val="0"/>
                <w:iCs w:val="0"/>
                <w:color w:val="000000"/>
                <w:sz w:val="20"/>
                <w:szCs w:val="20"/>
                <w:u w:val="none"/>
              </w:rPr>
            </w:pPr>
          </w:p>
        </w:tc>
        <w:tc>
          <w:tcPr>
            <w:tcW w:w="726" w:type="pct"/>
            <w:vMerge w:val="continue"/>
            <w:shd w:val="clear" w:color="auto" w:fill="auto"/>
            <w:vAlign w:val="center"/>
          </w:tcPr>
          <w:p w14:paraId="587693EC">
            <w:pPr>
              <w:keepNext w:val="0"/>
              <w:keepLines w:val="0"/>
              <w:pageBreakBefore w:val="0"/>
              <w:widowControl/>
              <w:kinsoku/>
              <w:wordWrap/>
              <w:overflowPunct/>
              <w:topLinePunct w:val="0"/>
              <w:autoSpaceDE/>
              <w:autoSpaceDN/>
              <w:bidi w:val="0"/>
              <w:adjustRightInd/>
              <w:snapToGrid/>
              <w:spacing w:line="0" w:lineRule="atLeast"/>
              <w:jc w:val="center"/>
              <w:rPr>
                <w:rFonts w:hint="eastAsia" w:ascii="Times New Roman" w:hAnsi="Times New Roman" w:eastAsia="方正楷体_GBK" w:cs="方正楷体_GBK"/>
                <w:i w:val="0"/>
                <w:iCs w:val="0"/>
                <w:color w:val="000000"/>
                <w:sz w:val="20"/>
                <w:szCs w:val="20"/>
                <w:u w:val="none"/>
              </w:rPr>
            </w:pPr>
          </w:p>
        </w:tc>
        <w:tc>
          <w:tcPr>
            <w:tcW w:w="1644" w:type="pct"/>
            <w:shd w:val="clear" w:color="auto" w:fill="auto"/>
            <w:vAlign w:val="center"/>
          </w:tcPr>
          <w:p w14:paraId="1C3F3AA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方正楷体_GBK" w:cs="方正楷体_GBK"/>
                <w:i w:val="0"/>
                <w:iCs w:val="0"/>
                <w:color w:val="000000"/>
                <w:kern w:val="0"/>
                <w:sz w:val="20"/>
                <w:szCs w:val="20"/>
                <w:u w:val="none"/>
                <w:lang w:val="en-US" w:eastAsia="zh-CN" w:bidi="ar"/>
              </w:rPr>
            </w:pPr>
            <w:r>
              <w:rPr>
                <w:rFonts w:hint="eastAsia" w:ascii="Times New Roman" w:hAnsi="Times New Roman" w:eastAsia="方正楷体_GBK" w:cs="方正楷体_GBK"/>
                <w:i w:val="0"/>
                <w:iCs w:val="0"/>
                <w:color w:val="000000"/>
                <w:kern w:val="0"/>
                <w:sz w:val="20"/>
                <w:szCs w:val="20"/>
                <w:u w:val="none"/>
                <w:lang w:val="en-US" w:eastAsia="zh-CN" w:bidi="ar"/>
              </w:rPr>
              <w:t>拔罐、随身灸</w:t>
            </w:r>
          </w:p>
          <w:p w14:paraId="6A7DF82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方正楷体_GBK" w:cs="方正楷体_GBK"/>
                <w:i w:val="0"/>
                <w:iCs w:val="0"/>
                <w:color w:val="000000"/>
                <w:sz w:val="20"/>
                <w:szCs w:val="20"/>
                <w:u w:val="none"/>
              </w:rPr>
            </w:pPr>
            <w:r>
              <w:rPr>
                <w:rFonts w:hint="eastAsia" w:ascii="Times New Roman" w:hAnsi="Times New Roman" w:eastAsia="方正楷体_GBK" w:cs="方正楷体_GBK"/>
                <w:i w:val="0"/>
                <w:iCs w:val="0"/>
                <w:color w:val="000000"/>
                <w:kern w:val="0"/>
                <w:sz w:val="20"/>
                <w:szCs w:val="20"/>
                <w:u w:val="none"/>
                <w:lang w:val="en-US" w:eastAsia="zh-CN" w:bidi="ar"/>
              </w:rPr>
              <w:t>（月套餐）</w:t>
            </w:r>
          </w:p>
        </w:tc>
        <w:tc>
          <w:tcPr>
            <w:tcW w:w="1005" w:type="pct"/>
            <w:shd w:val="clear" w:color="auto" w:fill="auto"/>
            <w:vAlign w:val="center"/>
          </w:tcPr>
          <w:p w14:paraId="2FE35DB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方正楷体_GBK" w:cs="方正楷体_GBK"/>
                <w:i w:val="0"/>
                <w:iCs w:val="0"/>
                <w:color w:val="000000"/>
                <w:sz w:val="20"/>
                <w:szCs w:val="20"/>
                <w:u w:val="none"/>
              </w:rPr>
            </w:pPr>
            <w:r>
              <w:rPr>
                <w:rFonts w:hint="eastAsia" w:ascii="Times New Roman" w:hAnsi="Times New Roman" w:eastAsia="方正楷体_GBK" w:cs="方正楷体_GBK"/>
                <w:i w:val="0"/>
                <w:iCs w:val="0"/>
                <w:color w:val="000000"/>
                <w:kern w:val="0"/>
                <w:sz w:val="20"/>
                <w:szCs w:val="20"/>
                <w:u w:val="none"/>
                <w:lang w:val="en-US" w:eastAsia="zh-CN" w:bidi="ar"/>
              </w:rPr>
              <w:t>60元/2次</w:t>
            </w:r>
          </w:p>
        </w:tc>
        <w:tc>
          <w:tcPr>
            <w:tcW w:w="770" w:type="pct"/>
            <w:shd w:val="clear" w:color="auto" w:fill="auto"/>
            <w:vAlign w:val="center"/>
          </w:tcPr>
          <w:p w14:paraId="3F67A83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方正楷体_GBK" w:cs="方正楷体_GBK"/>
                <w:i w:val="0"/>
                <w:iCs w:val="0"/>
                <w:color w:val="000000"/>
                <w:sz w:val="20"/>
                <w:szCs w:val="20"/>
                <w:u w:val="none"/>
              </w:rPr>
            </w:pPr>
            <w:r>
              <w:rPr>
                <w:rFonts w:hint="eastAsia" w:ascii="Times New Roman" w:hAnsi="Times New Roman" w:eastAsia="方正楷体_GBK" w:cs="方正楷体_GBK"/>
                <w:i w:val="0"/>
                <w:iCs w:val="0"/>
                <w:color w:val="000000"/>
                <w:kern w:val="0"/>
                <w:sz w:val="20"/>
                <w:szCs w:val="20"/>
                <w:u w:val="none"/>
                <w:lang w:val="en-US" w:eastAsia="zh-CN" w:bidi="ar"/>
              </w:rPr>
              <w:t>90%</w:t>
            </w:r>
          </w:p>
        </w:tc>
        <w:tc>
          <w:tcPr>
            <w:tcW w:w="623" w:type="pct"/>
            <w:shd w:val="clear" w:color="auto" w:fill="auto"/>
            <w:vAlign w:val="center"/>
          </w:tcPr>
          <w:p w14:paraId="136F0212">
            <w:pPr>
              <w:keepNext w:val="0"/>
              <w:keepLines w:val="0"/>
              <w:pageBreakBefore w:val="0"/>
              <w:widowControl/>
              <w:kinsoku/>
              <w:wordWrap/>
              <w:overflowPunct/>
              <w:topLinePunct w:val="0"/>
              <w:autoSpaceDE/>
              <w:autoSpaceDN/>
              <w:bidi w:val="0"/>
              <w:adjustRightInd/>
              <w:snapToGrid/>
              <w:spacing w:line="0" w:lineRule="atLeast"/>
              <w:jc w:val="center"/>
              <w:rPr>
                <w:rFonts w:hint="eastAsia" w:ascii="Times New Roman" w:hAnsi="Times New Roman" w:eastAsia="方正楷体_GBK" w:cs="方正楷体_GBK"/>
                <w:i w:val="0"/>
                <w:iCs w:val="0"/>
                <w:color w:val="000000"/>
                <w:sz w:val="20"/>
                <w:szCs w:val="20"/>
                <w:u w:val="none"/>
              </w:rPr>
            </w:pPr>
          </w:p>
        </w:tc>
      </w:tr>
      <w:tr w14:paraId="5A64C44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229" w:type="pct"/>
            <w:vMerge w:val="continue"/>
            <w:shd w:val="clear" w:color="auto" w:fill="auto"/>
            <w:vAlign w:val="center"/>
          </w:tcPr>
          <w:p w14:paraId="1F44C038">
            <w:pPr>
              <w:keepNext w:val="0"/>
              <w:keepLines w:val="0"/>
              <w:pageBreakBefore w:val="0"/>
              <w:widowControl/>
              <w:kinsoku/>
              <w:wordWrap/>
              <w:overflowPunct/>
              <w:topLinePunct w:val="0"/>
              <w:autoSpaceDE/>
              <w:autoSpaceDN/>
              <w:bidi w:val="0"/>
              <w:adjustRightInd/>
              <w:snapToGrid/>
              <w:spacing w:line="0" w:lineRule="atLeast"/>
              <w:jc w:val="center"/>
              <w:rPr>
                <w:rFonts w:hint="eastAsia" w:ascii="Times New Roman" w:hAnsi="Times New Roman" w:eastAsia="方正楷体_GBK" w:cs="方正楷体_GBK"/>
                <w:i w:val="0"/>
                <w:iCs w:val="0"/>
                <w:color w:val="000000"/>
                <w:sz w:val="20"/>
                <w:szCs w:val="20"/>
                <w:u w:val="none"/>
              </w:rPr>
            </w:pPr>
          </w:p>
        </w:tc>
        <w:tc>
          <w:tcPr>
            <w:tcW w:w="726" w:type="pct"/>
            <w:vMerge w:val="continue"/>
            <w:shd w:val="clear" w:color="auto" w:fill="auto"/>
            <w:vAlign w:val="center"/>
          </w:tcPr>
          <w:p w14:paraId="66246225">
            <w:pPr>
              <w:keepNext w:val="0"/>
              <w:keepLines w:val="0"/>
              <w:pageBreakBefore w:val="0"/>
              <w:widowControl/>
              <w:kinsoku/>
              <w:wordWrap/>
              <w:overflowPunct/>
              <w:topLinePunct w:val="0"/>
              <w:autoSpaceDE/>
              <w:autoSpaceDN/>
              <w:bidi w:val="0"/>
              <w:adjustRightInd/>
              <w:snapToGrid/>
              <w:spacing w:line="0" w:lineRule="atLeast"/>
              <w:jc w:val="center"/>
              <w:rPr>
                <w:rFonts w:hint="eastAsia" w:ascii="Times New Roman" w:hAnsi="Times New Roman" w:eastAsia="方正楷体_GBK" w:cs="方正楷体_GBK"/>
                <w:i w:val="0"/>
                <w:iCs w:val="0"/>
                <w:color w:val="000000"/>
                <w:sz w:val="20"/>
                <w:szCs w:val="20"/>
                <w:u w:val="none"/>
              </w:rPr>
            </w:pPr>
          </w:p>
        </w:tc>
        <w:tc>
          <w:tcPr>
            <w:tcW w:w="1644" w:type="pct"/>
            <w:shd w:val="clear" w:color="auto" w:fill="auto"/>
            <w:vAlign w:val="center"/>
          </w:tcPr>
          <w:p w14:paraId="2CF4BD6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方正楷体_GBK" w:cs="方正楷体_GBK"/>
                <w:i w:val="0"/>
                <w:iCs w:val="0"/>
                <w:color w:val="000000"/>
                <w:kern w:val="0"/>
                <w:sz w:val="20"/>
                <w:szCs w:val="20"/>
                <w:u w:val="none"/>
                <w:lang w:val="en-US" w:eastAsia="zh-CN" w:bidi="ar"/>
              </w:rPr>
            </w:pPr>
            <w:r>
              <w:rPr>
                <w:rFonts w:hint="eastAsia" w:ascii="Times New Roman" w:hAnsi="Times New Roman" w:eastAsia="方正楷体_GBK" w:cs="方正楷体_GBK"/>
                <w:i w:val="0"/>
                <w:iCs w:val="0"/>
                <w:color w:val="000000"/>
                <w:kern w:val="0"/>
                <w:sz w:val="20"/>
                <w:szCs w:val="20"/>
                <w:u w:val="none"/>
                <w:lang w:val="en-US" w:eastAsia="zh-CN" w:bidi="ar"/>
              </w:rPr>
              <w:t>耳穴疗法</w:t>
            </w:r>
          </w:p>
          <w:p w14:paraId="587F29E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方正楷体_GBK" w:cs="方正楷体_GBK"/>
                <w:i w:val="0"/>
                <w:iCs w:val="0"/>
                <w:color w:val="000000"/>
                <w:sz w:val="20"/>
                <w:szCs w:val="20"/>
                <w:u w:val="none"/>
              </w:rPr>
            </w:pPr>
            <w:r>
              <w:rPr>
                <w:rFonts w:hint="eastAsia" w:ascii="Times New Roman" w:hAnsi="Times New Roman" w:eastAsia="方正楷体_GBK" w:cs="方正楷体_GBK"/>
                <w:i w:val="0"/>
                <w:iCs w:val="0"/>
                <w:color w:val="000000"/>
                <w:kern w:val="0"/>
                <w:sz w:val="20"/>
                <w:szCs w:val="20"/>
                <w:u w:val="none"/>
                <w:lang w:val="en-US" w:eastAsia="zh-CN" w:bidi="ar"/>
              </w:rPr>
              <w:t>（月套餐）</w:t>
            </w:r>
          </w:p>
        </w:tc>
        <w:tc>
          <w:tcPr>
            <w:tcW w:w="1005" w:type="pct"/>
            <w:shd w:val="clear" w:color="auto" w:fill="auto"/>
            <w:vAlign w:val="center"/>
          </w:tcPr>
          <w:p w14:paraId="5153585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方正楷体_GBK" w:cs="方正楷体_GBK"/>
                <w:i w:val="0"/>
                <w:iCs w:val="0"/>
                <w:color w:val="000000"/>
                <w:sz w:val="20"/>
                <w:szCs w:val="20"/>
                <w:u w:val="none"/>
              </w:rPr>
            </w:pPr>
            <w:r>
              <w:rPr>
                <w:rFonts w:hint="eastAsia" w:ascii="Times New Roman" w:hAnsi="Times New Roman" w:eastAsia="方正楷体_GBK" w:cs="方正楷体_GBK"/>
                <w:i w:val="0"/>
                <w:iCs w:val="0"/>
                <w:color w:val="000000"/>
                <w:kern w:val="0"/>
                <w:sz w:val="20"/>
                <w:szCs w:val="20"/>
                <w:u w:val="none"/>
                <w:lang w:val="en-US" w:eastAsia="zh-CN" w:bidi="ar"/>
              </w:rPr>
              <w:t>80元/5次</w:t>
            </w:r>
          </w:p>
        </w:tc>
        <w:tc>
          <w:tcPr>
            <w:tcW w:w="770" w:type="pct"/>
            <w:shd w:val="clear" w:color="auto" w:fill="auto"/>
            <w:vAlign w:val="center"/>
          </w:tcPr>
          <w:p w14:paraId="486CAB3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方正楷体_GBK" w:cs="方正楷体_GBK"/>
                <w:i w:val="0"/>
                <w:iCs w:val="0"/>
                <w:color w:val="000000"/>
                <w:sz w:val="20"/>
                <w:szCs w:val="20"/>
                <w:u w:val="none"/>
              </w:rPr>
            </w:pPr>
            <w:r>
              <w:rPr>
                <w:rFonts w:hint="eastAsia" w:ascii="Times New Roman" w:hAnsi="Times New Roman" w:eastAsia="方正楷体_GBK" w:cs="方正楷体_GBK"/>
                <w:i w:val="0"/>
                <w:iCs w:val="0"/>
                <w:color w:val="000000"/>
                <w:kern w:val="0"/>
                <w:sz w:val="20"/>
                <w:szCs w:val="20"/>
                <w:u w:val="none"/>
                <w:lang w:val="en-US" w:eastAsia="zh-CN" w:bidi="ar"/>
              </w:rPr>
              <w:t>90%</w:t>
            </w:r>
          </w:p>
        </w:tc>
        <w:tc>
          <w:tcPr>
            <w:tcW w:w="623" w:type="pct"/>
            <w:shd w:val="clear" w:color="auto" w:fill="auto"/>
            <w:vAlign w:val="center"/>
          </w:tcPr>
          <w:p w14:paraId="6B643A95">
            <w:pPr>
              <w:keepNext w:val="0"/>
              <w:keepLines w:val="0"/>
              <w:pageBreakBefore w:val="0"/>
              <w:widowControl/>
              <w:kinsoku/>
              <w:wordWrap/>
              <w:overflowPunct/>
              <w:topLinePunct w:val="0"/>
              <w:autoSpaceDE/>
              <w:autoSpaceDN/>
              <w:bidi w:val="0"/>
              <w:adjustRightInd/>
              <w:snapToGrid/>
              <w:spacing w:line="0" w:lineRule="atLeast"/>
              <w:jc w:val="center"/>
              <w:rPr>
                <w:rFonts w:hint="eastAsia" w:ascii="Times New Roman" w:hAnsi="Times New Roman" w:eastAsia="方正楷体_GBK" w:cs="方正楷体_GBK"/>
                <w:i w:val="0"/>
                <w:iCs w:val="0"/>
                <w:color w:val="000000"/>
                <w:sz w:val="20"/>
                <w:szCs w:val="20"/>
                <w:u w:val="none"/>
              </w:rPr>
            </w:pPr>
          </w:p>
        </w:tc>
      </w:tr>
      <w:tr w14:paraId="3F2BF4E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229" w:type="pct"/>
            <w:shd w:val="clear" w:color="auto" w:fill="auto"/>
            <w:noWrap/>
            <w:vAlign w:val="center"/>
          </w:tcPr>
          <w:p w14:paraId="44D1434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方正楷体_GBK" w:cs="方正楷体_GBK"/>
                <w:i w:val="0"/>
                <w:iCs w:val="0"/>
                <w:color w:val="000000"/>
                <w:sz w:val="20"/>
                <w:szCs w:val="20"/>
                <w:u w:val="none"/>
              </w:rPr>
            </w:pPr>
            <w:r>
              <w:rPr>
                <w:rFonts w:hint="eastAsia" w:ascii="Times New Roman" w:hAnsi="Times New Roman" w:eastAsia="方正楷体_GBK" w:cs="方正楷体_GBK"/>
                <w:i w:val="0"/>
                <w:iCs w:val="0"/>
                <w:color w:val="000000"/>
                <w:kern w:val="0"/>
                <w:sz w:val="20"/>
                <w:szCs w:val="20"/>
                <w:u w:val="none"/>
                <w:lang w:val="en-US" w:eastAsia="zh-CN" w:bidi="ar"/>
              </w:rPr>
              <w:t>8</w:t>
            </w:r>
          </w:p>
        </w:tc>
        <w:tc>
          <w:tcPr>
            <w:tcW w:w="726" w:type="pct"/>
            <w:shd w:val="clear" w:color="auto" w:fill="auto"/>
            <w:vAlign w:val="center"/>
          </w:tcPr>
          <w:p w14:paraId="4B2B1A9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方正楷体_GBK" w:cs="方正楷体_GBK"/>
                <w:i w:val="0"/>
                <w:iCs w:val="0"/>
                <w:color w:val="000000"/>
                <w:kern w:val="0"/>
                <w:sz w:val="20"/>
                <w:szCs w:val="20"/>
                <w:u w:val="none"/>
                <w:lang w:val="en-US" w:eastAsia="zh-CN" w:bidi="ar"/>
              </w:rPr>
            </w:pPr>
            <w:r>
              <w:rPr>
                <w:rFonts w:hint="eastAsia" w:ascii="Times New Roman" w:hAnsi="Times New Roman" w:eastAsia="方正楷体_GBK" w:cs="方正楷体_GBK"/>
                <w:i w:val="0"/>
                <w:iCs w:val="0"/>
                <w:color w:val="000000"/>
                <w:kern w:val="0"/>
                <w:sz w:val="20"/>
                <w:szCs w:val="20"/>
                <w:u w:val="none"/>
                <w:lang w:val="en-US" w:eastAsia="zh-CN" w:bidi="ar"/>
              </w:rPr>
              <w:t>免费服务</w:t>
            </w:r>
          </w:p>
          <w:p w14:paraId="0A25CE2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方正楷体_GBK" w:cs="方正楷体_GBK"/>
                <w:i w:val="0"/>
                <w:iCs w:val="0"/>
                <w:color w:val="000000"/>
                <w:sz w:val="20"/>
                <w:szCs w:val="20"/>
                <w:u w:val="none"/>
              </w:rPr>
            </w:pPr>
            <w:r>
              <w:rPr>
                <w:rFonts w:hint="eastAsia" w:ascii="Times New Roman" w:hAnsi="Times New Roman" w:eastAsia="方正楷体_GBK" w:cs="方正楷体_GBK"/>
                <w:i w:val="0"/>
                <w:iCs w:val="0"/>
                <w:color w:val="000000"/>
                <w:kern w:val="0"/>
                <w:sz w:val="20"/>
                <w:szCs w:val="20"/>
                <w:u w:val="none"/>
                <w:lang w:val="en-US" w:eastAsia="zh-CN" w:bidi="ar"/>
              </w:rPr>
              <w:t>专区</w:t>
            </w:r>
          </w:p>
        </w:tc>
        <w:tc>
          <w:tcPr>
            <w:tcW w:w="1644" w:type="pct"/>
            <w:shd w:val="clear" w:color="auto" w:fill="auto"/>
            <w:noWrap/>
            <w:vAlign w:val="center"/>
          </w:tcPr>
          <w:p w14:paraId="6E707C9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方正楷体_GBK" w:cs="方正楷体_GBK"/>
                <w:i w:val="0"/>
                <w:iCs w:val="0"/>
                <w:color w:val="000000"/>
                <w:sz w:val="20"/>
                <w:szCs w:val="20"/>
                <w:u w:val="none"/>
              </w:rPr>
            </w:pPr>
            <w:r>
              <w:rPr>
                <w:rFonts w:hint="eastAsia" w:ascii="Times New Roman" w:hAnsi="Times New Roman" w:eastAsia="方正楷体_GBK" w:cs="方正楷体_GBK"/>
                <w:i w:val="0"/>
                <w:iCs w:val="0"/>
                <w:color w:val="000000"/>
                <w:kern w:val="0"/>
                <w:sz w:val="20"/>
                <w:szCs w:val="20"/>
                <w:u w:val="none"/>
                <w:lang w:val="en-US" w:eastAsia="zh-CN" w:bidi="ar"/>
              </w:rPr>
              <w:t>便民服务</w:t>
            </w:r>
          </w:p>
        </w:tc>
        <w:tc>
          <w:tcPr>
            <w:tcW w:w="1005" w:type="pct"/>
            <w:shd w:val="clear" w:color="auto" w:fill="auto"/>
            <w:noWrap/>
            <w:vAlign w:val="center"/>
          </w:tcPr>
          <w:p w14:paraId="7CC0095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方正楷体_GBK" w:cs="方正楷体_GBK"/>
                <w:i w:val="0"/>
                <w:iCs w:val="0"/>
                <w:color w:val="000000"/>
                <w:sz w:val="20"/>
                <w:szCs w:val="20"/>
                <w:u w:val="none"/>
              </w:rPr>
            </w:pPr>
            <w:r>
              <w:rPr>
                <w:rFonts w:hint="eastAsia" w:ascii="Times New Roman" w:hAnsi="Times New Roman" w:eastAsia="方正楷体_GBK" w:cs="方正楷体_GBK"/>
                <w:i w:val="0"/>
                <w:iCs w:val="0"/>
                <w:color w:val="000000"/>
                <w:kern w:val="0"/>
                <w:sz w:val="20"/>
                <w:szCs w:val="20"/>
                <w:u w:val="none"/>
                <w:lang w:val="en-US" w:eastAsia="zh-CN" w:bidi="ar"/>
              </w:rPr>
              <w:t>免费</w:t>
            </w:r>
          </w:p>
        </w:tc>
        <w:tc>
          <w:tcPr>
            <w:tcW w:w="770" w:type="pct"/>
            <w:shd w:val="clear" w:color="auto" w:fill="auto"/>
            <w:noWrap/>
            <w:vAlign w:val="center"/>
          </w:tcPr>
          <w:p w14:paraId="7562810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方正楷体_GBK" w:cs="方正楷体_GBK"/>
                <w:i w:val="0"/>
                <w:iCs w:val="0"/>
                <w:color w:val="000000"/>
                <w:sz w:val="20"/>
                <w:szCs w:val="20"/>
                <w:u w:val="none"/>
              </w:rPr>
            </w:pPr>
            <w:r>
              <w:rPr>
                <w:rFonts w:hint="eastAsia" w:ascii="Times New Roman" w:hAnsi="Times New Roman" w:eastAsia="方正楷体_GBK" w:cs="方正楷体_GBK"/>
                <w:i w:val="0"/>
                <w:iCs w:val="0"/>
                <w:color w:val="000000"/>
                <w:kern w:val="0"/>
                <w:sz w:val="20"/>
                <w:szCs w:val="20"/>
                <w:u w:val="none"/>
                <w:lang w:val="en-US" w:eastAsia="zh-CN" w:bidi="ar"/>
              </w:rPr>
              <w:t>/</w:t>
            </w:r>
          </w:p>
        </w:tc>
        <w:tc>
          <w:tcPr>
            <w:tcW w:w="623" w:type="pct"/>
            <w:shd w:val="clear" w:color="auto" w:fill="auto"/>
            <w:noWrap/>
            <w:vAlign w:val="center"/>
          </w:tcPr>
          <w:p w14:paraId="571BAA6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方正楷体_GBK" w:cs="方正楷体_GBK"/>
                <w:i w:val="0"/>
                <w:iCs w:val="0"/>
                <w:color w:val="000000"/>
                <w:sz w:val="20"/>
                <w:szCs w:val="20"/>
                <w:u w:val="none"/>
              </w:rPr>
            </w:pPr>
            <w:r>
              <w:rPr>
                <w:rFonts w:hint="eastAsia" w:ascii="Times New Roman" w:hAnsi="Times New Roman" w:eastAsia="方正楷体_GBK" w:cs="方正楷体_GBK"/>
                <w:i w:val="0"/>
                <w:iCs w:val="0"/>
                <w:color w:val="000000"/>
                <w:kern w:val="0"/>
                <w:sz w:val="20"/>
                <w:szCs w:val="20"/>
                <w:u w:val="none"/>
                <w:lang w:val="en-US" w:eastAsia="zh-CN" w:bidi="ar"/>
              </w:rPr>
              <w:t>/</w:t>
            </w:r>
          </w:p>
        </w:tc>
      </w:tr>
    </w:tbl>
    <w:p w14:paraId="621EC57C">
      <w:pPr>
        <w:keepNext w:val="0"/>
        <w:keepLines w:val="0"/>
        <w:pageBreakBefore w:val="0"/>
        <w:widowControl w:val="0"/>
        <w:kinsoku/>
        <w:wordWrap/>
        <w:overflowPunct/>
        <w:topLinePunct w:val="0"/>
        <w:autoSpaceDE/>
        <w:autoSpaceDN/>
        <w:bidi w:val="0"/>
        <w:adjustRightInd/>
        <w:snapToGrid/>
        <w:spacing w:line="240" w:lineRule="auto"/>
        <w:ind w:firstLine="384" w:firstLineChars="200"/>
        <w:jc w:val="both"/>
        <w:textAlignment w:val="auto"/>
        <w:rPr>
          <w:rFonts w:ascii="Times New Roman" w:hAnsi="Times New Roman"/>
          <w:sz w:val="21"/>
        </w:rPr>
      </w:pPr>
      <w:r>
        <w:rPr>
          <w:rFonts w:ascii="Times New Roman" w:hAnsi="Times New Roman"/>
          <w:sz w:val="21"/>
        </w:rPr>
        <w:br w:type="page"/>
      </w:r>
    </w:p>
    <w:p w14:paraId="7B26C95D">
      <w:pPr>
        <w:keepNext w:val="0"/>
        <w:keepLines w:val="0"/>
        <w:pageBreakBefore w:val="0"/>
        <w:widowControl w:val="0"/>
        <w:kinsoku/>
        <w:wordWrap/>
        <w:overflowPunct/>
        <w:topLinePunct w:val="0"/>
        <w:autoSpaceDE/>
        <w:autoSpaceDN/>
        <w:bidi w:val="0"/>
        <w:adjustRightInd/>
        <w:snapToGrid/>
        <w:spacing w:line="240" w:lineRule="auto"/>
        <w:ind w:firstLine="604" w:firstLineChars="200"/>
        <w:jc w:val="both"/>
        <w:textAlignment w:val="auto"/>
        <w:rPr>
          <w:rFonts w:hint="eastAsia" w:ascii="Times New Roman" w:hAnsi="Times New Roman" w:eastAsia="方正楷体_GBK" w:cs="方正楷体_GBK"/>
          <w:color w:val="auto"/>
          <w:sz w:val="32"/>
          <w:szCs w:val="32"/>
          <w:lang w:val="en-US" w:eastAsia="zh-CN"/>
        </w:rPr>
      </w:pPr>
      <w:r>
        <w:rPr>
          <w:rFonts w:hint="eastAsia" w:ascii="Times New Roman" w:hAnsi="Times New Roman" w:eastAsia="方正楷体_GBK" w:cs="方正楷体_GBK"/>
          <w:color w:val="auto"/>
          <w:sz w:val="32"/>
          <w:szCs w:val="32"/>
          <w:lang w:val="en-US" w:eastAsia="zh-CN"/>
        </w:rPr>
        <w:t>3.4 服务要求</w:t>
      </w:r>
    </w:p>
    <w:p w14:paraId="6B1462D9">
      <w:pPr>
        <w:keepNext w:val="0"/>
        <w:keepLines w:val="0"/>
        <w:pageBreakBefore w:val="0"/>
        <w:widowControl w:val="0"/>
        <w:kinsoku/>
        <w:wordWrap/>
        <w:overflowPunct/>
        <w:topLinePunct w:val="0"/>
        <w:autoSpaceDE/>
        <w:autoSpaceDN/>
        <w:bidi w:val="0"/>
        <w:adjustRightInd/>
        <w:snapToGrid/>
        <w:spacing w:line="240" w:lineRule="auto"/>
        <w:ind w:firstLine="604" w:firstLineChars="200"/>
        <w:jc w:val="both"/>
        <w:textAlignment w:val="auto"/>
        <w:rPr>
          <w:rFonts w:hint="eastAsia" w:ascii="Times New Roman" w:hAnsi="Times New Roman" w:eastAsia="方正仿宋_GBK" w:cs="方正仿宋_GBK"/>
          <w:b/>
          <w:bCs/>
          <w:color w:val="auto"/>
          <w:sz w:val="32"/>
          <w:szCs w:val="32"/>
          <w:lang w:val="en-US" w:eastAsia="zh-CN"/>
        </w:rPr>
      </w:pPr>
      <w:r>
        <w:rPr>
          <w:rFonts w:hint="eastAsia" w:ascii="Times New Roman" w:hAnsi="Times New Roman" w:cs="方正仿宋_GBK"/>
          <w:b w:val="0"/>
          <w:bCs w:val="0"/>
          <w:color w:val="auto"/>
          <w:sz w:val="32"/>
          <w:szCs w:val="32"/>
          <w:lang w:val="en-US" w:eastAsia="zh-CN"/>
        </w:rPr>
        <w:t>1</w:t>
      </w:r>
      <w:r>
        <w:rPr>
          <w:rFonts w:hint="default" w:ascii="Times New Roman" w:hAnsi="Times New Roman" w:eastAsia="方正仿宋_GBK" w:cs="方正仿宋_GBK"/>
          <w:sz w:val="32"/>
          <w:szCs w:val="32"/>
          <w:lang w:val="en-US" w:eastAsia="zh-CN"/>
        </w:rPr>
        <w:t>．</w:t>
      </w:r>
      <w:r>
        <w:rPr>
          <w:rFonts w:hint="eastAsia" w:ascii="Times New Roman" w:hAnsi="Times New Roman" w:eastAsia="方正仿宋_GBK" w:cs="方正仿宋_GBK"/>
          <w:b/>
          <w:bCs/>
          <w:color w:val="auto"/>
          <w:sz w:val="32"/>
          <w:szCs w:val="32"/>
          <w:lang w:val="en-US" w:eastAsia="zh-CN"/>
        </w:rPr>
        <w:t>基本要求</w:t>
      </w:r>
    </w:p>
    <w:p w14:paraId="18D41E43">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04" w:firstLineChars="200"/>
        <w:jc w:val="both"/>
        <w:textAlignment w:val="auto"/>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（1）自愿服务。服务必须依据老人意愿开展，不得强制服务。</w:t>
      </w:r>
    </w:p>
    <w:p w14:paraId="58CDF61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604" w:firstLineChars="200"/>
        <w:jc w:val="both"/>
        <w:textAlignment w:val="auto"/>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（2）不得替代。不得以现金或货物等形式替代服务。</w:t>
      </w:r>
    </w:p>
    <w:p w14:paraId="011B56F5">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604" w:firstLineChars="200"/>
        <w:jc w:val="both"/>
        <w:textAlignment w:val="auto"/>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（3）不可转包。不得以任何形式进行转包。</w:t>
      </w:r>
    </w:p>
    <w:p w14:paraId="1B121F1D">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604" w:firstLineChars="200"/>
        <w:jc w:val="both"/>
        <w:textAlignment w:val="auto"/>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（4）服务人员年龄18周岁以上、65周岁以下，持有健康证明。</w:t>
      </w:r>
    </w:p>
    <w:p w14:paraId="597457A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604" w:firstLineChars="200"/>
        <w:jc w:val="both"/>
        <w:textAlignment w:val="auto"/>
        <w:rPr>
          <w:rFonts w:hint="eastAsia" w:ascii="Times New Roman" w:hAnsi="Times New Roman" w:eastAsia="方正仿宋_GBK" w:cs="方正仿宋_GBK"/>
          <w:color w:val="auto"/>
          <w:sz w:val="32"/>
          <w:szCs w:val="32"/>
          <w:highlight w:val="none"/>
          <w:lang w:val="en-US" w:eastAsia="zh-CN"/>
        </w:rPr>
      </w:pPr>
      <w:r>
        <w:rPr>
          <w:rFonts w:hint="eastAsia" w:ascii="Times New Roman" w:hAnsi="Times New Roman" w:eastAsia="方正仿宋_GBK" w:cs="方正仿宋_GBK"/>
          <w:color w:val="auto"/>
          <w:sz w:val="32"/>
          <w:szCs w:val="32"/>
          <w:lang w:val="en-US" w:eastAsia="zh-CN"/>
        </w:rPr>
        <w:t>（5）入围供应商统一纳入“澄颐享”智慧养老服务平台和监管中心，接受平台派单、服务调度及监督管理，服从平台管理运行要求</w:t>
      </w:r>
      <w:r>
        <w:rPr>
          <w:rFonts w:hint="eastAsia" w:ascii="Times New Roman" w:hAnsi="Times New Roman" w:eastAsia="方正仿宋_GBK" w:cs="方正仿宋_GBK"/>
          <w:color w:val="auto"/>
          <w:sz w:val="32"/>
          <w:szCs w:val="32"/>
          <w:highlight w:val="none"/>
          <w:lang w:val="en-US" w:eastAsia="zh-CN"/>
        </w:rPr>
        <w:t>。</w:t>
      </w:r>
      <w:r>
        <w:rPr>
          <w:rFonts w:hint="eastAsia" w:ascii="Times New Roman" w:hAnsi="Times New Roman" w:cs="方正仿宋_GBK"/>
          <w:color w:val="auto"/>
          <w:sz w:val="32"/>
          <w:szCs w:val="32"/>
          <w:highlight w:val="none"/>
          <w:lang w:val="en-US" w:eastAsia="zh-CN"/>
        </w:rPr>
        <w:t>涉及市场部分，</w:t>
      </w:r>
      <w:r>
        <w:rPr>
          <w:rFonts w:hint="eastAsia" w:ascii="Times New Roman" w:hAnsi="Times New Roman" w:eastAsia="方正仿宋_GBK" w:cs="方正仿宋_GBK"/>
          <w:color w:val="auto"/>
          <w:sz w:val="32"/>
          <w:szCs w:val="32"/>
          <w:highlight w:val="none"/>
          <w:lang w:val="en-US" w:eastAsia="zh-CN"/>
        </w:rPr>
        <w:t>平台运营方按照不超过服务工单价格的10%收取服务费。</w:t>
      </w:r>
    </w:p>
    <w:p w14:paraId="72B6DE9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604" w:firstLineChars="200"/>
        <w:jc w:val="both"/>
        <w:textAlignment w:val="auto"/>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w:t>
      </w:r>
      <w:r>
        <w:rPr>
          <w:rFonts w:hint="eastAsia" w:ascii="Times New Roman" w:hAnsi="Times New Roman" w:cs="方正仿宋_GBK"/>
          <w:color w:val="auto"/>
          <w:sz w:val="32"/>
          <w:szCs w:val="32"/>
          <w:lang w:val="en-US" w:eastAsia="zh-CN"/>
        </w:rPr>
        <w:t>6</w:t>
      </w:r>
      <w:r>
        <w:rPr>
          <w:rFonts w:hint="eastAsia" w:ascii="Times New Roman" w:hAnsi="Times New Roman" w:eastAsia="方正仿宋_GBK" w:cs="方正仿宋_GBK"/>
          <w:color w:val="auto"/>
          <w:sz w:val="32"/>
          <w:szCs w:val="32"/>
          <w:lang w:val="en-US" w:eastAsia="zh-CN"/>
        </w:rPr>
        <w:t>）严格执行省、市居家养老上门服务相关政策要求，如有政策调整，按照新的政策执行。</w:t>
      </w:r>
    </w:p>
    <w:p w14:paraId="325FDC86">
      <w:pPr>
        <w:keepNext w:val="0"/>
        <w:keepLines w:val="0"/>
        <w:pageBreakBefore w:val="0"/>
        <w:widowControl w:val="0"/>
        <w:kinsoku/>
        <w:wordWrap/>
        <w:overflowPunct/>
        <w:topLinePunct w:val="0"/>
        <w:autoSpaceDE/>
        <w:autoSpaceDN/>
        <w:bidi w:val="0"/>
        <w:adjustRightInd/>
        <w:snapToGrid/>
        <w:spacing w:line="240" w:lineRule="auto"/>
        <w:ind w:firstLine="604" w:firstLineChars="200"/>
        <w:jc w:val="both"/>
        <w:textAlignment w:val="auto"/>
        <w:rPr>
          <w:rFonts w:hint="eastAsia" w:ascii="Times New Roman" w:hAnsi="Times New Roman" w:eastAsia="方正仿宋_GBK" w:cs="方正仿宋_GBK"/>
          <w:b/>
          <w:bCs/>
          <w:color w:val="auto"/>
          <w:sz w:val="32"/>
          <w:szCs w:val="32"/>
          <w:lang w:val="en-US" w:eastAsia="zh-CN"/>
        </w:rPr>
      </w:pPr>
      <w:r>
        <w:rPr>
          <w:rFonts w:hint="eastAsia" w:ascii="Times New Roman" w:hAnsi="Times New Roman" w:eastAsia="方正仿宋_GBK" w:cs="方正仿宋_GBK"/>
          <w:b w:val="0"/>
          <w:bCs w:val="0"/>
          <w:color w:val="auto"/>
          <w:sz w:val="32"/>
          <w:szCs w:val="32"/>
          <w:lang w:val="en-US" w:eastAsia="zh-CN"/>
        </w:rPr>
        <w:t>2</w:t>
      </w:r>
      <w:r>
        <w:rPr>
          <w:rFonts w:hint="default" w:ascii="Times New Roman" w:hAnsi="Times New Roman" w:eastAsia="方正仿宋_GBK" w:cs="方正仿宋_GBK"/>
          <w:sz w:val="32"/>
          <w:szCs w:val="32"/>
          <w:lang w:val="en-US" w:eastAsia="zh-CN"/>
        </w:rPr>
        <w:t>．</w:t>
      </w:r>
      <w:r>
        <w:rPr>
          <w:rFonts w:hint="eastAsia" w:ascii="Times New Roman" w:hAnsi="Times New Roman" w:eastAsia="方正仿宋_GBK" w:cs="方正仿宋_GBK"/>
          <w:b/>
          <w:bCs/>
          <w:color w:val="auto"/>
          <w:sz w:val="32"/>
          <w:szCs w:val="32"/>
          <w:lang w:val="en-US" w:eastAsia="zh-CN"/>
        </w:rPr>
        <w:t>管理要求</w:t>
      </w:r>
    </w:p>
    <w:p w14:paraId="1C3EB444">
      <w:pPr>
        <w:keepNext w:val="0"/>
        <w:keepLines w:val="0"/>
        <w:pageBreakBefore w:val="0"/>
        <w:widowControl w:val="0"/>
        <w:kinsoku/>
        <w:wordWrap/>
        <w:overflowPunct/>
        <w:topLinePunct w:val="0"/>
        <w:autoSpaceDE/>
        <w:autoSpaceDN/>
        <w:bidi w:val="0"/>
        <w:adjustRightInd/>
        <w:snapToGrid/>
        <w:spacing w:line="240" w:lineRule="auto"/>
        <w:ind w:firstLine="604" w:firstLineChars="200"/>
        <w:jc w:val="both"/>
        <w:textAlignment w:val="auto"/>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（1）流程要求</w:t>
      </w:r>
      <w:r>
        <w:rPr>
          <w:rFonts w:hint="eastAsia" w:ascii="Times New Roman" w:hAnsi="Times New Roman" w:cs="方正仿宋_GBK"/>
          <w:color w:val="auto"/>
          <w:sz w:val="32"/>
          <w:szCs w:val="32"/>
          <w:lang w:val="en-US" w:eastAsia="zh-CN"/>
        </w:rPr>
        <w:t>：</w:t>
      </w:r>
      <w:r>
        <w:rPr>
          <w:rFonts w:hint="eastAsia" w:ascii="Times New Roman" w:hAnsi="Times New Roman" w:eastAsia="方正仿宋_GBK" w:cs="方正仿宋_GBK"/>
          <w:color w:val="auto"/>
          <w:sz w:val="32"/>
          <w:szCs w:val="32"/>
          <w:lang w:val="en-US" w:eastAsia="zh-CN"/>
        </w:rPr>
        <w:t>需按照《江阴市居家养老援助服务实施办法》《居家养老援助服务规范》等文件要求规范服务人员上门服务流程，并严格按照标准进行服务。</w:t>
      </w:r>
    </w:p>
    <w:p w14:paraId="220E4D27">
      <w:pPr>
        <w:keepNext w:val="0"/>
        <w:keepLines w:val="0"/>
        <w:pageBreakBefore w:val="0"/>
        <w:widowControl w:val="0"/>
        <w:kinsoku/>
        <w:wordWrap/>
        <w:overflowPunct/>
        <w:topLinePunct w:val="0"/>
        <w:autoSpaceDE/>
        <w:autoSpaceDN/>
        <w:bidi w:val="0"/>
        <w:adjustRightInd/>
        <w:snapToGrid/>
        <w:spacing w:line="240" w:lineRule="auto"/>
        <w:ind w:firstLine="604" w:firstLineChars="200"/>
        <w:jc w:val="both"/>
        <w:textAlignment w:val="auto"/>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（2）培训要求</w:t>
      </w:r>
      <w:r>
        <w:rPr>
          <w:rFonts w:hint="eastAsia" w:ascii="Times New Roman" w:hAnsi="Times New Roman" w:cs="方正仿宋_GBK"/>
          <w:color w:val="auto"/>
          <w:sz w:val="32"/>
          <w:szCs w:val="32"/>
          <w:lang w:val="en-US" w:eastAsia="zh-CN"/>
        </w:rPr>
        <w:t>：</w:t>
      </w:r>
      <w:r>
        <w:rPr>
          <w:rFonts w:hint="eastAsia" w:ascii="Times New Roman" w:hAnsi="Times New Roman" w:eastAsia="方正仿宋_GBK" w:cs="方正仿宋_GBK"/>
          <w:color w:val="auto"/>
          <w:sz w:val="32"/>
          <w:szCs w:val="32"/>
          <w:lang w:val="en-US" w:eastAsia="zh-CN"/>
        </w:rPr>
        <w:t>开展服务前，所有一线服务人员必须取得相应服务的职业证书，持证上岗率须达到100%。（特殊工种按照特殊工种的要求进行相关培训）</w:t>
      </w:r>
    </w:p>
    <w:p w14:paraId="122BB417">
      <w:pPr>
        <w:keepNext w:val="0"/>
        <w:keepLines w:val="0"/>
        <w:pageBreakBefore w:val="0"/>
        <w:widowControl w:val="0"/>
        <w:kinsoku/>
        <w:wordWrap/>
        <w:overflowPunct/>
        <w:topLinePunct w:val="0"/>
        <w:autoSpaceDE/>
        <w:autoSpaceDN/>
        <w:bidi w:val="0"/>
        <w:adjustRightInd/>
        <w:snapToGrid/>
        <w:spacing w:line="240" w:lineRule="auto"/>
        <w:ind w:firstLine="604" w:firstLineChars="200"/>
        <w:jc w:val="both"/>
        <w:textAlignment w:val="auto"/>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（3）应急处置</w:t>
      </w:r>
      <w:r>
        <w:rPr>
          <w:rFonts w:hint="eastAsia" w:ascii="Times New Roman" w:hAnsi="Times New Roman" w:cs="方正仿宋_GBK"/>
          <w:color w:val="auto"/>
          <w:sz w:val="32"/>
          <w:szCs w:val="32"/>
          <w:lang w:val="en-US" w:eastAsia="zh-CN"/>
        </w:rPr>
        <w:t>：</w:t>
      </w:r>
      <w:r>
        <w:rPr>
          <w:rFonts w:hint="eastAsia" w:ascii="Times New Roman" w:hAnsi="Times New Roman" w:eastAsia="方正仿宋_GBK" w:cs="方正仿宋_GBK"/>
          <w:color w:val="auto"/>
          <w:sz w:val="32"/>
          <w:szCs w:val="32"/>
          <w:lang w:val="en-US" w:eastAsia="zh-CN"/>
        </w:rPr>
        <w:t xml:space="preserve">需加强对服务人员的安全应急处置管理，完善安全管理应急处置制度和流程。  </w:t>
      </w:r>
    </w:p>
    <w:p w14:paraId="48A25903">
      <w:pPr>
        <w:keepNext w:val="0"/>
        <w:keepLines w:val="0"/>
        <w:pageBreakBefore w:val="0"/>
        <w:widowControl w:val="0"/>
        <w:kinsoku/>
        <w:wordWrap/>
        <w:overflowPunct/>
        <w:topLinePunct w:val="0"/>
        <w:autoSpaceDE/>
        <w:autoSpaceDN/>
        <w:bidi w:val="0"/>
        <w:adjustRightInd/>
        <w:snapToGrid/>
        <w:spacing w:line="240" w:lineRule="auto"/>
        <w:ind w:firstLine="604" w:firstLineChars="200"/>
        <w:jc w:val="both"/>
        <w:textAlignment w:val="auto"/>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（4）需配备开展服务项目所需工具设备，服务人员必须按民政要求统一着装，并统一佩戴工作牌。</w:t>
      </w:r>
    </w:p>
    <w:p w14:paraId="7731DC68">
      <w:pPr>
        <w:keepNext w:val="0"/>
        <w:keepLines w:val="0"/>
        <w:pageBreakBefore w:val="0"/>
        <w:widowControl w:val="0"/>
        <w:kinsoku/>
        <w:wordWrap/>
        <w:overflowPunct/>
        <w:topLinePunct w:val="0"/>
        <w:autoSpaceDE/>
        <w:autoSpaceDN/>
        <w:bidi w:val="0"/>
        <w:adjustRightInd/>
        <w:snapToGrid/>
        <w:spacing w:line="240" w:lineRule="auto"/>
        <w:ind w:firstLine="604" w:firstLineChars="200"/>
        <w:jc w:val="both"/>
        <w:textAlignment w:val="auto"/>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（5）信息维护</w:t>
      </w:r>
      <w:r>
        <w:rPr>
          <w:rFonts w:hint="eastAsia" w:ascii="Times New Roman" w:hAnsi="Times New Roman" w:cs="方正仿宋_GBK"/>
          <w:color w:val="auto"/>
          <w:sz w:val="32"/>
          <w:szCs w:val="32"/>
          <w:lang w:val="en-US" w:eastAsia="zh-CN"/>
        </w:rPr>
        <w:t>：</w:t>
      </w:r>
      <w:r>
        <w:rPr>
          <w:rFonts w:hint="eastAsia" w:ascii="Times New Roman" w:hAnsi="Times New Roman" w:eastAsia="方正仿宋_GBK" w:cs="方正仿宋_GBK"/>
          <w:color w:val="auto"/>
          <w:sz w:val="32"/>
          <w:szCs w:val="32"/>
          <w:lang w:val="en-US" w:eastAsia="zh-CN"/>
        </w:rPr>
        <w:t>中标单位要对系统平台中服务对象等数据进行动态维护并安排专人负责。</w:t>
      </w:r>
    </w:p>
    <w:p w14:paraId="6C63B512">
      <w:pPr>
        <w:keepNext w:val="0"/>
        <w:keepLines w:val="0"/>
        <w:pageBreakBefore w:val="0"/>
        <w:widowControl w:val="0"/>
        <w:kinsoku/>
        <w:wordWrap/>
        <w:overflowPunct/>
        <w:topLinePunct w:val="0"/>
        <w:autoSpaceDE/>
        <w:autoSpaceDN/>
        <w:bidi w:val="0"/>
        <w:adjustRightInd/>
        <w:snapToGrid/>
        <w:spacing w:line="240" w:lineRule="auto"/>
        <w:ind w:firstLine="604" w:firstLineChars="200"/>
        <w:jc w:val="both"/>
        <w:textAlignment w:val="auto"/>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（6）数据保密</w:t>
      </w:r>
      <w:r>
        <w:rPr>
          <w:rFonts w:hint="eastAsia" w:ascii="Times New Roman" w:hAnsi="Times New Roman" w:cs="方正仿宋_GBK"/>
          <w:color w:val="auto"/>
          <w:sz w:val="32"/>
          <w:szCs w:val="32"/>
          <w:lang w:val="en-US" w:eastAsia="zh-CN"/>
        </w:rPr>
        <w:t>：</w:t>
      </w:r>
      <w:r>
        <w:rPr>
          <w:rFonts w:hint="eastAsia" w:ascii="Times New Roman" w:hAnsi="Times New Roman" w:eastAsia="方正仿宋_GBK" w:cs="方正仿宋_GBK"/>
          <w:color w:val="auto"/>
          <w:sz w:val="32"/>
          <w:szCs w:val="32"/>
          <w:lang w:val="en-US" w:eastAsia="zh-CN"/>
        </w:rPr>
        <w:t>不得违反法律规定及征集人管理要求擅自处理、使用、泄露系统中的老年人数据信息或将数据挪作他用。</w:t>
      </w:r>
    </w:p>
    <w:p w14:paraId="729F76DE">
      <w:pPr>
        <w:keepNext w:val="0"/>
        <w:keepLines w:val="0"/>
        <w:pageBreakBefore w:val="0"/>
        <w:widowControl w:val="0"/>
        <w:kinsoku/>
        <w:wordWrap/>
        <w:overflowPunct/>
        <w:topLinePunct w:val="0"/>
        <w:autoSpaceDE/>
        <w:autoSpaceDN/>
        <w:bidi w:val="0"/>
        <w:adjustRightInd/>
        <w:snapToGrid/>
        <w:spacing w:line="240" w:lineRule="auto"/>
        <w:ind w:firstLine="604" w:firstLineChars="200"/>
        <w:jc w:val="both"/>
        <w:textAlignment w:val="auto"/>
        <w:rPr>
          <w:rFonts w:hint="eastAsia" w:ascii="Times New Roman" w:hAnsi="Times New Roman" w:eastAsia="方正仿宋_GBK" w:cs="方正仿宋_GBK"/>
          <w:b/>
          <w:bCs/>
          <w:color w:val="auto"/>
          <w:sz w:val="32"/>
          <w:szCs w:val="32"/>
          <w:lang w:val="en-US" w:eastAsia="zh-CN"/>
        </w:rPr>
      </w:pPr>
      <w:r>
        <w:rPr>
          <w:rFonts w:hint="eastAsia" w:ascii="Times New Roman" w:hAnsi="Times New Roman" w:eastAsia="方正仿宋_GBK" w:cs="方正仿宋_GBK"/>
          <w:color w:val="auto"/>
          <w:sz w:val="32"/>
          <w:szCs w:val="32"/>
          <w:lang w:val="en-US" w:eastAsia="zh-CN"/>
        </w:rPr>
        <w:t>3</w:t>
      </w:r>
      <w:r>
        <w:rPr>
          <w:rFonts w:hint="default" w:ascii="Times New Roman" w:hAnsi="Times New Roman" w:eastAsia="方正仿宋_GBK" w:cs="方正仿宋_GBK"/>
          <w:sz w:val="32"/>
          <w:szCs w:val="32"/>
          <w:lang w:val="en-US" w:eastAsia="zh-CN"/>
        </w:rPr>
        <w:t>．</w:t>
      </w:r>
      <w:r>
        <w:rPr>
          <w:rFonts w:hint="eastAsia" w:ascii="Times New Roman" w:hAnsi="Times New Roman" w:eastAsia="方正仿宋_GBK" w:cs="方正仿宋_GBK"/>
          <w:b/>
          <w:bCs/>
          <w:color w:val="auto"/>
          <w:sz w:val="32"/>
          <w:szCs w:val="32"/>
          <w:lang w:val="en-US" w:eastAsia="zh-CN"/>
        </w:rPr>
        <w:t>服务保障要求办公地点</w:t>
      </w:r>
    </w:p>
    <w:p w14:paraId="7B5D1D4E">
      <w:pPr>
        <w:keepNext w:val="0"/>
        <w:keepLines w:val="0"/>
        <w:pageBreakBefore w:val="0"/>
        <w:widowControl w:val="0"/>
        <w:kinsoku/>
        <w:wordWrap/>
        <w:overflowPunct/>
        <w:topLinePunct w:val="0"/>
        <w:autoSpaceDE/>
        <w:autoSpaceDN/>
        <w:bidi w:val="0"/>
        <w:adjustRightInd/>
        <w:snapToGrid/>
        <w:spacing w:line="240" w:lineRule="auto"/>
        <w:ind w:firstLine="604" w:firstLineChars="200"/>
        <w:jc w:val="both"/>
        <w:textAlignment w:val="auto"/>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入围后，需在江阴市设立面积不得少于30平方米的办公点，按照市民政局要求满足开展居家养老援助服务项目的日常管理的工作。</w:t>
      </w:r>
    </w:p>
    <w:p w14:paraId="69449DD4">
      <w:pPr>
        <w:keepNext w:val="0"/>
        <w:keepLines w:val="0"/>
        <w:pageBreakBefore w:val="0"/>
        <w:widowControl w:val="0"/>
        <w:kinsoku/>
        <w:wordWrap/>
        <w:overflowPunct/>
        <w:topLinePunct w:val="0"/>
        <w:autoSpaceDE/>
        <w:autoSpaceDN/>
        <w:bidi w:val="0"/>
        <w:adjustRightInd/>
        <w:snapToGrid/>
        <w:spacing w:line="240" w:lineRule="auto"/>
        <w:ind w:firstLine="604" w:firstLineChars="200"/>
        <w:jc w:val="both"/>
        <w:textAlignment w:val="auto"/>
        <w:rPr>
          <w:rFonts w:hint="eastAsia" w:ascii="Times New Roman" w:hAnsi="Times New Roman" w:eastAsia="方正黑体_GBK" w:cs="方正黑体_GBK"/>
          <w:sz w:val="32"/>
          <w:szCs w:val="32"/>
        </w:rPr>
      </w:pPr>
      <w:r>
        <w:rPr>
          <w:rFonts w:hint="eastAsia" w:ascii="Times New Roman" w:hAnsi="Times New Roman" w:eastAsia="方正黑体_GBK" w:cs="方正黑体_GBK"/>
          <w:sz w:val="32"/>
          <w:szCs w:val="32"/>
        </w:rPr>
        <w:t>四、服务模式与平台要求</w:t>
      </w:r>
    </w:p>
    <w:p w14:paraId="6651E2E9">
      <w:pPr>
        <w:keepNext w:val="0"/>
        <w:keepLines w:val="0"/>
        <w:pageBreakBefore w:val="0"/>
        <w:widowControl w:val="0"/>
        <w:kinsoku/>
        <w:wordWrap/>
        <w:overflowPunct/>
        <w:topLinePunct w:val="0"/>
        <w:autoSpaceDE/>
        <w:autoSpaceDN/>
        <w:bidi w:val="0"/>
        <w:adjustRightInd/>
        <w:snapToGrid/>
        <w:spacing w:line="240" w:lineRule="auto"/>
        <w:ind w:firstLine="604" w:firstLineChars="200"/>
        <w:jc w:val="both"/>
        <w:textAlignment w:val="auto"/>
        <w:rPr>
          <w:rFonts w:hint="eastAsia" w:ascii="Times New Roman" w:hAnsi="Times New Roman" w:eastAsia="方正楷体_GBK" w:cs="方正楷体_GBK"/>
          <w:sz w:val="32"/>
          <w:szCs w:val="32"/>
        </w:rPr>
      </w:pPr>
      <w:r>
        <w:rPr>
          <w:rFonts w:hint="eastAsia" w:ascii="Times New Roman" w:hAnsi="Times New Roman" w:eastAsia="方正楷体_GBK" w:cs="方正楷体_GBK"/>
          <w:sz w:val="32"/>
          <w:szCs w:val="32"/>
        </w:rPr>
        <w:t>4.1 服务模式</w:t>
      </w:r>
    </w:p>
    <w:p w14:paraId="4D15BD8E">
      <w:pPr>
        <w:keepNext w:val="0"/>
        <w:keepLines w:val="0"/>
        <w:pageBreakBefore w:val="0"/>
        <w:widowControl w:val="0"/>
        <w:kinsoku/>
        <w:wordWrap/>
        <w:overflowPunct/>
        <w:topLinePunct w:val="0"/>
        <w:autoSpaceDE/>
        <w:autoSpaceDN/>
        <w:bidi w:val="0"/>
        <w:adjustRightInd/>
        <w:snapToGrid/>
        <w:spacing w:line="240" w:lineRule="auto"/>
        <w:ind w:firstLine="604" w:firstLineChars="200"/>
        <w:jc w:val="both"/>
        <w:textAlignment w:val="auto"/>
        <w:rPr>
          <w:rFonts w:hint="eastAsia" w:ascii="Times New Roman" w:hAnsi="Times New Roman" w:eastAsia="方正仿宋_GBK" w:cs="方正仿宋_GBK"/>
          <w:sz w:val="32"/>
          <w:szCs w:val="32"/>
          <w:lang w:eastAsia="zh-CN"/>
        </w:rPr>
      </w:pPr>
      <w:r>
        <w:rPr>
          <w:rFonts w:hint="eastAsia" w:ascii="Times New Roman" w:hAnsi="Times New Roman" w:eastAsia="方正仿宋_GBK" w:cs="方正仿宋_GBK"/>
          <w:sz w:val="32"/>
          <w:szCs w:val="32"/>
        </w:rPr>
        <w:t>实行老人点单的自主消费模式，老年人自主选择服务机构、服务项目</w:t>
      </w:r>
      <w:r>
        <w:rPr>
          <w:rFonts w:hint="eastAsia" w:ascii="Times New Roman" w:hAnsi="Times New Roman" w:eastAsia="方正仿宋_GBK" w:cs="方正仿宋_GBK"/>
          <w:sz w:val="32"/>
          <w:szCs w:val="32"/>
          <w:lang w:eastAsia="zh-CN"/>
        </w:rPr>
        <w:t>。</w:t>
      </w:r>
    </w:p>
    <w:p w14:paraId="3F9CBB7E">
      <w:pPr>
        <w:keepNext w:val="0"/>
        <w:keepLines w:val="0"/>
        <w:pageBreakBefore w:val="0"/>
        <w:widowControl w:val="0"/>
        <w:kinsoku/>
        <w:wordWrap/>
        <w:overflowPunct/>
        <w:topLinePunct w:val="0"/>
        <w:autoSpaceDE/>
        <w:autoSpaceDN/>
        <w:bidi w:val="0"/>
        <w:adjustRightInd/>
        <w:snapToGrid/>
        <w:spacing w:line="240" w:lineRule="auto"/>
        <w:ind w:firstLine="604" w:firstLineChars="200"/>
        <w:jc w:val="both"/>
        <w:textAlignment w:val="auto"/>
        <w:rPr>
          <w:rFonts w:hint="eastAsia" w:ascii="Times New Roman" w:hAnsi="Times New Roman" w:eastAsia="方正楷体_GBK" w:cs="方正楷体_GBK"/>
          <w:sz w:val="32"/>
          <w:szCs w:val="32"/>
        </w:rPr>
      </w:pPr>
      <w:r>
        <w:rPr>
          <w:rFonts w:hint="eastAsia" w:ascii="Times New Roman" w:hAnsi="Times New Roman" w:eastAsia="方正楷体_GBK" w:cs="方正楷体_GBK"/>
          <w:sz w:val="32"/>
          <w:szCs w:val="32"/>
        </w:rPr>
        <w:t>4.2 平台要求</w:t>
      </w:r>
    </w:p>
    <w:p w14:paraId="62BA1249">
      <w:pPr>
        <w:keepNext w:val="0"/>
        <w:keepLines w:val="0"/>
        <w:pageBreakBefore w:val="0"/>
        <w:widowControl w:val="0"/>
        <w:kinsoku/>
        <w:wordWrap/>
        <w:overflowPunct/>
        <w:topLinePunct w:val="0"/>
        <w:autoSpaceDE/>
        <w:autoSpaceDN/>
        <w:bidi w:val="0"/>
        <w:adjustRightInd/>
        <w:snapToGrid/>
        <w:spacing w:line="240" w:lineRule="auto"/>
        <w:ind w:firstLine="604" w:firstLineChars="200"/>
        <w:jc w:val="both"/>
        <w:textAlignment w:val="auto"/>
        <w:rPr>
          <w:rFonts w:hint="eastAsia" w:ascii="Times New Roman" w:hAnsi="Times New Roman" w:eastAsia="方正仿宋_GBK" w:cs="方正仿宋_GBK"/>
          <w:sz w:val="32"/>
          <w:szCs w:val="32"/>
        </w:rPr>
      </w:pPr>
      <w:r>
        <w:rPr>
          <w:rFonts w:hint="eastAsia" w:ascii="Times New Roman" w:hAnsi="Times New Roman" w:cs="方正仿宋_GBK"/>
          <w:b w:val="0"/>
          <w:bCs w:val="0"/>
          <w:sz w:val="32"/>
          <w:szCs w:val="32"/>
          <w:lang w:val="en-US" w:eastAsia="zh-CN"/>
        </w:rPr>
        <w:t>1</w:t>
      </w:r>
      <w:r>
        <w:rPr>
          <w:rFonts w:hint="default" w:ascii="Times New Roman" w:hAnsi="Times New Roman" w:eastAsia="方正仿宋_GBK" w:cs="方正仿宋_GBK"/>
          <w:sz w:val="32"/>
          <w:szCs w:val="32"/>
          <w:lang w:val="en-US" w:eastAsia="zh-CN"/>
        </w:rPr>
        <w:t>．</w:t>
      </w:r>
      <w:r>
        <w:rPr>
          <w:rFonts w:hint="eastAsia" w:ascii="Times New Roman" w:hAnsi="Times New Roman" w:eastAsia="方正仿宋_GBK" w:cs="方正仿宋_GBK"/>
          <w:b/>
          <w:bCs/>
          <w:sz w:val="32"/>
          <w:szCs w:val="32"/>
        </w:rPr>
        <w:t>平台接入</w:t>
      </w:r>
      <w:r>
        <w:rPr>
          <w:rFonts w:hint="eastAsia" w:ascii="Times New Roman" w:hAnsi="Times New Roman" w:eastAsia="方正仿宋_GBK" w:cs="方正仿宋_GBK"/>
          <w:sz w:val="32"/>
          <w:szCs w:val="32"/>
        </w:rPr>
        <w:t>：服务机构应接入“澄颐享”智慧养老综合服务平台，实现全市服务机构、助老员、服务站点“一图可视、一网统管”。</w:t>
      </w:r>
    </w:p>
    <w:p w14:paraId="4432C496">
      <w:pPr>
        <w:keepNext w:val="0"/>
        <w:keepLines w:val="0"/>
        <w:pageBreakBefore w:val="0"/>
        <w:widowControl w:val="0"/>
        <w:kinsoku/>
        <w:wordWrap/>
        <w:overflowPunct/>
        <w:topLinePunct w:val="0"/>
        <w:autoSpaceDE/>
        <w:autoSpaceDN/>
        <w:bidi w:val="0"/>
        <w:adjustRightInd/>
        <w:snapToGrid/>
        <w:spacing w:line="240" w:lineRule="auto"/>
        <w:ind w:firstLine="604" w:firstLineChars="200"/>
        <w:jc w:val="both"/>
        <w:textAlignment w:val="auto"/>
        <w:rPr>
          <w:rFonts w:hint="eastAsia" w:ascii="Times New Roman" w:hAnsi="Times New Roman" w:eastAsia="方正仿宋_GBK" w:cs="方正仿宋_GBK"/>
          <w:sz w:val="32"/>
          <w:szCs w:val="32"/>
        </w:rPr>
      </w:pPr>
      <w:r>
        <w:rPr>
          <w:rFonts w:hint="eastAsia" w:ascii="Times New Roman" w:hAnsi="Times New Roman" w:cs="方正仿宋_GBK"/>
          <w:b w:val="0"/>
          <w:bCs w:val="0"/>
          <w:sz w:val="32"/>
          <w:szCs w:val="32"/>
          <w:lang w:val="en-US" w:eastAsia="zh-CN"/>
        </w:rPr>
        <w:t>2</w:t>
      </w:r>
      <w:r>
        <w:rPr>
          <w:rFonts w:hint="default" w:ascii="Times New Roman" w:hAnsi="Times New Roman" w:eastAsia="方正仿宋_GBK" w:cs="方正仿宋_GBK"/>
          <w:sz w:val="32"/>
          <w:szCs w:val="32"/>
          <w:lang w:val="en-US" w:eastAsia="zh-CN"/>
        </w:rPr>
        <w:t>．</w:t>
      </w:r>
      <w:r>
        <w:rPr>
          <w:rFonts w:hint="eastAsia" w:ascii="Times New Roman" w:hAnsi="Times New Roman" w:eastAsia="方正仿宋_GBK" w:cs="方正仿宋_GBK"/>
          <w:b/>
          <w:bCs/>
          <w:sz w:val="32"/>
          <w:szCs w:val="32"/>
        </w:rPr>
        <w:t>平台功能</w:t>
      </w:r>
      <w:r>
        <w:rPr>
          <w:rFonts w:hint="eastAsia" w:ascii="Times New Roman" w:hAnsi="Times New Roman" w:eastAsia="方正仿宋_GBK" w:cs="方正仿宋_GBK"/>
          <w:sz w:val="32"/>
          <w:szCs w:val="32"/>
        </w:rPr>
        <w:t>：平台支持以下主要功能：</w:t>
      </w:r>
    </w:p>
    <w:p w14:paraId="3BAFB66E">
      <w:pPr>
        <w:keepNext w:val="0"/>
        <w:keepLines w:val="0"/>
        <w:pageBreakBefore w:val="0"/>
        <w:widowControl w:val="0"/>
        <w:kinsoku/>
        <w:wordWrap/>
        <w:overflowPunct/>
        <w:topLinePunct w:val="0"/>
        <w:autoSpaceDE/>
        <w:autoSpaceDN/>
        <w:bidi w:val="0"/>
        <w:adjustRightInd/>
        <w:snapToGrid/>
        <w:spacing w:line="240" w:lineRule="auto"/>
        <w:ind w:firstLine="604" w:firstLineChars="200"/>
        <w:jc w:val="both"/>
        <w:textAlignment w:val="auto"/>
        <w:rPr>
          <w:rFonts w:hint="eastAsia" w:ascii="Times New Roman" w:hAnsi="Times New Roman" w:eastAsia="方正仿宋_GBK" w:cs="方正仿宋_GBK"/>
          <w:sz w:val="32"/>
          <w:szCs w:val="32"/>
        </w:rPr>
      </w:pPr>
      <w:r>
        <w:rPr>
          <w:rFonts w:hint="eastAsia" w:ascii="Times New Roman" w:hAnsi="Times New Roman" w:cs="方正仿宋_GBK"/>
          <w:sz w:val="32"/>
          <w:szCs w:val="32"/>
          <w:lang w:eastAsia="zh-CN"/>
        </w:rPr>
        <w:t>（</w:t>
      </w:r>
      <w:r>
        <w:rPr>
          <w:rFonts w:hint="eastAsia" w:ascii="Times New Roman" w:hAnsi="Times New Roman" w:cs="方正仿宋_GBK"/>
          <w:sz w:val="32"/>
          <w:szCs w:val="32"/>
          <w:lang w:val="en-US" w:eastAsia="zh-CN"/>
        </w:rPr>
        <w:t>1</w:t>
      </w:r>
      <w:r>
        <w:rPr>
          <w:rFonts w:hint="eastAsia" w:ascii="Times New Roman" w:hAnsi="Times New Roman" w:cs="方正仿宋_GBK"/>
          <w:sz w:val="32"/>
          <w:szCs w:val="32"/>
          <w:lang w:eastAsia="zh-CN"/>
        </w:rPr>
        <w:t>）</w:t>
      </w:r>
      <w:r>
        <w:rPr>
          <w:rFonts w:hint="eastAsia" w:ascii="Times New Roman" w:hAnsi="Times New Roman" w:eastAsia="方正仿宋_GBK" w:cs="方正仿宋_GBK"/>
          <w:sz w:val="32"/>
          <w:szCs w:val="32"/>
        </w:rPr>
        <w:t>服务预约：支持老年人通过“最江阴”APP、“澄颐享”微信小程序、88012349服务热线等多渠道自主预约服务。</w:t>
      </w:r>
    </w:p>
    <w:p w14:paraId="008FB4A8">
      <w:pPr>
        <w:keepNext w:val="0"/>
        <w:keepLines w:val="0"/>
        <w:pageBreakBefore w:val="0"/>
        <w:widowControl w:val="0"/>
        <w:kinsoku/>
        <w:wordWrap/>
        <w:overflowPunct/>
        <w:topLinePunct w:val="0"/>
        <w:autoSpaceDE/>
        <w:autoSpaceDN/>
        <w:bidi w:val="0"/>
        <w:adjustRightInd/>
        <w:snapToGrid/>
        <w:spacing w:line="240" w:lineRule="auto"/>
        <w:ind w:firstLine="604" w:firstLineChars="200"/>
        <w:jc w:val="both"/>
        <w:textAlignment w:val="auto"/>
        <w:rPr>
          <w:rFonts w:hint="eastAsia" w:ascii="Times New Roman" w:hAnsi="Times New Roman" w:eastAsia="方正仿宋_GBK" w:cs="方正仿宋_GBK"/>
          <w:sz w:val="32"/>
          <w:szCs w:val="32"/>
        </w:rPr>
      </w:pPr>
      <w:r>
        <w:rPr>
          <w:rFonts w:hint="eastAsia" w:ascii="Times New Roman" w:hAnsi="Times New Roman" w:cs="方正仿宋_GBK"/>
          <w:sz w:val="32"/>
          <w:szCs w:val="32"/>
          <w:lang w:eastAsia="zh-CN"/>
        </w:rPr>
        <w:t>（</w:t>
      </w:r>
      <w:r>
        <w:rPr>
          <w:rFonts w:hint="eastAsia" w:ascii="Times New Roman" w:hAnsi="Times New Roman" w:cs="方正仿宋_GBK"/>
          <w:sz w:val="32"/>
          <w:szCs w:val="32"/>
          <w:lang w:val="en-US" w:eastAsia="zh-CN"/>
        </w:rPr>
        <w:t>2</w:t>
      </w:r>
      <w:r>
        <w:rPr>
          <w:rFonts w:hint="eastAsia" w:ascii="Times New Roman" w:hAnsi="Times New Roman" w:cs="方正仿宋_GBK"/>
          <w:sz w:val="32"/>
          <w:szCs w:val="32"/>
          <w:lang w:eastAsia="zh-CN"/>
        </w:rPr>
        <w:t>）</w:t>
      </w:r>
      <w:r>
        <w:rPr>
          <w:rFonts w:hint="eastAsia" w:ascii="Times New Roman" w:hAnsi="Times New Roman" w:eastAsia="方正仿宋_GBK" w:cs="方正仿宋_GBK"/>
          <w:sz w:val="32"/>
          <w:szCs w:val="32"/>
        </w:rPr>
        <w:t>服务派单：平台依据服务商的服务能力、服务质量、地理位置等因素，智能匹配派单。</w:t>
      </w:r>
    </w:p>
    <w:p w14:paraId="458B9D66">
      <w:pPr>
        <w:keepNext w:val="0"/>
        <w:keepLines w:val="0"/>
        <w:pageBreakBefore w:val="0"/>
        <w:widowControl w:val="0"/>
        <w:kinsoku/>
        <w:wordWrap/>
        <w:overflowPunct/>
        <w:topLinePunct w:val="0"/>
        <w:autoSpaceDE/>
        <w:autoSpaceDN/>
        <w:bidi w:val="0"/>
        <w:adjustRightInd/>
        <w:snapToGrid/>
        <w:spacing w:line="240" w:lineRule="auto"/>
        <w:ind w:firstLine="604" w:firstLineChars="200"/>
        <w:jc w:val="both"/>
        <w:textAlignment w:val="auto"/>
        <w:rPr>
          <w:rFonts w:hint="eastAsia" w:ascii="Times New Roman" w:hAnsi="Times New Roman" w:eastAsia="方正仿宋_GBK" w:cs="方正仿宋_GBK"/>
          <w:sz w:val="32"/>
          <w:szCs w:val="32"/>
        </w:rPr>
      </w:pPr>
      <w:r>
        <w:rPr>
          <w:rFonts w:hint="eastAsia" w:ascii="Times New Roman" w:hAnsi="Times New Roman" w:cs="方正仿宋_GBK"/>
          <w:sz w:val="32"/>
          <w:szCs w:val="32"/>
          <w:lang w:eastAsia="zh-CN"/>
        </w:rPr>
        <w:t>（</w:t>
      </w:r>
      <w:r>
        <w:rPr>
          <w:rFonts w:hint="eastAsia" w:ascii="Times New Roman" w:hAnsi="Times New Roman" w:cs="方正仿宋_GBK"/>
          <w:sz w:val="32"/>
          <w:szCs w:val="32"/>
          <w:lang w:val="en-US" w:eastAsia="zh-CN"/>
        </w:rPr>
        <w:t>3</w:t>
      </w:r>
      <w:r>
        <w:rPr>
          <w:rFonts w:hint="eastAsia" w:ascii="Times New Roman" w:hAnsi="Times New Roman" w:cs="方正仿宋_GBK"/>
          <w:sz w:val="32"/>
          <w:szCs w:val="32"/>
          <w:lang w:eastAsia="zh-CN"/>
        </w:rPr>
        <w:t>）</w:t>
      </w:r>
      <w:r>
        <w:rPr>
          <w:rFonts w:hint="eastAsia" w:ascii="Times New Roman" w:hAnsi="Times New Roman" w:eastAsia="方正仿宋_GBK" w:cs="方正仿宋_GBK"/>
          <w:sz w:val="32"/>
          <w:szCs w:val="32"/>
        </w:rPr>
        <w:t>过程管理：服务人员上门需定位签到，服务过程需拍照留痕。</w:t>
      </w:r>
    </w:p>
    <w:p w14:paraId="43ADC053">
      <w:pPr>
        <w:keepNext w:val="0"/>
        <w:keepLines w:val="0"/>
        <w:pageBreakBefore w:val="0"/>
        <w:widowControl w:val="0"/>
        <w:kinsoku/>
        <w:wordWrap/>
        <w:overflowPunct/>
        <w:topLinePunct w:val="0"/>
        <w:autoSpaceDE/>
        <w:autoSpaceDN/>
        <w:bidi w:val="0"/>
        <w:adjustRightInd/>
        <w:snapToGrid/>
        <w:spacing w:line="240" w:lineRule="auto"/>
        <w:ind w:firstLine="604" w:firstLineChars="200"/>
        <w:jc w:val="both"/>
        <w:textAlignment w:val="auto"/>
        <w:rPr>
          <w:rFonts w:hint="eastAsia" w:ascii="Times New Roman" w:hAnsi="Times New Roman" w:eastAsia="方正仿宋_GBK" w:cs="方正仿宋_GBK"/>
          <w:sz w:val="32"/>
          <w:szCs w:val="32"/>
        </w:rPr>
      </w:pPr>
      <w:r>
        <w:rPr>
          <w:rFonts w:hint="eastAsia" w:ascii="Times New Roman" w:hAnsi="Times New Roman" w:cs="方正仿宋_GBK"/>
          <w:sz w:val="32"/>
          <w:szCs w:val="32"/>
          <w:lang w:eastAsia="zh-CN"/>
        </w:rPr>
        <w:t>（</w:t>
      </w:r>
      <w:r>
        <w:rPr>
          <w:rFonts w:hint="eastAsia" w:ascii="Times New Roman" w:hAnsi="Times New Roman" w:cs="方正仿宋_GBK"/>
          <w:sz w:val="32"/>
          <w:szCs w:val="32"/>
          <w:lang w:val="en-US" w:eastAsia="zh-CN"/>
        </w:rPr>
        <w:t>4</w:t>
      </w:r>
      <w:r>
        <w:rPr>
          <w:rFonts w:hint="eastAsia" w:ascii="Times New Roman" w:hAnsi="Times New Roman" w:cs="方正仿宋_GBK"/>
          <w:sz w:val="32"/>
          <w:szCs w:val="32"/>
          <w:lang w:eastAsia="zh-CN"/>
        </w:rPr>
        <w:t>）</w:t>
      </w:r>
      <w:r>
        <w:rPr>
          <w:rFonts w:hint="eastAsia" w:ascii="Times New Roman" w:hAnsi="Times New Roman" w:eastAsia="方正仿宋_GBK" w:cs="方正仿宋_GBK"/>
          <w:sz w:val="32"/>
          <w:szCs w:val="32"/>
        </w:rPr>
        <w:t>服务评价：服务结束后老年人或家属可通过小程序、热线电话进行评价，评价结果直接关联派单优先级。</w:t>
      </w:r>
    </w:p>
    <w:p w14:paraId="0BFB5EFF">
      <w:pPr>
        <w:keepNext w:val="0"/>
        <w:keepLines w:val="0"/>
        <w:pageBreakBefore w:val="0"/>
        <w:widowControl w:val="0"/>
        <w:kinsoku/>
        <w:wordWrap/>
        <w:overflowPunct/>
        <w:topLinePunct w:val="0"/>
        <w:autoSpaceDE/>
        <w:autoSpaceDN/>
        <w:bidi w:val="0"/>
        <w:adjustRightInd/>
        <w:snapToGrid/>
        <w:spacing w:line="240" w:lineRule="auto"/>
        <w:ind w:firstLine="604" w:firstLineChars="200"/>
        <w:jc w:val="both"/>
        <w:textAlignment w:val="auto"/>
        <w:rPr>
          <w:rFonts w:hint="eastAsia" w:ascii="Times New Roman" w:hAnsi="Times New Roman" w:eastAsia="方正黑体_GBK" w:cs="方正黑体_GBK"/>
          <w:sz w:val="32"/>
          <w:szCs w:val="32"/>
        </w:rPr>
      </w:pPr>
      <w:r>
        <w:rPr>
          <w:rFonts w:hint="eastAsia" w:ascii="Times New Roman" w:hAnsi="Times New Roman" w:eastAsia="方正黑体_GBK" w:cs="方正黑体_GBK"/>
          <w:sz w:val="32"/>
          <w:szCs w:val="32"/>
        </w:rPr>
        <w:t>五、技术及服务标准</w:t>
      </w:r>
    </w:p>
    <w:p w14:paraId="1446ED8B">
      <w:pPr>
        <w:keepNext w:val="0"/>
        <w:keepLines w:val="0"/>
        <w:pageBreakBefore w:val="0"/>
        <w:widowControl w:val="0"/>
        <w:kinsoku/>
        <w:wordWrap/>
        <w:overflowPunct/>
        <w:topLinePunct w:val="0"/>
        <w:autoSpaceDE/>
        <w:autoSpaceDN/>
        <w:bidi w:val="0"/>
        <w:adjustRightInd/>
        <w:snapToGrid/>
        <w:spacing w:line="240" w:lineRule="auto"/>
        <w:ind w:firstLine="604" w:firstLineChars="200"/>
        <w:jc w:val="both"/>
        <w:textAlignment w:val="auto"/>
        <w:rPr>
          <w:rFonts w:hint="eastAsia" w:ascii="Times New Roman" w:hAnsi="Times New Roman" w:eastAsia="方正楷体_GBK" w:cs="方正楷体_GBK"/>
          <w:sz w:val="32"/>
          <w:szCs w:val="32"/>
        </w:rPr>
      </w:pPr>
      <w:r>
        <w:rPr>
          <w:rFonts w:hint="eastAsia" w:ascii="Times New Roman" w:hAnsi="Times New Roman" w:eastAsia="方正楷体_GBK" w:cs="方正楷体_GBK"/>
          <w:sz w:val="32"/>
          <w:szCs w:val="32"/>
        </w:rPr>
        <w:t>5.1 服务响应要求</w:t>
      </w:r>
    </w:p>
    <w:p w14:paraId="2C2DEF7B">
      <w:pPr>
        <w:keepNext w:val="0"/>
        <w:keepLines w:val="0"/>
        <w:pageBreakBefore w:val="0"/>
        <w:widowControl w:val="0"/>
        <w:kinsoku/>
        <w:wordWrap/>
        <w:overflowPunct/>
        <w:topLinePunct w:val="0"/>
        <w:autoSpaceDE/>
        <w:autoSpaceDN/>
        <w:bidi w:val="0"/>
        <w:adjustRightInd/>
        <w:snapToGrid/>
        <w:spacing w:line="240" w:lineRule="auto"/>
        <w:ind w:firstLine="604" w:firstLineChars="200"/>
        <w:jc w:val="both"/>
        <w:textAlignment w:val="auto"/>
        <w:rPr>
          <w:rFonts w:hint="eastAsia" w:ascii="Times New Roman" w:hAnsi="Times New Roman" w:eastAsia="方正仿宋_GBK" w:cs="方正仿宋_GBK"/>
          <w:sz w:val="32"/>
          <w:szCs w:val="32"/>
        </w:rPr>
      </w:pPr>
      <w:r>
        <w:rPr>
          <w:rFonts w:hint="eastAsia" w:ascii="Times New Roman" w:hAnsi="Times New Roman" w:cs="方正仿宋_GBK"/>
          <w:b w:val="0"/>
          <w:bCs w:val="0"/>
          <w:sz w:val="32"/>
          <w:szCs w:val="32"/>
          <w:lang w:val="en-US" w:eastAsia="zh-CN"/>
        </w:rPr>
        <w:t>1</w:t>
      </w:r>
      <w:r>
        <w:rPr>
          <w:rFonts w:hint="default" w:ascii="Times New Roman" w:hAnsi="Times New Roman" w:eastAsia="方正仿宋_GBK" w:cs="方正仿宋_GBK"/>
          <w:sz w:val="32"/>
          <w:szCs w:val="32"/>
          <w:lang w:val="en-US" w:eastAsia="zh-CN"/>
        </w:rPr>
        <w:t>．</w:t>
      </w:r>
      <w:r>
        <w:rPr>
          <w:rFonts w:hint="eastAsia" w:ascii="Times New Roman" w:hAnsi="Times New Roman" w:eastAsia="方正仿宋_GBK" w:cs="方正仿宋_GBK"/>
          <w:b/>
          <w:bCs/>
          <w:sz w:val="32"/>
          <w:szCs w:val="32"/>
        </w:rPr>
        <w:t>响应时间</w:t>
      </w:r>
      <w:r>
        <w:rPr>
          <w:rFonts w:hint="eastAsia" w:ascii="Times New Roman" w:hAnsi="Times New Roman" w:eastAsia="方正仿宋_GBK" w:cs="方正仿宋_GBK"/>
          <w:sz w:val="32"/>
          <w:szCs w:val="32"/>
        </w:rPr>
        <w:t>：服务机构应在接单后2小时内响应。2小时内未接单的，系统自动改派。平均响应时间应控制在30分钟以内。</w:t>
      </w:r>
    </w:p>
    <w:p w14:paraId="2751D9DC">
      <w:pPr>
        <w:keepNext w:val="0"/>
        <w:keepLines w:val="0"/>
        <w:pageBreakBefore w:val="0"/>
        <w:widowControl w:val="0"/>
        <w:kinsoku/>
        <w:wordWrap/>
        <w:overflowPunct/>
        <w:topLinePunct w:val="0"/>
        <w:autoSpaceDE/>
        <w:autoSpaceDN/>
        <w:bidi w:val="0"/>
        <w:adjustRightInd/>
        <w:snapToGrid/>
        <w:spacing w:line="240" w:lineRule="auto"/>
        <w:ind w:firstLine="604" w:firstLineChars="200"/>
        <w:jc w:val="both"/>
        <w:textAlignment w:val="auto"/>
        <w:rPr>
          <w:rFonts w:hint="eastAsia" w:ascii="Times New Roman" w:hAnsi="Times New Roman" w:eastAsia="方正仿宋_GBK" w:cs="方正仿宋_GBK"/>
          <w:sz w:val="32"/>
          <w:szCs w:val="32"/>
        </w:rPr>
      </w:pPr>
      <w:r>
        <w:rPr>
          <w:rFonts w:hint="eastAsia" w:ascii="Times New Roman" w:hAnsi="Times New Roman" w:cs="方正仿宋_GBK"/>
          <w:b w:val="0"/>
          <w:bCs w:val="0"/>
          <w:sz w:val="32"/>
          <w:szCs w:val="32"/>
          <w:lang w:val="en-US" w:eastAsia="zh-CN"/>
        </w:rPr>
        <w:t>2</w:t>
      </w:r>
      <w:r>
        <w:rPr>
          <w:rFonts w:hint="default" w:ascii="Times New Roman" w:hAnsi="Times New Roman" w:eastAsia="方正仿宋_GBK" w:cs="方正仿宋_GBK"/>
          <w:sz w:val="32"/>
          <w:szCs w:val="32"/>
          <w:lang w:val="en-US" w:eastAsia="zh-CN"/>
        </w:rPr>
        <w:t>．</w:t>
      </w:r>
      <w:r>
        <w:rPr>
          <w:rFonts w:hint="eastAsia" w:ascii="Times New Roman" w:hAnsi="Times New Roman" w:eastAsia="方正仿宋_GBK" w:cs="方正仿宋_GBK"/>
          <w:b/>
          <w:bCs/>
          <w:sz w:val="32"/>
          <w:szCs w:val="32"/>
        </w:rPr>
        <w:t>服务时限</w:t>
      </w:r>
      <w:r>
        <w:rPr>
          <w:rFonts w:hint="eastAsia" w:ascii="Times New Roman" w:hAnsi="Times New Roman" w:eastAsia="方正仿宋_GBK" w:cs="方正仿宋_GBK"/>
          <w:sz w:val="32"/>
          <w:szCs w:val="32"/>
        </w:rPr>
        <w:t>：根据服务项目类型和服务时长要求，按时完成服务并提交服务记录。</w:t>
      </w:r>
    </w:p>
    <w:p w14:paraId="28E908A8">
      <w:pPr>
        <w:keepNext w:val="0"/>
        <w:keepLines w:val="0"/>
        <w:pageBreakBefore w:val="0"/>
        <w:widowControl w:val="0"/>
        <w:kinsoku/>
        <w:wordWrap/>
        <w:overflowPunct/>
        <w:topLinePunct w:val="0"/>
        <w:autoSpaceDE/>
        <w:autoSpaceDN/>
        <w:bidi w:val="0"/>
        <w:adjustRightInd/>
        <w:snapToGrid/>
        <w:spacing w:line="240" w:lineRule="auto"/>
        <w:ind w:firstLine="604" w:firstLineChars="200"/>
        <w:jc w:val="both"/>
        <w:textAlignment w:val="auto"/>
        <w:rPr>
          <w:rFonts w:hint="eastAsia" w:ascii="Times New Roman" w:hAnsi="Times New Roman" w:eastAsia="方正仿宋_GBK" w:cs="方正仿宋_GBK"/>
          <w:sz w:val="32"/>
          <w:szCs w:val="32"/>
        </w:rPr>
      </w:pPr>
      <w:r>
        <w:rPr>
          <w:rFonts w:hint="eastAsia" w:ascii="Times New Roman" w:hAnsi="Times New Roman" w:cs="方正仿宋_GBK"/>
          <w:b w:val="0"/>
          <w:bCs w:val="0"/>
          <w:sz w:val="32"/>
          <w:szCs w:val="32"/>
          <w:lang w:val="en-US" w:eastAsia="zh-CN"/>
        </w:rPr>
        <w:t>3</w:t>
      </w:r>
      <w:r>
        <w:rPr>
          <w:rFonts w:hint="default" w:ascii="Times New Roman" w:hAnsi="Times New Roman" w:eastAsia="方正仿宋_GBK" w:cs="方正仿宋_GBK"/>
          <w:sz w:val="32"/>
          <w:szCs w:val="32"/>
          <w:lang w:val="en-US" w:eastAsia="zh-CN"/>
        </w:rPr>
        <w:t>．</w:t>
      </w:r>
      <w:r>
        <w:rPr>
          <w:rFonts w:hint="eastAsia" w:ascii="Times New Roman" w:hAnsi="Times New Roman" w:eastAsia="方正仿宋_GBK" w:cs="方正仿宋_GBK"/>
          <w:b/>
          <w:bCs/>
          <w:sz w:val="32"/>
          <w:szCs w:val="32"/>
        </w:rPr>
        <w:t>紧急响应</w:t>
      </w:r>
      <w:r>
        <w:rPr>
          <w:rFonts w:hint="eastAsia" w:ascii="Times New Roman" w:hAnsi="Times New Roman" w:eastAsia="方正仿宋_GBK" w:cs="方正仿宋_GBK"/>
          <w:sz w:val="32"/>
          <w:szCs w:val="32"/>
        </w:rPr>
        <w:t>：对于紧急支援类服务，应提供24小时快速响应机制。</w:t>
      </w:r>
    </w:p>
    <w:p w14:paraId="3829E0FA">
      <w:pPr>
        <w:keepNext w:val="0"/>
        <w:keepLines w:val="0"/>
        <w:pageBreakBefore w:val="0"/>
        <w:widowControl w:val="0"/>
        <w:kinsoku/>
        <w:wordWrap/>
        <w:overflowPunct/>
        <w:topLinePunct w:val="0"/>
        <w:autoSpaceDE/>
        <w:autoSpaceDN/>
        <w:bidi w:val="0"/>
        <w:adjustRightInd/>
        <w:snapToGrid/>
        <w:spacing w:line="240" w:lineRule="auto"/>
        <w:ind w:firstLine="604" w:firstLineChars="200"/>
        <w:jc w:val="both"/>
        <w:textAlignment w:val="auto"/>
        <w:rPr>
          <w:rFonts w:hint="eastAsia" w:ascii="Times New Roman" w:hAnsi="Times New Roman" w:eastAsia="方正楷体_GBK" w:cs="方正楷体_GBK"/>
          <w:sz w:val="32"/>
          <w:szCs w:val="32"/>
        </w:rPr>
      </w:pPr>
      <w:r>
        <w:rPr>
          <w:rFonts w:hint="eastAsia" w:ascii="Times New Roman" w:hAnsi="Times New Roman" w:eastAsia="方正楷体_GBK" w:cs="方正楷体_GBK"/>
          <w:sz w:val="32"/>
          <w:szCs w:val="32"/>
        </w:rPr>
        <w:t>5.2 服务质量保障</w:t>
      </w:r>
    </w:p>
    <w:p w14:paraId="139DABBC">
      <w:pPr>
        <w:keepNext w:val="0"/>
        <w:keepLines w:val="0"/>
        <w:pageBreakBefore w:val="0"/>
        <w:widowControl w:val="0"/>
        <w:kinsoku/>
        <w:wordWrap/>
        <w:overflowPunct/>
        <w:topLinePunct w:val="0"/>
        <w:autoSpaceDE/>
        <w:autoSpaceDN/>
        <w:bidi w:val="0"/>
        <w:adjustRightInd/>
        <w:snapToGrid/>
        <w:spacing w:line="240" w:lineRule="auto"/>
        <w:ind w:firstLine="604" w:firstLineChars="200"/>
        <w:jc w:val="both"/>
        <w:textAlignment w:val="auto"/>
        <w:rPr>
          <w:rFonts w:hint="eastAsia" w:ascii="Times New Roman" w:hAnsi="Times New Roman" w:eastAsia="方正楷体_GBK" w:cs="方正楷体_GBK"/>
          <w:sz w:val="32"/>
          <w:szCs w:val="32"/>
        </w:rPr>
      </w:pPr>
      <w:r>
        <w:rPr>
          <w:rFonts w:hint="eastAsia" w:ascii="Times New Roman" w:hAnsi="Times New Roman" w:cs="方正仿宋_GBK"/>
          <w:b w:val="0"/>
          <w:bCs w:val="0"/>
          <w:sz w:val="32"/>
          <w:szCs w:val="32"/>
          <w:lang w:val="en-US" w:eastAsia="zh-CN"/>
        </w:rPr>
        <w:t>1</w:t>
      </w:r>
      <w:r>
        <w:rPr>
          <w:rFonts w:hint="default" w:ascii="Times New Roman" w:hAnsi="Times New Roman" w:eastAsia="方正仿宋_GBK" w:cs="方正仿宋_GBK"/>
          <w:sz w:val="32"/>
          <w:szCs w:val="32"/>
          <w:lang w:val="en-US" w:eastAsia="zh-CN"/>
        </w:rPr>
        <w:t>．</w:t>
      </w:r>
      <w:r>
        <w:rPr>
          <w:rFonts w:hint="eastAsia" w:ascii="Times New Roman" w:hAnsi="Times New Roman" w:eastAsia="方正仿宋_GBK" w:cs="方正仿宋_GBK"/>
          <w:b/>
          <w:bCs/>
          <w:sz w:val="32"/>
          <w:szCs w:val="32"/>
          <w:lang w:eastAsia="zh-CN"/>
        </w:rPr>
        <w:t>人员配置</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项目管理团队必须具有相应的组织架构和配备相应人员，其中项目总负责人不少于1人，项目经理不少于1人。</w:t>
      </w:r>
    </w:p>
    <w:p w14:paraId="35E828C8">
      <w:pPr>
        <w:keepNext w:val="0"/>
        <w:keepLines w:val="0"/>
        <w:pageBreakBefore w:val="0"/>
        <w:widowControl w:val="0"/>
        <w:kinsoku/>
        <w:wordWrap/>
        <w:overflowPunct/>
        <w:topLinePunct w:val="0"/>
        <w:autoSpaceDE/>
        <w:autoSpaceDN/>
        <w:bidi w:val="0"/>
        <w:adjustRightInd/>
        <w:snapToGrid/>
        <w:spacing w:line="240" w:lineRule="auto"/>
        <w:ind w:firstLine="604" w:firstLineChars="200"/>
        <w:jc w:val="both"/>
        <w:textAlignment w:val="auto"/>
        <w:rPr>
          <w:rFonts w:hint="eastAsia" w:ascii="Times New Roman" w:hAnsi="Times New Roman" w:eastAsia="方正仿宋_GBK" w:cs="方正仿宋_GBK"/>
          <w:sz w:val="32"/>
          <w:szCs w:val="32"/>
        </w:rPr>
      </w:pPr>
      <w:r>
        <w:rPr>
          <w:rFonts w:hint="eastAsia" w:ascii="Times New Roman" w:hAnsi="Times New Roman" w:cs="方正仿宋_GBK"/>
          <w:b w:val="0"/>
          <w:bCs w:val="0"/>
          <w:sz w:val="32"/>
          <w:szCs w:val="32"/>
          <w:lang w:val="en-US" w:eastAsia="zh-CN"/>
        </w:rPr>
        <w:t>2</w:t>
      </w:r>
      <w:r>
        <w:rPr>
          <w:rFonts w:hint="default" w:ascii="Times New Roman" w:hAnsi="Times New Roman" w:eastAsia="方正仿宋_GBK" w:cs="方正仿宋_GBK"/>
          <w:sz w:val="32"/>
          <w:szCs w:val="32"/>
          <w:lang w:val="en-US" w:eastAsia="zh-CN"/>
        </w:rPr>
        <w:t>．</w:t>
      </w:r>
      <w:r>
        <w:rPr>
          <w:rFonts w:hint="eastAsia" w:ascii="Times New Roman" w:hAnsi="Times New Roman" w:eastAsia="方正仿宋_GBK" w:cs="方正仿宋_GBK"/>
          <w:b/>
          <w:bCs/>
          <w:sz w:val="32"/>
          <w:szCs w:val="32"/>
        </w:rPr>
        <w:t>人员资质</w:t>
      </w:r>
      <w:r>
        <w:rPr>
          <w:rFonts w:hint="eastAsia" w:ascii="Times New Roman" w:hAnsi="Times New Roman" w:eastAsia="方正仿宋_GBK" w:cs="方正仿宋_GBK"/>
          <w:sz w:val="32"/>
          <w:szCs w:val="32"/>
        </w:rPr>
        <w:t>：提供居家上门服务的服务人员须具备与服务项目相适应的职业资格证书、技能等级证书或养老护理员培训证书等。</w:t>
      </w:r>
    </w:p>
    <w:p w14:paraId="20539256">
      <w:pPr>
        <w:keepNext w:val="0"/>
        <w:keepLines w:val="0"/>
        <w:pageBreakBefore w:val="0"/>
        <w:widowControl w:val="0"/>
        <w:kinsoku/>
        <w:wordWrap/>
        <w:overflowPunct/>
        <w:topLinePunct w:val="0"/>
        <w:autoSpaceDE/>
        <w:autoSpaceDN/>
        <w:bidi w:val="0"/>
        <w:adjustRightInd/>
        <w:snapToGrid/>
        <w:spacing w:line="240" w:lineRule="auto"/>
        <w:ind w:firstLine="604" w:firstLineChars="200"/>
        <w:jc w:val="both"/>
        <w:textAlignment w:val="auto"/>
        <w:rPr>
          <w:rFonts w:hint="eastAsia" w:ascii="Times New Roman" w:hAnsi="Times New Roman" w:eastAsia="方正仿宋_GBK" w:cs="方正仿宋_GBK"/>
          <w:sz w:val="32"/>
          <w:szCs w:val="32"/>
        </w:rPr>
      </w:pPr>
      <w:r>
        <w:rPr>
          <w:rFonts w:hint="eastAsia" w:ascii="Times New Roman" w:hAnsi="Times New Roman" w:cs="方正仿宋_GBK"/>
          <w:b w:val="0"/>
          <w:bCs w:val="0"/>
          <w:sz w:val="32"/>
          <w:szCs w:val="32"/>
          <w:lang w:val="en-US" w:eastAsia="zh-CN"/>
        </w:rPr>
        <w:t>3</w:t>
      </w:r>
      <w:r>
        <w:rPr>
          <w:rFonts w:hint="default" w:ascii="Times New Roman" w:hAnsi="Times New Roman" w:eastAsia="方正仿宋_GBK" w:cs="方正仿宋_GBK"/>
          <w:sz w:val="32"/>
          <w:szCs w:val="32"/>
          <w:lang w:val="en-US" w:eastAsia="zh-CN"/>
        </w:rPr>
        <w:t>．</w:t>
      </w:r>
      <w:r>
        <w:rPr>
          <w:rFonts w:hint="eastAsia" w:ascii="Times New Roman" w:hAnsi="Times New Roman" w:eastAsia="方正仿宋_GBK" w:cs="方正仿宋_GBK"/>
          <w:b/>
          <w:bCs/>
          <w:sz w:val="32"/>
          <w:szCs w:val="32"/>
        </w:rPr>
        <w:t>岗前培训</w:t>
      </w:r>
      <w:r>
        <w:rPr>
          <w:rFonts w:hint="eastAsia" w:ascii="Times New Roman" w:hAnsi="Times New Roman" w:eastAsia="方正仿宋_GBK" w:cs="方正仿宋_GBK"/>
          <w:sz w:val="32"/>
          <w:szCs w:val="32"/>
        </w:rPr>
        <w:t>：服务机构应建立助老员岗前培训和定期培训制度，确保服务人员掌握专业服务技能。</w:t>
      </w:r>
    </w:p>
    <w:p w14:paraId="32123F1C">
      <w:pPr>
        <w:keepNext w:val="0"/>
        <w:keepLines w:val="0"/>
        <w:pageBreakBefore w:val="0"/>
        <w:widowControl w:val="0"/>
        <w:kinsoku/>
        <w:wordWrap/>
        <w:overflowPunct/>
        <w:topLinePunct w:val="0"/>
        <w:autoSpaceDE/>
        <w:autoSpaceDN/>
        <w:bidi w:val="0"/>
        <w:adjustRightInd/>
        <w:snapToGrid/>
        <w:spacing w:line="240" w:lineRule="auto"/>
        <w:ind w:firstLine="604" w:firstLineChars="200"/>
        <w:jc w:val="both"/>
        <w:textAlignment w:val="auto"/>
        <w:rPr>
          <w:rFonts w:hint="eastAsia" w:ascii="Times New Roman" w:hAnsi="Times New Roman" w:eastAsia="方正仿宋_GBK" w:cs="方正仿宋_GBK"/>
          <w:sz w:val="32"/>
          <w:szCs w:val="32"/>
        </w:rPr>
      </w:pPr>
      <w:r>
        <w:rPr>
          <w:rFonts w:hint="eastAsia" w:ascii="Times New Roman" w:hAnsi="Times New Roman" w:cs="方正仿宋_GBK"/>
          <w:b w:val="0"/>
          <w:bCs w:val="0"/>
          <w:sz w:val="32"/>
          <w:szCs w:val="32"/>
          <w:lang w:val="en-US" w:eastAsia="zh-CN"/>
        </w:rPr>
        <w:t>4</w:t>
      </w:r>
      <w:r>
        <w:rPr>
          <w:rFonts w:hint="default" w:ascii="Times New Roman" w:hAnsi="Times New Roman" w:eastAsia="方正仿宋_GBK" w:cs="方正仿宋_GBK"/>
          <w:sz w:val="32"/>
          <w:szCs w:val="32"/>
          <w:lang w:val="en-US" w:eastAsia="zh-CN"/>
        </w:rPr>
        <w:t>．</w:t>
      </w:r>
      <w:r>
        <w:rPr>
          <w:rFonts w:hint="eastAsia" w:ascii="Times New Roman" w:hAnsi="Times New Roman" w:eastAsia="方正仿宋_GBK" w:cs="方正仿宋_GBK"/>
          <w:b/>
          <w:bCs/>
          <w:sz w:val="32"/>
          <w:szCs w:val="32"/>
        </w:rPr>
        <w:t>服务规范</w:t>
      </w:r>
      <w:r>
        <w:rPr>
          <w:rFonts w:hint="eastAsia" w:ascii="Times New Roman" w:hAnsi="Times New Roman" w:eastAsia="方正仿宋_GBK" w:cs="方正仿宋_GBK"/>
          <w:sz w:val="32"/>
          <w:szCs w:val="32"/>
        </w:rPr>
        <w:t>：服务机构应制定服务操作规范，细化服务标准，确保服务质量。</w:t>
      </w:r>
    </w:p>
    <w:p w14:paraId="0C4D8880">
      <w:pPr>
        <w:keepNext w:val="0"/>
        <w:keepLines w:val="0"/>
        <w:pageBreakBefore w:val="0"/>
        <w:widowControl w:val="0"/>
        <w:kinsoku/>
        <w:wordWrap/>
        <w:overflowPunct/>
        <w:topLinePunct w:val="0"/>
        <w:autoSpaceDE/>
        <w:autoSpaceDN/>
        <w:bidi w:val="0"/>
        <w:adjustRightInd/>
        <w:snapToGrid/>
        <w:spacing w:line="240" w:lineRule="auto"/>
        <w:ind w:firstLine="604" w:firstLineChars="200"/>
        <w:jc w:val="both"/>
        <w:textAlignment w:val="auto"/>
        <w:rPr>
          <w:rFonts w:hint="eastAsia" w:ascii="Times New Roman" w:hAnsi="Times New Roman" w:eastAsia="方正仿宋_GBK" w:cs="方正仿宋_GBK"/>
          <w:sz w:val="32"/>
          <w:szCs w:val="32"/>
        </w:rPr>
      </w:pPr>
      <w:r>
        <w:rPr>
          <w:rFonts w:hint="eastAsia" w:ascii="Times New Roman" w:hAnsi="Times New Roman" w:cs="方正仿宋_GBK"/>
          <w:b w:val="0"/>
          <w:bCs w:val="0"/>
          <w:sz w:val="32"/>
          <w:szCs w:val="32"/>
          <w:lang w:val="en-US" w:eastAsia="zh-CN"/>
        </w:rPr>
        <w:t>5</w:t>
      </w:r>
      <w:r>
        <w:rPr>
          <w:rFonts w:hint="default" w:ascii="Times New Roman" w:hAnsi="Times New Roman" w:eastAsia="方正仿宋_GBK" w:cs="方正仿宋_GBK"/>
          <w:sz w:val="32"/>
          <w:szCs w:val="32"/>
          <w:lang w:val="en-US" w:eastAsia="zh-CN"/>
        </w:rPr>
        <w:t>．</w:t>
      </w:r>
      <w:r>
        <w:rPr>
          <w:rFonts w:hint="eastAsia" w:ascii="Times New Roman" w:hAnsi="Times New Roman" w:eastAsia="方正仿宋_GBK" w:cs="方正仿宋_GBK"/>
          <w:b/>
          <w:bCs/>
          <w:sz w:val="32"/>
          <w:szCs w:val="32"/>
        </w:rPr>
        <w:t>安全保障</w:t>
      </w:r>
      <w:r>
        <w:rPr>
          <w:rFonts w:hint="eastAsia" w:ascii="Times New Roman" w:hAnsi="Times New Roman" w:eastAsia="方正仿宋_GBK" w:cs="方正仿宋_GBK"/>
          <w:sz w:val="32"/>
          <w:szCs w:val="32"/>
        </w:rPr>
        <w:t>：服务机构应建立服务安全管理制度，保障老年人居家安全和服务过程安全。</w:t>
      </w:r>
    </w:p>
    <w:p w14:paraId="6FA7CD55">
      <w:pPr>
        <w:keepNext w:val="0"/>
        <w:keepLines w:val="0"/>
        <w:pageBreakBefore w:val="0"/>
        <w:widowControl w:val="0"/>
        <w:kinsoku/>
        <w:wordWrap/>
        <w:overflowPunct/>
        <w:topLinePunct w:val="0"/>
        <w:autoSpaceDE/>
        <w:autoSpaceDN/>
        <w:bidi w:val="0"/>
        <w:adjustRightInd/>
        <w:snapToGrid/>
        <w:spacing w:line="240" w:lineRule="auto"/>
        <w:ind w:firstLine="604" w:firstLineChars="200"/>
        <w:jc w:val="both"/>
        <w:textAlignment w:val="auto"/>
        <w:rPr>
          <w:rFonts w:hint="eastAsia" w:ascii="Times New Roman" w:hAnsi="Times New Roman" w:eastAsia="方正楷体_GBK" w:cs="方正楷体_GBK"/>
          <w:sz w:val="32"/>
          <w:szCs w:val="32"/>
        </w:rPr>
      </w:pPr>
      <w:r>
        <w:rPr>
          <w:rFonts w:hint="eastAsia" w:ascii="Times New Roman" w:hAnsi="Times New Roman" w:eastAsia="方正楷体_GBK" w:cs="方正楷体_GBK"/>
          <w:sz w:val="32"/>
          <w:szCs w:val="32"/>
        </w:rPr>
        <w:t>5.3 服务监督机制</w:t>
      </w:r>
    </w:p>
    <w:p w14:paraId="1A6B2798">
      <w:pPr>
        <w:keepNext w:val="0"/>
        <w:keepLines w:val="0"/>
        <w:pageBreakBefore w:val="0"/>
        <w:widowControl w:val="0"/>
        <w:kinsoku/>
        <w:wordWrap/>
        <w:overflowPunct/>
        <w:topLinePunct w:val="0"/>
        <w:autoSpaceDE/>
        <w:autoSpaceDN/>
        <w:bidi w:val="0"/>
        <w:adjustRightInd/>
        <w:snapToGrid/>
        <w:spacing w:line="240" w:lineRule="auto"/>
        <w:ind w:firstLine="604" w:firstLineChars="200"/>
        <w:jc w:val="both"/>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lang w:val="en-US" w:eastAsia="zh-CN"/>
        </w:rPr>
        <w:t>1</w:t>
      </w:r>
      <w:r>
        <w:rPr>
          <w:rFonts w:hint="default" w:ascii="Times New Roman" w:hAnsi="Times New Roman" w:eastAsia="方正仿宋_GBK" w:cs="方正仿宋_GBK"/>
          <w:sz w:val="32"/>
          <w:szCs w:val="32"/>
          <w:lang w:val="en-US" w:eastAsia="zh-CN"/>
        </w:rPr>
        <w:t>．</w:t>
      </w:r>
      <w:r>
        <w:rPr>
          <w:rFonts w:hint="eastAsia" w:ascii="Times New Roman" w:hAnsi="Times New Roman" w:eastAsia="方正仿宋_GBK" w:cs="方正仿宋_GBK"/>
          <w:sz w:val="32"/>
          <w:szCs w:val="32"/>
        </w:rPr>
        <w:t>为确保购买服务质量，实现购买服务目标，征集人可委托专业评估机构，对服务单位的运营管理、服务质量、信誉、社会评价等方面进行综合评估。</w:t>
      </w:r>
    </w:p>
    <w:p w14:paraId="690AF81F">
      <w:pPr>
        <w:keepNext w:val="0"/>
        <w:keepLines w:val="0"/>
        <w:pageBreakBefore w:val="0"/>
        <w:widowControl w:val="0"/>
        <w:kinsoku/>
        <w:wordWrap/>
        <w:overflowPunct/>
        <w:topLinePunct w:val="0"/>
        <w:autoSpaceDE/>
        <w:autoSpaceDN/>
        <w:bidi w:val="0"/>
        <w:adjustRightInd/>
        <w:snapToGrid/>
        <w:spacing w:line="240" w:lineRule="auto"/>
        <w:ind w:firstLine="604" w:firstLineChars="200"/>
        <w:jc w:val="both"/>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lang w:val="en-US" w:eastAsia="zh-CN"/>
        </w:rPr>
        <w:t>2</w:t>
      </w:r>
      <w:r>
        <w:rPr>
          <w:rFonts w:hint="default" w:ascii="Times New Roman" w:hAnsi="Times New Roman" w:eastAsia="方正仿宋_GBK" w:cs="方正仿宋_GBK"/>
          <w:sz w:val="32"/>
          <w:szCs w:val="32"/>
          <w:lang w:val="en-US" w:eastAsia="zh-CN"/>
        </w:rPr>
        <w:t>．</w:t>
      </w:r>
      <w:r>
        <w:rPr>
          <w:rFonts w:hint="eastAsia" w:ascii="Times New Roman" w:hAnsi="Times New Roman" w:eastAsia="方正仿宋_GBK" w:cs="方正仿宋_GBK"/>
          <w:sz w:val="32"/>
          <w:szCs w:val="32"/>
        </w:rPr>
        <w:t>入围供应商必须配合接受征集方、第三方评估公司及相关部门和社会的监督检查。按照要求定期提供服务清单、服务人员等明细。</w:t>
      </w:r>
    </w:p>
    <w:p w14:paraId="0E9238A0">
      <w:pPr>
        <w:overflowPunct w:val="0"/>
        <w:autoSpaceDE w:val="0"/>
        <w:autoSpaceDN w:val="0"/>
        <w:ind w:firstLine="604" w:firstLineChars="200"/>
        <w:rPr>
          <w:rFonts w:ascii="Times New Roman" w:hAnsi="Times New Roman" w:cs="宋体"/>
          <w:kern w:val="0"/>
          <w:szCs w:val="32"/>
        </w:rPr>
      </w:pPr>
      <w:r>
        <w:rPr>
          <w:rFonts w:hint="eastAsia" w:ascii="Times New Roman" w:hAnsi="Times New Roman" w:eastAsia="方正仿宋_GBK" w:cs="方正仿宋_GBK"/>
          <w:sz w:val="32"/>
          <w:szCs w:val="32"/>
          <w:lang w:val="en-US" w:eastAsia="zh-CN"/>
        </w:rPr>
        <w:t>3</w:t>
      </w:r>
      <w:r>
        <w:rPr>
          <w:rFonts w:hint="default" w:ascii="Times New Roman" w:hAnsi="Times New Roman" w:eastAsia="方正仿宋_GBK" w:cs="方正仿宋_GBK"/>
          <w:sz w:val="32"/>
          <w:szCs w:val="32"/>
          <w:lang w:val="en-US" w:eastAsia="zh-CN"/>
        </w:rPr>
        <w:t>．</w:t>
      </w:r>
      <w:r>
        <w:rPr>
          <w:rFonts w:hint="eastAsia" w:ascii="Times New Roman" w:hAnsi="Times New Roman" w:eastAsia="方正仿宋_GBK" w:cs="方正仿宋_GBK"/>
          <w:sz w:val="32"/>
          <w:szCs w:val="32"/>
        </w:rPr>
        <w:t>征集人</w:t>
      </w:r>
      <w:r>
        <w:rPr>
          <w:rFonts w:hint="eastAsia" w:ascii="Times New Roman" w:hAnsi="Times New Roman" w:cs="方正仿宋_GBK"/>
          <w:sz w:val="32"/>
          <w:szCs w:val="32"/>
          <w:lang w:eastAsia="zh-CN"/>
        </w:rPr>
        <w:t>每</w:t>
      </w:r>
      <w:r>
        <w:rPr>
          <w:rFonts w:hint="eastAsia" w:ascii="Times New Roman" w:hAnsi="Times New Roman" w:cs="宋体"/>
          <w:spacing w:val="-4"/>
          <w:kern w:val="0"/>
          <w:szCs w:val="32"/>
        </w:rPr>
        <w:t>季度</w:t>
      </w:r>
      <w:r>
        <w:rPr>
          <w:rFonts w:hint="eastAsia" w:ascii="Times New Roman" w:hAnsi="Times New Roman" w:cs="宋体"/>
          <w:spacing w:val="-4"/>
          <w:kern w:val="0"/>
          <w:szCs w:val="32"/>
          <w:lang w:eastAsia="zh-CN"/>
        </w:rPr>
        <w:t>对入围方进行</w:t>
      </w:r>
      <w:r>
        <w:rPr>
          <w:rFonts w:hint="eastAsia" w:ascii="Times New Roman" w:hAnsi="Times New Roman" w:cs="宋体"/>
          <w:spacing w:val="-4"/>
          <w:kern w:val="0"/>
          <w:szCs w:val="32"/>
        </w:rPr>
        <w:t>考评</w:t>
      </w:r>
      <w:r>
        <w:rPr>
          <w:rFonts w:hint="eastAsia" w:ascii="Times New Roman" w:hAnsi="Times New Roman" w:cs="宋体"/>
          <w:spacing w:val="-4"/>
          <w:kern w:val="0"/>
          <w:szCs w:val="32"/>
          <w:lang w:eastAsia="zh-CN"/>
        </w:rPr>
        <w:t>，考评</w:t>
      </w:r>
      <w:r>
        <w:rPr>
          <w:rFonts w:hint="eastAsia" w:ascii="Times New Roman" w:hAnsi="Times New Roman" w:cs="宋体"/>
          <w:spacing w:val="-4"/>
          <w:kern w:val="0"/>
          <w:szCs w:val="32"/>
        </w:rPr>
        <w:t>分为A、B、C三个等级。考评基本分为100分，实行加减分制。考评分值在86分及以上的为A级、</w:t>
      </w:r>
      <w:r>
        <w:rPr>
          <w:rFonts w:hint="eastAsia" w:ascii="Times New Roman" w:hAnsi="Times New Roman" w:cs="宋体"/>
          <w:spacing w:val="-4"/>
          <w:kern w:val="0"/>
          <w:szCs w:val="32"/>
          <w:lang w:val="en-US" w:eastAsia="zh-CN"/>
        </w:rPr>
        <w:t>6</w:t>
      </w:r>
      <w:r>
        <w:rPr>
          <w:rFonts w:hint="eastAsia" w:ascii="Times New Roman" w:hAnsi="Times New Roman" w:cs="宋体"/>
          <w:spacing w:val="-4"/>
          <w:kern w:val="0"/>
          <w:szCs w:val="32"/>
        </w:rPr>
        <w:t>1—85分的为B级、</w:t>
      </w:r>
      <w:r>
        <w:rPr>
          <w:rFonts w:hint="eastAsia" w:ascii="Times New Roman" w:hAnsi="Times New Roman" w:cs="宋体"/>
          <w:spacing w:val="-4"/>
          <w:kern w:val="0"/>
          <w:szCs w:val="32"/>
          <w:lang w:val="en-US" w:eastAsia="zh-CN"/>
        </w:rPr>
        <w:t>6</w:t>
      </w:r>
      <w:r>
        <w:rPr>
          <w:rFonts w:hint="eastAsia" w:ascii="Times New Roman" w:hAnsi="Times New Roman" w:cs="宋体"/>
          <w:spacing w:val="-4"/>
          <w:kern w:val="0"/>
          <w:szCs w:val="32"/>
        </w:rPr>
        <w:t>0分</w:t>
      </w:r>
      <w:r>
        <w:rPr>
          <w:rFonts w:hint="eastAsia" w:ascii="Times New Roman" w:hAnsi="Times New Roman" w:cs="宋体"/>
          <w:spacing w:val="-4"/>
          <w:kern w:val="0"/>
          <w:szCs w:val="32"/>
          <w:lang w:val="en-US" w:eastAsia="zh-CN"/>
        </w:rPr>
        <w:t>及</w:t>
      </w:r>
      <w:r>
        <w:rPr>
          <w:rFonts w:hint="eastAsia" w:ascii="Times New Roman" w:hAnsi="Times New Roman" w:cs="宋体"/>
          <w:spacing w:val="-4"/>
          <w:kern w:val="0"/>
          <w:szCs w:val="32"/>
        </w:rPr>
        <w:t>以下的为C级，考核总分不保留小数，采取四舍五入进位制。</w:t>
      </w:r>
    </w:p>
    <w:p w14:paraId="07666810">
      <w:pPr>
        <w:overflowPunct w:val="0"/>
        <w:autoSpaceDE w:val="0"/>
        <w:autoSpaceDN w:val="0"/>
        <w:ind w:firstLine="604" w:firstLineChars="200"/>
        <w:rPr>
          <w:rFonts w:ascii="Times New Roman" w:hAnsi="Times New Roman" w:cs="宋体"/>
          <w:kern w:val="0"/>
          <w:szCs w:val="32"/>
        </w:rPr>
      </w:pPr>
      <w:r>
        <w:rPr>
          <w:rFonts w:hint="eastAsia" w:ascii="Times New Roman" w:hAnsi="Times New Roman" w:cs="宋体"/>
          <w:kern w:val="0"/>
          <w:szCs w:val="32"/>
          <w:lang w:eastAsia="zh-CN"/>
        </w:rPr>
        <w:t>（</w:t>
      </w:r>
      <w:r>
        <w:rPr>
          <w:rFonts w:hint="eastAsia" w:ascii="Times New Roman" w:hAnsi="Times New Roman" w:cs="宋体"/>
          <w:kern w:val="0"/>
          <w:szCs w:val="32"/>
          <w:lang w:val="en-US" w:eastAsia="zh-CN"/>
        </w:rPr>
        <w:t>1</w:t>
      </w:r>
      <w:r>
        <w:rPr>
          <w:rFonts w:hint="eastAsia" w:ascii="Times New Roman" w:hAnsi="Times New Roman" w:cs="宋体"/>
          <w:kern w:val="0"/>
          <w:szCs w:val="32"/>
          <w:lang w:eastAsia="zh-CN"/>
        </w:rPr>
        <w:t>）</w:t>
      </w:r>
      <w:r>
        <w:rPr>
          <w:rFonts w:hint="eastAsia" w:ascii="Times New Roman" w:hAnsi="Times New Roman" w:cs="宋体"/>
          <w:kern w:val="0"/>
          <w:szCs w:val="32"/>
        </w:rPr>
        <w:t>服务机构季度考评等级为A级的，全额拨付考核资金；</w:t>
      </w:r>
    </w:p>
    <w:p w14:paraId="0314C3BC">
      <w:pPr>
        <w:overflowPunct w:val="0"/>
        <w:autoSpaceDE w:val="0"/>
        <w:autoSpaceDN w:val="0"/>
        <w:ind w:firstLine="604" w:firstLineChars="200"/>
        <w:rPr>
          <w:rFonts w:ascii="Times New Roman" w:hAnsi="Times New Roman" w:cs="宋体"/>
          <w:kern w:val="0"/>
          <w:szCs w:val="32"/>
        </w:rPr>
      </w:pPr>
      <w:r>
        <w:rPr>
          <w:rFonts w:hint="eastAsia" w:ascii="Times New Roman" w:hAnsi="Times New Roman" w:cs="宋体"/>
          <w:kern w:val="0"/>
          <w:szCs w:val="32"/>
        </w:rPr>
        <w:t>（</w:t>
      </w:r>
      <w:r>
        <w:rPr>
          <w:rFonts w:hint="eastAsia" w:ascii="Times New Roman" w:hAnsi="Times New Roman" w:cs="宋体"/>
          <w:kern w:val="0"/>
          <w:szCs w:val="32"/>
          <w:lang w:val="en-US" w:eastAsia="zh-CN"/>
        </w:rPr>
        <w:t>2</w:t>
      </w:r>
      <w:r>
        <w:rPr>
          <w:rFonts w:hint="eastAsia" w:ascii="Times New Roman" w:hAnsi="Times New Roman" w:cs="宋体"/>
          <w:kern w:val="0"/>
          <w:szCs w:val="32"/>
        </w:rPr>
        <w:t>）服务机构季度考评等级为B级的，给予警告，扣减当季相应居家养老援助服务经费，并要求机构限期整改。具体核减标准为：</w:t>
      </w:r>
      <w:r>
        <w:rPr>
          <w:rFonts w:hint="eastAsia" w:ascii="Times New Roman" w:hAnsi="Times New Roman" w:cs="宋体"/>
          <w:kern w:val="0"/>
          <w:szCs w:val="32"/>
          <w:lang w:val="en-US" w:eastAsia="zh-CN"/>
        </w:rPr>
        <w:t>6</w:t>
      </w:r>
      <w:r>
        <w:rPr>
          <w:rFonts w:hint="eastAsia" w:ascii="Times New Roman" w:hAnsi="Times New Roman" w:cs="宋体"/>
          <w:kern w:val="0"/>
          <w:szCs w:val="32"/>
        </w:rPr>
        <w:t>1—7</w:t>
      </w:r>
      <w:r>
        <w:rPr>
          <w:rFonts w:hint="eastAsia" w:ascii="Times New Roman" w:hAnsi="Times New Roman" w:cs="宋体"/>
          <w:kern w:val="0"/>
          <w:szCs w:val="32"/>
          <w:lang w:val="en-US" w:eastAsia="zh-CN"/>
        </w:rPr>
        <w:t>0</w:t>
      </w:r>
      <w:r>
        <w:rPr>
          <w:rFonts w:hint="eastAsia" w:ascii="Times New Roman" w:hAnsi="Times New Roman" w:cs="宋体"/>
          <w:kern w:val="0"/>
          <w:szCs w:val="32"/>
        </w:rPr>
        <w:t>分核减</w:t>
      </w:r>
      <w:r>
        <w:rPr>
          <w:rFonts w:hint="eastAsia" w:ascii="Times New Roman" w:hAnsi="Times New Roman" w:cs="宋体"/>
          <w:kern w:val="0"/>
          <w:szCs w:val="32"/>
          <w:lang w:val="en-US" w:eastAsia="zh-CN"/>
        </w:rPr>
        <w:t>15</w:t>
      </w:r>
      <w:r>
        <w:rPr>
          <w:rFonts w:hint="eastAsia" w:ascii="Times New Roman" w:hAnsi="Times New Roman" w:cs="宋体"/>
          <w:kern w:val="0"/>
          <w:szCs w:val="32"/>
        </w:rPr>
        <w:t>%，7</w:t>
      </w:r>
      <w:r>
        <w:rPr>
          <w:rFonts w:hint="eastAsia" w:ascii="Times New Roman" w:hAnsi="Times New Roman" w:cs="宋体"/>
          <w:kern w:val="0"/>
          <w:szCs w:val="32"/>
          <w:lang w:val="en-US" w:eastAsia="zh-CN"/>
        </w:rPr>
        <w:t>1</w:t>
      </w:r>
      <w:r>
        <w:rPr>
          <w:rFonts w:hint="eastAsia" w:ascii="Times New Roman" w:hAnsi="Times New Roman" w:cs="宋体"/>
          <w:kern w:val="0"/>
          <w:szCs w:val="32"/>
        </w:rPr>
        <w:t>—80分核减</w:t>
      </w:r>
      <w:r>
        <w:rPr>
          <w:rFonts w:hint="eastAsia" w:ascii="Times New Roman" w:hAnsi="Times New Roman" w:cs="宋体"/>
          <w:kern w:val="0"/>
          <w:szCs w:val="32"/>
          <w:lang w:val="en-US" w:eastAsia="zh-CN"/>
        </w:rPr>
        <w:t>10</w:t>
      </w:r>
      <w:r>
        <w:rPr>
          <w:rFonts w:hint="eastAsia" w:ascii="Times New Roman" w:hAnsi="Times New Roman" w:cs="宋体"/>
          <w:kern w:val="0"/>
          <w:szCs w:val="32"/>
        </w:rPr>
        <w:t>%，81—85分核减</w:t>
      </w:r>
      <w:r>
        <w:rPr>
          <w:rFonts w:hint="eastAsia" w:ascii="Times New Roman" w:hAnsi="Times New Roman" w:cs="宋体"/>
          <w:kern w:val="0"/>
          <w:szCs w:val="32"/>
          <w:lang w:val="en-US" w:eastAsia="zh-CN"/>
        </w:rPr>
        <w:t>5</w:t>
      </w:r>
      <w:r>
        <w:rPr>
          <w:rFonts w:hint="eastAsia" w:ascii="Times New Roman" w:hAnsi="Times New Roman" w:cs="宋体"/>
          <w:kern w:val="0"/>
          <w:szCs w:val="32"/>
        </w:rPr>
        <w:t>%。</w:t>
      </w:r>
    </w:p>
    <w:p w14:paraId="2B85709B">
      <w:pPr>
        <w:overflowPunct w:val="0"/>
        <w:autoSpaceDE w:val="0"/>
        <w:autoSpaceDN w:val="0"/>
        <w:ind w:firstLine="604" w:firstLineChars="200"/>
        <w:rPr>
          <w:rFonts w:hint="eastAsia" w:ascii="Times New Roman" w:hAnsi="Times New Roman" w:cs="宋体"/>
          <w:spacing w:val="-4"/>
          <w:kern w:val="0"/>
          <w:szCs w:val="32"/>
          <w:lang w:eastAsia="zh-CN"/>
        </w:rPr>
      </w:pPr>
      <w:r>
        <w:rPr>
          <w:rFonts w:hint="eastAsia" w:ascii="Times New Roman" w:hAnsi="Times New Roman" w:cs="宋体"/>
          <w:kern w:val="0"/>
          <w:szCs w:val="32"/>
        </w:rPr>
        <w:t>（</w:t>
      </w:r>
      <w:r>
        <w:rPr>
          <w:rFonts w:hint="eastAsia" w:ascii="Times New Roman" w:hAnsi="Times New Roman" w:cs="宋体"/>
          <w:kern w:val="0"/>
          <w:szCs w:val="32"/>
          <w:lang w:val="en-US" w:eastAsia="zh-CN"/>
        </w:rPr>
        <w:t>3</w:t>
      </w:r>
      <w:r>
        <w:rPr>
          <w:rFonts w:hint="eastAsia" w:ascii="Times New Roman" w:hAnsi="Times New Roman" w:cs="宋体"/>
          <w:kern w:val="0"/>
          <w:szCs w:val="32"/>
        </w:rPr>
        <w:t>）服务机构季度考评等级为C级的，</w:t>
      </w:r>
      <w:r>
        <w:rPr>
          <w:rFonts w:hint="eastAsia" w:ascii="Times New Roman" w:hAnsi="Times New Roman" w:cs="宋体"/>
          <w:spacing w:val="-4"/>
          <w:kern w:val="0"/>
          <w:szCs w:val="32"/>
        </w:rPr>
        <w:t>扣除当季养老援助服务经费</w:t>
      </w:r>
      <w:r>
        <w:rPr>
          <w:rFonts w:hint="eastAsia" w:ascii="Times New Roman" w:hAnsi="Times New Roman" w:cs="宋体"/>
          <w:spacing w:val="-4"/>
          <w:kern w:val="0"/>
          <w:szCs w:val="32"/>
          <w:lang w:eastAsia="zh-CN"/>
        </w:rPr>
        <w:t>。</w:t>
      </w:r>
    </w:p>
    <w:p w14:paraId="04A386D1">
      <w:pPr>
        <w:overflowPunct w:val="0"/>
        <w:autoSpaceDE w:val="0"/>
        <w:autoSpaceDN w:val="0"/>
        <w:ind w:firstLine="604" w:firstLineChars="200"/>
        <w:rPr>
          <w:rFonts w:ascii="Times New Roman" w:hAnsi="Times New Roman"/>
        </w:rPr>
      </w:pPr>
      <w:r>
        <w:rPr>
          <w:rFonts w:hint="eastAsia" w:ascii="Times New Roman" w:hAnsi="Times New Roman"/>
        </w:rPr>
        <w:t>（</w:t>
      </w:r>
      <w:r>
        <w:rPr>
          <w:rFonts w:hint="eastAsia" w:ascii="Times New Roman" w:hAnsi="Times New Roman"/>
          <w:lang w:val="en-US" w:eastAsia="zh-CN"/>
        </w:rPr>
        <w:t>4</w:t>
      </w:r>
      <w:r>
        <w:rPr>
          <w:rFonts w:hint="eastAsia" w:ascii="Times New Roman" w:hAnsi="Times New Roman"/>
        </w:rPr>
        <w:t>）年度考评等级为A级,</w:t>
      </w:r>
      <w:r>
        <w:rPr>
          <w:rFonts w:hint="eastAsia" w:ascii="Times New Roman" w:hAnsi="Times New Roman" w:cs="宋体"/>
          <w:kern w:val="0"/>
          <w:szCs w:val="32"/>
        </w:rPr>
        <w:t xml:space="preserve"> 在行业评优、招标比选时优先考虑；等级为B级，给予警告，督促其提高服务质量；等级为C级，取消和服务机构的续约。</w:t>
      </w:r>
    </w:p>
    <w:p w14:paraId="404E2F3D">
      <w:pPr>
        <w:overflowPunct w:val="0"/>
        <w:autoSpaceDE w:val="0"/>
        <w:autoSpaceDN w:val="0"/>
        <w:ind w:firstLine="604" w:firstLineChars="200"/>
        <w:rPr>
          <w:rFonts w:hint="eastAsia" w:ascii="Times New Roman" w:hAnsi="Times New Roman" w:eastAsia="方正仿宋_GBK" w:cs="方正仿宋_GBK"/>
          <w:sz w:val="32"/>
          <w:szCs w:val="32"/>
        </w:rPr>
      </w:pPr>
      <w:r>
        <w:rPr>
          <w:rFonts w:hint="eastAsia" w:ascii="Times New Roman" w:hAnsi="Times New Roman" w:cs="方正仿宋_GBK"/>
          <w:sz w:val="32"/>
          <w:szCs w:val="32"/>
          <w:lang w:eastAsia="zh-CN"/>
        </w:rPr>
        <w:t>（</w:t>
      </w:r>
      <w:r>
        <w:rPr>
          <w:rFonts w:hint="eastAsia" w:ascii="Times New Roman" w:hAnsi="Times New Roman" w:cs="方正仿宋_GBK"/>
          <w:sz w:val="32"/>
          <w:szCs w:val="32"/>
          <w:lang w:val="en-US" w:eastAsia="zh-CN"/>
        </w:rPr>
        <w:t>5</w:t>
      </w:r>
      <w:r>
        <w:rPr>
          <w:rFonts w:hint="eastAsia" w:ascii="Times New Roman" w:hAnsi="Times New Roman" w:cs="方正仿宋_GBK"/>
          <w:sz w:val="32"/>
          <w:szCs w:val="32"/>
          <w:lang w:eastAsia="zh-CN"/>
        </w:rPr>
        <w:t>）</w:t>
      </w:r>
      <w:r>
        <w:rPr>
          <w:rFonts w:hint="eastAsia" w:ascii="Times New Roman" w:hAnsi="Times New Roman" w:eastAsia="方正仿宋_GBK" w:cs="方正仿宋_GBK"/>
          <w:sz w:val="32"/>
          <w:szCs w:val="32"/>
        </w:rPr>
        <w:t>考评结果实行告知制度，对考评分数有异议的服务机构，可在规定时间内提出申诉。</w:t>
      </w:r>
    </w:p>
    <w:p w14:paraId="07E78786">
      <w:pPr>
        <w:keepNext w:val="0"/>
        <w:keepLines w:val="0"/>
        <w:pageBreakBefore w:val="0"/>
        <w:widowControl w:val="0"/>
        <w:kinsoku/>
        <w:wordWrap/>
        <w:overflowPunct/>
        <w:topLinePunct w:val="0"/>
        <w:autoSpaceDE/>
        <w:autoSpaceDN/>
        <w:bidi w:val="0"/>
        <w:adjustRightInd/>
        <w:snapToGrid/>
        <w:spacing w:line="240" w:lineRule="auto"/>
        <w:ind w:firstLine="604" w:firstLineChars="200"/>
        <w:jc w:val="both"/>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lang w:val="en-US" w:eastAsia="zh-CN"/>
        </w:rPr>
        <w:t>4</w:t>
      </w:r>
      <w:r>
        <w:rPr>
          <w:rFonts w:hint="default" w:ascii="Times New Roman" w:hAnsi="Times New Roman" w:eastAsia="方正仿宋_GBK" w:cs="方正仿宋_GBK"/>
          <w:sz w:val="32"/>
          <w:szCs w:val="32"/>
          <w:lang w:val="en-US" w:eastAsia="zh-CN"/>
        </w:rPr>
        <w:t>．</w:t>
      </w:r>
      <w:r>
        <w:rPr>
          <w:rFonts w:hint="eastAsia" w:ascii="Times New Roman" w:hAnsi="Times New Roman" w:eastAsia="方正仿宋_GBK" w:cs="方正仿宋_GBK"/>
          <w:sz w:val="32"/>
          <w:szCs w:val="32"/>
        </w:rPr>
        <w:t>本项目实行退出机制，入围供应商因违反法律法规、合同约定，发生安全责任事故、存在欺老虐老行为、向老年人推销保健品、涉嫌向老年人开展非法集资、泄露老年人隐私信息等情况，严重损害老年人权益的，或服务质量综合考评不合格的，征集人有权解除合同。</w:t>
      </w:r>
    </w:p>
    <w:p w14:paraId="122C538F">
      <w:pPr>
        <w:keepNext w:val="0"/>
        <w:keepLines w:val="0"/>
        <w:pageBreakBefore w:val="0"/>
        <w:widowControl w:val="0"/>
        <w:kinsoku/>
        <w:wordWrap/>
        <w:overflowPunct/>
        <w:topLinePunct w:val="0"/>
        <w:autoSpaceDE/>
        <w:autoSpaceDN/>
        <w:bidi w:val="0"/>
        <w:adjustRightInd/>
        <w:snapToGrid/>
        <w:spacing w:line="240" w:lineRule="auto"/>
        <w:ind w:firstLine="604" w:firstLineChars="200"/>
        <w:jc w:val="both"/>
        <w:textAlignment w:val="auto"/>
        <w:rPr>
          <w:rFonts w:hint="eastAsia" w:ascii="Times New Roman" w:hAnsi="Times New Roman" w:eastAsia="方正仿宋_GBK"/>
          <w:color w:val="auto"/>
          <w:sz w:val="32"/>
          <w:szCs w:val="32"/>
        </w:rPr>
      </w:pPr>
      <w:r>
        <w:rPr>
          <w:rFonts w:hint="eastAsia" w:ascii="Times New Roman" w:hAnsi="Times New Roman"/>
          <w:color w:val="auto"/>
          <w:sz w:val="32"/>
          <w:szCs w:val="32"/>
          <w:lang w:val="en-US" w:eastAsia="zh-CN"/>
        </w:rPr>
        <w:t>5.</w:t>
      </w:r>
      <w:r>
        <w:rPr>
          <w:rFonts w:hint="eastAsia" w:ascii="Times New Roman" w:hAnsi="Times New Roman" w:eastAsia="方正仿宋_GBK"/>
          <w:color w:val="auto"/>
          <w:sz w:val="32"/>
          <w:szCs w:val="32"/>
        </w:rPr>
        <w:t>《江阴市居家养老援助服务机构服务质量考评</w:t>
      </w:r>
      <w:r>
        <w:rPr>
          <w:rFonts w:hint="eastAsia" w:ascii="Times New Roman" w:hAnsi="Times New Roman"/>
          <w:color w:val="auto"/>
          <w:sz w:val="32"/>
          <w:szCs w:val="32"/>
          <w:lang w:eastAsia="zh-CN"/>
        </w:rPr>
        <w:t>评分表</w:t>
      </w:r>
      <w:r>
        <w:rPr>
          <w:rFonts w:hint="eastAsia" w:ascii="Times New Roman" w:hAnsi="Times New Roman" w:eastAsia="方正仿宋_GBK"/>
          <w:color w:val="auto"/>
          <w:sz w:val="32"/>
          <w:szCs w:val="32"/>
        </w:rPr>
        <w:t>》</w:t>
      </w:r>
    </w:p>
    <w:p w14:paraId="4BEE3E5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04" w:firstLineChars="200"/>
        <w:jc w:val="both"/>
        <w:textAlignment w:val="auto"/>
        <w:rPr>
          <w:rFonts w:hint="eastAsia" w:ascii="Times New Roman" w:hAnsi="Times New Roman" w:eastAsia="方正黑体_GBK" w:cs="方正黑体_GBK"/>
          <w:color w:val="auto"/>
          <w:sz w:val="32"/>
          <w:szCs w:val="32"/>
          <w:lang w:val="en-US" w:eastAsia="zh-CN"/>
        </w:rPr>
      </w:pPr>
      <w:r>
        <w:rPr>
          <w:rFonts w:hint="eastAsia" w:ascii="Times New Roman" w:hAnsi="Times New Roman" w:eastAsia="方正黑体_GBK" w:cs="方正黑体_GBK"/>
          <w:color w:val="auto"/>
          <w:sz w:val="32"/>
          <w:szCs w:val="32"/>
          <w:lang w:val="en-US" w:eastAsia="zh-CN"/>
        </w:rPr>
        <w:t>六、双方约定</w:t>
      </w:r>
    </w:p>
    <w:p w14:paraId="0F99F521">
      <w:pPr>
        <w:keepNext w:val="0"/>
        <w:keepLines w:val="0"/>
        <w:pageBreakBefore w:val="0"/>
        <w:widowControl w:val="0"/>
        <w:kinsoku/>
        <w:wordWrap/>
        <w:overflowPunct/>
        <w:topLinePunct w:val="0"/>
        <w:autoSpaceDE/>
        <w:autoSpaceDN/>
        <w:bidi w:val="0"/>
        <w:adjustRightInd/>
        <w:snapToGrid/>
        <w:spacing w:line="240" w:lineRule="auto"/>
        <w:ind w:firstLine="604" w:firstLineChars="200"/>
        <w:jc w:val="both"/>
        <w:textAlignment w:val="auto"/>
        <w:rPr>
          <w:rFonts w:hint="eastAsia" w:ascii="Times New Roman" w:hAnsi="Times New Roman" w:eastAsia="方正楷体_GBK" w:cs="方正楷体_GBK"/>
          <w:sz w:val="32"/>
          <w:szCs w:val="32"/>
        </w:rPr>
      </w:pPr>
      <w:r>
        <w:rPr>
          <w:rFonts w:hint="eastAsia" w:ascii="Times New Roman" w:hAnsi="Times New Roman" w:eastAsia="方正楷体_GBK" w:cs="方正楷体_GBK"/>
          <w:sz w:val="32"/>
          <w:szCs w:val="32"/>
          <w:lang w:val="en-US" w:eastAsia="zh-CN"/>
        </w:rPr>
        <w:t xml:space="preserve">6.1 </w:t>
      </w:r>
      <w:r>
        <w:rPr>
          <w:rFonts w:hint="eastAsia" w:ascii="Times New Roman" w:hAnsi="Times New Roman" w:eastAsia="方正仿宋_GBK" w:cs="方正仿宋_GBK"/>
          <w:sz w:val="32"/>
          <w:szCs w:val="32"/>
        </w:rPr>
        <w:t>征集人</w:t>
      </w:r>
      <w:r>
        <w:rPr>
          <w:rFonts w:hint="eastAsia" w:ascii="Times New Roman" w:hAnsi="Times New Roman" w:eastAsia="方正楷体_GBK" w:cs="方正楷体_GBK"/>
          <w:sz w:val="32"/>
          <w:szCs w:val="32"/>
          <w:lang w:eastAsia="zh-CN"/>
        </w:rPr>
        <w:t>责任</w:t>
      </w:r>
    </w:p>
    <w:p w14:paraId="431899C4">
      <w:pPr>
        <w:keepNext w:val="0"/>
        <w:keepLines w:val="0"/>
        <w:pageBreakBefore w:val="0"/>
        <w:widowControl w:val="0"/>
        <w:kinsoku/>
        <w:wordWrap/>
        <w:overflowPunct/>
        <w:topLinePunct w:val="0"/>
        <w:autoSpaceDE/>
        <w:autoSpaceDN/>
        <w:bidi w:val="0"/>
        <w:adjustRightInd/>
        <w:snapToGrid/>
        <w:spacing w:line="240" w:lineRule="auto"/>
        <w:ind w:firstLine="604" w:firstLineChars="200"/>
        <w:jc w:val="both"/>
        <w:textAlignment w:val="auto"/>
        <w:rPr>
          <w:rFonts w:hint="eastAsia" w:ascii="Times New Roman" w:hAnsi="Times New Roman" w:eastAsia="方正仿宋_GBK"/>
          <w:color w:val="auto"/>
          <w:sz w:val="32"/>
          <w:szCs w:val="32"/>
        </w:rPr>
      </w:pPr>
      <w:r>
        <w:rPr>
          <w:rFonts w:hint="eastAsia" w:ascii="Times New Roman" w:hAnsi="Times New Roman" w:eastAsia="方正仿宋_GBK"/>
          <w:color w:val="auto"/>
          <w:sz w:val="32"/>
          <w:szCs w:val="32"/>
        </w:rPr>
        <w:t>1</w:t>
      </w:r>
      <w:r>
        <w:rPr>
          <w:rFonts w:hint="default" w:ascii="Times New Roman" w:hAnsi="Times New Roman" w:eastAsia="方正仿宋_GBK" w:cs="方正仿宋_GBK"/>
          <w:sz w:val="32"/>
          <w:szCs w:val="32"/>
          <w:lang w:val="en-US" w:eastAsia="zh-CN"/>
        </w:rPr>
        <w:t>．</w:t>
      </w:r>
      <w:r>
        <w:rPr>
          <w:rFonts w:hint="eastAsia" w:ascii="Times New Roman" w:hAnsi="Times New Roman" w:eastAsia="方正仿宋_GBK" w:cs="方正仿宋_GBK"/>
          <w:sz w:val="32"/>
          <w:szCs w:val="32"/>
        </w:rPr>
        <w:t>征集人</w:t>
      </w:r>
      <w:r>
        <w:rPr>
          <w:rFonts w:hint="eastAsia" w:ascii="Times New Roman" w:hAnsi="Times New Roman" w:eastAsia="方正仿宋_GBK"/>
          <w:color w:val="auto"/>
          <w:sz w:val="32"/>
          <w:szCs w:val="32"/>
        </w:rPr>
        <w:t>有权对合同规定范围内</w:t>
      </w:r>
      <w:r>
        <w:rPr>
          <w:rFonts w:hint="eastAsia" w:ascii="Times New Roman" w:hAnsi="Times New Roman" w:eastAsia="方正仿宋_GBK"/>
          <w:color w:val="auto"/>
          <w:sz w:val="32"/>
          <w:szCs w:val="32"/>
          <w:lang w:eastAsia="zh-CN"/>
        </w:rPr>
        <w:t>入围方</w:t>
      </w:r>
      <w:r>
        <w:rPr>
          <w:rFonts w:hint="eastAsia" w:ascii="Times New Roman" w:hAnsi="Times New Roman" w:eastAsia="方正仿宋_GBK"/>
          <w:color w:val="auto"/>
          <w:sz w:val="32"/>
          <w:szCs w:val="32"/>
        </w:rPr>
        <w:t>的服务行为进行监督、检查、考核。定期或不定期对</w:t>
      </w:r>
      <w:r>
        <w:rPr>
          <w:rFonts w:hint="eastAsia" w:ascii="Times New Roman" w:hAnsi="Times New Roman" w:eastAsia="方正仿宋_GBK"/>
          <w:color w:val="auto"/>
          <w:sz w:val="32"/>
          <w:szCs w:val="32"/>
          <w:lang w:eastAsia="zh-CN"/>
        </w:rPr>
        <w:t>入围方</w:t>
      </w:r>
      <w:r>
        <w:rPr>
          <w:rFonts w:hint="eastAsia" w:ascii="Times New Roman" w:hAnsi="Times New Roman" w:eastAsia="方正仿宋_GBK"/>
          <w:color w:val="auto"/>
          <w:sz w:val="32"/>
          <w:szCs w:val="32"/>
        </w:rPr>
        <w:t>提供服务所配备的人员数量、设备、服务质量等进行考核。对不合理或达不到合同约定的部分有权下达整改通知书，并要求</w:t>
      </w:r>
      <w:r>
        <w:rPr>
          <w:rFonts w:hint="eastAsia" w:ascii="Times New Roman" w:hAnsi="Times New Roman" w:eastAsia="方正仿宋_GBK"/>
          <w:color w:val="auto"/>
          <w:sz w:val="32"/>
          <w:szCs w:val="32"/>
          <w:lang w:eastAsia="zh-CN"/>
        </w:rPr>
        <w:t>入围方</w:t>
      </w:r>
      <w:r>
        <w:rPr>
          <w:rFonts w:hint="eastAsia" w:ascii="Times New Roman" w:hAnsi="Times New Roman" w:eastAsia="方正仿宋_GBK"/>
          <w:color w:val="auto"/>
          <w:sz w:val="32"/>
          <w:szCs w:val="32"/>
        </w:rPr>
        <w:t>限期整改。</w:t>
      </w:r>
    </w:p>
    <w:p w14:paraId="60FF2179">
      <w:pPr>
        <w:keepNext w:val="0"/>
        <w:keepLines w:val="0"/>
        <w:pageBreakBefore w:val="0"/>
        <w:widowControl w:val="0"/>
        <w:kinsoku/>
        <w:wordWrap/>
        <w:overflowPunct/>
        <w:topLinePunct w:val="0"/>
        <w:autoSpaceDE/>
        <w:autoSpaceDN/>
        <w:bidi w:val="0"/>
        <w:adjustRightInd/>
        <w:snapToGrid/>
        <w:spacing w:line="240" w:lineRule="auto"/>
        <w:ind w:firstLine="604" w:firstLineChars="200"/>
        <w:jc w:val="both"/>
        <w:textAlignment w:val="auto"/>
        <w:rPr>
          <w:rFonts w:hint="eastAsia" w:ascii="Times New Roman" w:hAnsi="Times New Roman" w:eastAsia="方正仿宋_GBK"/>
          <w:color w:val="auto"/>
          <w:sz w:val="32"/>
          <w:szCs w:val="32"/>
        </w:rPr>
      </w:pPr>
      <w:r>
        <w:rPr>
          <w:rFonts w:hint="eastAsia" w:ascii="Times New Roman" w:hAnsi="Times New Roman" w:eastAsia="方正仿宋_GBK"/>
          <w:color w:val="auto"/>
          <w:sz w:val="32"/>
          <w:szCs w:val="32"/>
        </w:rPr>
        <w:t>2</w:t>
      </w:r>
      <w:r>
        <w:rPr>
          <w:rFonts w:hint="default" w:ascii="Times New Roman" w:hAnsi="Times New Roman" w:eastAsia="方正仿宋_GBK" w:cs="方正仿宋_GBK"/>
          <w:color w:val="auto"/>
          <w:sz w:val="32"/>
          <w:szCs w:val="32"/>
          <w:lang w:val="en-US" w:eastAsia="zh-CN"/>
        </w:rPr>
        <w:t>．</w:t>
      </w:r>
      <w:r>
        <w:rPr>
          <w:rFonts w:hint="eastAsia" w:ascii="Times New Roman" w:hAnsi="Times New Roman" w:eastAsia="方正仿宋_GBK" w:cs="方正仿宋_GBK"/>
          <w:sz w:val="32"/>
          <w:szCs w:val="32"/>
        </w:rPr>
        <w:t>征集人</w:t>
      </w:r>
      <w:r>
        <w:rPr>
          <w:rFonts w:hint="eastAsia" w:ascii="Times New Roman" w:hAnsi="Times New Roman" w:eastAsia="方正仿宋_GBK"/>
          <w:color w:val="auto"/>
          <w:sz w:val="32"/>
          <w:szCs w:val="32"/>
        </w:rPr>
        <w:t>有权邀请第三方评估</w:t>
      </w:r>
      <w:r>
        <w:rPr>
          <w:rFonts w:hint="eastAsia" w:ascii="Times New Roman" w:hAnsi="Times New Roman" w:eastAsia="方正仿宋_GBK"/>
          <w:color w:val="auto"/>
          <w:sz w:val="32"/>
          <w:szCs w:val="32"/>
          <w:lang w:val="en-US" w:eastAsia="zh-CN"/>
        </w:rPr>
        <w:t>机构</w:t>
      </w:r>
      <w:r>
        <w:rPr>
          <w:rFonts w:hint="eastAsia" w:ascii="Times New Roman" w:hAnsi="Times New Roman" w:eastAsia="方正仿宋_GBK"/>
          <w:color w:val="auto"/>
          <w:sz w:val="32"/>
          <w:szCs w:val="32"/>
        </w:rPr>
        <w:t>对</w:t>
      </w:r>
      <w:r>
        <w:rPr>
          <w:rFonts w:hint="eastAsia" w:ascii="Times New Roman" w:hAnsi="Times New Roman" w:eastAsia="方正仿宋_GBK"/>
          <w:color w:val="auto"/>
          <w:sz w:val="32"/>
          <w:szCs w:val="32"/>
          <w:lang w:eastAsia="zh-CN"/>
        </w:rPr>
        <w:t>入围</w:t>
      </w:r>
      <w:r>
        <w:rPr>
          <w:rFonts w:hint="eastAsia" w:ascii="Times New Roman" w:hAnsi="Times New Roman" w:eastAsia="方正仿宋_GBK"/>
          <w:color w:val="auto"/>
          <w:sz w:val="32"/>
          <w:szCs w:val="32"/>
        </w:rPr>
        <w:t>方的服务内容、服务质量等相关内容进行考核，并</w:t>
      </w:r>
      <w:r>
        <w:rPr>
          <w:rFonts w:hint="eastAsia" w:ascii="Times New Roman" w:hAnsi="Times New Roman" w:eastAsia="方正仿宋_GBK"/>
          <w:color w:val="auto"/>
          <w:sz w:val="32"/>
          <w:szCs w:val="32"/>
          <w:lang w:val="en-US" w:eastAsia="zh-CN"/>
        </w:rPr>
        <w:t>根据考核分值</w:t>
      </w:r>
      <w:r>
        <w:rPr>
          <w:rFonts w:hint="eastAsia" w:ascii="Times New Roman" w:hAnsi="Times New Roman" w:eastAsia="方正仿宋_GBK"/>
          <w:color w:val="auto"/>
          <w:sz w:val="32"/>
          <w:szCs w:val="32"/>
        </w:rPr>
        <w:t>，按比例扣除相应服务费用。</w:t>
      </w:r>
    </w:p>
    <w:p w14:paraId="71A392BA">
      <w:pPr>
        <w:keepNext w:val="0"/>
        <w:keepLines w:val="0"/>
        <w:pageBreakBefore w:val="0"/>
        <w:widowControl w:val="0"/>
        <w:kinsoku/>
        <w:wordWrap/>
        <w:overflowPunct/>
        <w:topLinePunct w:val="0"/>
        <w:autoSpaceDE/>
        <w:autoSpaceDN/>
        <w:bidi w:val="0"/>
        <w:adjustRightInd/>
        <w:snapToGrid/>
        <w:spacing w:line="240" w:lineRule="auto"/>
        <w:ind w:firstLine="604" w:firstLineChars="200"/>
        <w:jc w:val="both"/>
        <w:textAlignment w:val="auto"/>
        <w:rPr>
          <w:rFonts w:hint="eastAsia" w:ascii="Times New Roman" w:hAnsi="Times New Roman" w:eastAsia="方正仿宋_GBK"/>
          <w:color w:val="auto"/>
          <w:sz w:val="32"/>
          <w:szCs w:val="32"/>
        </w:rPr>
      </w:pPr>
      <w:r>
        <w:rPr>
          <w:rFonts w:hint="eastAsia" w:ascii="Times New Roman" w:hAnsi="Times New Roman" w:eastAsia="方正仿宋_GBK"/>
          <w:color w:val="auto"/>
          <w:sz w:val="32"/>
          <w:szCs w:val="32"/>
        </w:rPr>
        <w:t>3</w:t>
      </w:r>
      <w:r>
        <w:rPr>
          <w:rFonts w:hint="default" w:ascii="Times New Roman" w:hAnsi="Times New Roman" w:eastAsia="方正仿宋_GBK" w:cs="方正仿宋_GBK"/>
          <w:sz w:val="32"/>
          <w:szCs w:val="32"/>
          <w:lang w:val="en-US" w:eastAsia="zh-CN"/>
        </w:rPr>
        <w:t>．</w:t>
      </w:r>
      <w:r>
        <w:rPr>
          <w:rFonts w:hint="eastAsia" w:ascii="Times New Roman" w:hAnsi="Times New Roman" w:eastAsia="方正仿宋_GBK" w:cs="方正仿宋_GBK"/>
          <w:sz w:val="32"/>
          <w:szCs w:val="32"/>
        </w:rPr>
        <w:t>征集人</w:t>
      </w:r>
      <w:r>
        <w:rPr>
          <w:rFonts w:hint="eastAsia" w:ascii="Times New Roman" w:hAnsi="Times New Roman" w:eastAsia="方正仿宋_GBK"/>
          <w:color w:val="auto"/>
          <w:sz w:val="32"/>
          <w:szCs w:val="32"/>
        </w:rPr>
        <w:t>负责检查监督</w:t>
      </w:r>
      <w:r>
        <w:rPr>
          <w:rFonts w:hint="eastAsia" w:ascii="Times New Roman" w:hAnsi="Times New Roman" w:eastAsia="方正仿宋_GBK"/>
          <w:color w:val="auto"/>
          <w:sz w:val="32"/>
          <w:szCs w:val="32"/>
          <w:lang w:eastAsia="zh-CN"/>
        </w:rPr>
        <w:t>入围方</w:t>
      </w:r>
      <w:r>
        <w:rPr>
          <w:rFonts w:hint="eastAsia" w:ascii="Times New Roman" w:hAnsi="Times New Roman" w:eastAsia="方正仿宋_GBK"/>
          <w:color w:val="auto"/>
          <w:sz w:val="32"/>
          <w:szCs w:val="32"/>
        </w:rPr>
        <w:t>管理工作的实施及制度的执行情况。</w:t>
      </w:r>
    </w:p>
    <w:p w14:paraId="6DB4076F">
      <w:pPr>
        <w:keepNext w:val="0"/>
        <w:keepLines w:val="0"/>
        <w:pageBreakBefore w:val="0"/>
        <w:widowControl w:val="0"/>
        <w:kinsoku/>
        <w:wordWrap/>
        <w:overflowPunct/>
        <w:topLinePunct w:val="0"/>
        <w:autoSpaceDE/>
        <w:autoSpaceDN/>
        <w:bidi w:val="0"/>
        <w:adjustRightInd/>
        <w:snapToGrid/>
        <w:spacing w:line="240" w:lineRule="auto"/>
        <w:ind w:firstLine="604" w:firstLineChars="200"/>
        <w:jc w:val="both"/>
        <w:textAlignment w:val="auto"/>
        <w:rPr>
          <w:rFonts w:hint="eastAsia" w:ascii="Times New Roman" w:hAnsi="Times New Roman" w:eastAsia="方正仿宋_GBK"/>
          <w:color w:val="auto"/>
          <w:sz w:val="32"/>
          <w:szCs w:val="32"/>
        </w:rPr>
      </w:pPr>
      <w:r>
        <w:rPr>
          <w:rFonts w:hint="eastAsia" w:ascii="Times New Roman" w:hAnsi="Times New Roman" w:eastAsia="方正仿宋_GBK"/>
          <w:color w:val="auto"/>
          <w:sz w:val="32"/>
          <w:szCs w:val="32"/>
        </w:rPr>
        <w:t>4</w:t>
      </w:r>
      <w:r>
        <w:rPr>
          <w:rFonts w:hint="default" w:ascii="Times New Roman" w:hAnsi="Times New Roman" w:eastAsia="方正仿宋_GBK" w:cs="方正仿宋_GBK"/>
          <w:sz w:val="32"/>
          <w:szCs w:val="32"/>
          <w:lang w:val="en-US" w:eastAsia="zh-CN"/>
        </w:rPr>
        <w:t>．</w:t>
      </w:r>
      <w:r>
        <w:rPr>
          <w:rFonts w:hint="eastAsia" w:ascii="Times New Roman" w:hAnsi="Times New Roman" w:eastAsia="方正仿宋_GBK"/>
          <w:color w:val="auto"/>
          <w:sz w:val="32"/>
          <w:szCs w:val="32"/>
          <w:lang w:eastAsia="zh-CN"/>
        </w:rPr>
        <w:t>入围方</w:t>
      </w:r>
      <w:r>
        <w:rPr>
          <w:rFonts w:hint="eastAsia" w:ascii="Times New Roman" w:hAnsi="Times New Roman" w:eastAsia="方正仿宋_GBK"/>
          <w:color w:val="auto"/>
          <w:sz w:val="32"/>
          <w:szCs w:val="32"/>
          <w:lang w:val="en-US" w:eastAsia="zh-CN"/>
        </w:rPr>
        <w:t>出现</w:t>
      </w:r>
      <w:r>
        <w:rPr>
          <w:rFonts w:hint="eastAsia" w:ascii="Times New Roman" w:hAnsi="Times New Roman" w:eastAsia="方正仿宋_GBK"/>
          <w:color w:val="auto"/>
          <w:sz w:val="32"/>
          <w:szCs w:val="32"/>
        </w:rPr>
        <w:t>损害老年人权益</w:t>
      </w:r>
      <w:r>
        <w:rPr>
          <w:rFonts w:hint="eastAsia" w:ascii="Times New Roman" w:hAnsi="Times New Roman" w:eastAsia="方正仿宋_GBK"/>
          <w:color w:val="auto"/>
          <w:sz w:val="32"/>
          <w:szCs w:val="32"/>
          <w:lang w:eastAsia="zh-CN"/>
        </w:rPr>
        <w:t>、</w:t>
      </w:r>
      <w:r>
        <w:rPr>
          <w:rFonts w:hint="eastAsia" w:ascii="Times New Roman" w:hAnsi="Times New Roman" w:eastAsia="方正仿宋_GBK"/>
          <w:color w:val="auto"/>
          <w:sz w:val="32"/>
          <w:szCs w:val="32"/>
        </w:rPr>
        <w:t>考核等级为C级的</w:t>
      </w:r>
      <w:r>
        <w:rPr>
          <w:rFonts w:hint="eastAsia" w:ascii="Times New Roman" w:hAnsi="Times New Roman" w:eastAsia="方正仿宋_GBK"/>
          <w:color w:val="auto"/>
          <w:sz w:val="32"/>
          <w:szCs w:val="32"/>
          <w:lang w:val="en-US" w:eastAsia="zh-CN"/>
        </w:rPr>
        <w:t>情况</w:t>
      </w:r>
      <w:r>
        <w:rPr>
          <w:rFonts w:hint="eastAsia" w:ascii="Times New Roman" w:hAnsi="Times New Roman" w:eastAsia="方正仿宋_GBK"/>
          <w:color w:val="auto"/>
          <w:sz w:val="32"/>
          <w:szCs w:val="32"/>
        </w:rPr>
        <w:t>，</w:t>
      </w:r>
      <w:r>
        <w:rPr>
          <w:rFonts w:hint="eastAsia" w:ascii="Times New Roman" w:hAnsi="Times New Roman" w:eastAsia="方正仿宋_GBK" w:cs="方正仿宋_GBK"/>
          <w:sz w:val="32"/>
          <w:szCs w:val="32"/>
        </w:rPr>
        <w:t>征集人</w:t>
      </w:r>
      <w:r>
        <w:rPr>
          <w:rFonts w:hint="eastAsia" w:ascii="Times New Roman" w:hAnsi="Times New Roman" w:eastAsia="方正仿宋_GBK"/>
          <w:color w:val="auto"/>
          <w:sz w:val="32"/>
          <w:szCs w:val="32"/>
        </w:rPr>
        <w:t>有权终止服务，扣除相应服务费用。</w:t>
      </w:r>
    </w:p>
    <w:p w14:paraId="54D381D3">
      <w:pPr>
        <w:keepNext w:val="0"/>
        <w:keepLines w:val="0"/>
        <w:pageBreakBefore w:val="0"/>
        <w:widowControl w:val="0"/>
        <w:kinsoku/>
        <w:wordWrap/>
        <w:overflowPunct/>
        <w:topLinePunct w:val="0"/>
        <w:autoSpaceDE/>
        <w:autoSpaceDN/>
        <w:bidi w:val="0"/>
        <w:adjustRightInd/>
        <w:snapToGrid/>
        <w:spacing w:line="240" w:lineRule="auto"/>
        <w:ind w:firstLine="604" w:firstLineChars="200"/>
        <w:jc w:val="both"/>
        <w:textAlignment w:val="auto"/>
        <w:rPr>
          <w:rFonts w:hint="eastAsia" w:ascii="Times New Roman" w:hAnsi="Times New Roman" w:eastAsia="方正仿宋_GBK"/>
          <w:color w:val="auto"/>
          <w:sz w:val="32"/>
          <w:szCs w:val="32"/>
        </w:rPr>
      </w:pPr>
      <w:r>
        <w:rPr>
          <w:rFonts w:hint="eastAsia" w:ascii="Times New Roman" w:hAnsi="Times New Roman" w:eastAsia="方正仿宋_GBK"/>
          <w:color w:val="auto"/>
          <w:sz w:val="32"/>
          <w:szCs w:val="32"/>
          <w:lang w:val="en-US" w:eastAsia="zh-CN"/>
        </w:rPr>
        <w:t>5</w:t>
      </w:r>
      <w:r>
        <w:rPr>
          <w:rFonts w:hint="default" w:ascii="Times New Roman" w:hAnsi="Times New Roman" w:eastAsia="方正仿宋_GBK" w:cs="方正仿宋_GBK"/>
          <w:sz w:val="32"/>
          <w:szCs w:val="32"/>
          <w:lang w:val="en-US" w:eastAsia="zh-CN"/>
        </w:rPr>
        <w:t>．</w:t>
      </w:r>
      <w:r>
        <w:rPr>
          <w:rFonts w:hint="eastAsia" w:ascii="Times New Roman" w:hAnsi="Times New Roman" w:eastAsia="方正仿宋_GBK" w:cs="方正仿宋_GBK"/>
          <w:sz w:val="32"/>
          <w:szCs w:val="32"/>
        </w:rPr>
        <w:t>征集人</w:t>
      </w:r>
      <w:r>
        <w:rPr>
          <w:rFonts w:hint="eastAsia" w:ascii="Times New Roman" w:hAnsi="Times New Roman" w:eastAsia="方正仿宋_GBK"/>
          <w:color w:val="auto"/>
          <w:sz w:val="32"/>
          <w:szCs w:val="32"/>
          <w:lang w:val="en-US" w:eastAsia="zh-CN"/>
        </w:rPr>
        <w:t>应保证合同期内相关运营平台的正常使用，确保平台正常派单</w:t>
      </w:r>
      <w:r>
        <w:rPr>
          <w:rFonts w:hint="eastAsia" w:ascii="Times New Roman" w:hAnsi="Times New Roman" w:eastAsia="方正仿宋_GBK"/>
          <w:color w:val="auto"/>
          <w:sz w:val="32"/>
          <w:szCs w:val="32"/>
        </w:rPr>
        <w:t>。</w:t>
      </w:r>
    </w:p>
    <w:p w14:paraId="6134D21A">
      <w:pPr>
        <w:keepNext w:val="0"/>
        <w:keepLines w:val="0"/>
        <w:pageBreakBefore w:val="0"/>
        <w:widowControl w:val="0"/>
        <w:kinsoku/>
        <w:wordWrap/>
        <w:overflowPunct/>
        <w:topLinePunct w:val="0"/>
        <w:autoSpaceDE/>
        <w:autoSpaceDN/>
        <w:bidi w:val="0"/>
        <w:adjustRightInd/>
        <w:snapToGrid/>
        <w:spacing w:line="240" w:lineRule="auto"/>
        <w:ind w:firstLine="604" w:firstLineChars="200"/>
        <w:jc w:val="both"/>
        <w:textAlignment w:val="auto"/>
        <w:rPr>
          <w:rFonts w:hint="eastAsia" w:ascii="Times New Roman" w:hAnsi="Times New Roman" w:eastAsia="方正仿宋_GBK"/>
          <w:color w:val="auto"/>
          <w:sz w:val="32"/>
          <w:szCs w:val="32"/>
        </w:rPr>
      </w:pPr>
      <w:r>
        <w:rPr>
          <w:rFonts w:hint="eastAsia" w:ascii="Times New Roman" w:hAnsi="Times New Roman" w:eastAsia="方正仿宋_GBK"/>
          <w:color w:val="auto"/>
          <w:sz w:val="32"/>
          <w:szCs w:val="32"/>
          <w:lang w:val="en-US" w:eastAsia="zh-CN"/>
        </w:rPr>
        <w:t>6</w:t>
      </w:r>
      <w:r>
        <w:rPr>
          <w:rFonts w:hint="default" w:ascii="Times New Roman" w:hAnsi="Times New Roman" w:eastAsia="方正仿宋_GBK" w:cs="方正仿宋_GBK"/>
          <w:sz w:val="32"/>
          <w:szCs w:val="32"/>
          <w:lang w:val="en-US" w:eastAsia="zh-CN"/>
        </w:rPr>
        <w:t>．</w:t>
      </w:r>
      <w:r>
        <w:rPr>
          <w:rFonts w:hint="eastAsia" w:ascii="Times New Roman" w:hAnsi="Times New Roman" w:eastAsia="方正仿宋_GBK" w:cs="方正仿宋_GBK"/>
          <w:sz w:val="32"/>
          <w:szCs w:val="32"/>
        </w:rPr>
        <w:t>征集人</w:t>
      </w:r>
      <w:r>
        <w:rPr>
          <w:rFonts w:hint="eastAsia" w:ascii="Times New Roman" w:hAnsi="Times New Roman" w:eastAsia="方正仿宋_GBK"/>
          <w:color w:val="auto"/>
          <w:sz w:val="32"/>
          <w:szCs w:val="32"/>
          <w:lang w:val="en-US" w:eastAsia="zh-CN"/>
        </w:rPr>
        <w:t>按照文件要求提供准确的援助服务对象信息</w:t>
      </w:r>
      <w:r>
        <w:rPr>
          <w:rFonts w:hint="eastAsia" w:ascii="Times New Roman" w:hAnsi="Times New Roman" w:eastAsia="方正仿宋_GBK"/>
          <w:color w:val="auto"/>
          <w:sz w:val="32"/>
          <w:szCs w:val="32"/>
        </w:rPr>
        <w:t>。</w:t>
      </w:r>
    </w:p>
    <w:p w14:paraId="05231D7F">
      <w:pPr>
        <w:keepNext w:val="0"/>
        <w:keepLines w:val="0"/>
        <w:pageBreakBefore w:val="0"/>
        <w:widowControl w:val="0"/>
        <w:kinsoku/>
        <w:wordWrap/>
        <w:overflowPunct/>
        <w:topLinePunct w:val="0"/>
        <w:autoSpaceDE/>
        <w:autoSpaceDN/>
        <w:bidi w:val="0"/>
        <w:adjustRightInd/>
        <w:snapToGrid/>
        <w:spacing w:line="240" w:lineRule="auto"/>
        <w:ind w:firstLine="604" w:firstLineChars="200"/>
        <w:jc w:val="both"/>
        <w:textAlignment w:val="auto"/>
        <w:rPr>
          <w:rFonts w:hint="eastAsia" w:ascii="Times New Roman" w:hAnsi="Times New Roman" w:eastAsia="方正仿宋_GBK"/>
          <w:color w:val="auto"/>
          <w:sz w:val="32"/>
          <w:szCs w:val="32"/>
        </w:rPr>
      </w:pPr>
      <w:r>
        <w:rPr>
          <w:rFonts w:hint="eastAsia" w:ascii="Times New Roman" w:hAnsi="Times New Roman" w:eastAsia="方正仿宋_GBK"/>
          <w:color w:val="auto"/>
          <w:sz w:val="32"/>
          <w:szCs w:val="32"/>
          <w:lang w:val="en-US" w:eastAsia="zh-CN"/>
        </w:rPr>
        <w:t>7</w:t>
      </w:r>
      <w:r>
        <w:rPr>
          <w:rFonts w:hint="default" w:ascii="Times New Roman" w:hAnsi="Times New Roman" w:eastAsia="方正仿宋_GBK" w:cs="方正仿宋_GBK"/>
          <w:sz w:val="32"/>
          <w:szCs w:val="32"/>
          <w:lang w:val="en-US" w:eastAsia="zh-CN"/>
        </w:rPr>
        <w:t>．</w:t>
      </w:r>
      <w:r>
        <w:rPr>
          <w:rFonts w:hint="eastAsia" w:ascii="Times New Roman" w:hAnsi="Times New Roman" w:eastAsia="方正仿宋_GBK"/>
          <w:color w:val="auto"/>
          <w:sz w:val="32"/>
          <w:szCs w:val="32"/>
        </w:rPr>
        <w:t>根据规定，按时向</w:t>
      </w:r>
      <w:r>
        <w:rPr>
          <w:rFonts w:hint="eastAsia" w:ascii="Times New Roman" w:hAnsi="Times New Roman" w:eastAsia="方正仿宋_GBK"/>
          <w:color w:val="auto"/>
          <w:sz w:val="32"/>
          <w:szCs w:val="32"/>
          <w:lang w:eastAsia="zh-CN"/>
        </w:rPr>
        <w:t>服务</w:t>
      </w:r>
      <w:r>
        <w:rPr>
          <w:rFonts w:hint="eastAsia" w:ascii="Times New Roman" w:hAnsi="Times New Roman" w:eastAsia="方正仿宋_GBK"/>
          <w:color w:val="auto"/>
          <w:sz w:val="32"/>
          <w:szCs w:val="32"/>
        </w:rPr>
        <w:t>方支付服务报酬。</w:t>
      </w:r>
    </w:p>
    <w:p w14:paraId="2FC905F7">
      <w:pPr>
        <w:keepNext w:val="0"/>
        <w:keepLines w:val="0"/>
        <w:pageBreakBefore w:val="0"/>
        <w:widowControl w:val="0"/>
        <w:kinsoku/>
        <w:wordWrap/>
        <w:overflowPunct/>
        <w:topLinePunct w:val="0"/>
        <w:autoSpaceDE/>
        <w:autoSpaceDN/>
        <w:bidi w:val="0"/>
        <w:adjustRightInd/>
        <w:snapToGrid/>
        <w:spacing w:line="240" w:lineRule="auto"/>
        <w:ind w:firstLine="604" w:firstLineChars="200"/>
        <w:jc w:val="both"/>
        <w:textAlignment w:val="auto"/>
        <w:rPr>
          <w:rFonts w:hint="eastAsia" w:ascii="Times New Roman" w:hAnsi="Times New Roman" w:eastAsia="方正楷体_GBK" w:cs="方正楷体_GBK"/>
          <w:sz w:val="32"/>
          <w:szCs w:val="32"/>
        </w:rPr>
      </w:pPr>
      <w:r>
        <w:rPr>
          <w:rFonts w:hint="eastAsia" w:ascii="Times New Roman" w:hAnsi="Times New Roman" w:eastAsia="方正楷体_GBK" w:cs="方正楷体_GBK"/>
          <w:sz w:val="32"/>
          <w:szCs w:val="32"/>
          <w:lang w:val="en-US" w:eastAsia="zh-CN"/>
        </w:rPr>
        <w:t>6.2 入围方的</w:t>
      </w:r>
      <w:r>
        <w:rPr>
          <w:rFonts w:hint="eastAsia" w:ascii="Times New Roman" w:hAnsi="Times New Roman" w:eastAsia="方正楷体_GBK" w:cs="方正楷体_GBK"/>
          <w:sz w:val="32"/>
          <w:szCs w:val="32"/>
        </w:rPr>
        <w:t>责任</w:t>
      </w:r>
    </w:p>
    <w:p w14:paraId="6CEC0579">
      <w:pPr>
        <w:keepNext w:val="0"/>
        <w:keepLines w:val="0"/>
        <w:pageBreakBefore w:val="0"/>
        <w:widowControl w:val="0"/>
        <w:kinsoku/>
        <w:wordWrap/>
        <w:overflowPunct/>
        <w:topLinePunct w:val="0"/>
        <w:autoSpaceDE/>
        <w:autoSpaceDN/>
        <w:bidi w:val="0"/>
        <w:adjustRightInd/>
        <w:snapToGrid/>
        <w:spacing w:line="240" w:lineRule="auto"/>
        <w:ind w:firstLine="604" w:firstLineChars="200"/>
        <w:jc w:val="both"/>
        <w:textAlignment w:val="auto"/>
        <w:rPr>
          <w:rFonts w:hint="eastAsia" w:ascii="Times New Roman" w:hAnsi="Times New Roman" w:eastAsia="方正仿宋_GBK"/>
          <w:color w:val="auto"/>
          <w:sz w:val="32"/>
          <w:szCs w:val="32"/>
        </w:rPr>
      </w:pPr>
      <w:r>
        <w:rPr>
          <w:rFonts w:hint="eastAsia" w:ascii="Times New Roman" w:hAnsi="Times New Roman" w:eastAsia="方正仿宋_GBK"/>
          <w:color w:val="auto"/>
          <w:sz w:val="32"/>
          <w:szCs w:val="32"/>
        </w:rPr>
        <w:t>1.</w:t>
      </w:r>
      <w:r>
        <w:rPr>
          <w:rFonts w:hint="eastAsia" w:ascii="Times New Roman" w:hAnsi="Times New Roman" w:eastAsia="方正仿宋_GBK"/>
          <w:color w:val="auto"/>
          <w:sz w:val="32"/>
          <w:szCs w:val="32"/>
          <w:lang w:eastAsia="zh-CN"/>
        </w:rPr>
        <w:t>入围</w:t>
      </w:r>
      <w:r>
        <w:rPr>
          <w:rFonts w:hint="eastAsia" w:ascii="Times New Roman" w:hAnsi="Times New Roman" w:eastAsia="方正仿宋_GBK"/>
          <w:color w:val="auto"/>
          <w:sz w:val="32"/>
          <w:szCs w:val="32"/>
        </w:rPr>
        <w:t>方应严格按照</w:t>
      </w:r>
      <w:r>
        <w:rPr>
          <w:rFonts w:hint="eastAsia" w:ascii="Times New Roman" w:hAnsi="Times New Roman" w:eastAsia="方正仿宋_GBK"/>
          <w:color w:val="auto"/>
          <w:sz w:val="32"/>
          <w:szCs w:val="32"/>
          <w:lang w:val="en-US" w:eastAsia="zh-CN"/>
        </w:rPr>
        <w:t>征集</w:t>
      </w:r>
      <w:r>
        <w:rPr>
          <w:rFonts w:hint="eastAsia" w:ascii="Times New Roman" w:hAnsi="Times New Roman" w:eastAsia="方正仿宋_GBK"/>
          <w:color w:val="auto"/>
          <w:sz w:val="32"/>
          <w:szCs w:val="32"/>
        </w:rPr>
        <w:t>文件的要求和</w:t>
      </w:r>
      <w:r>
        <w:rPr>
          <w:rFonts w:hint="eastAsia" w:ascii="Times New Roman" w:hAnsi="Times New Roman" w:eastAsia="方正仿宋_GBK"/>
          <w:color w:val="auto"/>
          <w:sz w:val="32"/>
          <w:szCs w:val="32"/>
          <w:lang w:val="en-US" w:eastAsia="zh-CN"/>
        </w:rPr>
        <w:t>响应</w:t>
      </w:r>
      <w:r>
        <w:rPr>
          <w:rFonts w:hint="eastAsia" w:ascii="Times New Roman" w:hAnsi="Times New Roman" w:eastAsia="方正仿宋_GBK"/>
          <w:color w:val="auto"/>
          <w:sz w:val="32"/>
          <w:szCs w:val="32"/>
        </w:rPr>
        <w:t>文件的方案与承诺开展项目。</w:t>
      </w:r>
    </w:p>
    <w:p w14:paraId="622430F9">
      <w:pPr>
        <w:keepNext w:val="0"/>
        <w:keepLines w:val="0"/>
        <w:pageBreakBefore w:val="0"/>
        <w:widowControl w:val="0"/>
        <w:kinsoku/>
        <w:wordWrap/>
        <w:overflowPunct/>
        <w:topLinePunct w:val="0"/>
        <w:autoSpaceDE/>
        <w:autoSpaceDN/>
        <w:bidi w:val="0"/>
        <w:adjustRightInd/>
        <w:snapToGrid/>
        <w:spacing w:line="240" w:lineRule="auto"/>
        <w:ind w:firstLine="604" w:firstLineChars="200"/>
        <w:jc w:val="both"/>
        <w:textAlignment w:val="auto"/>
        <w:rPr>
          <w:rFonts w:hint="eastAsia" w:ascii="Times New Roman" w:hAnsi="Times New Roman" w:eastAsia="方正仿宋_GBK"/>
          <w:color w:val="auto"/>
          <w:sz w:val="32"/>
          <w:szCs w:val="32"/>
        </w:rPr>
      </w:pPr>
      <w:r>
        <w:rPr>
          <w:rFonts w:hint="eastAsia" w:ascii="Times New Roman" w:hAnsi="Times New Roman" w:eastAsia="方正仿宋_GBK"/>
          <w:color w:val="auto"/>
          <w:sz w:val="32"/>
          <w:szCs w:val="32"/>
          <w:lang w:val="en-US" w:eastAsia="zh-CN"/>
        </w:rPr>
        <w:t>2</w:t>
      </w:r>
      <w:r>
        <w:rPr>
          <w:rFonts w:hint="default" w:ascii="Times New Roman" w:hAnsi="Times New Roman" w:eastAsia="方正仿宋_GBK" w:cs="方正仿宋_GBK"/>
          <w:sz w:val="32"/>
          <w:szCs w:val="32"/>
          <w:lang w:val="en-US" w:eastAsia="zh-CN"/>
        </w:rPr>
        <w:t>．</w:t>
      </w:r>
      <w:r>
        <w:rPr>
          <w:rFonts w:hint="eastAsia" w:ascii="Times New Roman" w:hAnsi="Times New Roman" w:eastAsia="方正仿宋_GBK"/>
          <w:color w:val="auto"/>
          <w:sz w:val="32"/>
          <w:szCs w:val="32"/>
          <w:lang w:eastAsia="zh-CN"/>
        </w:rPr>
        <w:t>入围</w:t>
      </w:r>
      <w:r>
        <w:rPr>
          <w:rFonts w:hint="eastAsia" w:ascii="Times New Roman" w:hAnsi="Times New Roman" w:eastAsia="方正仿宋_GBK"/>
          <w:color w:val="auto"/>
          <w:sz w:val="32"/>
          <w:szCs w:val="32"/>
        </w:rPr>
        <w:t>方负责组建专业的服务运营团队，负责日常的运营与维护，负责居家养老服务供应商体系管理建设，提供人员与运营保障。并在未来可以根据</w:t>
      </w:r>
      <w:r>
        <w:rPr>
          <w:rFonts w:hint="eastAsia" w:ascii="Times New Roman" w:hAnsi="Times New Roman" w:eastAsia="方正仿宋_GBK"/>
          <w:color w:val="auto"/>
          <w:sz w:val="32"/>
          <w:szCs w:val="32"/>
          <w:lang w:eastAsia="zh-CN"/>
        </w:rPr>
        <w:t>采购</w:t>
      </w:r>
      <w:r>
        <w:rPr>
          <w:rFonts w:hint="eastAsia" w:ascii="Times New Roman" w:hAnsi="Times New Roman" w:eastAsia="方正仿宋_GBK"/>
          <w:color w:val="auto"/>
          <w:sz w:val="32"/>
          <w:szCs w:val="32"/>
        </w:rPr>
        <w:t>方的需求随时拓展服务容量。</w:t>
      </w:r>
    </w:p>
    <w:p w14:paraId="167E21F3">
      <w:pPr>
        <w:keepNext w:val="0"/>
        <w:keepLines w:val="0"/>
        <w:pageBreakBefore w:val="0"/>
        <w:widowControl w:val="0"/>
        <w:kinsoku/>
        <w:wordWrap/>
        <w:overflowPunct/>
        <w:topLinePunct w:val="0"/>
        <w:autoSpaceDE/>
        <w:autoSpaceDN/>
        <w:bidi w:val="0"/>
        <w:adjustRightInd/>
        <w:snapToGrid/>
        <w:spacing w:line="240" w:lineRule="auto"/>
        <w:ind w:firstLine="604" w:firstLineChars="200"/>
        <w:jc w:val="both"/>
        <w:textAlignment w:val="auto"/>
        <w:rPr>
          <w:rFonts w:hint="eastAsia" w:ascii="Times New Roman" w:hAnsi="Times New Roman" w:eastAsia="方正仿宋_GBK"/>
          <w:color w:val="auto"/>
          <w:sz w:val="32"/>
          <w:szCs w:val="32"/>
        </w:rPr>
      </w:pPr>
      <w:r>
        <w:rPr>
          <w:rFonts w:hint="eastAsia" w:ascii="Times New Roman" w:hAnsi="Times New Roman" w:eastAsia="方正仿宋_GBK"/>
          <w:color w:val="auto"/>
          <w:sz w:val="32"/>
          <w:szCs w:val="32"/>
          <w:lang w:val="en-US" w:eastAsia="zh-CN"/>
        </w:rPr>
        <w:t>3</w:t>
      </w:r>
      <w:r>
        <w:rPr>
          <w:rFonts w:hint="default" w:ascii="Times New Roman" w:hAnsi="Times New Roman" w:eastAsia="方正仿宋_GBK" w:cs="方正仿宋_GBK"/>
          <w:sz w:val="32"/>
          <w:szCs w:val="32"/>
          <w:lang w:val="en-US" w:eastAsia="zh-CN"/>
        </w:rPr>
        <w:t>．</w:t>
      </w:r>
      <w:r>
        <w:rPr>
          <w:rFonts w:hint="eastAsia" w:ascii="Times New Roman" w:hAnsi="Times New Roman" w:eastAsia="方正仿宋_GBK"/>
          <w:color w:val="auto"/>
          <w:sz w:val="32"/>
          <w:szCs w:val="32"/>
          <w:lang w:eastAsia="zh-CN"/>
        </w:rPr>
        <w:t>入围</w:t>
      </w:r>
      <w:r>
        <w:rPr>
          <w:rFonts w:hint="eastAsia" w:ascii="Times New Roman" w:hAnsi="Times New Roman" w:eastAsia="方正仿宋_GBK"/>
          <w:color w:val="auto"/>
          <w:sz w:val="32"/>
          <w:szCs w:val="32"/>
        </w:rPr>
        <w:t>方按照</w:t>
      </w:r>
      <w:r>
        <w:rPr>
          <w:rFonts w:hint="eastAsia" w:ascii="Times New Roman" w:hAnsi="Times New Roman" w:eastAsia="方正仿宋_GBK"/>
          <w:color w:val="auto"/>
          <w:sz w:val="32"/>
          <w:szCs w:val="32"/>
          <w:lang w:eastAsia="zh-CN"/>
        </w:rPr>
        <w:t>采购方</w:t>
      </w:r>
      <w:r>
        <w:rPr>
          <w:rFonts w:hint="eastAsia" w:ascii="Times New Roman" w:hAnsi="Times New Roman" w:eastAsia="方正仿宋_GBK"/>
          <w:color w:val="auto"/>
          <w:sz w:val="32"/>
          <w:szCs w:val="32"/>
        </w:rPr>
        <w:t>要求，定期汇报援助服务的运营情况及服务情况，并能根据要求随时提供有关数据。</w:t>
      </w:r>
    </w:p>
    <w:p w14:paraId="6BAD0492">
      <w:pPr>
        <w:keepNext w:val="0"/>
        <w:keepLines w:val="0"/>
        <w:pageBreakBefore w:val="0"/>
        <w:widowControl w:val="0"/>
        <w:kinsoku/>
        <w:wordWrap/>
        <w:overflowPunct/>
        <w:topLinePunct w:val="0"/>
        <w:autoSpaceDE/>
        <w:autoSpaceDN/>
        <w:bidi w:val="0"/>
        <w:adjustRightInd/>
        <w:snapToGrid/>
        <w:spacing w:line="240" w:lineRule="auto"/>
        <w:ind w:firstLine="604" w:firstLineChars="200"/>
        <w:jc w:val="both"/>
        <w:textAlignment w:val="auto"/>
        <w:rPr>
          <w:rFonts w:hint="eastAsia" w:ascii="Times New Roman" w:hAnsi="Times New Roman" w:eastAsia="方正仿宋_GBK"/>
          <w:color w:val="auto"/>
          <w:sz w:val="32"/>
          <w:szCs w:val="32"/>
        </w:rPr>
      </w:pPr>
      <w:r>
        <w:rPr>
          <w:rFonts w:hint="eastAsia" w:ascii="Times New Roman" w:hAnsi="Times New Roman" w:eastAsia="方正仿宋_GBK"/>
          <w:color w:val="auto"/>
          <w:sz w:val="32"/>
          <w:szCs w:val="32"/>
          <w:lang w:val="en-US" w:eastAsia="zh-CN"/>
        </w:rPr>
        <w:t>4</w:t>
      </w:r>
      <w:r>
        <w:rPr>
          <w:rFonts w:hint="default" w:ascii="Times New Roman" w:hAnsi="Times New Roman" w:eastAsia="方正仿宋_GBK" w:cs="方正仿宋_GBK"/>
          <w:sz w:val="32"/>
          <w:szCs w:val="32"/>
          <w:lang w:val="en-US" w:eastAsia="zh-CN"/>
        </w:rPr>
        <w:t>．</w:t>
      </w:r>
      <w:r>
        <w:rPr>
          <w:rFonts w:hint="eastAsia" w:ascii="Times New Roman" w:hAnsi="Times New Roman" w:eastAsia="方正仿宋_GBK"/>
          <w:color w:val="auto"/>
          <w:sz w:val="32"/>
          <w:szCs w:val="32"/>
          <w:lang w:eastAsia="zh-CN"/>
        </w:rPr>
        <w:t>入围</w:t>
      </w:r>
      <w:r>
        <w:rPr>
          <w:rFonts w:hint="eastAsia" w:ascii="Times New Roman" w:hAnsi="Times New Roman" w:eastAsia="方正仿宋_GBK"/>
          <w:color w:val="auto"/>
          <w:sz w:val="32"/>
          <w:szCs w:val="32"/>
        </w:rPr>
        <w:t>方应与服务对象</w:t>
      </w:r>
      <w:r>
        <w:rPr>
          <w:rFonts w:hint="eastAsia" w:ascii="Times New Roman" w:hAnsi="Times New Roman" w:eastAsia="方正仿宋_GBK"/>
          <w:color w:val="auto"/>
          <w:sz w:val="32"/>
          <w:szCs w:val="32"/>
          <w:lang w:eastAsia="zh-CN"/>
        </w:rPr>
        <w:t>、</w:t>
      </w:r>
      <w:r>
        <w:rPr>
          <w:rFonts w:hint="eastAsia" w:ascii="Times New Roman" w:hAnsi="Times New Roman" w:eastAsia="方正仿宋_GBK"/>
          <w:color w:val="auto"/>
          <w:sz w:val="32"/>
          <w:szCs w:val="32"/>
          <w:lang w:val="en-US" w:eastAsia="zh-CN"/>
        </w:rPr>
        <w:t>民政部门</w:t>
      </w:r>
      <w:r>
        <w:rPr>
          <w:rFonts w:hint="eastAsia" w:ascii="Times New Roman" w:hAnsi="Times New Roman" w:eastAsia="方正仿宋_GBK"/>
          <w:color w:val="auto"/>
          <w:sz w:val="32"/>
          <w:szCs w:val="32"/>
        </w:rPr>
        <w:t>积极沟通，听取各方意见和建议，不断改进和提升服务水平。</w:t>
      </w:r>
    </w:p>
    <w:p w14:paraId="5351A9F7">
      <w:pPr>
        <w:keepNext w:val="0"/>
        <w:keepLines w:val="0"/>
        <w:pageBreakBefore w:val="0"/>
        <w:widowControl w:val="0"/>
        <w:kinsoku/>
        <w:wordWrap/>
        <w:overflowPunct/>
        <w:topLinePunct w:val="0"/>
        <w:autoSpaceDE/>
        <w:autoSpaceDN/>
        <w:bidi w:val="0"/>
        <w:adjustRightInd/>
        <w:snapToGrid/>
        <w:spacing w:line="240" w:lineRule="auto"/>
        <w:ind w:firstLine="604" w:firstLineChars="200"/>
        <w:jc w:val="both"/>
        <w:textAlignment w:val="auto"/>
        <w:rPr>
          <w:rFonts w:hint="eastAsia" w:ascii="Times New Roman" w:hAnsi="Times New Roman" w:eastAsia="方正仿宋_GBK"/>
          <w:color w:val="auto"/>
          <w:sz w:val="32"/>
          <w:szCs w:val="32"/>
        </w:rPr>
      </w:pPr>
      <w:r>
        <w:rPr>
          <w:rFonts w:hint="eastAsia" w:ascii="Times New Roman" w:hAnsi="Times New Roman" w:eastAsia="方正仿宋_GBK"/>
          <w:color w:val="auto"/>
          <w:sz w:val="32"/>
          <w:szCs w:val="32"/>
          <w:lang w:val="en-US" w:eastAsia="zh-CN"/>
        </w:rPr>
        <w:t>5</w:t>
      </w:r>
      <w:r>
        <w:rPr>
          <w:rFonts w:hint="default" w:ascii="Times New Roman" w:hAnsi="Times New Roman" w:eastAsia="方正仿宋_GBK" w:cs="方正仿宋_GBK"/>
          <w:sz w:val="32"/>
          <w:szCs w:val="32"/>
          <w:lang w:val="en-US" w:eastAsia="zh-CN"/>
        </w:rPr>
        <w:t>．</w:t>
      </w:r>
      <w:r>
        <w:rPr>
          <w:rFonts w:hint="eastAsia" w:ascii="Times New Roman" w:hAnsi="Times New Roman" w:eastAsia="方正仿宋_GBK"/>
          <w:color w:val="auto"/>
          <w:sz w:val="32"/>
          <w:szCs w:val="32"/>
          <w:lang w:eastAsia="zh-CN"/>
        </w:rPr>
        <w:t>入围</w:t>
      </w:r>
      <w:r>
        <w:rPr>
          <w:rFonts w:hint="eastAsia" w:ascii="Times New Roman" w:hAnsi="Times New Roman" w:eastAsia="方正仿宋_GBK"/>
          <w:color w:val="auto"/>
          <w:sz w:val="32"/>
          <w:szCs w:val="32"/>
        </w:rPr>
        <w:t>方在提供服务过程中要严格规范言行，不得作出任何伤害</w:t>
      </w:r>
      <w:r>
        <w:rPr>
          <w:rFonts w:hint="eastAsia" w:ascii="Times New Roman" w:hAnsi="Times New Roman" w:eastAsia="方正仿宋_GBK"/>
          <w:color w:val="auto"/>
          <w:sz w:val="32"/>
          <w:szCs w:val="32"/>
          <w:lang w:eastAsia="zh-CN"/>
        </w:rPr>
        <w:t>、</w:t>
      </w:r>
      <w:r>
        <w:rPr>
          <w:rFonts w:hint="eastAsia" w:ascii="Times New Roman" w:hAnsi="Times New Roman" w:eastAsia="方正仿宋_GBK"/>
          <w:color w:val="auto"/>
          <w:sz w:val="32"/>
          <w:szCs w:val="32"/>
        </w:rPr>
        <w:t>刺激或可能伤害</w:t>
      </w:r>
      <w:r>
        <w:rPr>
          <w:rFonts w:hint="eastAsia" w:ascii="Times New Roman" w:hAnsi="Times New Roman" w:eastAsia="方正仿宋_GBK"/>
          <w:color w:val="auto"/>
          <w:sz w:val="32"/>
          <w:szCs w:val="32"/>
          <w:lang w:eastAsia="zh-CN"/>
        </w:rPr>
        <w:t>、</w:t>
      </w:r>
      <w:r>
        <w:rPr>
          <w:rFonts w:hint="eastAsia" w:ascii="Times New Roman" w:hAnsi="Times New Roman" w:eastAsia="方正仿宋_GBK"/>
          <w:color w:val="auto"/>
          <w:sz w:val="32"/>
          <w:szCs w:val="32"/>
        </w:rPr>
        <w:t>刺激到老年人身体和精神的言行，确保服务过程中的人员安全，否则由</w:t>
      </w:r>
      <w:r>
        <w:rPr>
          <w:rFonts w:hint="eastAsia" w:ascii="Times New Roman" w:hAnsi="Times New Roman" w:eastAsia="方正仿宋_GBK"/>
          <w:color w:val="auto"/>
          <w:sz w:val="32"/>
          <w:szCs w:val="32"/>
          <w:lang w:eastAsia="zh-CN"/>
        </w:rPr>
        <w:t>入围</w:t>
      </w:r>
      <w:r>
        <w:rPr>
          <w:rFonts w:hint="eastAsia" w:ascii="Times New Roman" w:hAnsi="Times New Roman" w:eastAsia="方正仿宋_GBK"/>
          <w:color w:val="auto"/>
          <w:sz w:val="32"/>
          <w:szCs w:val="32"/>
        </w:rPr>
        <w:t>方全权承担由此造成的法律责任。</w:t>
      </w:r>
    </w:p>
    <w:p w14:paraId="04789817">
      <w:pPr>
        <w:keepNext w:val="0"/>
        <w:keepLines w:val="0"/>
        <w:pageBreakBefore w:val="0"/>
        <w:widowControl w:val="0"/>
        <w:kinsoku/>
        <w:wordWrap/>
        <w:overflowPunct/>
        <w:topLinePunct w:val="0"/>
        <w:autoSpaceDE/>
        <w:autoSpaceDN/>
        <w:bidi w:val="0"/>
        <w:adjustRightInd/>
        <w:snapToGrid/>
        <w:spacing w:line="240" w:lineRule="auto"/>
        <w:ind w:firstLine="604" w:firstLineChars="200"/>
        <w:jc w:val="both"/>
        <w:textAlignment w:val="auto"/>
        <w:rPr>
          <w:rFonts w:hint="eastAsia" w:ascii="Times New Roman" w:hAnsi="Times New Roman" w:eastAsia="方正仿宋_GBK"/>
          <w:color w:val="auto"/>
          <w:sz w:val="32"/>
          <w:szCs w:val="32"/>
        </w:rPr>
      </w:pPr>
      <w:r>
        <w:rPr>
          <w:rFonts w:hint="eastAsia" w:ascii="Times New Roman" w:hAnsi="Times New Roman" w:eastAsia="方正仿宋_GBK"/>
          <w:color w:val="auto"/>
          <w:sz w:val="32"/>
          <w:szCs w:val="32"/>
          <w:lang w:val="en-US" w:eastAsia="zh-CN"/>
        </w:rPr>
        <w:t>6</w:t>
      </w:r>
      <w:r>
        <w:rPr>
          <w:rFonts w:hint="default" w:ascii="Times New Roman" w:hAnsi="Times New Roman" w:eastAsia="方正仿宋_GBK" w:cs="方正仿宋_GBK"/>
          <w:sz w:val="32"/>
          <w:szCs w:val="32"/>
          <w:lang w:val="en-US" w:eastAsia="zh-CN"/>
        </w:rPr>
        <w:t>．</w:t>
      </w:r>
      <w:r>
        <w:rPr>
          <w:rFonts w:hint="eastAsia" w:ascii="Times New Roman" w:hAnsi="Times New Roman" w:eastAsia="方正仿宋_GBK"/>
          <w:color w:val="auto"/>
          <w:sz w:val="32"/>
          <w:szCs w:val="32"/>
          <w:lang w:eastAsia="zh-CN"/>
        </w:rPr>
        <w:t>入围</w:t>
      </w:r>
      <w:r>
        <w:rPr>
          <w:rFonts w:hint="eastAsia" w:ascii="Times New Roman" w:hAnsi="Times New Roman" w:eastAsia="方正仿宋_GBK"/>
          <w:color w:val="auto"/>
          <w:sz w:val="32"/>
          <w:szCs w:val="32"/>
        </w:rPr>
        <w:t>方不得私自、额外向服务对象收费，一经发现甲方可视情况解除合同，并要求乙方赔偿损失。</w:t>
      </w:r>
    </w:p>
    <w:p w14:paraId="76E22ECD">
      <w:pPr>
        <w:keepNext w:val="0"/>
        <w:keepLines w:val="0"/>
        <w:pageBreakBefore w:val="0"/>
        <w:widowControl w:val="0"/>
        <w:kinsoku/>
        <w:wordWrap/>
        <w:overflowPunct/>
        <w:topLinePunct w:val="0"/>
        <w:autoSpaceDE/>
        <w:autoSpaceDN/>
        <w:bidi w:val="0"/>
        <w:adjustRightInd/>
        <w:snapToGrid/>
        <w:spacing w:line="240" w:lineRule="auto"/>
        <w:ind w:firstLine="604" w:firstLineChars="200"/>
        <w:jc w:val="both"/>
        <w:textAlignment w:val="auto"/>
        <w:rPr>
          <w:rFonts w:hint="eastAsia" w:ascii="Times New Roman" w:hAnsi="Times New Roman" w:eastAsia="方正仿宋_GBK"/>
          <w:color w:val="auto"/>
          <w:sz w:val="32"/>
          <w:szCs w:val="32"/>
        </w:rPr>
      </w:pPr>
      <w:r>
        <w:rPr>
          <w:rFonts w:hint="eastAsia" w:ascii="Times New Roman" w:hAnsi="Times New Roman" w:eastAsia="方正仿宋_GBK"/>
          <w:color w:val="auto"/>
          <w:sz w:val="32"/>
          <w:szCs w:val="32"/>
          <w:lang w:val="en-US" w:eastAsia="zh-CN"/>
        </w:rPr>
        <w:t>7</w:t>
      </w:r>
      <w:r>
        <w:rPr>
          <w:rFonts w:hint="default" w:ascii="Times New Roman" w:hAnsi="Times New Roman" w:eastAsia="方正仿宋_GBK" w:cs="方正仿宋_GBK"/>
          <w:sz w:val="32"/>
          <w:szCs w:val="32"/>
          <w:lang w:val="en-US" w:eastAsia="zh-CN"/>
        </w:rPr>
        <w:t>．</w:t>
      </w:r>
      <w:r>
        <w:rPr>
          <w:rFonts w:hint="eastAsia" w:ascii="Times New Roman" w:hAnsi="Times New Roman" w:eastAsia="方正仿宋_GBK"/>
          <w:color w:val="auto"/>
          <w:sz w:val="32"/>
          <w:szCs w:val="32"/>
          <w:lang w:eastAsia="zh-CN"/>
        </w:rPr>
        <w:t>入围</w:t>
      </w:r>
      <w:r>
        <w:rPr>
          <w:rFonts w:hint="eastAsia" w:ascii="Times New Roman" w:hAnsi="Times New Roman" w:eastAsia="方正仿宋_GBK"/>
          <w:color w:val="auto"/>
          <w:sz w:val="32"/>
          <w:szCs w:val="32"/>
          <w:lang w:val="en-US" w:eastAsia="zh-CN"/>
        </w:rPr>
        <w:t>方</w:t>
      </w:r>
      <w:r>
        <w:rPr>
          <w:rFonts w:hint="eastAsia" w:ascii="Times New Roman" w:hAnsi="Times New Roman" w:eastAsia="方正仿宋_GBK"/>
          <w:color w:val="auto"/>
          <w:sz w:val="32"/>
          <w:szCs w:val="32"/>
        </w:rPr>
        <w:t>必须严格按照</w:t>
      </w:r>
      <w:r>
        <w:rPr>
          <w:rFonts w:hint="eastAsia" w:ascii="Times New Roman" w:hAnsi="Times New Roman" w:eastAsia="方正仿宋_GBK"/>
          <w:color w:val="auto"/>
          <w:sz w:val="32"/>
          <w:szCs w:val="32"/>
          <w:lang w:val="en-US" w:eastAsia="zh-CN"/>
        </w:rPr>
        <w:t>采购文件履约</w:t>
      </w:r>
      <w:r>
        <w:rPr>
          <w:rFonts w:hint="eastAsia" w:ascii="Times New Roman" w:hAnsi="Times New Roman" w:eastAsia="方正仿宋_GBK"/>
          <w:color w:val="auto"/>
          <w:sz w:val="32"/>
          <w:szCs w:val="32"/>
        </w:rPr>
        <w:t>，不得随意调整</w:t>
      </w:r>
      <w:r>
        <w:rPr>
          <w:rFonts w:hint="eastAsia" w:ascii="Times New Roman" w:hAnsi="Times New Roman" w:eastAsia="方正仿宋_GBK"/>
          <w:color w:val="auto"/>
          <w:sz w:val="32"/>
          <w:szCs w:val="32"/>
          <w:lang w:val="en-US" w:eastAsia="zh-CN"/>
        </w:rPr>
        <w:t>上报平台的服务人员等信息</w:t>
      </w:r>
      <w:r>
        <w:rPr>
          <w:rFonts w:hint="eastAsia" w:ascii="Times New Roman" w:hAnsi="Times New Roman" w:eastAsia="方正仿宋_GBK"/>
          <w:color w:val="auto"/>
          <w:sz w:val="32"/>
          <w:szCs w:val="32"/>
        </w:rPr>
        <w:t>。由于不可控因素需调整，必须向</w:t>
      </w:r>
      <w:r>
        <w:rPr>
          <w:rFonts w:hint="eastAsia" w:ascii="Times New Roman" w:hAnsi="Times New Roman" w:eastAsia="方正仿宋_GBK"/>
          <w:color w:val="auto"/>
          <w:sz w:val="32"/>
          <w:szCs w:val="32"/>
          <w:lang w:eastAsia="zh-CN"/>
        </w:rPr>
        <w:t>采购</w:t>
      </w:r>
      <w:r>
        <w:rPr>
          <w:rFonts w:hint="eastAsia" w:ascii="Times New Roman" w:hAnsi="Times New Roman" w:eastAsia="方正仿宋_GBK"/>
          <w:color w:val="auto"/>
          <w:sz w:val="32"/>
          <w:szCs w:val="32"/>
        </w:rPr>
        <w:t>方提出书面申请同意后进行更换，由</w:t>
      </w:r>
      <w:r>
        <w:rPr>
          <w:rFonts w:hint="eastAsia" w:ascii="Times New Roman" w:hAnsi="Times New Roman" w:eastAsia="方正仿宋_GBK"/>
          <w:color w:val="auto"/>
          <w:sz w:val="32"/>
          <w:szCs w:val="32"/>
          <w:lang w:eastAsia="zh-CN"/>
        </w:rPr>
        <w:t>采购</w:t>
      </w:r>
      <w:r>
        <w:rPr>
          <w:rFonts w:hint="eastAsia" w:ascii="Times New Roman" w:hAnsi="Times New Roman" w:eastAsia="方正仿宋_GBK"/>
          <w:color w:val="auto"/>
          <w:sz w:val="32"/>
          <w:szCs w:val="32"/>
        </w:rPr>
        <w:t>方进行资质审定。</w:t>
      </w:r>
    </w:p>
    <w:p w14:paraId="49B90160">
      <w:pPr>
        <w:keepNext w:val="0"/>
        <w:keepLines w:val="0"/>
        <w:pageBreakBefore w:val="0"/>
        <w:widowControl w:val="0"/>
        <w:kinsoku/>
        <w:wordWrap/>
        <w:overflowPunct/>
        <w:topLinePunct w:val="0"/>
        <w:autoSpaceDE/>
        <w:autoSpaceDN/>
        <w:bidi w:val="0"/>
        <w:adjustRightInd/>
        <w:snapToGrid/>
        <w:spacing w:line="240" w:lineRule="auto"/>
        <w:ind w:firstLine="604" w:firstLineChars="200"/>
        <w:jc w:val="both"/>
        <w:textAlignment w:val="auto"/>
        <w:rPr>
          <w:rFonts w:hint="eastAsia" w:ascii="Times New Roman" w:hAnsi="Times New Roman" w:eastAsia="方正仿宋_GBK"/>
          <w:color w:val="auto"/>
          <w:sz w:val="32"/>
          <w:szCs w:val="32"/>
        </w:rPr>
      </w:pPr>
      <w:r>
        <w:rPr>
          <w:rFonts w:hint="eastAsia" w:ascii="Times New Roman" w:hAnsi="Times New Roman" w:eastAsia="方正仿宋_GBK"/>
          <w:color w:val="auto"/>
          <w:sz w:val="32"/>
          <w:szCs w:val="32"/>
          <w:lang w:val="en-US" w:eastAsia="zh-CN"/>
        </w:rPr>
        <w:t>8</w:t>
      </w:r>
      <w:r>
        <w:rPr>
          <w:rFonts w:hint="default" w:ascii="Times New Roman" w:hAnsi="Times New Roman" w:eastAsia="方正仿宋_GBK" w:cs="方正仿宋_GBK"/>
          <w:sz w:val="32"/>
          <w:szCs w:val="32"/>
          <w:lang w:val="en-US" w:eastAsia="zh-CN"/>
        </w:rPr>
        <w:t>．</w:t>
      </w:r>
      <w:r>
        <w:rPr>
          <w:rFonts w:hint="eastAsia" w:ascii="Times New Roman" w:hAnsi="Times New Roman" w:eastAsia="方正仿宋_GBK"/>
          <w:color w:val="auto"/>
          <w:sz w:val="32"/>
          <w:szCs w:val="32"/>
          <w:lang w:eastAsia="zh-CN"/>
        </w:rPr>
        <w:t>入围</w:t>
      </w:r>
      <w:r>
        <w:rPr>
          <w:rFonts w:hint="eastAsia" w:ascii="Times New Roman" w:hAnsi="Times New Roman" w:eastAsia="方正仿宋_GBK"/>
          <w:color w:val="auto"/>
          <w:sz w:val="32"/>
          <w:szCs w:val="32"/>
        </w:rPr>
        <w:t>方开展援助服务内容必须严格按照标准执行，未经市民政局许可不得以发放实物、变更服务项目等任何其他未经批准的形式开展服务。</w:t>
      </w:r>
    </w:p>
    <w:p w14:paraId="016B6B1F">
      <w:pPr>
        <w:keepNext w:val="0"/>
        <w:keepLines w:val="0"/>
        <w:pageBreakBefore w:val="0"/>
        <w:widowControl w:val="0"/>
        <w:kinsoku/>
        <w:wordWrap/>
        <w:overflowPunct/>
        <w:topLinePunct w:val="0"/>
        <w:autoSpaceDE/>
        <w:autoSpaceDN/>
        <w:bidi w:val="0"/>
        <w:adjustRightInd/>
        <w:snapToGrid/>
        <w:spacing w:line="240" w:lineRule="auto"/>
        <w:ind w:firstLine="604" w:firstLineChars="200"/>
        <w:jc w:val="both"/>
        <w:textAlignment w:val="auto"/>
        <w:rPr>
          <w:rFonts w:hint="default" w:ascii="Times New Roman" w:hAnsi="Times New Roman" w:eastAsia="方正仿宋_GBK"/>
          <w:color w:val="auto"/>
          <w:sz w:val="32"/>
          <w:szCs w:val="32"/>
          <w:lang w:val="en-US" w:eastAsia="zh-CN"/>
        </w:rPr>
      </w:pPr>
      <w:r>
        <w:rPr>
          <w:rFonts w:hint="eastAsia" w:ascii="Times New Roman" w:hAnsi="Times New Roman" w:eastAsia="方正仿宋_GBK"/>
          <w:color w:val="auto"/>
          <w:sz w:val="32"/>
          <w:szCs w:val="32"/>
          <w:lang w:val="en-US" w:eastAsia="zh-CN"/>
        </w:rPr>
        <w:t>9</w:t>
      </w:r>
      <w:r>
        <w:rPr>
          <w:rFonts w:hint="default" w:ascii="Times New Roman" w:hAnsi="Times New Roman" w:eastAsia="方正仿宋_GBK" w:cs="方正仿宋_GBK"/>
          <w:sz w:val="32"/>
          <w:szCs w:val="32"/>
          <w:lang w:val="en-US" w:eastAsia="zh-CN"/>
        </w:rPr>
        <w:t>．</w:t>
      </w:r>
      <w:r>
        <w:rPr>
          <w:rFonts w:hint="eastAsia" w:ascii="Times New Roman" w:hAnsi="Times New Roman" w:eastAsia="方正仿宋_GBK"/>
          <w:color w:val="auto"/>
          <w:sz w:val="32"/>
          <w:szCs w:val="32"/>
          <w:lang w:eastAsia="zh-CN"/>
        </w:rPr>
        <w:t>入围</w:t>
      </w:r>
      <w:r>
        <w:rPr>
          <w:rFonts w:hint="eastAsia" w:ascii="Times New Roman" w:hAnsi="Times New Roman" w:eastAsia="方正仿宋_GBK"/>
          <w:color w:val="auto"/>
          <w:sz w:val="32"/>
          <w:szCs w:val="32"/>
          <w:lang w:val="en-US" w:eastAsia="zh-CN"/>
        </w:rPr>
        <w:t>方不得调整服务清单价格，不得为了竞争业务免除或者变相免除老人自付部分金额。涉及调整价格，需报备至</w:t>
      </w:r>
      <w:r>
        <w:rPr>
          <w:rFonts w:hint="eastAsia" w:ascii="Times New Roman" w:hAnsi="Times New Roman"/>
          <w:color w:val="auto"/>
          <w:sz w:val="32"/>
          <w:szCs w:val="32"/>
          <w:lang w:val="en-US" w:eastAsia="zh-CN"/>
        </w:rPr>
        <w:t>采购方</w:t>
      </w:r>
      <w:r>
        <w:rPr>
          <w:rFonts w:hint="eastAsia" w:ascii="Times New Roman" w:hAnsi="Times New Roman" w:eastAsia="方正仿宋_GBK"/>
          <w:color w:val="auto"/>
          <w:sz w:val="32"/>
          <w:szCs w:val="32"/>
          <w:lang w:val="en-US" w:eastAsia="zh-CN"/>
        </w:rPr>
        <w:t>，由</w:t>
      </w:r>
      <w:r>
        <w:rPr>
          <w:rFonts w:hint="eastAsia" w:ascii="Times New Roman" w:hAnsi="Times New Roman"/>
          <w:color w:val="auto"/>
          <w:sz w:val="32"/>
          <w:szCs w:val="32"/>
          <w:lang w:val="en-US" w:eastAsia="zh-CN"/>
        </w:rPr>
        <w:t>采购方</w:t>
      </w:r>
      <w:r>
        <w:rPr>
          <w:rFonts w:hint="eastAsia" w:ascii="Times New Roman" w:hAnsi="Times New Roman" w:eastAsia="方正仿宋_GBK"/>
          <w:color w:val="auto"/>
          <w:sz w:val="32"/>
          <w:szCs w:val="32"/>
          <w:lang w:val="en-US" w:eastAsia="zh-CN"/>
        </w:rPr>
        <w:t>统一在平台中调整。</w:t>
      </w:r>
    </w:p>
    <w:p w14:paraId="7F59B3B1">
      <w:pPr>
        <w:keepNext w:val="0"/>
        <w:keepLines w:val="0"/>
        <w:pageBreakBefore w:val="0"/>
        <w:widowControl w:val="0"/>
        <w:kinsoku/>
        <w:wordWrap/>
        <w:overflowPunct/>
        <w:topLinePunct w:val="0"/>
        <w:autoSpaceDE/>
        <w:autoSpaceDN/>
        <w:bidi w:val="0"/>
        <w:adjustRightInd/>
        <w:snapToGrid/>
        <w:spacing w:line="240" w:lineRule="auto"/>
        <w:ind w:firstLine="604" w:firstLineChars="200"/>
        <w:jc w:val="both"/>
        <w:textAlignment w:val="auto"/>
        <w:rPr>
          <w:rFonts w:hint="eastAsia" w:ascii="Times New Roman" w:hAnsi="Times New Roman" w:eastAsia="方正仿宋_GBK"/>
          <w:color w:val="auto"/>
          <w:sz w:val="32"/>
          <w:szCs w:val="32"/>
        </w:rPr>
      </w:pPr>
      <w:r>
        <w:rPr>
          <w:rFonts w:hint="eastAsia" w:ascii="Times New Roman" w:hAnsi="Times New Roman" w:eastAsia="方正仿宋_GBK"/>
          <w:color w:val="auto"/>
          <w:sz w:val="32"/>
          <w:szCs w:val="32"/>
          <w:lang w:val="en-US" w:eastAsia="zh-CN"/>
        </w:rPr>
        <w:t>10</w:t>
      </w:r>
      <w:r>
        <w:rPr>
          <w:rFonts w:hint="default" w:ascii="Times New Roman" w:hAnsi="Times New Roman" w:eastAsia="方正仿宋_GBK" w:cs="方正仿宋_GBK"/>
          <w:sz w:val="32"/>
          <w:szCs w:val="32"/>
          <w:lang w:val="en-US" w:eastAsia="zh-CN"/>
        </w:rPr>
        <w:t>．</w:t>
      </w:r>
      <w:r>
        <w:rPr>
          <w:rFonts w:hint="eastAsia" w:ascii="Times New Roman" w:hAnsi="Times New Roman" w:cs="方正仿宋_GBK"/>
          <w:sz w:val="32"/>
          <w:szCs w:val="32"/>
          <w:lang w:val="en-US" w:eastAsia="zh-CN"/>
        </w:rPr>
        <w:t>入围方</w:t>
      </w:r>
      <w:r>
        <w:rPr>
          <w:rFonts w:hint="eastAsia" w:ascii="Times New Roman" w:hAnsi="Times New Roman" w:eastAsia="方正仿宋_GBK"/>
          <w:color w:val="auto"/>
          <w:sz w:val="32"/>
          <w:szCs w:val="32"/>
        </w:rPr>
        <w:t>承诺对服务对象各项信息进行保密，不得外泄，保密期限为永久。</w:t>
      </w:r>
    </w:p>
    <w:p w14:paraId="24FB0EAB">
      <w:pPr>
        <w:keepNext w:val="0"/>
        <w:keepLines w:val="0"/>
        <w:pageBreakBefore w:val="0"/>
        <w:widowControl w:val="0"/>
        <w:kinsoku/>
        <w:wordWrap/>
        <w:overflowPunct/>
        <w:topLinePunct w:val="0"/>
        <w:autoSpaceDE/>
        <w:autoSpaceDN/>
        <w:bidi w:val="0"/>
        <w:adjustRightInd/>
        <w:snapToGrid/>
        <w:spacing w:line="240" w:lineRule="auto"/>
        <w:ind w:firstLine="604" w:firstLineChars="200"/>
        <w:jc w:val="both"/>
        <w:textAlignment w:val="auto"/>
        <w:rPr>
          <w:rFonts w:hint="eastAsia" w:ascii="Times New Roman" w:hAnsi="Times New Roman" w:eastAsia="方正楷体_GBK" w:cs="方正楷体_GBK"/>
          <w:sz w:val="32"/>
          <w:szCs w:val="32"/>
        </w:rPr>
      </w:pPr>
      <w:r>
        <w:rPr>
          <w:rFonts w:hint="eastAsia" w:ascii="Times New Roman" w:hAnsi="Times New Roman" w:eastAsia="方正楷体_GBK" w:cs="方正楷体_GBK"/>
          <w:sz w:val="32"/>
          <w:szCs w:val="32"/>
          <w:lang w:val="en-US" w:eastAsia="zh-CN"/>
        </w:rPr>
        <w:t xml:space="preserve">6.3 </w:t>
      </w:r>
      <w:r>
        <w:rPr>
          <w:rFonts w:hint="eastAsia" w:ascii="Times New Roman" w:hAnsi="Times New Roman" w:eastAsia="方正楷体_GBK" w:cs="方正楷体_GBK"/>
          <w:sz w:val="32"/>
          <w:szCs w:val="32"/>
        </w:rPr>
        <w:t>责任追究</w:t>
      </w:r>
    </w:p>
    <w:p w14:paraId="2DF82849">
      <w:pPr>
        <w:keepNext w:val="0"/>
        <w:keepLines w:val="0"/>
        <w:pageBreakBefore w:val="0"/>
        <w:widowControl w:val="0"/>
        <w:kinsoku/>
        <w:wordWrap/>
        <w:overflowPunct/>
        <w:topLinePunct w:val="0"/>
        <w:autoSpaceDE/>
        <w:autoSpaceDN/>
        <w:bidi w:val="0"/>
        <w:adjustRightInd/>
        <w:snapToGrid/>
        <w:spacing w:line="240" w:lineRule="auto"/>
        <w:ind w:firstLine="604" w:firstLineChars="200"/>
        <w:jc w:val="both"/>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1</w:t>
      </w:r>
      <w:r>
        <w:rPr>
          <w:rFonts w:hint="default" w:ascii="Times New Roman" w:hAnsi="Times New Roman" w:eastAsia="方正仿宋_GBK" w:cs="方正仿宋_GBK"/>
          <w:sz w:val="32"/>
          <w:szCs w:val="32"/>
          <w:lang w:val="en-US" w:eastAsia="zh-CN"/>
        </w:rPr>
        <w:t>．</w:t>
      </w:r>
      <w:r>
        <w:rPr>
          <w:rFonts w:hint="eastAsia" w:ascii="Times New Roman" w:hAnsi="Times New Roman" w:eastAsia="方正仿宋_GBK" w:cs="方正仿宋_GBK"/>
          <w:sz w:val="32"/>
          <w:szCs w:val="32"/>
          <w:lang w:eastAsia="zh-CN"/>
        </w:rPr>
        <w:t>入围</w:t>
      </w:r>
      <w:r>
        <w:rPr>
          <w:rFonts w:hint="eastAsia" w:ascii="Times New Roman" w:hAnsi="Times New Roman" w:cs="方正仿宋_GBK"/>
          <w:sz w:val="32"/>
          <w:szCs w:val="32"/>
          <w:lang w:eastAsia="zh-CN"/>
        </w:rPr>
        <w:t>方</w:t>
      </w:r>
      <w:r>
        <w:rPr>
          <w:rFonts w:hint="eastAsia" w:ascii="Times New Roman" w:hAnsi="Times New Roman" w:eastAsia="方正仿宋_GBK" w:cs="方正仿宋_GBK"/>
          <w:sz w:val="32"/>
          <w:szCs w:val="32"/>
        </w:rPr>
        <w:t>不履行合同义务或者履行合同义务不符合约定的，应当承担继续履行、采取补救措施或赔偿损失等违约责任。</w:t>
      </w:r>
    </w:p>
    <w:p w14:paraId="2D0F913A">
      <w:pPr>
        <w:keepNext w:val="0"/>
        <w:keepLines w:val="0"/>
        <w:pageBreakBefore w:val="0"/>
        <w:widowControl w:val="0"/>
        <w:kinsoku/>
        <w:wordWrap/>
        <w:overflowPunct/>
        <w:topLinePunct w:val="0"/>
        <w:autoSpaceDE/>
        <w:autoSpaceDN/>
        <w:bidi w:val="0"/>
        <w:adjustRightInd/>
        <w:snapToGrid/>
        <w:spacing w:line="240" w:lineRule="auto"/>
        <w:ind w:firstLine="604" w:firstLineChars="200"/>
        <w:jc w:val="both"/>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2</w:t>
      </w:r>
      <w:r>
        <w:rPr>
          <w:rFonts w:hint="default" w:ascii="Times New Roman" w:hAnsi="Times New Roman" w:eastAsia="方正仿宋_GBK" w:cs="方正仿宋_GBK"/>
          <w:sz w:val="32"/>
          <w:szCs w:val="32"/>
          <w:lang w:val="en-US" w:eastAsia="zh-CN"/>
        </w:rPr>
        <w:t>．</w:t>
      </w:r>
      <w:r>
        <w:rPr>
          <w:rFonts w:hint="eastAsia" w:ascii="Times New Roman" w:hAnsi="Times New Roman" w:eastAsia="方正仿宋_GBK" w:cs="方正仿宋_GBK"/>
          <w:sz w:val="32"/>
          <w:szCs w:val="32"/>
          <w:lang w:eastAsia="zh-CN"/>
        </w:rPr>
        <w:t>入围</w:t>
      </w:r>
      <w:r>
        <w:rPr>
          <w:rFonts w:hint="eastAsia" w:ascii="Times New Roman" w:hAnsi="Times New Roman" w:cs="方正仿宋_GBK"/>
          <w:sz w:val="32"/>
          <w:szCs w:val="32"/>
          <w:lang w:eastAsia="zh-CN"/>
        </w:rPr>
        <w:t>方</w:t>
      </w:r>
      <w:r>
        <w:rPr>
          <w:rFonts w:hint="eastAsia" w:ascii="Times New Roman" w:hAnsi="Times New Roman" w:eastAsia="方正仿宋_GBK" w:cs="方正仿宋_GBK"/>
          <w:sz w:val="32"/>
          <w:szCs w:val="32"/>
        </w:rPr>
        <w:t>履行合同不符合要求的，甲方有权责令乙方立即改正，乙方拒不改正或已经造成不良社会影响的，甲方有权要求乙方承担责任。</w:t>
      </w:r>
    </w:p>
    <w:p w14:paraId="1BBA11C5">
      <w:pPr>
        <w:keepNext w:val="0"/>
        <w:keepLines w:val="0"/>
        <w:pageBreakBefore w:val="0"/>
        <w:widowControl w:val="0"/>
        <w:kinsoku/>
        <w:wordWrap/>
        <w:overflowPunct/>
        <w:topLinePunct w:val="0"/>
        <w:autoSpaceDE/>
        <w:autoSpaceDN/>
        <w:bidi w:val="0"/>
        <w:adjustRightInd/>
        <w:snapToGrid/>
        <w:spacing w:line="240" w:lineRule="auto"/>
        <w:ind w:firstLine="604" w:firstLineChars="200"/>
        <w:jc w:val="both"/>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lang w:val="en-US" w:eastAsia="zh-CN"/>
        </w:rPr>
        <w:t>3</w:t>
      </w:r>
      <w:r>
        <w:rPr>
          <w:rFonts w:hint="default" w:ascii="Times New Roman" w:hAnsi="Times New Roman" w:eastAsia="方正仿宋_GBK" w:cs="方正仿宋_GBK"/>
          <w:sz w:val="32"/>
          <w:szCs w:val="32"/>
          <w:lang w:val="en-US" w:eastAsia="zh-CN"/>
        </w:rPr>
        <w:t>．</w:t>
      </w:r>
      <w:r>
        <w:rPr>
          <w:rFonts w:hint="eastAsia" w:ascii="Times New Roman" w:hAnsi="Times New Roman" w:eastAsia="方正仿宋_GBK" w:cs="方正仿宋_GBK"/>
          <w:sz w:val="32"/>
          <w:szCs w:val="32"/>
        </w:rPr>
        <w:t>入围</w:t>
      </w:r>
      <w:r>
        <w:rPr>
          <w:rFonts w:hint="eastAsia" w:ascii="Times New Roman" w:hAnsi="Times New Roman" w:cs="方正仿宋_GBK"/>
          <w:sz w:val="32"/>
          <w:szCs w:val="32"/>
          <w:lang w:eastAsia="zh-CN"/>
        </w:rPr>
        <w:t>方</w:t>
      </w:r>
      <w:r>
        <w:rPr>
          <w:rFonts w:hint="eastAsia" w:ascii="Times New Roman" w:hAnsi="Times New Roman" w:eastAsia="方正仿宋_GBK" w:cs="方正仿宋_GBK"/>
          <w:sz w:val="32"/>
          <w:szCs w:val="32"/>
        </w:rPr>
        <w:t>在提供服务期限内，采取虚报、隐瞒、伪造等手段，骗取政府专项资金的，由民政部门责令退回非法获取的资金，并按照有关规定进行严肃处理。</w:t>
      </w:r>
    </w:p>
    <w:p w14:paraId="04378995">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604" w:firstLineChars="200"/>
        <w:jc w:val="both"/>
        <w:textAlignment w:val="auto"/>
        <w:rPr>
          <w:rFonts w:hint="eastAsia" w:ascii="Times New Roman" w:hAnsi="Times New Roman" w:cs="方正仿宋_GBK"/>
          <w:color w:val="auto"/>
          <w:sz w:val="32"/>
          <w:szCs w:val="32"/>
          <w:lang w:val="en-US" w:eastAsia="zh-CN"/>
        </w:rPr>
      </w:pPr>
      <w:r>
        <w:rPr>
          <w:rFonts w:hint="eastAsia" w:ascii="Times New Roman" w:hAnsi="Times New Roman" w:eastAsia="方正黑体_GBK" w:cs="方正黑体_GBK"/>
          <w:color w:val="auto"/>
          <w:sz w:val="32"/>
          <w:szCs w:val="32"/>
          <w:lang w:val="en-US" w:eastAsia="zh-CN"/>
        </w:rPr>
        <w:t>七、结算方式</w:t>
      </w:r>
      <w:r>
        <w:rPr>
          <w:rFonts w:hint="eastAsia" w:ascii="Times New Roman" w:hAnsi="Times New Roman" w:eastAsia="方正仿宋_GBK" w:cs="方正仿宋_GBK"/>
          <w:color w:val="auto"/>
          <w:sz w:val="32"/>
          <w:szCs w:val="32"/>
          <w:lang w:val="en-US" w:eastAsia="zh-CN"/>
        </w:rPr>
        <w:t>：</w:t>
      </w:r>
      <w:r>
        <w:rPr>
          <w:rFonts w:hint="eastAsia" w:ascii="Times New Roman" w:hAnsi="Times New Roman" w:eastAsia="方正仿宋_GBK" w:cs="方正仿宋_GBK"/>
          <w:color w:val="auto"/>
          <w:sz w:val="32"/>
          <w:szCs w:val="32"/>
          <w:lang w:val="zh-CN" w:eastAsia="zh-CN"/>
        </w:rPr>
        <w:t>实行先做后付、</w:t>
      </w:r>
      <w:r>
        <w:rPr>
          <w:rFonts w:hint="eastAsia" w:ascii="Times New Roman" w:hAnsi="Times New Roman" w:eastAsia="方正仿宋_GBK" w:cs="方正仿宋_GBK"/>
          <w:color w:val="auto"/>
          <w:sz w:val="32"/>
          <w:szCs w:val="32"/>
          <w:lang w:val="en-US" w:eastAsia="zh-CN"/>
        </w:rPr>
        <w:t>按考核情况</w:t>
      </w:r>
      <w:r>
        <w:rPr>
          <w:rFonts w:hint="eastAsia" w:ascii="Times New Roman" w:hAnsi="Times New Roman" w:cs="方正仿宋_GBK"/>
          <w:color w:val="auto"/>
          <w:sz w:val="32"/>
          <w:szCs w:val="32"/>
          <w:lang w:val="en-US" w:eastAsia="zh-CN"/>
        </w:rPr>
        <w:t>进行</w:t>
      </w:r>
      <w:r>
        <w:rPr>
          <w:rFonts w:hint="eastAsia" w:ascii="Times New Roman" w:hAnsi="Times New Roman" w:eastAsia="方正仿宋_GBK" w:cs="方正仿宋_GBK"/>
          <w:color w:val="auto"/>
          <w:sz w:val="32"/>
          <w:szCs w:val="32"/>
          <w:lang w:val="en-US" w:eastAsia="zh-CN"/>
        </w:rPr>
        <w:t>季度支付</w:t>
      </w:r>
      <w:r>
        <w:rPr>
          <w:rFonts w:hint="eastAsia" w:ascii="Times New Roman" w:hAnsi="Times New Roman" w:cs="方正仿宋_GBK"/>
          <w:color w:val="auto"/>
          <w:sz w:val="32"/>
          <w:szCs w:val="32"/>
          <w:lang w:val="en-US" w:eastAsia="zh-CN"/>
        </w:rPr>
        <w:t>。</w:t>
      </w:r>
    </w:p>
    <w:p w14:paraId="226614DA">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604" w:firstLineChars="200"/>
        <w:jc w:val="both"/>
        <w:textAlignment w:val="auto"/>
        <w:rPr>
          <w:rFonts w:hint="eastAsia" w:ascii="Times New Roman" w:hAnsi="Times New Roman" w:eastAsia="方正黑体_GBK" w:cs="方正黑体_GBK"/>
          <w:color w:val="auto"/>
          <w:sz w:val="32"/>
          <w:szCs w:val="32"/>
          <w:lang w:val="en-US" w:eastAsia="zh-CN"/>
        </w:rPr>
      </w:pPr>
      <w:r>
        <w:rPr>
          <w:rFonts w:hint="eastAsia" w:ascii="Times New Roman" w:hAnsi="Times New Roman" w:eastAsia="方正黑体_GBK" w:cs="方正黑体_GBK"/>
          <w:color w:val="auto"/>
          <w:sz w:val="32"/>
          <w:szCs w:val="32"/>
          <w:lang w:val="en-US" w:eastAsia="zh-CN"/>
        </w:rPr>
        <w:t>八、企业资质</w:t>
      </w:r>
    </w:p>
    <w:p w14:paraId="2D0E315D">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604" w:firstLineChars="200"/>
        <w:jc w:val="both"/>
        <w:textAlignment w:val="auto"/>
        <w:rPr>
          <w:rFonts w:hint="eastAsia" w:ascii="Times New Roman" w:hAnsi="Times New Roman" w:eastAsia="方正楷体_GBK" w:cs="方正楷体_GBK"/>
          <w:color w:val="auto"/>
          <w:sz w:val="32"/>
          <w:szCs w:val="32"/>
          <w:lang w:val="en-US" w:eastAsia="zh-CN"/>
        </w:rPr>
      </w:pPr>
      <w:r>
        <w:rPr>
          <w:rFonts w:hint="eastAsia" w:ascii="Times New Roman" w:hAnsi="Times New Roman" w:eastAsia="方正楷体_GBK" w:cs="方正楷体_GBK"/>
          <w:color w:val="auto"/>
          <w:sz w:val="32"/>
          <w:szCs w:val="32"/>
          <w:lang w:val="en-US" w:eastAsia="zh-CN"/>
        </w:rPr>
        <w:t>8.1 综合类服务包的资质</w:t>
      </w:r>
    </w:p>
    <w:p w14:paraId="518A45AE">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604" w:firstLineChars="200"/>
        <w:jc w:val="both"/>
        <w:textAlignment w:val="auto"/>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1</w:t>
      </w:r>
      <w:r>
        <w:rPr>
          <w:rFonts w:hint="eastAsia" w:ascii="Times New Roman" w:hAnsi="Times New Roman" w:eastAsia="方正仿宋_GBK" w:cs="方正仿宋_GBK"/>
          <w:sz w:val="32"/>
          <w:szCs w:val="32"/>
          <w:lang w:val="en-US" w:eastAsia="zh-CN"/>
        </w:rPr>
        <w:t>．</w:t>
      </w:r>
      <w:r>
        <w:rPr>
          <w:rFonts w:hint="eastAsia" w:ascii="Times New Roman" w:hAnsi="Times New Roman" w:eastAsia="方正仿宋_GBK" w:cs="方正仿宋_GBK"/>
          <w:color w:val="auto"/>
          <w:sz w:val="32"/>
          <w:szCs w:val="32"/>
          <w:lang w:val="en-US" w:eastAsia="zh-CN"/>
        </w:rPr>
        <w:t>满足《中华人民共和国政府采购法》第二十二条规定具有独立承担民事责任的能力。具有良好的商业信誉和健全的财务会计制度（提供2025年度财务状况报告）。具有履行合同所必需的设备和专业技术能力。</w:t>
      </w:r>
    </w:p>
    <w:p w14:paraId="0B03D08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04" w:firstLineChars="200"/>
        <w:jc w:val="both"/>
        <w:textAlignment w:val="auto"/>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2</w:t>
      </w:r>
      <w:r>
        <w:rPr>
          <w:rFonts w:hint="eastAsia" w:ascii="Times New Roman" w:hAnsi="Times New Roman" w:eastAsia="方正仿宋_GBK" w:cs="方正仿宋_GBK"/>
          <w:sz w:val="32"/>
          <w:szCs w:val="32"/>
          <w:lang w:val="en-US" w:eastAsia="zh-CN"/>
        </w:rPr>
        <w:t>．</w:t>
      </w:r>
      <w:r>
        <w:rPr>
          <w:rFonts w:hint="eastAsia" w:ascii="Times New Roman" w:hAnsi="Times New Roman" w:eastAsia="方正仿宋_GBK" w:cs="方正仿宋_GBK"/>
          <w:color w:val="auto"/>
          <w:sz w:val="32"/>
          <w:szCs w:val="32"/>
          <w:lang w:val="en-US" w:eastAsia="zh-CN"/>
        </w:rPr>
        <w:t>有依法缴纳税收和社会保障资金的良好记录（提供参加本次政府采购活动前半年内至少6个月依法缴纳税收和社会保险的相关材料）。</w:t>
      </w:r>
    </w:p>
    <w:p w14:paraId="0A2CC42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604" w:firstLineChars="200"/>
        <w:jc w:val="both"/>
        <w:textAlignment w:val="auto"/>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3</w:t>
      </w:r>
      <w:r>
        <w:rPr>
          <w:rFonts w:hint="eastAsia" w:ascii="Times New Roman" w:hAnsi="Times New Roman" w:eastAsia="方正仿宋_GBK" w:cs="方正仿宋_GBK"/>
          <w:sz w:val="32"/>
          <w:szCs w:val="32"/>
          <w:lang w:val="en-US" w:eastAsia="zh-CN"/>
        </w:rPr>
        <w:t>．</w:t>
      </w:r>
      <w:r>
        <w:rPr>
          <w:rFonts w:hint="eastAsia" w:ascii="Times New Roman" w:hAnsi="Times New Roman" w:eastAsia="方正仿宋_GBK" w:cs="方正仿宋_GBK"/>
          <w:color w:val="auto"/>
          <w:sz w:val="32"/>
          <w:szCs w:val="32"/>
          <w:lang w:val="en-US" w:eastAsia="zh-CN"/>
        </w:rPr>
        <w:t>参加政府采购活动前三年内，在经营活动中没有重大违法记录。未发生较大及以上安全生产事故。</w:t>
      </w:r>
    </w:p>
    <w:p w14:paraId="219DE2E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604" w:firstLineChars="200"/>
        <w:jc w:val="both"/>
        <w:textAlignment w:val="auto"/>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4</w:t>
      </w:r>
      <w:r>
        <w:rPr>
          <w:rFonts w:hint="eastAsia" w:ascii="Times New Roman" w:hAnsi="Times New Roman" w:eastAsia="方正仿宋_GBK" w:cs="方正仿宋_GBK"/>
          <w:sz w:val="32"/>
          <w:szCs w:val="32"/>
          <w:lang w:val="en-US" w:eastAsia="zh-CN"/>
        </w:rPr>
        <w:t>．</w:t>
      </w:r>
      <w:r>
        <w:rPr>
          <w:rFonts w:hint="eastAsia" w:ascii="Times New Roman" w:hAnsi="Times New Roman" w:eastAsia="方正仿宋_GBK" w:cs="方正仿宋_GBK"/>
          <w:color w:val="auto"/>
          <w:sz w:val="32"/>
          <w:szCs w:val="32"/>
          <w:lang w:val="en-US" w:eastAsia="zh-CN"/>
        </w:rPr>
        <w:t>未被“信用中国”网站（www.creditchina.gov.cn）、“中国政府采购网”（www.ccgp.gov.cn）列入失信被执行人、重大税收违法失信主体、政府采购严重违法失信行为信息记录名单。</w:t>
      </w:r>
    </w:p>
    <w:p w14:paraId="524C9F43">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604" w:firstLineChars="200"/>
        <w:jc w:val="both"/>
        <w:textAlignment w:val="auto"/>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5</w:t>
      </w:r>
      <w:r>
        <w:rPr>
          <w:rFonts w:hint="eastAsia" w:ascii="Times New Roman" w:hAnsi="Times New Roman" w:eastAsia="方正仿宋_GBK" w:cs="方正仿宋_GBK"/>
          <w:sz w:val="32"/>
          <w:szCs w:val="32"/>
          <w:lang w:val="en-US" w:eastAsia="zh-CN"/>
        </w:rPr>
        <w:t>．</w:t>
      </w:r>
      <w:r>
        <w:rPr>
          <w:rFonts w:hint="eastAsia" w:cs="方正仿宋_GBK"/>
          <w:sz w:val="32"/>
          <w:szCs w:val="32"/>
          <w:lang w:val="en-US" w:eastAsia="zh-CN"/>
        </w:rPr>
        <w:t>服务</w:t>
      </w:r>
      <w:r>
        <w:rPr>
          <w:rFonts w:hint="eastAsia" w:ascii="Times New Roman" w:hAnsi="Times New Roman" w:eastAsia="方正仿宋_GBK" w:cs="方正仿宋_GBK"/>
          <w:color w:val="auto"/>
          <w:sz w:val="32"/>
          <w:szCs w:val="32"/>
          <w:lang w:val="en-US" w:eastAsia="zh-CN"/>
        </w:rPr>
        <w:t>商应为依法办理登记的企业法人、社会组织或民办非企业单位，满足以下条件之一：</w:t>
      </w:r>
    </w:p>
    <w:p w14:paraId="07BCC9B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604" w:firstLineChars="200"/>
        <w:jc w:val="both"/>
        <w:textAlignment w:val="auto"/>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（1）依法在市场监管部门登记注册的养老服务企业，营业执照经营范围或业务范围应包括“养老服务”“居家养老服务”“家政服务”“康复护理”等与居家养老服务相关的内容；</w:t>
      </w:r>
    </w:p>
    <w:p w14:paraId="354403D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604" w:firstLineChars="200"/>
        <w:jc w:val="both"/>
        <w:textAlignment w:val="auto"/>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（2）依法在民政部门登记的社会组织或民办非企业单位，业务范围应包含养老服务相关内容；</w:t>
      </w:r>
    </w:p>
    <w:p w14:paraId="7C137C3E">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604" w:firstLineChars="200"/>
        <w:jc w:val="both"/>
        <w:textAlignment w:val="auto"/>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6</w:t>
      </w:r>
      <w:r>
        <w:rPr>
          <w:rFonts w:hint="eastAsia" w:ascii="Times New Roman" w:hAnsi="Times New Roman" w:eastAsia="方正仿宋_GBK" w:cs="方正仿宋_GBK"/>
          <w:sz w:val="32"/>
          <w:szCs w:val="32"/>
          <w:lang w:val="en-US" w:eastAsia="zh-CN"/>
        </w:rPr>
        <w:t>．</w:t>
      </w:r>
      <w:r>
        <w:rPr>
          <w:rFonts w:hint="eastAsia" w:ascii="Times New Roman" w:hAnsi="Times New Roman" w:eastAsia="方正仿宋_GBK" w:cs="方正仿宋_GBK"/>
          <w:color w:val="auto"/>
          <w:sz w:val="32"/>
          <w:szCs w:val="32"/>
          <w:lang w:val="en-US" w:eastAsia="zh-CN"/>
        </w:rPr>
        <w:t>行业经验与业绩要求</w:t>
      </w:r>
    </w:p>
    <w:p w14:paraId="358B429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604" w:firstLineChars="200"/>
        <w:jc w:val="both"/>
        <w:textAlignment w:val="auto"/>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（1）</w:t>
      </w:r>
      <w:r>
        <w:rPr>
          <w:rFonts w:hint="eastAsia" w:cs="方正仿宋_GBK"/>
          <w:color w:val="auto"/>
          <w:sz w:val="32"/>
          <w:szCs w:val="32"/>
          <w:lang w:val="en-US" w:eastAsia="zh-CN"/>
        </w:rPr>
        <w:t>服务</w:t>
      </w:r>
      <w:r>
        <w:rPr>
          <w:rFonts w:hint="eastAsia" w:ascii="Times New Roman" w:hAnsi="Times New Roman" w:eastAsia="方正仿宋_GBK" w:cs="方正仿宋_GBK"/>
          <w:color w:val="auto"/>
          <w:sz w:val="32"/>
          <w:szCs w:val="32"/>
          <w:lang w:val="en-US" w:eastAsia="zh-CN"/>
        </w:rPr>
        <w:t>商应具备居家养老服务或相关社会服务的经验。具体条件为：近三年内（自响应文件递交截止之日起前推三年）至少具有1项居家养老服务类或政府购买社会服务类项目业绩，以合同或中标（成交）通知书为准。</w:t>
      </w:r>
    </w:p>
    <w:p w14:paraId="3AA9A92A">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604" w:firstLineChars="200"/>
        <w:jc w:val="both"/>
        <w:textAlignment w:val="auto"/>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（2）</w:t>
      </w:r>
      <w:r>
        <w:rPr>
          <w:rFonts w:hint="eastAsia" w:cs="方正仿宋_GBK"/>
          <w:sz w:val="32"/>
          <w:szCs w:val="32"/>
          <w:lang w:val="en-US" w:eastAsia="zh-CN"/>
        </w:rPr>
        <w:t>服务</w:t>
      </w:r>
      <w:r>
        <w:rPr>
          <w:rFonts w:hint="eastAsia" w:ascii="Times New Roman" w:hAnsi="Times New Roman" w:eastAsia="方正仿宋_GBK" w:cs="方正仿宋_GBK"/>
          <w:color w:val="auto"/>
          <w:sz w:val="32"/>
          <w:szCs w:val="32"/>
          <w:lang w:val="en-US" w:eastAsia="zh-CN"/>
        </w:rPr>
        <w:t>商应具备使用“澄颐享”智慧养老综合服务平台等养老服务信息系统的能力，承诺按照本项目要求，严格保护老年人个人信息安全，及时完成服务信息上传、工单确认等信息化操作；</w:t>
      </w:r>
    </w:p>
    <w:p w14:paraId="7F765745">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604" w:firstLineChars="200"/>
        <w:jc w:val="both"/>
        <w:textAlignment w:val="auto"/>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（3）</w:t>
      </w:r>
      <w:r>
        <w:rPr>
          <w:rFonts w:hint="eastAsia" w:cs="方正仿宋_GBK"/>
          <w:sz w:val="32"/>
          <w:szCs w:val="32"/>
          <w:lang w:val="en-US" w:eastAsia="zh-CN"/>
        </w:rPr>
        <w:t>服务</w:t>
      </w:r>
      <w:r>
        <w:rPr>
          <w:rFonts w:hint="eastAsia" w:ascii="Times New Roman" w:hAnsi="Times New Roman" w:eastAsia="方正仿宋_GBK" w:cs="方正仿宋_GBK"/>
          <w:color w:val="auto"/>
          <w:sz w:val="32"/>
          <w:szCs w:val="32"/>
          <w:lang w:val="en-US" w:eastAsia="zh-CN"/>
        </w:rPr>
        <w:t>商应全过程接受采购人及相关部门的监管、检查和审计，对政府补贴资金安全负直接责任，若存在违法违规行为的，依法依规处理；</w:t>
      </w:r>
    </w:p>
    <w:p w14:paraId="3757545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604" w:firstLineChars="200"/>
        <w:jc w:val="both"/>
        <w:textAlignment w:val="auto"/>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（4）</w:t>
      </w:r>
      <w:r>
        <w:rPr>
          <w:rFonts w:hint="eastAsia" w:cs="方正仿宋_GBK"/>
          <w:sz w:val="32"/>
          <w:szCs w:val="32"/>
          <w:lang w:val="en-US" w:eastAsia="zh-CN"/>
        </w:rPr>
        <w:t>服务</w:t>
      </w:r>
      <w:r>
        <w:rPr>
          <w:rFonts w:hint="eastAsia" w:ascii="Times New Roman" w:hAnsi="Times New Roman" w:eastAsia="方正仿宋_GBK" w:cs="方正仿宋_GBK"/>
          <w:color w:val="auto"/>
          <w:sz w:val="32"/>
          <w:szCs w:val="32"/>
          <w:lang w:val="en-US" w:eastAsia="zh-CN"/>
        </w:rPr>
        <w:t>商应具备完善的服务管理制度和安全管理制度，能够保障老年人居家安全和上门服务过程安全。</w:t>
      </w:r>
    </w:p>
    <w:p w14:paraId="65DEC383">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604" w:firstLineChars="200"/>
        <w:jc w:val="both"/>
        <w:textAlignment w:val="auto"/>
        <w:rPr>
          <w:rFonts w:hint="eastAsia" w:ascii="Times New Roman" w:hAnsi="Times New Roman" w:eastAsia="方正楷体_GBK" w:cs="方正楷体_GBK"/>
          <w:color w:val="0000FF"/>
          <w:sz w:val="32"/>
          <w:szCs w:val="32"/>
          <w:lang w:val="en-US" w:eastAsia="zh-CN"/>
        </w:rPr>
      </w:pPr>
      <w:r>
        <w:rPr>
          <w:rFonts w:hint="eastAsia" w:ascii="Times New Roman" w:hAnsi="Times New Roman" w:eastAsia="方正楷体_GBK" w:cs="方正楷体_GBK"/>
          <w:color w:val="0000FF"/>
          <w:sz w:val="32"/>
          <w:szCs w:val="32"/>
          <w:lang w:val="en-US" w:eastAsia="zh-CN"/>
        </w:rPr>
        <w:t>8.2 承接医疗护理类服务的资质</w:t>
      </w:r>
    </w:p>
    <w:p w14:paraId="3EEFD3D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604" w:firstLineChars="200"/>
        <w:jc w:val="both"/>
        <w:textAlignment w:val="auto"/>
        <w:rPr>
          <w:rFonts w:hint="default" w:ascii="Times New Roman" w:hAnsi="Times New Roman" w:eastAsia="方正楷体_GBK" w:cs="方正楷体_GBK"/>
          <w:color w:val="0000FF"/>
          <w:sz w:val="32"/>
          <w:szCs w:val="32"/>
          <w:lang w:val="en-US" w:eastAsia="zh-CN"/>
        </w:rPr>
      </w:pPr>
      <w:r>
        <w:rPr>
          <w:rFonts w:hint="eastAsia" w:eastAsia="方正楷体_GBK" w:cs="方正楷体_GBK"/>
          <w:color w:val="0000FF"/>
          <w:sz w:val="32"/>
          <w:szCs w:val="32"/>
          <w:lang w:val="en-US" w:eastAsia="zh-CN"/>
        </w:rPr>
        <w:t>1、站点服务</w:t>
      </w:r>
    </w:p>
    <w:p w14:paraId="1E55A8A3">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604" w:firstLineChars="200"/>
        <w:jc w:val="both"/>
        <w:textAlignment w:val="auto"/>
        <w:rPr>
          <w:rFonts w:hint="eastAsia" w:ascii="Times New Roman" w:hAnsi="Times New Roman" w:eastAsia="方正仿宋_GBK" w:cs="方正仿宋_GBK"/>
          <w:color w:val="0000FF"/>
          <w:sz w:val="32"/>
          <w:szCs w:val="32"/>
          <w:lang w:val="en-US" w:eastAsia="zh-CN"/>
        </w:rPr>
      </w:pPr>
      <w:r>
        <w:rPr>
          <w:rFonts w:hint="eastAsia" w:cs="方正仿宋_GBK"/>
          <w:color w:val="0000FF"/>
          <w:sz w:val="32"/>
          <w:szCs w:val="32"/>
          <w:lang w:val="en-US" w:eastAsia="zh-CN"/>
        </w:rPr>
        <w:t>（1）</w:t>
      </w:r>
      <w:r>
        <w:rPr>
          <w:rFonts w:hint="eastAsia" w:ascii="Times New Roman" w:hAnsi="Times New Roman" w:eastAsia="方正仿宋_GBK" w:cs="方正仿宋_GBK"/>
          <w:color w:val="0000FF"/>
          <w:sz w:val="32"/>
          <w:szCs w:val="32"/>
          <w:lang w:val="en-US" w:eastAsia="zh-CN"/>
        </w:rPr>
        <w:t>．满足《中华人民共和国政府采购法》第二十二条规定具有独立承担民事责任的能力。具有良好的商业信誉和健全的财务会计制度（提供2025年度财务状况报告）。具有履行合同所必需的设备和专业技术能力。</w:t>
      </w:r>
    </w:p>
    <w:p w14:paraId="6B410409">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04" w:firstLineChars="200"/>
        <w:jc w:val="both"/>
        <w:textAlignment w:val="auto"/>
        <w:rPr>
          <w:rFonts w:hint="eastAsia" w:ascii="Times New Roman" w:hAnsi="Times New Roman" w:eastAsia="方正仿宋_GBK" w:cs="方正仿宋_GBK"/>
          <w:color w:val="0000FF"/>
          <w:sz w:val="32"/>
          <w:szCs w:val="32"/>
          <w:lang w:val="en-US" w:eastAsia="zh-CN"/>
        </w:rPr>
      </w:pPr>
      <w:r>
        <w:rPr>
          <w:rFonts w:hint="eastAsia" w:cs="方正仿宋_GBK"/>
          <w:color w:val="0000FF"/>
          <w:sz w:val="32"/>
          <w:szCs w:val="32"/>
          <w:lang w:val="en-US" w:eastAsia="zh-CN"/>
        </w:rPr>
        <w:t>（2）</w:t>
      </w:r>
      <w:r>
        <w:rPr>
          <w:rFonts w:hint="eastAsia" w:ascii="Times New Roman" w:hAnsi="Times New Roman" w:eastAsia="方正仿宋_GBK" w:cs="方正仿宋_GBK"/>
          <w:color w:val="0000FF"/>
          <w:sz w:val="32"/>
          <w:szCs w:val="32"/>
          <w:lang w:val="en-US" w:eastAsia="zh-CN"/>
        </w:rPr>
        <w:t>．有依法缴纳税收和社会保障资金的良好记录（提供参加本次政府采购活动前半年内至少6个月依法缴纳税收和社会保险的相关材料）。</w:t>
      </w:r>
    </w:p>
    <w:p w14:paraId="53C6CD8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604" w:firstLineChars="200"/>
        <w:jc w:val="both"/>
        <w:textAlignment w:val="auto"/>
        <w:rPr>
          <w:rFonts w:hint="eastAsia" w:ascii="Times New Roman" w:hAnsi="Times New Roman" w:eastAsia="方正仿宋_GBK" w:cs="方正仿宋_GBK"/>
          <w:color w:val="0000FF"/>
          <w:sz w:val="32"/>
          <w:szCs w:val="32"/>
          <w:lang w:val="en-US" w:eastAsia="zh-CN"/>
        </w:rPr>
      </w:pPr>
      <w:r>
        <w:rPr>
          <w:rFonts w:hint="eastAsia" w:cs="方正仿宋_GBK"/>
          <w:color w:val="0000FF"/>
          <w:sz w:val="32"/>
          <w:szCs w:val="32"/>
          <w:lang w:val="en-US" w:eastAsia="zh-CN"/>
        </w:rPr>
        <w:t>（3）</w:t>
      </w:r>
      <w:r>
        <w:rPr>
          <w:rFonts w:hint="eastAsia" w:ascii="Times New Roman" w:hAnsi="Times New Roman" w:eastAsia="方正仿宋_GBK" w:cs="方正仿宋_GBK"/>
          <w:color w:val="0000FF"/>
          <w:sz w:val="32"/>
          <w:szCs w:val="32"/>
          <w:lang w:val="en-US" w:eastAsia="zh-CN"/>
        </w:rPr>
        <w:t>．参加政府采购活动前三年内，在经营活动中没有重大违法记录。未发生较大及以上安全生产事故。</w:t>
      </w:r>
    </w:p>
    <w:p w14:paraId="72B45795">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604" w:firstLineChars="200"/>
        <w:jc w:val="both"/>
        <w:textAlignment w:val="auto"/>
        <w:rPr>
          <w:rFonts w:hint="eastAsia" w:ascii="Times New Roman" w:hAnsi="Times New Roman" w:eastAsia="方正仿宋_GBK" w:cs="方正仿宋_GBK"/>
          <w:color w:val="0000FF"/>
          <w:sz w:val="32"/>
          <w:szCs w:val="32"/>
          <w:lang w:val="en-US" w:eastAsia="zh-CN"/>
        </w:rPr>
      </w:pPr>
      <w:r>
        <w:rPr>
          <w:rFonts w:hint="eastAsia" w:cs="方正仿宋_GBK"/>
          <w:color w:val="0000FF"/>
          <w:sz w:val="32"/>
          <w:szCs w:val="32"/>
          <w:lang w:val="en-US" w:eastAsia="zh-CN"/>
        </w:rPr>
        <w:t>（4）</w:t>
      </w:r>
      <w:r>
        <w:rPr>
          <w:rFonts w:hint="eastAsia" w:ascii="Times New Roman" w:hAnsi="Times New Roman" w:eastAsia="方正仿宋_GBK" w:cs="方正仿宋_GBK"/>
          <w:color w:val="0000FF"/>
          <w:sz w:val="32"/>
          <w:szCs w:val="32"/>
          <w:lang w:val="en-US" w:eastAsia="zh-CN"/>
        </w:rPr>
        <w:t>．未被“信用中国”网站（www.creditchina.gov.cn）、“中国政府采购网”（www.ccgp.gov.cn）列入失信被执行人、重大税收违法失信主体、政府采购严重违法失信行为信息记录名单。</w:t>
      </w:r>
    </w:p>
    <w:p w14:paraId="1DD61447">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604" w:firstLineChars="200"/>
        <w:jc w:val="both"/>
        <w:textAlignment w:val="auto"/>
        <w:rPr>
          <w:rFonts w:hint="eastAsia" w:ascii="Times New Roman" w:hAnsi="Times New Roman" w:eastAsia="方正仿宋_GBK" w:cs="方正仿宋_GBK"/>
          <w:color w:val="0000FF"/>
          <w:sz w:val="32"/>
          <w:szCs w:val="32"/>
          <w:highlight w:val="none"/>
          <w:lang w:val="en-US" w:eastAsia="zh-CN"/>
        </w:rPr>
      </w:pPr>
      <w:r>
        <w:rPr>
          <w:rFonts w:hint="eastAsia" w:cs="方正仿宋_GBK"/>
          <w:color w:val="0000FF"/>
          <w:sz w:val="32"/>
          <w:szCs w:val="32"/>
          <w:highlight w:val="none"/>
          <w:lang w:val="en-US" w:eastAsia="zh-CN"/>
        </w:rPr>
        <w:t>（5）</w:t>
      </w:r>
      <w:r>
        <w:rPr>
          <w:rFonts w:hint="eastAsia" w:ascii="Times New Roman" w:hAnsi="Times New Roman" w:eastAsia="方正仿宋_GBK" w:cs="方正仿宋_GBK"/>
          <w:color w:val="0000FF"/>
          <w:sz w:val="32"/>
          <w:szCs w:val="32"/>
          <w:lang w:val="en-US" w:eastAsia="zh-CN"/>
        </w:rPr>
        <w:t>．</w:t>
      </w:r>
      <w:r>
        <w:rPr>
          <w:rFonts w:hint="eastAsia" w:ascii="Times New Roman" w:hAnsi="Times New Roman" w:eastAsia="方正仿宋_GBK" w:cs="方正仿宋_GBK"/>
          <w:color w:val="0000FF"/>
          <w:sz w:val="32"/>
          <w:szCs w:val="32"/>
          <w:highlight w:val="none"/>
          <w:lang w:val="en-US" w:eastAsia="zh-CN"/>
        </w:rPr>
        <w:t>应取得卫生健康部门颁发的医疗机构执业许可或备案凭证。</w:t>
      </w:r>
    </w:p>
    <w:p w14:paraId="48A367F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604" w:firstLineChars="200"/>
        <w:jc w:val="both"/>
        <w:textAlignment w:val="auto"/>
        <w:rPr>
          <w:rFonts w:hint="eastAsia" w:ascii="Times New Roman" w:hAnsi="Times New Roman" w:eastAsia="方正仿宋_GBK" w:cs="方正仿宋_GBK"/>
          <w:color w:val="0000FF"/>
          <w:sz w:val="32"/>
          <w:szCs w:val="32"/>
          <w:highlight w:val="none"/>
          <w:lang w:val="en-US" w:eastAsia="zh-CN"/>
        </w:rPr>
      </w:pPr>
      <w:r>
        <w:rPr>
          <w:rFonts w:hint="eastAsia" w:cs="方正仿宋_GBK"/>
          <w:color w:val="0000FF"/>
          <w:sz w:val="32"/>
          <w:szCs w:val="32"/>
          <w:highlight w:val="none"/>
          <w:lang w:val="en-US" w:eastAsia="zh-CN"/>
        </w:rPr>
        <w:t>（6）</w:t>
      </w:r>
      <w:r>
        <w:rPr>
          <w:rFonts w:hint="eastAsia" w:ascii="Times New Roman" w:hAnsi="Times New Roman" w:eastAsia="方正仿宋_GBK" w:cs="方正仿宋_GBK"/>
          <w:color w:val="0000FF"/>
          <w:sz w:val="32"/>
          <w:szCs w:val="32"/>
          <w:lang w:val="en-US" w:eastAsia="zh-CN"/>
        </w:rPr>
        <w:t>．</w:t>
      </w:r>
      <w:r>
        <w:rPr>
          <w:rFonts w:hint="eastAsia" w:ascii="Times New Roman" w:hAnsi="Times New Roman" w:eastAsia="方正仿宋_GBK" w:cs="方正仿宋_GBK"/>
          <w:color w:val="0000FF"/>
          <w:sz w:val="32"/>
          <w:szCs w:val="32"/>
          <w:highlight w:val="none"/>
          <w:lang w:val="en-US" w:eastAsia="zh-CN"/>
        </w:rPr>
        <w:t>提供医疗护理、康复护理服务的人员应具备护士执业资格证、康复治疗师资格证等相应专业资质；</w:t>
      </w:r>
    </w:p>
    <w:p w14:paraId="625CCFD5">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604" w:firstLineChars="200"/>
        <w:jc w:val="both"/>
        <w:textAlignment w:val="auto"/>
        <w:rPr>
          <w:rFonts w:hint="eastAsia" w:ascii="Times New Roman" w:hAnsi="Times New Roman" w:eastAsia="方正仿宋_GBK" w:cs="方正仿宋_GBK"/>
          <w:color w:val="0000FF"/>
          <w:sz w:val="32"/>
          <w:szCs w:val="32"/>
          <w:lang w:val="en-US" w:eastAsia="zh-CN"/>
        </w:rPr>
      </w:pPr>
      <w:r>
        <w:rPr>
          <w:rFonts w:hint="eastAsia" w:cs="方正仿宋_GBK"/>
          <w:color w:val="0000FF"/>
          <w:sz w:val="32"/>
          <w:szCs w:val="32"/>
          <w:lang w:val="en-US" w:eastAsia="zh-CN"/>
        </w:rPr>
        <w:t>（7）</w:t>
      </w:r>
      <w:r>
        <w:rPr>
          <w:rFonts w:hint="eastAsia" w:ascii="Times New Roman" w:hAnsi="Times New Roman" w:eastAsia="方正仿宋_GBK" w:cs="方正仿宋_GBK"/>
          <w:color w:val="0000FF"/>
          <w:sz w:val="32"/>
          <w:szCs w:val="32"/>
          <w:lang w:val="en-US" w:eastAsia="zh-CN"/>
        </w:rPr>
        <w:t>．行业经验与业绩要求</w:t>
      </w:r>
    </w:p>
    <w:p w14:paraId="408143B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604" w:firstLineChars="200"/>
        <w:jc w:val="both"/>
        <w:textAlignment w:val="auto"/>
        <w:rPr>
          <w:rFonts w:hint="eastAsia" w:ascii="Times New Roman" w:hAnsi="Times New Roman" w:eastAsia="方正仿宋_GBK" w:cs="方正仿宋_GBK"/>
          <w:color w:val="0000FF"/>
          <w:sz w:val="32"/>
          <w:szCs w:val="32"/>
          <w:lang w:val="en-US" w:eastAsia="zh-CN"/>
        </w:rPr>
      </w:pPr>
      <w:r>
        <w:rPr>
          <w:rFonts w:hint="eastAsia" w:ascii="Times New Roman" w:hAnsi="Times New Roman" w:eastAsia="方正仿宋_GBK" w:cs="方正仿宋_GBK"/>
          <w:color w:val="0000FF"/>
          <w:sz w:val="32"/>
          <w:szCs w:val="32"/>
          <w:lang w:val="en-US" w:eastAsia="zh-CN"/>
        </w:rPr>
        <w:t>（1）</w:t>
      </w:r>
      <w:r>
        <w:rPr>
          <w:rFonts w:hint="eastAsia" w:cs="方正仿宋_GBK"/>
          <w:color w:val="0000FF"/>
          <w:sz w:val="32"/>
          <w:szCs w:val="32"/>
          <w:lang w:val="en-US" w:eastAsia="zh-CN"/>
        </w:rPr>
        <w:t>服务</w:t>
      </w:r>
      <w:r>
        <w:rPr>
          <w:rFonts w:hint="eastAsia" w:ascii="Times New Roman" w:hAnsi="Times New Roman" w:eastAsia="方正仿宋_GBK" w:cs="方正仿宋_GBK"/>
          <w:color w:val="0000FF"/>
          <w:sz w:val="32"/>
          <w:szCs w:val="32"/>
          <w:lang w:val="en-US" w:eastAsia="zh-CN"/>
        </w:rPr>
        <w:t>商应具备使用“澄颐享”智慧养老综合服务平台等养老服务信息系统的能力，承诺按照本项目要求，严格保护老年人个人信息安全，及时完成服务信息上传、工单确认等信息化操作；</w:t>
      </w:r>
    </w:p>
    <w:p w14:paraId="2A112CB1">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604" w:firstLineChars="200"/>
        <w:jc w:val="both"/>
        <w:textAlignment w:val="auto"/>
        <w:rPr>
          <w:rFonts w:hint="eastAsia" w:ascii="Times New Roman" w:hAnsi="Times New Roman" w:eastAsia="方正仿宋_GBK" w:cs="方正仿宋_GBK"/>
          <w:color w:val="0000FF"/>
          <w:sz w:val="32"/>
          <w:szCs w:val="32"/>
          <w:lang w:val="en-US" w:eastAsia="zh-CN"/>
        </w:rPr>
      </w:pPr>
      <w:r>
        <w:rPr>
          <w:rFonts w:hint="eastAsia" w:ascii="Times New Roman" w:hAnsi="Times New Roman" w:eastAsia="方正仿宋_GBK" w:cs="方正仿宋_GBK"/>
          <w:color w:val="0000FF"/>
          <w:sz w:val="32"/>
          <w:szCs w:val="32"/>
          <w:lang w:val="en-US" w:eastAsia="zh-CN"/>
        </w:rPr>
        <w:t>（2）</w:t>
      </w:r>
      <w:r>
        <w:rPr>
          <w:rFonts w:hint="eastAsia" w:cs="方正仿宋_GBK"/>
          <w:color w:val="0000FF"/>
          <w:sz w:val="32"/>
          <w:szCs w:val="32"/>
          <w:lang w:val="en-US" w:eastAsia="zh-CN"/>
        </w:rPr>
        <w:t>服务</w:t>
      </w:r>
      <w:r>
        <w:rPr>
          <w:rFonts w:hint="eastAsia" w:ascii="Times New Roman" w:hAnsi="Times New Roman" w:eastAsia="方正仿宋_GBK" w:cs="方正仿宋_GBK"/>
          <w:color w:val="0000FF"/>
          <w:sz w:val="32"/>
          <w:szCs w:val="32"/>
          <w:lang w:val="en-US" w:eastAsia="zh-CN"/>
        </w:rPr>
        <w:t>商应全过程接受采购人及相关部门的监管、检查和审计，对政府补贴资金安全负直接责任，若存在违法违规行为的，依法依规处理；</w:t>
      </w:r>
    </w:p>
    <w:p w14:paraId="0728BE4E">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604" w:firstLineChars="200"/>
        <w:jc w:val="both"/>
        <w:textAlignment w:val="auto"/>
        <w:rPr>
          <w:rFonts w:hint="eastAsia" w:ascii="Times New Roman" w:hAnsi="Times New Roman" w:eastAsia="方正仿宋_GBK" w:cs="方正仿宋_GBK"/>
          <w:color w:val="0000FF"/>
          <w:sz w:val="32"/>
          <w:szCs w:val="32"/>
          <w:lang w:val="en-US" w:eastAsia="zh-CN"/>
        </w:rPr>
      </w:pPr>
      <w:r>
        <w:rPr>
          <w:rFonts w:hint="eastAsia" w:ascii="Times New Roman" w:hAnsi="Times New Roman" w:eastAsia="方正仿宋_GBK" w:cs="方正仿宋_GBK"/>
          <w:color w:val="0000FF"/>
          <w:sz w:val="32"/>
          <w:szCs w:val="32"/>
          <w:lang w:val="en-US" w:eastAsia="zh-CN"/>
        </w:rPr>
        <w:t>（3）</w:t>
      </w:r>
      <w:r>
        <w:rPr>
          <w:rFonts w:hint="eastAsia" w:cs="方正仿宋_GBK"/>
          <w:color w:val="0000FF"/>
          <w:sz w:val="32"/>
          <w:szCs w:val="32"/>
          <w:lang w:val="en-US" w:eastAsia="zh-CN"/>
        </w:rPr>
        <w:t>服务</w:t>
      </w:r>
      <w:r>
        <w:rPr>
          <w:rFonts w:hint="eastAsia" w:ascii="Times New Roman" w:hAnsi="Times New Roman" w:eastAsia="方正仿宋_GBK" w:cs="方正仿宋_GBK"/>
          <w:color w:val="0000FF"/>
          <w:sz w:val="32"/>
          <w:szCs w:val="32"/>
          <w:lang w:val="en-US" w:eastAsia="zh-CN"/>
        </w:rPr>
        <w:t>商应具备完善的服务管理制度和安全管理制度，能够保障老年人居家安全和上门服务过程安全。</w:t>
      </w:r>
    </w:p>
    <w:p w14:paraId="6F3CB93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604" w:firstLineChars="200"/>
        <w:jc w:val="both"/>
        <w:textAlignment w:val="auto"/>
        <w:rPr>
          <w:rFonts w:hint="eastAsia" w:cs="方正仿宋_GBK"/>
          <w:color w:val="0000FF"/>
          <w:sz w:val="32"/>
          <w:szCs w:val="32"/>
          <w:lang w:val="en-US" w:eastAsia="zh-CN"/>
        </w:rPr>
      </w:pPr>
      <w:r>
        <w:rPr>
          <w:rFonts w:hint="eastAsia" w:cs="方正仿宋_GBK"/>
          <w:color w:val="0000FF"/>
          <w:sz w:val="32"/>
          <w:szCs w:val="32"/>
          <w:lang w:val="en-US" w:eastAsia="zh-CN"/>
        </w:rPr>
        <w:t>2、上门服务</w:t>
      </w:r>
    </w:p>
    <w:p w14:paraId="3A1BFDF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604" w:firstLineChars="200"/>
        <w:jc w:val="both"/>
        <w:textAlignment w:val="auto"/>
        <w:rPr>
          <w:rFonts w:hint="eastAsia" w:cs="方正仿宋_GBK"/>
          <w:color w:val="0000FF"/>
          <w:sz w:val="32"/>
          <w:szCs w:val="32"/>
          <w:highlight w:val="none"/>
          <w:lang w:val="en-US" w:eastAsia="zh-CN"/>
        </w:rPr>
      </w:pPr>
      <w:r>
        <w:rPr>
          <w:rFonts w:hint="eastAsia" w:cs="方正仿宋_GBK"/>
          <w:color w:val="0000FF"/>
          <w:sz w:val="32"/>
          <w:szCs w:val="32"/>
          <w:highlight w:val="none"/>
          <w:lang w:val="en-US" w:eastAsia="zh-CN"/>
        </w:rPr>
        <w:t>（1）在“江苏省互联网+护理服务监管系统”成功备案的，具备“互联网+护理服务”的医疗机构。</w:t>
      </w:r>
    </w:p>
    <w:p w14:paraId="21E7EC2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604" w:firstLineChars="200"/>
        <w:jc w:val="both"/>
        <w:textAlignment w:val="auto"/>
        <w:rPr>
          <w:rFonts w:hint="eastAsia" w:ascii="Times New Roman" w:hAnsi="Times New Roman" w:eastAsia="方正楷体_GBK" w:cs="方正楷体_GBK"/>
          <w:color w:val="auto"/>
          <w:sz w:val="32"/>
          <w:szCs w:val="32"/>
          <w:lang w:val="en-US" w:eastAsia="zh-CN"/>
        </w:rPr>
      </w:pPr>
      <w:r>
        <w:rPr>
          <w:rFonts w:hint="eastAsia" w:ascii="Times New Roman" w:hAnsi="Times New Roman" w:eastAsia="方正楷体_GBK" w:cs="方正楷体_GBK"/>
          <w:color w:val="auto"/>
          <w:sz w:val="32"/>
          <w:szCs w:val="32"/>
          <w:lang w:val="en-US" w:eastAsia="zh-CN"/>
        </w:rPr>
        <w:t>8.3 其他禁止性条件</w:t>
      </w:r>
    </w:p>
    <w:p w14:paraId="522F897D">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604" w:firstLineChars="200"/>
        <w:jc w:val="both"/>
        <w:textAlignment w:val="auto"/>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1</w:t>
      </w:r>
      <w:r>
        <w:rPr>
          <w:rFonts w:hint="eastAsia" w:ascii="Times New Roman" w:hAnsi="Times New Roman" w:eastAsia="方正仿宋_GBK" w:cs="方正仿宋_GBK"/>
          <w:sz w:val="32"/>
          <w:szCs w:val="32"/>
          <w:lang w:val="en-US" w:eastAsia="zh-CN"/>
        </w:rPr>
        <w:t>．</w:t>
      </w:r>
      <w:r>
        <w:rPr>
          <w:rFonts w:hint="eastAsia" w:ascii="Times New Roman" w:hAnsi="Times New Roman" w:eastAsia="方正仿宋_GBK" w:cs="方正仿宋_GBK"/>
          <w:color w:val="auto"/>
          <w:sz w:val="32"/>
          <w:szCs w:val="32"/>
          <w:lang w:val="en-US" w:eastAsia="zh-CN"/>
        </w:rPr>
        <w:t>单位负责人为同一人或者存在直接控股、管理关系的不同供应商，不得参加同一合同项下的政府采购活动。</w:t>
      </w:r>
    </w:p>
    <w:p w14:paraId="2C9D1F67">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604" w:firstLineChars="200"/>
        <w:jc w:val="both"/>
        <w:textAlignment w:val="auto"/>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2</w:t>
      </w:r>
      <w:r>
        <w:rPr>
          <w:rFonts w:hint="eastAsia" w:ascii="Times New Roman" w:hAnsi="Times New Roman" w:eastAsia="方正仿宋_GBK" w:cs="方正仿宋_GBK"/>
          <w:sz w:val="32"/>
          <w:szCs w:val="32"/>
          <w:lang w:val="en-US" w:eastAsia="zh-CN"/>
        </w:rPr>
        <w:t>．</w:t>
      </w:r>
      <w:r>
        <w:rPr>
          <w:rFonts w:hint="eastAsia" w:ascii="Times New Roman" w:hAnsi="Times New Roman" w:eastAsia="方正仿宋_GBK" w:cs="方正仿宋_GBK"/>
          <w:color w:val="auto"/>
          <w:sz w:val="32"/>
          <w:szCs w:val="32"/>
          <w:lang w:val="en-US" w:eastAsia="zh-CN"/>
        </w:rPr>
        <w:t>为本项目提供整体设计、规范编制或者项目管理、监管、检测等服务的供应商，不得再参加本项目的采购活动。</w:t>
      </w:r>
    </w:p>
    <w:p w14:paraId="516BF94E">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604" w:firstLineChars="200"/>
        <w:jc w:val="both"/>
        <w:textAlignment w:val="auto"/>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3</w:t>
      </w:r>
      <w:r>
        <w:rPr>
          <w:rFonts w:hint="eastAsia" w:ascii="Times New Roman" w:hAnsi="Times New Roman" w:eastAsia="方正仿宋_GBK" w:cs="方正仿宋_GBK"/>
          <w:sz w:val="32"/>
          <w:szCs w:val="32"/>
          <w:lang w:val="en-US" w:eastAsia="zh-CN"/>
        </w:rPr>
        <w:t>．</w:t>
      </w:r>
      <w:r>
        <w:rPr>
          <w:rFonts w:hint="eastAsia" w:ascii="Times New Roman" w:hAnsi="Times New Roman" w:eastAsia="方正仿宋_GBK" w:cs="方正仿宋_GBK"/>
          <w:color w:val="auto"/>
          <w:sz w:val="32"/>
          <w:szCs w:val="32"/>
          <w:lang w:val="en-US" w:eastAsia="zh-CN"/>
        </w:rPr>
        <w:t>本项目不接受联合体参与响应。</w:t>
      </w:r>
    </w:p>
    <w:p w14:paraId="7E954BEF">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604" w:firstLineChars="200"/>
        <w:jc w:val="both"/>
        <w:textAlignment w:val="auto"/>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4</w:t>
      </w:r>
      <w:r>
        <w:rPr>
          <w:rFonts w:hint="eastAsia" w:ascii="Times New Roman" w:hAnsi="Times New Roman" w:eastAsia="方正仿宋_GBK" w:cs="方正仿宋_GBK"/>
          <w:sz w:val="32"/>
          <w:szCs w:val="32"/>
          <w:lang w:val="en-US" w:eastAsia="zh-CN"/>
        </w:rPr>
        <w:t>．</w:t>
      </w:r>
      <w:r>
        <w:rPr>
          <w:rFonts w:hint="eastAsia" w:ascii="Times New Roman" w:hAnsi="Times New Roman" w:eastAsia="方正仿宋_GBK" w:cs="方正仿宋_GBK"/>
          <w:color w:val="auto"/>
          <w:sz w:val="32"/>
          <w:szCs w:val="32"/>
          <w:lang w:val="en-US" w:eastAsia="zh-CN"/>
        </w:rPr>
        <w:t>供应商不得将本项目服务内容整体转包给第三方。</w:t>
      </w:r>
    </w:p>
    <w:sectPr>
      <w:footerReference r:id="rId3" w:type="default"/>
      <w:pgSz w:w="11906" w:h="16838"/>
      <w:pgMar w:top="2041" w:right="1587" w:bottom="1417" w:left="1871" w:header="1134" w:footer="1417" w:gutter="0"/>
      <w:pgNumType w:fmt="decimal"/>
      <w:cols w:space="0" w:num="1"/>
      <w:docGrid w:type="linesAndChars" w:linePitch="581" w:charSpace="-37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embedRegular r:id="rId1" w:fontKey="{93AB2D91-09B1-4B5F-BB05-191D1012CCC3}"/>
  </w:font>
  <w:font w:name="方正小标宋_GBK">
    <w:panose1 w:val="02000000000000000000"/>
    <w:charset w:val="86"/>
    <w:family w:val="auto"/>
    <w:pitch w:val="default"/>
    <w:sig w:usb0="00000001" w:usb1="080E0000" w:usb2="00000000" w:usb3="00000000" w:csb0="00040000" w:csb1="00000000"/>
    <w:embedRegular r:id="rId2" w:fontKey="{E67A0C0A-CA8B-4892-8E6F-93B0BDAC1815}"/>
  </w:font>
  <w:font w:name="方正黑体_GBK">
    <w:panose1 w:val="03000509000000000000"/>
    <w:charset w:val="86"/>
    <w:family w:val="auto"/>
    <w:pitch w:val="default"/>
    <w:sig w:usb0="00000001" w:usb1="080E0000" w:usb2="00000000" w:usb3="00000000" w:csb0="00040000" w:csb1="00000000"/>
    <w:embedRegular r:id="rId3" w:fontKey="{C9A8AD94-45CB-4EB4-B96B-B4D42B3942E9}"/>
  </w:font>
  <w:font w:name="方正楷体_GBK">
    <w:panose1 w:val="03000509000000000000"/>
    <w:charset w:val="86"/>
    <w:family w:val="auto"/>
    <w:pitch w:val="default"/>
    <w:sig w:usb0="00000001" w:usb1="080E0000" w:usb2="00000000" w:usb3="00000000" w:csb0="00040000" w:csb1="00000000"/>
    <w:embedRegular r:id="rId4" w:fontKey="{BFE02E43-7F27-4458-90E0-60E98545D5D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970A72">
    <w:pPr>
      <w:pStyle w:val="2"/>
      <w:jc w:val="center"/>
      <w:rPr>
        <w:rFonts w:hint="eastAsia" w:eastAsia="方正仿宋_GBK"/>
        <w:sz w:val="28"/>
        <w:szCs w:val="28"/>
        <w:lang w:val="en-US" w:eastAsia="zh-CN"/>
      </w:rPr>
    </w:pPr>
    <w:r>
      <w:rPr>
        <w:rFonts w:hint="eastAsia"/>
        <w:sz w:val="28"/>
        <w:szCs w:val="28"/>
        <w:lang w:eastAsia="zh-CN"/>
      </w:rPr>
      <w:t>—</w:t>
    </w:r>
    <w:r>
      <w:rPr>
        <w:rFonts w:hint="eastAsia"/>
        <w:sz w:val="28"/>
        <w:szCs w:val="28"/>
        <w:lang w:val="en-US" w:eastAsia="zh-CN"/>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rFonts w:hint="eastAsia"/>
        <w:sz w:val="28"/>
        <w:szCs w:val="28"/>
        <w:lang w:val="en-US" w:eastAsia="zh-CN"/>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mirrorMargins w:val="1"/>
  <w:bordersDoNotSurroundHeader w:val="0"/>
  <w:bordersDoNotSurroundFooter w:val="0"/>
  <w:documentProtection w:enforcement="0"/>
  <w:defaultTabStop w:val="420"/>
  <w:drawingGridHorizontalSpacing w:val="151"/>
  <w:drawingGridVerticalSpacing w:val="290"/>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B1A6188"/>
    <w:rsid w:val="13DE1C90"/>
    <w:rsid w:val="16FBD25B"/>
    <w:rsid w:val="17379B5A"/>
    <w:rsid w:val="179849F2"/>
    <w:rsid w:val="1D5D837F"/>
    <w:rsid w:val="26B557DD"/>
    <w:rsid w:val="27F67A96"/>
    <w:rsid w:val="2BFCEE07"/>
    <w:rsid w:val="300230B5"/>
    <w:rsid w:val="33D70EDC"/>
    <w:rsid w:val="33F7707F"/>
    <w:rsid w:val="35F719F8"/>
    <w:rsid w:val="36FAB63E"/>
    <w:rsid w:val="37E8DD52"/>
    <w:rsid w:val="37EFD595"/>
    <w:rsid w:val="3C668FA8"/>
    <w:rsid w:val="3CDF2DCC"/>
    <w:rsid w:val="3E0D54A1"/>
    <w:rsid w:val="3F0F8357"/>
    <w:rsid w:val="3FBBEDC3"/>
    <w:rsid w:val="3FCB3088"/>
    <w:rsid w:val="4AC7B9E0"/>
    <w:rsid w:val="4EBBBFA5"/>
    <w:rsid w:val="53BFB7BF"/>
    <w:rsid w:val="562B7E52"/>
    <w:rsid w:val="573C85F1"/>
    <w:rsid w:val="57EBD87C"/>
    <w:rsid w:val="57FF966D"/>
    <w:rsid w:val="5D5F0442"/>
    <w:rsid w:val="5D5F57BF"/>
    <w:rsid w:val="5DF7F29A"/>
    <w:rsid w:val="5E738B1C"/>
    <w:rsid w:val="5F7FA9F1"/>
    <w:rsid w:val="5F991C57"/>
    <w:rsid w:val="663F60E0"/>
    <w:rsid w:val="66FBD0DA"/>
    <w:rsid w:val="67F1DB91"/>
    <w:rsid w:val="6B1A6188"/>
    <w:rsid w:val="6EEB3C16"/>
    <w:rsid w:val="6EFF717C"/>
    <w:rsid w:val="6F37C1EA"/>
    <w:rsid w:val="6F5DF4E9"/>
    <w:rsid w:val="6F6F72DD"/>
    <w:rsid w:val="6F6FBA42"/>
    <w:rsid w:val="6FADFD4F"/>
    <w:rsid w:val="6FFF0F17"/>
    <w:rsid w:val="6FFF29CA"/>
    <w:rsid w:val="71778BB7"/>
    <w:rsid w:val="71ECE541"/>
    <w:rsid w:val="73B8CDD8"/>
    <w:rsid w:val="75CA3943"/>
    <w:rsid w:val="75DF054A"/>
    <w:rsid w:val="75DF2C10"/>
    <w:rsid w:val="769F40AE"/>
    <w:rsid w:val="77CFE56D"/>
    <w:rsid w:val="78E9FCF7"/>
    <w:rsid w:val="79CFD7F1"/>
    <w:rsid w:val="7A7D02E8"/>
    <w:rsid w:val="7B5DDC10"/>
    <w:rsid w:val="7B5F8D9E"/>
    <w:rsid w:val="7CF23B9A"/>
    <w:rsid w:val="7DEDEA0F"/>
    <w:rsid w:val="7DFF0ED6"/>
    <w:rsid w:val="7E7FF968"/>
    <w:rsid w:val="7EF55545"/>
    <w:rsid w:val="7F37BBB7"/>
    <w:rsid w:val="7F4F5842"/>
    <w:rsid w:val="7F5F266A"/>
    <w:rsid w:val="7F6BDC19"/>
    <w:rsid w:val="7F8FCE9D"/>
    <w:rsid w:val="7FAF3E47"/>
    <w:rsid w:val="7FF46430"/>
    <w:rsid w:val="7FF767DE"/>
    <w:rsid w:val="7FF900F8"/>
    <w:rsid w:val="7FFF2811"/>
    <w:rsid w:val="98E1C6A9"/>
    <w:rsid w:val="9E3BD93E"/>
    <w:rsid w:val="9FDF9CFC"/>
    <w:rsid w:val="9FE19059"/>
    <w:rsid w:val="AF7DD608"/>
    <w:rsid w:val="AFFFEFBF"/>
    <w:rsid w:val="B5DFE000"/>
    <w:rsid w:val="B6FF4FF4"/>
    <w:rsid w:val="B7E7D115"/>
    <w:rsid w:val="B7F7DA1A"/>
    <w:rsid w:val="BBFB22CA"/>
    <w:rsid w:val="BBFF0AD6"/>
    <w:rsid w:val="BC3D6F3A"/>
    <w:rsid w:val="BE3E37BC"/>
    <w:rsid w:val="BF860242"/>
    <w:rsid w:val="BF8F724B"/>
    <w:rsid w:val="BFBF34E5"/>
    <w:rsid w:val="BFCB24CD"/>
    <w:rsid w:val="CEFDA32F"/>
    <w:rsid w:val="CFACD025"/>
    <w:rsid w:val="CFDFBB16"/>
    <w:rsid w:val="CFF5F77A"/>
    <w:rsid w:val="CFF6860C"/>
    <w:rsid w:val="D7BB3757"/>
    <w:rsid w:val="D99CC292"/>
    <w:rsid w:val="DB4FE290"/>
    <w:rsid w:val="DBED6FD5"/>
    <w:rsid w:val="DCEF5ACA"/>
    <w:rsid w:val="DD8B7485"/>
    <w:rsid w:val="DE7ECDC6"/>
    <w:rsid w:val="DF79B1E1"/>
    <w:rsid w:val="DFA312DC"/>
    <w:rsid w:val="DFEE8673"/>
    <w:rsid w:val="DFF36C8D"/>
    <w:rsid w:val="EBF74667"/>
    <w:rsid w:val="EBFA7795"/>
    <w:rsid w:val="EDBBC29E"/>
    <w:rsid w:val="EFB50633"/>
    <w:rsid w:val="EFFF765E"/>
    <w:rsid w:val="F0BF7FDC"/>
    <w:rsid w:val="F2F7A53F"/>
    <w:rsid w:val="F4FD85BC"/>
    <w:rsid w:val="F5F77EE1"/>
    <w:rsid w:val="F7DF1786"/>
    <w:rsid w:val="F7EB6EAB"/>
    <w:rsid w:val="FBBD1321"/>
    <w:rsid w:val="FBDCA219"/>
    <w:rsid w:val="FC9FAB04"/>
    <w:rsid w:val="FDDC4402"/>
    <w:rsid w:val="FE5FC4C1"/>
    <w:rsid w:val="FEDCEFF8"/>
    <w:rsid w:val="FEFE5AA9"/>
    <w:rsid w:val="FFBB523E"/>
    <w:rsid w:val="FFDE19F7"/>
    <w:rsid w:val="FFFB09E4"/>
    <w:rsid w:val="FFFF7E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hint="default" w:ascii="Times New Roman" w:hAnsi="Times New Roman" w:eastAsia="方正仿宋_GBK" w:cs="Times New Roman"/>
      <w:sz w:val="32"/>
      <w:szCs w:val="24"/>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6">
    <w:name w:val="Hyperlink"/>
    <w:basedOn w:val="5"/>
    <w:qFormat/>
    <w:uiPriority w:val="0"/>
    <w:rPr>
      <w:color w:val="0000FF"/>
      <w:u w:val="single"/>
    </w:rPr>
  </w:style>
  <w:style w:type="paragraph" w:styleId="7">
    <w:name w:val="List Paragraph"/>
    <w:basedOn w:val="1"/>
    <w:qFormat/>
    <w:uiPriority w:val="99"/>
    <w:pPr>
      <w:ind w:firstLine="420"/>
    </w:pPr>
    <w:rPr>
      <w:rFonts w:ascii="Calibri" w:hAnsi="Calibri"/>
      <w:szCs w:val="22"/>
    </w:rPr>
  </w:style>
  <w:style w:type="paragraph" w:customStyle="1" w:styleId="8">
    <w:name w:val="段"/>
    <w:next w:val="1"/>
    <w:autoRedefine/>
    <w:qFormat/>
    <w:uiPriority w:val="0"/>
    <w:pPr>
      <w:ind w:firstLine="200"/>
      <w:jc w:val="both"/>
    </w:pPr>
    <w:rPr>
      <w:rFonts w:hint="default" w:ascii="宋体" w:hAnsi="Times New Roman" w:eastAsia="宋体" w:cs="Times New Roman"/>
      <w:sz w:val="21"/>
    </w:rPr>
  </w:style>
  <w:style w:type="table" w:customStyle="1" w:styleId="9">
    <w:name w:val="Table Normal"/>
    <w:semiHidden/>
    <w:unhideWhenUsed/>
    <w:qFormat/>
    <w:uiPriority w:val="0"/>
    <w:tblPr>
      <w:tblCellMar>
        <w:top w:w="0" w:type="dxa"/>
        <w:left w:w="0" w:type="dxa"/>
        <w:bottom w:w="0" w:type="dxa"/>
        <w:right w:w="0" w:type="dxa"/>
      </w:tblCellMar>
    </w:tblPr>
  </w:style>
  <w:style w:type="paragraph" w:customStyle="1" w:styleId="10">
    <w:name w:val="Table Text"/>
    <w:basedOn w:val="1"/>
    <w:semiHidden/>
    <w:qFormat/>
    <w:uiPriority w:val="0"/>
    <w:rPr>
      <w:rFonts w:ascii="Times New Roman" w:hAnsi="Times New Roman" w:eastAsia="Times New Roman" w:cs="Times New Roman"/>
      <w:sz w:val="20"/>
      <w:szCs w:val="20"/>
      <w:lang w:val="en-US" w:eastAsia="en-US"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21</Pages>
  <Words>1904</Words>
  <Characters>1992</Characters>
  <Lines>0</Lines>
  <Paragraphs>0</Paragraphs>
  <TotalTime>5</TotalTime>
  <ScaleCrop>false</ScaleCrop>
  <LinksUpToDate>false</LinksUpToDate>
  <CharactersWithSpaces>2008</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2026-06-18T00:25:00Z</dcterms:created>
  <dc:creator>李惠</dc:creator>
  <cp:lastModifiedBy>李惠</cp:lastModifiedBy>
  <dcterms:modified xsi:type="dcterms:W3CDTF">2026-06-18T08:14:02Z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906A62CC84B94887AF7C975128E5156E_11</vt:lpwstr>
  </property>
  <property fmtid="{D5CDD505-2E9C-101B-9397-08002B2CF9AE}" pid="4" name="KSOTemplateDocerSaveRecord">
    <vt:lpwstr>eyJoZGlkIjoiODZkYTliMzMxMjJhOTE3NGY2YjZkODYzZTQwZjAwMjIiLCJ1c2VySWQiOiIxMDcxMjk4In0=</vt:lpwstr>
  </property>
</Properties>
</file>