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FCC9D">
      <w:pPr>
        <w:rPr>
          <w:rFonts w:ascii="仿宋_GB2312" w:hAnsi="仿宋_GB2312" w:eastAsia="仿宋_GB2312" w:cs="仿宋_GB2312"/>
          <w:color w:val="auto"/>
          <w:sz w:val="36"/>
          <w:szCs w:val="36"/>
        </w:rPr>
      </w:pPr>
      <w:bookmarkStart w:id="0" w:name="_Hlk57883707"/>
    </w:p>
    <w:p w14:paraId="1AF1622D">
      <w:pPr>
        <w:rPr>
          <w:rFonts w:ascii="仿宋_GB2312" w:hAnsi="仿宋_GB2312" w:eastAsia="仿宋_GB2312" w:cs="仿宋_GB2312"/>
          <w:color w:val="auto"/>
          <w:sz w:val="36"/>
          <w:szCs w:val="36"/>
        </w:rPr>
      </w:pPr>
    </w:p>
    <w:p w14:paraId="781998B8">
      <w:pPr>
        <w:rPr>
          <w:rFonts w:ascii="仿宋_GB2312" w:hAnsi="仿宋_GB2312" w:eastAsia="仿宋_GB2312" w:cs="仿宋_GB2312"/>
          <w:color w:val="auto"/>
          <w:sz w:val="36"/>
          <w:szCs w:val="36"/>
        </w:rPr>
      </w:pPr>
    </w:p>
    <w:p w14:paraId="443827E9">
      <w:pPr>
        <w:rPr>
          <w:rFonts w:ascii="仿宋_GB2312" w:hAnsi="仿宋_GB2312" w:eastAsia="仿宋_GB2312" w:cs="仿宋_GB2312"/>
          <w:color w:val="auto"/>
          <w:sz w:val="36"/>
          <w:szCs w:val="36"/>
        </w:rPr>
      </w:pPr>
    </w:p>
    <w:bookmarkEnd w:id="0"/>
    <w:p w14:paraId="24CEF88D">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000548E6">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（生态影响类）</w:t>
      </w:r>
    </w:p>
    <w:p w14:paraId="393C5AE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eastAsia" w:ascii="华文仿宋" w:hAnsi="华文仿宋" w:eastAsia="华文仿宋" w:cs="华文仿宋"/>
          <w:color w:val="auto"/>
          <w:kern w:val="44"/>
          <w:sz w:val="44"/>
          <w:szCs w:val="44"/>
          <w:lang w:eastAsia="zh-CN"/>
        </w:rPr>
      </w:pPr>
      <w:bookmarkStart w:id="1" w:name="_Hlk57883728"/>
      <w:r>
        <w:rPr>
          <w:rFonts w:hint="eastAsia" w:ascii="华文仿宋" w:hAnsi="华文仿宋" w:eastAsia="华文仿宋" w:cs="华文仿宋"/>
          <w:color w:val="auto"/>
          <w:kern w:val="44"/>
          <w:sz w:val="44"/>
          <w:szCs w:val="44"/>
          <w:lang w:eastAsia="zh-CN"/>
        </w:rPr>
        <w:t>（</w:t>
      </w:r>
      <w:r>
        <w:rPr>
          <w:rFonts w:hint="eastAsia" w:ascii="华文仿宋" w:hAnsi="华文仿宋" w:eastAsia="华文仿宋" w:cs="华文仿宋"/>
          <w:color w:val="auto"/>
          <w:kern w:val="44"/>
          <w:sz w:val="44"/>
          <w:szCs w:val="44"/>
          <w:lang w:val="en-US" w:eastAsia="zh-CN"/>
        </w:rPr>
        <w:t>公示稿</w:t>
      </w:r>
      <w:r>
        <w:rPr>
          <w:rFonts w:hint="eastAsia" w:ascii="华文仿宋" w:hAnsi="华文仿宋" w:eastAsia="华文仿宋" w:cs="华文仿宋"/>
          <w:color w:val="auto"/>
          <w:kern w:val="44"/>
          <w:sz w:val="44"/>
          <w:szCs w:val="44"/>
          <w:lang w:eastAsia="zh-CN"/>
        </w:rPr>
        <w:t>）</w:t>
      </w:r>
    </w:p>
    <w:p w14:paraId="0E6C2FB4">
      <w:pPr>
        <w:jc w:val="center"/>
        <w:rPr>
          <w:rFonts w:eastAsia="仿宋"/>
          <w:color w:val="auto"/>
          <w:sz w:val="52"/>
          <w:szCs w:val="52"/>
        </w:rPr>
      </w:pPr>
    </w:p>
    <w:p w14:paraId="26699853">
      <w:pPr>
        <w:ind w:firstLine="1040"/>
        <w:rPr>
          <w:rFonts w:eastAsia="仿宋"/>
          <w:color w:val="auto"/>
          <w:sz w:val="44"/>
          <w:szCs w:val="44"/>
        </w:rPr>
      </w:pPr>
    </w:p>
    <w:p w14:paraId="7D664A23">
      <w:pPr>
        <w:ind w:firstLine="1040"/>
        <w:rPr>
          <w:rFonts w:eastAsia="仿宋"/>
          <w:color w:val="auto"/>
          <w:sz w:val="44"/>
          <w:szCs w:val="44"/>
        </w:rPr>
      </w:pPr>
    </w:p>
    <w:p w14:paraId="18529FE0">
      <w:pPr>
        <w:ind w:firstLine="1040"/>
        <w:rPr>
          <w:rFonts w:eastAsia="仿宋"/>
          <w:color w:val="auto"/>
          <w:sz w:val="44"/>
          <w:szCs w:val="44"/>
        </w:rPr>
      </w:pPr>
    </w:p>
    <w:p w14:paraId="078EF32C">
      <w:pPr>
        <w:ind w:firstLine="1040"/>
        <w:rPr>
          <w:rFonts w:eastAsia="仿宋"/>
          <w:color w:val="auto"/>
          <w:sz w:val="44"/>
          <w:szCs w:val="44"/>
        </w:rPr>
      </w:pPr>
    </w:p>
    <w:bookmarkEnd w:id="1"/>
    <w:p w14:paraId="0920E794">
      <w:pPr>
        <w:adjustRightInd w:val="0"/>
        <w:snapToGrid w:val="0"/>
        <w:spacing w:line="288" w:lineRule="auto"/>
        <w:ind w:left="0" w:leftChars="0" w:firstLine="0" w:firstLineChars="0"/>
        <w:rPr>
          <w:rFonts w:hint="eastAsia" w:ascii="仿宋_GB2312" w:eastAsia="仿宋_GB2312"/>
          <w:color w:val="auto"/>
          <w:sz w:val="36"/>
          <w:szCs w:val="36"/>
          <w:u w:val="single"/>
        </w:rPr>
      </w:pPr>
      <w:r>
        <w:rPr>
          <w:rFonts w:hint="eastAsia" w:ascii="仿宋_GB2312" w:eastAsia="仿宋_GB2312"/>
          <w:color w:val="auto"/>
          <w:sz w:val="36"/>
          <w:szCs w:val="36"/>
        </w:rPr>
        <w:t xml:space="preserve">项目名称： </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储存品种调整及储运设施安全改造项目   </w:t>
      </w:r>
    </w:p>
    <w:p w14:paraId="464CE8B6">
      <w:pPr>
        <w:adjustRightInd w:val="0"/>
        <w:snapToGrid w:val="0"/>
        <w:spacing w:line="288" w:lineRule="auto"/>
        <w:ind w:left="0" w:leftChars="0" w:firstLine="0" w:firstLineChars="0"/>
        <w:rPr>
          <w:rFonts w:hint="eastAsia" w:ascii="仿宋_GB2312" w:eastAsia="仿宋_GB2312"/>
          <w:color w:val="auto"/>
          <w:sz w:val="36"/>
          <w:szCs w:val="36"/>
          <w:u w:val="single"/>
          <w:lang w:val="en-US" w:eastAsia="zh-CN"/>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江苏</w:t>
      </w:r>
      <w:r>
        <w:rPr>
          <w:rFonts w:hint="eastAsia" w:ascii="仿宋_GB2312" w:eastAsia="仿宋_GB2312"/>
          <w:color w:val="auto"/>
          <w:sz w:val="36"/>
          <w:szCs w:val="36"/>
          <w:u w:val="single"/>
          <w:lang w:val="en-US" w:eastAsia="zh-CN"/>
        </w:rPr>
        <w:t>苏豪丽天智储循环科技</w:t>
      </w:r>
      <w:r>
        <w:rPr>
          <w:rFonts w:hint="eastAsia" w:ascii="仿宋_GB2312" w:eastAsia="仿宋_GB2312"/>
          <w:color w:val="auto"/>
          <w:sz w:val="36"/>
          <w:szCs w:val="36"/>
          <w:u w:val="single"/>
        </w:rPr>
        <w:t>有限公司</w:t>
      </w:r>
      <w:r>
        <w:rPr>
          <w:rFonts w:hint="eastAsia" w:ascii="仿宋_GB2312" w:eastAsia="仿宋_GB2312"/>
          <w:color w:val="auto"/>
          <w:sz w:val="36"/>
          <w:szCs w:val="36"/>
          <w:u w:val="single"/>
          <w:lang w:val="en-US" w:eastAsia="zh-CN"/>
        </w:rPr>
        <w:t xml:space="preserve"> </w:t>
      </w:r>
    </w:p>
    <w:p w14:paraId="14F6FD94">
      <w:pPr>
        <w:adjustRightInd w:val="0"/>
        <w:snapToGrid w:val="0"/>
        <w:spacing w:line="288" w:lineRule="auto"/>
        <w:ind w:left="0" w:leftChars="0" w:firstLine="0" w:firstLineChars="0"/>
        <w:rPr>
          <w:rFonts w:hint="eastAsia" w:ascii="仿宋_GB2312" w:eastAsia="仿宋_GB2312"/>
          <w:color w:val="auto"/>
          <w:sz w:val="36"/>
          <w:szCs w:val="36"/>
          <w:u w:val="single"/>
          <w:lang w:val="en-US" w:eastAsia="zh-CN"/>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eastAsia="仿宋_GB2312"/>
          <w:color w:val="auto"/>
          <w:sz w:val="36"/>
          <w:szCs w:val="36"/>
          <w:u w:val="single"/>
        </w:rPr>
        <w:t>202</w:t>
      </w:r>
      <w:r>
        <w:rPr>
          <w:rFonts w:hint="eastAsia" w:eastAsia="仿宋_GB2312"/>
          <w:color w:val="auto"/>
          <w:sz w:val="36"/>
          <w:szCs w:val="36"/>
          <w:u w:val="single"/>
          <w:lang w:val="en-US" w:eastAsia="zh-CN"/>
        </w:rPr>
        <w:t>6</w:t>
      </w:r>
      <w:r>
        <w:rPr>
          <w:rFonts w:eastAsia="仿宋_GB2312"/>
          <w:color w:val="auto"/>
          <w:sz w:val="36"/>
          <w:szCs w:val="36"/>
          <w:u w:val="single"/>
        </w:rPr>
        <w:t>年</w:t>
      </w:r>
      <w:r>
        <w:rPr>
          <w:rFonts w:hint="eastAsia" w:eastAsia="仿宋_GB2312"/>
          <w:color w:val="auto"/>
          <w:sz w:val="36"/>
          <w:szCs w:val="36"/>
          <w:u w:val="single"/>
          <w:lang w:val="en-US" w:eastAsia="zh-CN"/>
        </w:rPr>
        <w:t>4</w:t>
      </w:r>
      <w:r>
        <w:rPr>
          <w:rFonts w:eastAsia="仿宋_GB2312"/>
          <w:color w:val="auto"/>
          <w:sz w:val="36"/>
          <w:szCs w:val="36"/>
          <w:u w:val="single"/>
        </w:rPr>
        <w:t>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p>
    <w:p w14:paraId="47DB1AA9">
      <w:pPr>
        <w:adjustRightInd w:val="0"/>
        <w:snapToGrid w:val="0"/>
        <w:spacing w:line="288" w:lineRule="auto"/>
        <w:ind w:firstLine="1040"/>
        <w:rPr>
          <w:rFonts w:ascii="仿宋_GB2312" w:eastAsia="仿宋_GB2312"/>
          <w:color w:val="auto"/>
          <w:sz w:val="36"/>
          <w:szCs w:val="36"/>
          <w:u w:val="single"/>
        </w:rPr>
      </w:pPr>
    </w:p>
    <w:p w14:paraId="0F72341A">
      <w:pPr>
        <w:adjustRightInd w:val="0"/>
        <w:snapToGrid w:val="0"/>
        <w:spacing w:line="288" w:lineRule="auto"/>
        <w:ind w:firstLine="1040"/>
        <w:rPr>
          <w:rFonts w:ascii="仿宋_GB2312" w:eastAsia="仿宋_GB2312"/>
          <w:color w:val="auto"/>
          <w:sz w:val="36"/>
          <w:szCs w:val="36"/>
        </w:rPr>
      </w:pPr>
    </w:p>
    <w:p w14:paraId="19A708A0">
      <w:pPr>
        <w:adjustRightInd w:val="0"/>
        <w:snapToGrid w:val="0"/>
        <w:spacing w:line="288" w:lineRule="auto"/>
        <w:ind w:firstLine="1040"/>
        <w:rPr>
          <w:rFonts w:ascii="仿宋_GB2312" w:eastAsia="仿宋_GB2312"/>
          <w:color w:val="auto"/>
          <w:sz w:val="36"/>
          <w:szCs w:val="36"/>
        </w:rPr>
      </w:pPr>
    </w:p>
    <w:p w14:paraId="46E42C9B">
      <w:pPr>
        <w:adjustRightInd w:val="0"/>
        <w:snapToGrid w:val="0"/>
        <w:spacing w:line="288" w:lineRule="auto"/>
        <w:ind w:firstLine="1040"/>
        <w:rPr>
          <w:rFonts w:hint="eastAsia" w:ascii="仿宋_GB2312" w:eastAsia="仿宋_GB2312"/>
          <w:color w:val="auto"/>
          <w:sz w:val="36"/>
          <w:szCs w:val="36"/>
        </w:rPr>
      </w:pPr>
    </w:p>
    <w:p w14:paraId="15CDF9DD">
      <w:pPr>
        <w:adjustRightInd w:val="0"/>
        <w:snapToGrid w:val="0"/>
        <w:spacing w:line="288" w:lineRule="auto"/>
        <w:ind w:firstLine="1040"/>
        <w:rPr>
          <w:rFonts w:hint="eastAsia" w:ascii="仿宋_GB2312" w:eastAsia="仿宋_GB2312"/>
          <w:color w:val="auto"/>
          <w:sz w:val="36"/>
          <w:szCs w:val="36"/>
        </w:rPr>
      </w:pPr>
    </w:p>
    <w:p w14:paraId="10AC2F93">
      <w:pPr>
        <w:adjustRightInd w:val="0"/>
        <w:snapToGrid w:val="0"/>
        <w:spacing w:line="288" w:lineRule="auto"/>
        <w:jc w:val="center"/>
        <w:rPr>
          <w:rFonts w:ascii="楷体_GB2312" w:eastAsia="楷体_GB2312"/>
          <w:color w:val="auto"/>
          <w:sz w:val="36"/>
          <w:szCs w:val="36"/>
        </w:rPr>
      </w:pPr>
      <w:r>
        <w:rPr>
          <w:rFonts w:hint="eastAsia" w:ascii="楷体_GB2312" w:eastAsia="楷体_GB2312"/>
          <w:color w:val="auto"/>
          <w:sz w:val="36"/>
          <w:szCs w:val="36"/>
        </w:rPr>
        <w:t>中华人民共和国生态环境部制</w:t>
      </w:r>
    </w:p>
    <w:p w14:paraId="38FFDEB8">
      <w:pPr>
        <w:adjustRightInd w:val="0"/>
        <w:snapToGrid w:val="0"/>
        <w:spacing w:line="288" w:lineRule="auto"/>
        <w:ind w:firstLine="1040"/>
        <w:rPr>
          <w:rFonts w:ascii="仿宋_GB2312" w:eastAsia="仿宋_GB2312"/>
          <w:color w:val="auto"/>
          <w:sz w:val="36"/>
          <w:szCs w:val="36"/>
        </w:rPr>
      </w:pPr>
    </w:p>
    <w:p w14:paraId="297457B7">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440" w:right="1440" w:bottom="1440" w:left="1440" w:header="851" w:footer="1077" w:gutter="0"/>
          <w:pgBorders>
            <w:top w:val="none" w:sz="0" w:space="0"/>
            <w:left w:val="none" w:sz="0" w:space="0"/>
            <w:bottom w:val="none" w:sz="0" w:space="0"/>
            <w:right w:val="none" w:sz="0" w:space="0"/>
          </w:pgBorders>
          <w:pgNumType w:start="21"/>
          <w:cols w:space="720" w:num="1"/>
          <w:docGrid w:linePitch="312" w:charSpace="0"/>
        </w:sectPr>
      </w:pPr>
    </w:p>
    <w:p w14:paraId="0B245E38">
      <w:pPr>
        <w:pStyle w:val="19"/>
        <w:jc w:val="center"/>
        <w:outlineLvl w:val="0"/>
        <w:rPr>
          <w:rFonts w:ascii="黑体" w:hAnsi="黑体" w:eastAsia="黑体"/>
          <w:snapToGrid w:val="0"/>
          <w:color w:val="auto"/>
          <w:sz w:val="30"/>
          <w:szCs w:val="30"/>
        </w:rPr>
      </w:pPr>
      <w:bookmarkStart w:id="2" w:name="_Toc23053"/>
      <w:r>
        <w:rPr>
          <w:rFonts w:hint="eastAsia" w:ascii="黑体" w:hAnsi="黑体" w:eastAsia="黑体"/>
          <w:snapToGrid w:val="0"/>
          <w:color w:val="auto"/>
          <w:sz w:val="30"/>
          <w:szCs w:val="30"/>
        </w:rPr>
        <w:t>一、建设项目基本情况</w:t>
      </w:r>
      <w:bookmarkEnd w:id="2"/>
    </w:p>
    <w:tbl>
      <w:tblPr>
        <w:tblStyle w:val="21"/>
        <w:tblW w:w="4991"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67"/>
        <w:gridCol w:w="2632"/>
        <w:gridCol w:w="1981"/>
        <w:gridCol w:w="11"/>
        <w:gridCol w:w="2545"/>
      </w:tblGrid>
      <w:tr w14:paraId="47ADCC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33" w:type="pct"/>
            <w:noWrap w:val="0"/>
            <w:tcMar>
              <w:top w:w="16" w:type="dxa"/>
              <w:left w:w="16" w:type="dxa"/>
              <w:right w:w="16" w:type="dxa"/>
            </w:tcMar>
            <w:vAlign w:val="center"/>
          </w:tcPr>
          <w:p w14:paraId="23AD839D">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建设项目名称</w:t>
            </w:r>
          </w:p>
        </w:tc>
        <w:tc>
          <w:tcPr>
            <w:tcW w:w="3966" w:type="pct"/>
            <w:gridSpan w:val="4"/>
            <w:noWrap w:val="0"/>
            <w:vAlign w:val="center"/>
          </w:tcPr>
          <w:p w14:paraId="3F12F66B">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lang w:val="en-US" w:eastAsia="zh-CN"/>
              </w:rPr>
              <w:t>储存品种调整及储运设施安全改造项目</w:t>
            </w:r>
          </w:p>
        </w:tc>
      </w:tr>
      <w:tr w14:paraId="4A8F8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33" w:type="pct"/>
            <w:noWrap w:val="0"/>
            <w:tcMar>
              <w:top w:w="16" w:type="dxa"/>
              <w:left w:w="16" w:type="dxa"/>
              <w:right w:w="16" w:type="dxa"/>
            </w:tcMar>
            <w:vAlign w:val="center"/>
          </w:tcPr>
          <w:p w14:paraId="09A635FE">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项目代码</w:t>
            </w:r>
          </w:p>
        </w:tc>
        <w:tc>
          <w:tcPr>
            <w:tcW w:w="3966" w:type="pct"/>
            <w:gridSpan w:val="4"/>
            <w:noWrap w:val="0"/>
            <w:vAlign w:val="center"/>
          </w:tcPr>
          <w:p w14:paraId="577B2C73">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color w:val="auto"/>
                <w:szCs w:val="21"/>
                <w:highlight w:val="none"/>
                <w:lang w:val="en-US" w:eastAsia="zh-CN"/>
              </w:rPr>
              <w:t>2604-320281-89-02-727865</w:t>
            </w:r>
          </w:p>
        </w:tc>
      </w:tr>
      <w:tr w14:paraId="079AC0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33" w:type="pct"/>
            <w:noWrap w:val="0"/>
            <w:tcMar>
              <w:top w:w="16" w:type="dxa"/>
              <w:left w:w="16" w:type="dxa"/>
              <w:right w:w="16" w:type="dxa"/>
            </w:tcMar>
            <w:vAlign w:val="center"/>
          </w:tcPr>
          <w:p w14:paraId="0AD79266">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建设单位联系人</w:t>
            </w:r>
          </w:p>
        </w:tc>
        <w:tc>
          <w:tcPr>
            <w:tcW w:w="1456" w:type="pct"/>
            <w:noWrap w:val="0"/>
            <w:vAlign w:val="center"/>
          </w:tcPr>
          <w:p w14:paraId="097A0E2C">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color w:val="auto"/>
                <w:szCs w:val="21"/>
                <w:lang w:val="en-US" w:eastAsia="zh-CN"/>
              </w:rPr>
              <w:t>孙*</w:t>
            </w:r>
          </w:p>
        </w:tc>
        <w:tc>
          <w:tcPr>
            <w:tcW w:w="1102" w:type="pct"/>
            <w:gridSpan w:val="2"/>
            <w:noWrap w:val="0"/>
            <w:vAlign w:val="center"/>
          </w:tcPr>
          <w:p w14:paraId="042A47D7">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联系方式</w:t>
            </w:r>
          </w:p>
        </w:tc>
        <w:tc>
          <w:tcPr>
            <w:tcW w:w="1407" w:type="pct"/>
            <w:noWrap w:val="0"/>
            <w:vAlign w:val="center"/>
          </w:tcPr>
          <w:p w14:paraId="4429FCE4">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color w:val="auto"/>
                <w:szCs w:val="21"/>
                <w:lang w:val="en-US" w:eastAsia="zh-CN"/>
              </w:rPr>
              <w:t>157****371</w:t>
            </w:r>
          </w:p>
        </w:tc>
      </w:tr>
      <w:tr w14:paraId="7FAFD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33" w:type="pct"/>
            <w:noWrap w:val="0"/>
            <w:tcMar>
              <w:top w:w="16" w:type="dxa"/>
              <w:left w:w="16" w:type="dxa"/>
              <w:right w:w="16" w:type="dxa"/>
            </w:tcMar>
            <w:vAlign w:val="center"/>
          </w:tcPr>
          <w:p w14:paraId="2DC405E0">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建设地点</w:t>
            </w:r>
          </w:p>
        </w:tc>
        <w:tc>
          <w:tcPr>
            <w:tcW w:w="3966" w:type="pct"/>
            <w:gridSpan w:val="4"/>
            <w:noWrap w:val="0"/>
            <w:vAlign w:val="center"/>
          </w:tcPr>
          <w:p w14:paraId="5BC15561">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color w:val="auto"/>
                <w:szCs w:val="21"/>
                <w:lang w:val="en-US" w:eastAsia="zh-CN"/>
              </w:rPr>
              <w:t>江苏省</w:t>
            </w:r>
            <w:r>
              <w:rPr>
                <w:rFonts w:hint="default"/>
                <w:color w:val="auto"/>
                <w:szCs w:val="21"/>
              </w:rPr>
              <w:t>无锡市江阴市</w:t>
            </w:r>
            <w:r>
              <w:rPr>
                <w:rFonts w:hint="eastAsia"/>
                <w:color w:val="auto"/>
                <w:szCs w:val="21"/>
                <w:lang w:val="en-US" w:eastAsia="zh-CN"/>
              </w:rPr>
              <w:t>利港街道</w:t>
            </w:r>
            <w:r>
              <w:rPr>
                <w:rFonts w:hint="default"/>
                <w:color w:val="auto"/>
                <w:szCs w:val="21"/>
              </w:rPr>
              <w:t>润华路</w:t>
            </w:r>
            <w:r>
              <w:rPr>
                <w:rFonts w:hint="eastAsia"/>
                <w:color w:val="auto"/>
                <w:szCs w:val="21"/>
                <w:lang w:val="en-US" w:eastAsia="zh-CN"/>
              </w:rPr>
              <w:t>9</w:t>
            </w:r>
            <w:r>
              <w:rPr>
                <w:rFonts w:hint="default"/>
                <w:color w:val="auto"/>
                <w:szCs w:val="21"/>
              </w:rPr>
              <w:t>号</w:t>
            </w:r>
          </w:p>
        </w:tc>
      </w:tr>
      <w:tr w14:paraId="083098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33" w:type="pct"/>
            <w:noWrap w:val="0"/>
            <w:tcMar>
              <w:top w:w="16" w:type="dxa"/>
              <w:left w:w="16" w:type="dxa"/>
              <w:right w:w="16" w:type="dxa"/>
            </w:tcMar>
            <w:vAlign w:val="center"/>
          </w:tcPr>
          <w:p w14:paraId="642AE680">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地理坐标</w:t>
            </w:r>
          </w:p>
        </w:tc>
        <w:tc>
          <w:tcPr>
            <w:tcW w:w="3966" w:type="pct"/>
            <w:gridSpan w:val="4"/>
            <w:noWrap w:val="0"/>
            <w:vAlign w:val="center"/>
          </w:tcPr>
          <w:p w14:paraId="7E005516">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default"/>
                <w:color w:val="auto"/>
                <w:szCs w:val="21"/>
              </w:rPr>
              <w:t>（</w:t>
            </w:r>
            <w:r>
              <w:rPr>
                <w:rFonts w:hint="default"/>
                <w:color w:val="auto"/>
                <w:szCs w:val="21"/>
                <w:u w:val="single"/>
              </w:rPr>
              <w:t>120</w:t>
            </w:r>
            <w:r>
              <w:rPr>
                <w:rFonts w:hint="default"/>
                <w:color w:val="auto"/>
                <w:szCs w:val="21"/>
              </w:rPr>
              <w:t>度</w:t>
            </w:r>
            <w:r>
              <w:rPr>
                <w:rFonts w:hint="eastAsia"/>
                <w:color w:val="auto"/>
                <w:szCs w:val="21"/>
                <w:u w:val="single"/>
                <w:lang w:val="en-US" w:eastAsia="zh-CN"/>
              </w:rPr>
              <w:t>05</w:t>
            </w:r>
            <w:r>
              <w:rPr>
                <w:rFonts w:hint="default"/>
                <w:color w:val="auto"/>
                <w:szCs w:val="21"/>
              </w:rPr>
              <w:t>分</w:t>
            </w:r>
            <w:r>
              <w:rPr>
                <w:rFonts w:hint="eastAsia"/>
                <w:color w:val="auto"/>
                <w:szCs w:val="21"/>
                <w:u w:val="single"/>
                <w:lang w:val="en-US" w:eastAsia="zh-CN"/>
              </w:rPr>
              <w:t>54.737</w:t>
            </w:r>
            <w:r>
              <w:rPr>
                <w:rFonts w:hint="default"/>
                <w:color w:val="auto"/>
                <w:szCs w:val="21"/>
              </w:rPr>
              <w:t>秒，</w:t>
            </w:r>
            <w:r>
              <w:rPr>
                <w:rFonts w:hint="default"/>
                <w:color w:val="auto"/>
                <w:szCs w:val="21"/>
                <w:u w:val="single"/>
              </w:rPr>
              <w:t>31</w:t>
            </w:r>
            <w:r>
              <w:rPr>
                <w:rFonts w:hint="default"/>
                <w:color w:val="auto"/>
                <w:szCs w:val="21"/>
              </w:rPr>
              <w:t>度</w:t>
            </w:r>
            <w:r>
              <w:rPr>
                <w:rFonts w:hint="eastAsia"/>
                <w:color w:val="auto"/>
                <w:szCs w:val="21"/>
                <w:u w:val="single"/>
              </w:rPr>
              <w:t>5</w:t>
            </w:r>
            <w:r>
              <w:rPr>
                <w:rFonts w:hint="eastAsia"/>
                <w:color w:val="auto"/>
                <w:szCs w:val="21"/>
                <w:u w:val="single"/>
                <w:lang w:val="en-US" w:eastAsia="zh-CN"/>
              </w:rPr>
              <w:t>6</w:t>
            </w:r>
            <w:r>
              <w:rPr>
                <w:rFonts w:hint="default"/>
                <w:color w:val="auto"/>
                <w:szCs w:val="21"/>
              </w:rPr>
              <w:t>分</w:t>
            </w:r>
            <w:r>
              <w:rPr>
                <w:rFonts w:hint="eastAsia"/>
                <w:color w:val="auto"/>
                <w:szCs w:val="21"/>
                <w:u w:val="single"/>
                <w:lang w:val="en-US" w:eastAsia="zh-CN"/>
              </w:rPr>
              <w:t>10.144</w:t>
            </w:r>
            <w:r>
              <w:rPr>
                <w:rFonts w:hint="default"/>
                <w:color w:val="auto"/>
                <w:szCs w:val="21"/>
              </w:rPr>
              <w:t>秒）</w:t>
            </w:r>
          </w:p>
        </w:tc>
      </w:tr>
      <w:tr w14:paraId="5F39B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417" w:hRule="atLeast"/>
        </w:trPr>
        <w:tc>
          <w:tcPr>
            <w:tcW w:w="1033" w:type="pct"/>
            <w:noWrap w:val="0"/>
            <w:tcMar>
              <w:top w:w="16" w:type="dxa"/>
              <w:left w:w="16" w:type="dxa"/>
              <w:right w:w="16" w:type="dxa"/>
            </w:tcMar>
            <w:vAlign w:val="center"/>
          </w:tcPr>
          <w:p w14:paraId="0FD3B60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建设项目</w:t>
            </w:r>
          </w:p>
          <w:p w14:paraId="1DAE3DAD">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行业类别</w:t>
            </w:r>
          </w:p>
        </w:tc>
        <w:tc>
          <w:tcPr>
            <w:tcW w:w="1456" w:type="pct"/>
            <w:noWrap w:val="0"/>
            <w:vAlign w:val="center"/>
          </w:tcPr>
          <w:p w14:paraId="24436A95">
            <w:pPr>
              <w:keepNext w:val="0"/>
              <w:keepLines w:val="0"/>
              <w:suppressLineNumbers w:val="0"/>
              <w:adjustRightInd w:val="0"/>
              <w:snapToGrid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五十二、交通运输业、管道运输业：138油气、液体化工码头--其他；五十三、装卸搬运和仓储业59：149危险品仓储594（不含加油站的油库；不含加气站的气库）--其他（含有毒、有害、危险品的仓储；含液化天然气库）</w:t>
            </w:r>
          </w:p>
        </w:tc>
        <w:tc>
          <w:tcPr>
            <w:tcW w:w="1096" w:type="pct"/>
            <w:noWrap w:val="0"/>
            <w:vAlign w:val="center"/>
          </w:tcPr>
          <w:p w14:paraId="3490E7D7">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default" w:ascii="Times New Roman" w:hAnsi="Times New Roman" w:cs="Times New Roman"/>
                <w:color w:val="auto"/>
                <w:szCs w:val="21"/>
              </w:rPr>
              <w:t>用地（用海）面积（</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vertAlign w:val="superscript"/>
                <w:lang w:val="en-US" w:eastAsia="zh-CN"/>
              </w:rPr>
              <w:t>2</w:t>
            </w:r>
            <w:r>
              <w:rPr>
                <w:rFonts w:hint="default" w:ascii="Times New Roman" w:hAnsi="Times New Roman" w:cs="Times New Roman"/>
                <w:color w:val="auto"/>
                <w:szCs w:val="21"/>
              </w:rPr>
              <w:t>）/长度（km）</w:t>
            </w:r>
          </w:p>
        </w:tc>
        <w:tc>
          <w:tcPr>
            <w:tcW w:w="1413" w:type="pct"/>
            <w:gridSpan w:val="2"/>
            <w:noWrap w:val="0"/>
            <w:vAlign w:val="center"/>
          </w:tcPr>
          <w:p w14:paraId="2E92C41E">
            <w:pPr>
              <w:keepNext w:val="0"/>
              <w:keepLines w:val="0"/>
              <w:suppressLineNumbers w:val="0"/>
              <w:adjustRightInd w:val="0"/>
              <w:snapToGrid w:val="0"/>
              <w:spacing w:before="0" w:beforeAutospacing="0" w:after="0" w:afterAutospacing="0"/>
              <w:ind w:left="0" w:right="0"/>
              <w:jc w:val="center"/>
              <w:rPr>
                <w:rFonts w:hint="eastAsia"/>
                <w:color w:val="auto"/>
                <w:lang w:val="en-US" w:eastAsia="zh-CN"/>
              </w:rPr>
            </w:pPr>
            <w:r>
              <w:rPr>
                <w:rFonts w:hint="eastAsia"/>
                <w:color w:val="auto"/>
                <w:szCs w:val="21"/>
                <w:highlight w:val="none"/>
                <w:lang w:val="en-US" w:eastAsia="zh-CN"/>
              </w:rPr>
              <w:t>0</w:t>
            </w:r>
          </w:p>
          <w:p w14:paraId="24B7BA79">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color w:val="auto"/>
                <w:lang w:val="en-US" w:eastAsia="zh-CN"/>
              </w:rPr>
              <w:t>（现有厂区内，不新增用地，公司总占地面积241400m</w:t>
            </w:r>
            <w:r>
              <w:rPr>
                <w:rFonts w:hint="eastAsia"/>
                <w:color w:val="auto"/>
                <w:vertAlign w:val="superscript"/>
                <w:lang w:val="en-US" w:eastAsia="zh-CN"/>
              </w:rPr>
              <w:t>2</w:t>
            </w:r>
            <w:r>
              <w:rPr>
                <w:rFonts w:hint="eastAsia"/>
                <w:color w:val="auto"/>
                <w:lang w:val="en-US" w:eastAsia="zh-CN"/>
              </w:rPr>
              <w:t>）</w:t>
            </w:r>
          </w:p>
        </w:tc>
      </w:tr>
      <w:tr w14:paraId="323BE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6" w:hRule="atLeast"/>
        </w:trPr>
        <w:tc>
          <w:tcPr>
            <w:tcW w:w="1033" w:type="pct"/>
            <w:noWrap w:val="0"/>
            <w:tcMar>
              <w:top w:w="16" w:type="dxa"/>
              <w:left w:w="16" w:type="dxa"/>
              <w:right w:w="16" w:type="dxa"/>
            </w:tcMar>
            <w:vAlign w:val="center"/>
          </w:tcPr>
          <w:p w14:paraId="77ACE0D3">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建设性质</w:t>
            </w:r>
          </w:p>
        </w:tc>
        <w:tc>
          <w:tcPr>
            <w:tcW w:w="1456" w:type="pct"/>
            <w:noWrap w:val="0"/>
            <w:vAlign w:val="center"/>
          </w:tcPr>
          <w:p w14:paraId="249090EE">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color w:val="auto"/>
                <w:szCs w:val="21"/>
              </w:rPr>
              <w:t>□新建（迁建）</w:t>
            </w:r>
          </w:p>
          <w:p w14:paraId="05CB27DB">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改建</w:t>
            </w:r>
          </w:p>
          <w:p w14:paraId="5A65C219">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color w:val="auto"/>
                <w:szCs w:val="21"/>
              </w:rPr>
              <w:t>□扩建</w:t>
            </w:r>
          </w:p>
          <w:p w14:paraId="6ED82E80">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color w:val="auto"/>
                <w:szCs w:val="21"/>
              </w:rPr>
              <w:t>□技术改造</w:t>
            </w:r>
          </w:p>
        </w:tc>
        <w:tc>
          <w:tcPr>
            <w:tcW w:w="1096" w:type="pct"/>
            <w:noWrap w:val="0"/>
            <w:vAlign w:val="center"/>
          </w:tcPr>
          <w:p w14:paraId="5AF3374F">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建设项目</w:t>
            </w:r>
          </w:p>
          <w:p w14:paraId="265019A0">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申报情形</w:t>
            </w:r>
          </w:p>
        </w:tc>
        <w:tc>
          <w:tcPr>
            <w:tcW w:w="1413" w:type="pct"/>
            <w:gridSpan w:val="2"/>
            <w:noWrap w:val="0"/>
            <w:vAlign w:val="center"/>
          </w:tcPr>
          <w:p w14:paraId="2AA1DEC9">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首次申报项目</w:t>
            </w:r>
          </w:p>
          <w:p w14:paraId="59D92E63">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color w:val="auto"/>
                <w:szCs w:val="21"/>
              </w:rPr>
              <w:t>□不予批准后再次申报项目</w:t>
            </w:r>
          </w:p>
          <w:p w14:paraId="77440190">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color w:val="auto"/>
                <w:szCs w:val="21"/>
              </w:rPr>
              <w:t>□超五年重新审核项目</w:t>
            </w:r>
          </w:p>
          <w:p w14:paraId="7DD245CF">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color w:val="auto"/>
                <w:szCs w:val="21"/>
              </w:rPr>
              <w:t>□重大变动重新报批项目</w:t>
            </w:r>
          </w:p>
        </w:tc>
      </w:tr>
      <w:tr w14:paraId="312DE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1" w:hRule="atLeast"/>
        </w:trPr>
        <w:tc>
          <w:tcPr>
            <w:tcW w:w="1033" w:type="pct"/>
            <w:noWrap w:val="0"/>
            <w:tcMar>
              <w:top w:w="16" w:type="dxa"/>
              <w:left w:w="16" w:type="dxa"/>
              <w:right w:w="16" w:type="dxa"/>
            </w:tcMar>
            <w:vAlign w:val="center"/>
          </w:tcPr>
          <w:p w14:paraId="15C8F515">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项目审批（核准</w:t>
            </w:r>
            <w:r>
              <w:rPr>
                <w:rFonts w:hint="default" w:ascii="宋体" w:hAnsi="宋体" w:cs="宋体"/>
                <w:color w:val="auto"/>
                <w:szCs w:val="21"/>
              </w:rPr>
              <w:t>/</w:t>
            </w:r>
          </w:p>
          <w:p w14:paraId="1B94573B">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备案）部门（选填）</w:t>
            </w:r>
          </w:p>
        </w:tc>
        <w:tc>
          <w:tcPr>
            <w:tcW w:w="1456" w:type="pct"/>
            <w:noWrap w:val="0"/>
            <w:vAlign w:val="center"/>
          </w:tcPr>
          <w:p w14:paraId="6ABA6673">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color w:val="auto"/>
                <w:szCs w:val="21"/>
                <w:highlight w:val="none"/>
              </w:rPr>
              <w:t>江阴市</w:t>
            </w:r>
            <w:r>
              <w:rPr>
                <w:rFonts w:hint="eastAsia"/>
                <w:color w:val="auto"/>
                <w:szCs w:val="21"/>
                <w:highlight w:val="none"/>
                <w:lang w:val="en-US" w:eastAsia="zh-CN"/>
              </w:rPr>
              <w:t>数据</w:t>
            </w:r>
            <w:r>
              <w:rPr>
                <w:rFonts w:hint="eastAsia"/>
                <w:color w:val="auto"/>
                <w:szCs w:val="21"/>
                <w:highlight w:val="none"/>
              </w:rPr>
              <w:t>局</w:t>
            </w:r>
          </w:p>
        </w:tc>
        <w:tc>
          <w:tcPr>
            <w:tcW w:w="1096" w:type="pct"/>
            <w:noWrap w:val="0"/>
            <w:vAlign w:val="center"/>
          </w:tcPr>
          <w:p w14:paraId="18B89BCD">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项目审批（核准</w:t>
            </w:r>
            <w:r>
              <w:rPr>
                <w:rFonts w:hint="default" w:ascii="宋体" w:hAnsi="宋体" w:cs="宋体"/>
                <w:color w:val="auto"/>
                <w:szCs w:val="21"/>
              </w:rPr>
              <w:t>/</w:t>
            </w:r>
          </w:p>
          <w:p w14:paraId="772040C8">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备案）文号（选填）</w:t>
            </w:r>
          </w:p>
        </w:tc>
        <w:tc>
          <w:tcPr>
            <w:tcW w:w="1413" w:type="pct"/>
            <w:gridSpan w:val="2"/>
            <w:noWrap w:val="0"/>
            <w:vAlign w:val="center"/>
          </w:tcPr>
          <w:p w14:paraId="1074CB1F">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color w:val="auto"/>
                <w:szCs w:val="21"/>
                <w:highlight w:val="none"/>
                <w:lang w:val="en-US" w:eastAsia="zh-CN"/>
              </w:rPr>
              <w:t>澄数投备</w:t>
            </w:r>
            <w:r>
              <w:rPr>
                <w:rFonts w:hint="eastAsia"/>
                <w:color w:val="auto"/>
                <w:szCs w:val="21"/>
                <w:highlight w:val="none"/>
              </w:rPr>
              <w:t>〔202</w:t>
            </w:r>
            <w:r>
              <w:rPr>
                <w:rFonts w:hint="eastAsia"/>
                <w:color w:val="auto"/>
                <w:szCs w:val="21"/>
                <w:highlight w:val="none"/>
                <w:lang w:val="en-US" w:eastAsia="zh-CN"/>
              </w:rPr>
              <w:t>6</w:t>
            </w:r>
            <w:r>
              <w:rPr>
                <w:rFonts w:hint="eastAsia"/>
                <w:color w:val="auto"/>
                <w:szCs w:val="21"/>
                <w:highlight w:val="none"/>
              </w:rPr>
              <w:t>〕</w:t>
            </w:r>
            <w:r>
              <w:rPr>
                <w:rFonts w:hint="eastAsia"/>
                <w:color w:val="auto"/>
                <w:szCs w:val="21"/>
                <w:highlight w:val="none"/>
                <w:lang w:val="en-US" w:eastAsia="zh-CN"/>
              </w:rPr>
              <w:t>22</w:t>
            </w:r>
            <w:r>
              <w:rPr>
                <w:rFonts w:hint="eastAsia"/>
                <w:color w:val="auto"/>
                <w:szCs w:val="21"/>
                <w:highlight w:val="none"/>
              </w:rPr>
              <w:t>号</w:t>
            </w:r>
          </w:p>
        </w:tc>
      </w:tr>
      <w:tr w14:paraId="413B2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33" w:type="pct"/>
            <w:noWrap w:val="0"/>
            <w:tcMar>
              <w:top w:w="16" w:type="dxa"/>
              <w:left w:w="16" w:type="dxa"/>
              <w:right w:w="16" w:type="dxa"/>
            </w:tcMar>
            <w:vAlign w:val="center"/>
          </w:tcPr>
          <w:p w14:paraId="515E9203">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总投资（万元）</w:t>
            </w:r>
          </w:p>
        </w:tc>
        <w:tc>
          <w:tcPr>
            <w:tcW w:w="1456" w:type="pct"/>
            <w:noWrap w:val="0"/>
            <w:vAlign w:val="center"/>
          </w:tcPr>
          <w:p w14:paraId="35C786F2">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highlight w:val="none"/>
                <w:lang w:val="en-US"/>
              </w:rPr>
            </w:pPr>
            <w:r>
              <w:rPr>
                <w:rFonts w:hint="eastAsia" w:eastAsia="宋体"/>
                <w:color w:val="auto"/>
                <w:szCs w:val="21"/>
                <w:highlight w:val="none"/>
                <w:lang w:val="en-US" w:eastAsia="zh-CN"/>
              </w:rPr>
              <w:t>284.63</w:t>
            </w:r>
          </w:p>
        </w:tc>
        <w:tc>
          <w:tcPr>
            <w:tcW w:w="1096" w:type="pct"/>
            <w:noWrap w:val="0"/>
            <w:tcMar>
              <w:top w:w="16" w:type="dxa"/>
              <w:left w:w="16" w:type="dxa"/>
              <w:right w:w="16" w:type="dxa"/>
            </w:tcMar>
            <w:vAlign w:val="center"/>
          </w:tcPr>
          <w:p w14:paraId="5C18D50F">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环保投资（万元）</w:t>
            </w:r>
          </w:p>
        </w:tc>
        <w:tc>
          <w:tcPr>
            <w:tcW w:w="1413" w:type="pct"/>
            <w:gridSpan w:val="2"/>
            <w:noWrap w:val="0"/>
            <w:vAlign w:val="center"/>
          </w:tcPr>
          <w:p w14:paraId="6AF22581">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highlight w:val="none"/>
                <w:lang w:val="en-US"/>
              </w:rPr>
            </w:pPr>
            <w:r>
              <w:rPr>
                <w:rFonts w:hint="eastAsia"/>
                <w:color w:val="auto"/>
                <w:szCs w:val="21"/>
                <w:highlight w:val="none"/>
                <w:lang w:val="en-US" w:eastAsia="zh-CN"/>
              </w:rPr>
              <w:t>25</w:t>
            </w:r>
          </w:p>
        </w:tc>
      </w:tr>
      <w:tr w14:paraId="68C81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033" w:type="pct"/>
            <w:noWrap w:val="0"/>
            <w:tcMar>
              <w:top w:w="16" w:type="dxa"/>
              <w:left w:w="16" w:type="dxa"/>
              <w:right w:w="16" w:type="dxa"/>
            </w:tcMar>
            <w:vAlign w:val="center"/>
          </w:tcPr>
          <w:p w14:paraId="279EC8ED">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环保投资占比（</w:t>
            </w:r>
            <w:r>
              <w:rPr>
                <w:rFonts w:hint="default" w:ascii="Times New Roman" w:hAnsi="Times New Roman" w:cs="Times New Roman"/>
                <w:color w:val="auto"/>
                <w:szCs w:val="21"/>
              </w:rPr>
              <w:t>%</w:t>
            </w:r>
            <w:r>
              <w:rPr>
                <w:rFonts w:hint="eastAsia" w:ascii="宋体" w:hAnsi="宋体" w:cs="宋体"/>
                <w:color w:val="auto"/>
                <w:szCs w:val="21"/>
              </w:rPr>
              <w:t>）</w:t>
            </w:r>
          </w:p>
        </w:tc>
        <w:tc>
          <w:tcPr>
            <w:tcW w:w="1456" w:type="pct"/>
            <w:noWrap w:val="0"/>
            <w:vAlign w:val="center"/>
          </w:tcPr>
          <w:p w14:paraId="01275FCC">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highlight w:val="none"/>
                <w:lang w:val="en-US"/>
              </w:rPr>
            </w:pPr>
            <w:r>
              <w:rPr>
                <w:rFonts w:hint="eastAsia"/>
                <w:color w:val="auto"/>
                <w:szCs w:val="21"/>
                <w:highlight w:val="none"/>
                <w:lang w:val="en-US" w:eastAsia="zh-CN"/>
              </w:rPr>
              <w:t>8.</w:t>
            </w:r>
            <w:r>
              <w:rPr>
                <w:rFonts w:hint="eastAsia" w:eastAsia="宋体"/>
                <w:color w:val="auto"/>
                <w:szCs w:val="21"/>
                <w:highlight w:val="none"/>
                <w:lang w:val="en-US" w:eastAsia="zh-CN"/>
              </w:rPr>
              <w:t>8</w:t>
            </w:r>
          </w:p>
        </w:tc>
        <w:tc>
          <w:tcPr>
            <w:tcW w:w="1096" w:type="pct"/>
            <w:noWrap w:val="0"/>
            <w:tcMar>
              <w:top w:w="16" w:type="dxa"/>
              <w:left w:w="16" w:type="dxa"/>
              <w:right w:w="16" w:type="dxa"/>
            </w:tcMar>
            <w:vAlign w:val="center"/>
          </w:tcPr>
          <w:p w14:paraId="12A6F707">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施工工期</w:t>
            </w:r>
          </w:p>
        </w:tc>
        <w:tc>
          <w:tcPr>
            <w:tcW w:w="1413" w:type="pct"/>
            <w:gridSpan w:val="2"/>
            <w:noWrap w:val="0"/>
            <w:vAlign w:val="center"/>
          </w:tcPr>
          <w:p w14:paraId="36CE49F4">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lang w:val="en-US" w:eastAsia="zh-CN"/>
              </w:rPr>
              <w:t>个月</w:t>
            </w:r>
          </w:p>
        </w:tc>
      </w:tr>
      <w:tr w14:paraId="29AD6A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33" w:type="pct"/>
            <w:noWrap w:val="0"/>
            <w:tcMar>
              <w:top w:w="16" w:type="dxa"/>
              <w:left w:w="16" w:type="dxa"/>
              <w:right w:w="16" w:type="dxa"/>
            </w:tcMar>
            <w:vAlign w:val="center"/>
          </w:tcPr>
          <w:p w14:paraId="51F6269E">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是否开工建设</w:t>
            </w:r>
          </w:p>
        </w:tc>
        <w:tc>
          <w:tcPr>
            <w:tcW w:w="3966" w:type="pct"/>
            <w:gridSpan w:val="4"/>
            <w:noWrap w:val="0"/>
            <w:vAlign w:val="center"/>
          </w:tcPr>
          <w:p w14:paraId="40FF5CAE">
            <w:pPr>
              <w:keepNext w:val="0"/>
              <w:keepLines w:val="0"/>
              <w:suppressLineNumbers w:val="0"/>
              <w:adjustRightInd w:val="0"/>
              <w:snapToGrid w:val="0"/>
              <w:spacing w:before="0" w:beforeAutospacing="0" w:after="0" w:afterAutospacing="0"/>
              <w:ind w:left="0" w:right="0" w:firstLine="105"/>
              <w:jc w:val="left"/>
              <w:rPr>
                <w:rFonts w:hint="default"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否</w:t>
            </w:r>
          </w:p>
          <w:p w14:paraId="35986B6C">
            <w:pPr>
              <w:keepNext w:val="0"/>
              <w:keepLines w:val="0"/>
              <w:suppressLineNumbers w:val="0"/>
              <w:adjustRightInd w:val="0"/>
              <w:snapToGrid w:val="0"/>
              <w:spacing w:before="0" w:beforeAutospacing="0" w:after="0" w:afterAutospacing="0"/>
              <w:ind w:left="0" w:right="0" w:firstLine="92"/>
              <w:jc w:val="left"/>
              <w:rPr>
                <w:rFonts w:hint="default" w:ascii="宋体" w:hAnsi="宋体" w:cs="宋体"/>
                <w:color w:val="auto"/>
                <w:szCs w:val="21"/>
              </w:rPr>
            </w:pPr>
            <w:r>
              <w:rPr>
                <w:rFonts w:hint="eastAsia" w:ascii="宋体" w:hAnsi="宋体" w:cs="宋体"/>
                <w:color w:val="auto"/>
                <w:szCs w:val="21"/>
              </w:rPr>
              <w:t>□是：</w:t>
            </w:r>
            <w:r>
              <w:rPr>
                <w:rFonts w:hint="default" w:ascii="宋体" w:hAnsi="宋体" w:cs="宋体"/>
                <w:color w:val="auto"/>
                <w:szCs w:val="21"/>
                <w:u w:val="single"/>
              </w:rPr>
              <w:t xml:space="preserve"> </w:t>
            </w:r>
            <w:r>
              <w:rPr>
                <w:rFonts w:hint="eastAsia" w:ascii="宋体" w:hAnsi="宋体" w:cs="宋体"/>
                <w:color w:val="auto"/>
                <w:szCs w:val="21"/>
                <w:u w:val="single"/>
              </w:rPr>
              <w:t xml:space="preserve">                     </w:t>
            </w:r>
            <w:r>
              <w:rPr>
                <w:rFonts w:hint="default" w:ascii="宋体" w:hAnsi="宋体" w:cs="宋体"/>
                <w:color w:val="auto"/>
                <w:szCs w:val="21"/>
                <w:u w:val="single"/>
              </w:rPr>
              <w:t xml:space="preserve">       </w:t>
            </w:r>
          </w:p>
        </w:tc>
      </w:tr>
      <w:tr w14:paraId="2B6C0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033" w:type="pct"/>
            <w:noWrap w:val="0"/>
            <w:tcMar>
              <w:top w:w="16" w:type="dxa"/>
              <w:left w:w="16" w:type="dxa"/>
              <w:right w:w="16" w:type="dxa"/>
            </w:tcMar>
            <w:vAlign w:val="center"/>
          </w:tcPr>
          <w:p w14:paraId="26E46F75">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专项评价设置情况</w:t>
            </w:r>
          </w:p>
        </w:tc>
        <w:tc>
          <w:tcPr>
            <w:tcW w:w="3966" w:type="pct"/>
            <w:gridSpan w:val="4"/>
            <w:noWrap w:val="0"/>
            <w:tcMar>
              <w:top w:w="16" w:type="dxa"/>
              <w:left w:w="16" w:type="dxa"/>
              <w:right w:w="16" w:type="dxa"/>
            </w:tcMar>
            <w:vAlign w:val="center"/>
          </w:tcPr>
          <w:p w14:paraId="27AD61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lang w:eastAsia="zh-CN"/>
              </w:rPr>
              <w:t>本项目行业类别涉及</w:t>
            </w:r>
            <w:r>
              <w:rPr>
                <w:rFonts w:hint="default" w:ascii="Times New Roman" w:hAnsi="Times New Roman" w:eastAsia="宋体" w:cs="Times New Roman"/>
                <w:color w:val="auto"/>
                <w:szCs w:val="21"/>
                <w:highlight w:val="none"/>
                <w:lang w:val="en-US" w:eastAsia="zh-CN"/>
              </w:rPr>
              <w:t>交通运输业中的液体化工码头和装卸搬运和仓储业中的危险品仓储两个</w:t>
            </w:r>
            <w:r>
              <w:rPr>
                <w:rFonts w:hint="default" w:ascii="Times New Roman" w:hAnsi="Times New Roman" w:eastAsia="宋体" w:cs="Times New Roman"/>
                <w:color w:val="auto"/>
                <w:szCs w:val="21"/>
                <w:highlight w:val="none"/>
                <w:lang w:eastAsia="zh-CN"/>
              </w:rPr>
              <w:t>类别。</w:t>
            </w:r>
            <w:r>
              <w:rPr>
                <w:rFonts w:hint="default" w:ascii="Times New Roman" w:hAnsi="Times New Roman" w:eastAsia="宋体" w:cs="Times New Roman"/>
                <w:color w:val="auto"/>
                <w:szCs w:val="21"/>
                <w:highlight w:val="none"/>
                <w:lang w:val="en-US" w:eastAsia="zh-CN"/>
              </w:rPr>
              <w:t>其中，液体化工码头</w:t>
            </w:r>
            <w:r>
              <w:rPr>
                <w:rFonts w:hint="default" w:ascii="Times New Roman" w:hAnsi="Times New Roman" w:eastAsia="宋体" w:cs="Times New Roman"/>
                <w:color w:val="auto"/>
                <w:szCs w:val="21"/>
                <w:highlight w:val="none"/>
                <w:lang w:eastAsia="zh-CN"/>
              </w:rPr>
              <w:t>属于</w:t>
            </w:r>
            <w:r>
              <w:rPr>
                <w:rFonts w:hint="default" w:ascii="Times New Roman" w:hAnsi="Times New Roman" w:eastAsia="宋体" w:cs="Times New Roman"/>
                <w:color w:val="auto"/>
                <w:szCs w:val="21"/>
                <w:highlight w:val="none"/>
                <w:lang w:val="en-US" w:eastAsia="zh-CN"/>
              </w:rPr>
              <w:t>以生态影响为主的建设项目，危险品仓储</w:t>
            </w:r>
            <w:r>
              <w:rPr>
                <w:rFonts w:hint="default" w:ascii="Times New Roman" w:hAnsi="Times New Roman" w:eastAsia="宋体" w:cs="Times New Roman"/>
                <w:color w:val="auto"/>
                <w:szCs w:val="21"/>
                <w:highlight w:val="none"/>
                <w:lang w:eastAsia="zh-CN"/>
              </w:rPr>
              <w:t>属于</w:t>
            </w:r>
            <w:r>
              <w:rPr>
                <w:rFonts w:hint="default" w:ascii="Times New Roman" w:hAnsi="Times New Roman" w:eastAsia="宋体" w:cs="Times New Roman"/>
                <w:color w:val="auto"/>
                <w:szCs w:val="21"/>
                <w:highlight w:val="none"/>
                <w:lang w:val="en-US" w:eastAsia="zh-CN"/>
              </w:rPr>
              <w:t>以</w:t>
            </w:r>
            <w:r>
              <w:rPr>
                <w:rFonts w:hint="default" w:ascii="Times New Roman" w:hAnsi="Times New Roman" w:eastAsia="宋体" w:cs="Times New Roman"/>
                <w:color w:val="auto"/>
                <w:szCs w:val="21"/>
                <w:highlight w:val="none"/>
                <w:lang w:eastAsia="zh-CN"/>
              </w:rPr>
              <w:t>污染影响</w:t>
            </w:r>
            <w:r>
              <w:rPr>
                <w:rFonts w:hint="default" w:ascii="Times New Roman" w:hAnsi="Times New Roman" w:eastAsia="宋体" w:cs="Times New Roman"/>
                <w:color w:val="auto"/>
                <w:szCs w:val="21"/>
                <w:highlight w:val="none"/>
                <w:lang w:val="en-US" w:eastAsia="zh-CN"/>
              </w:rPr>
              <w:t>为主的建设项目，</w:t>
            </w:r>
            <w:r>
              <w:rPr>
                <w:rFonts w:hint="default" w:ascii="Times New Roman" w:hAnsi="Times New Roman" w:eastAsia="宋体" w:cs="Times New Roman"/>
                <w:color w:val="auto"/>
                <w:szCs w:val="21"/>
                <w:highlight w:val="none"/>
                <w:lang w:eastAsia="zh-CN"/>
              </w:rPr>
              <w:t>根据《建设项目环境影响报告表编制技术指南（污染影响类）（试行）》，同时涉及污染和生态影响的建设项目，填写《建设项目环境影响报告表（生态影响类）》。</w:t>
            </w:r>
          </w:p>
          <w:p w14:paraId="0B7BB18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eastAsia="zh-CN"/>
              </w:rPr>
              <w:t>对照《建设项目环境影响报告表编制技术指南（生态影响类）（试行）》</w:t>
            </w:r>
            <w:r>
              <w:rPr>
                <w:rFonts w:hint="default" w:ascii="Times New Roman" w:hAnsi="Times New Roman" w:eastAsia="宋体" w:cs="Times New Roman"/>
                <w:color w:val="auto"/>
                <w:szCs w:val="21"/>
                <w:highlight w:val="none"/>
                <w:lang w:val="en-US" w:eastAsia="zh-CN"/>
              </w:rPr>
              <w:t>中</w:t>
            </w:r>
            <w:r>
              <w:rPr>
                <w:rFonts w:hint="default" w:ascii="Times New Roman" w:hAnsi="Times New Roman" w:eastAsia="宋体" w:cs="Times New Roman"/>
                <w:color w:val="auto"/>
                <w:szCs w:val="21"/>
                <w:highlight w:val="none"/>
                <w:lang w:eastAsia="zh-CN"/>
              </w:rPr>
              <w:t>专项评价设置原则，本项目属于液体化工码头，应设置大气专项评价</w:t>
            </w:r>
            <w:r>
              <w:rPr>
                <w:rFonts w:hint="default" w:ascii="Times New Roman" w:hAnsi="Times New Roman" w:eastAsia="宋体" w:cs="Times New Roman"/>
                <w:color w:val="auto"/>
                <w:szCs w:val="21"/>
                <w:highlight w:val="none"/>
                <w:lang w:val="en-US" w:eastAsia="zh-CN"/>
              </w:rPr>
              <w:t>和</w:t>
            </w:r>
            <w:r>
              <w:rPr>
                <w:rFonts w:hint="default" w:ascii="Times New Roman" w:hAnsi="Times New Roman" w:eastAsia="宋体" w:cs="Times New Roman"/>
                <w:color w:val="auto"/>
                <w:szCs w:val="21"/>
                <w:highlight w:val="none"/>
                <w:lang w:eastAsia="zh-CN"/>
              </w:rPr>
              <w:t>环境风险专项评价。</w:t>
            </w:r>
            <w:r>
              <w:rPr>
                <w:rFonts w:hint="default" w:ascii="Times New Roman" w:hAnsi="Times New Roman" w:eastAsia="宋体" w:cs="Times New Roman"/>
                <w:color w:val="auto"/>
                <w:szCs w:val="21"/>
                <w:highlight w:val="none"/>
                <w:lang w:val="en-US" w:eastAsia="zh-CN"/>
              </w:rPr>
              <w:t>具体设置依据见表1-1。</w:t>
            </w:r>
          </w:p>
          <w:p w14:paraId="4F99AC13">
            <w:pPr>
              <w:keepNext w:val="0"/>
              <w:keepLines w:val="0"/>
              <w:widowControl/>
              <w:suppressLineNumbers w:val="0"/>
              <w:adjustRightInd w:val="0"/>
              <w:snapToGrid w:val="0"/>
              <w:spacing w:before="0" w:beforeAutospacing="0" w:after="0" w:afterAutospacing="0"/>
              <w:ind w:left="0" w:right="0"/>
              <w:jc w:val="center"/>
              <w:rPr>
                <w:rFonts w:hint="eastAsia"/>
                <w:b/>
                <w:bCs w:val="0"/>
                <w:color w:val="auto"/>
                <w:szCs w:val="21"/>
              </w:rPr>
            </w:pPr>
          </w:p>
          <w:p w14:paraId="2F901F91">
            <w:pPr>
              <w:keepNext w:val="0"/>
              <w:keepLines w:val="0"/>
              <w:widowControl/>
              <w:suppressLineNumbers w:val="0"/>
              <w:adjustRightInd w:val="0"/>
              <w:snapToGrid w:val="0"/>
              <w:spacing w:before="0" w:beforeAutospacing="0" w:after="0" w:afterAutospacing="0"/>
              <w:ind w:left="0" w:right="0"/>
              <w:jc w:val="center"/>
              <w:rPr>
                <w:rFonts w:hint="eastAsia"/>
                <w:b/>
                <w:bCs w:val="0"/>
                <w:color w:val="auto"/>
                <w:szCs w:val="21"/>
              </w:rPr>
            </w:pPr>
          </w:p>
          <w:p w14:paraId="261E61DB">
            <w:pPr>
              <w:keepNext w:val="0"/>
              <w:keepLines w:val="0"/>
              <w:widowControl/>
              <w:suppressLineNumbers w:val="0"/>
              <w:adjustRightInd w:val="0"/>
              <w:snapToGrid w:val="0"/>
              <w:spacing w:before="0" w:beforeAutospacing="0" w:after="0" w:afterAutospacing="0"/>
              <w:ind w:left="0" w:right="0"/>
              <w:jc w:val="center"/>
              <w:rPr>
                <w:rFonts w:hint="eastAsia"/>
                <w:b/>
                <w:bCs w:val="0"/>
                <w:color w:val="auto"/>
                <w:szCs w:val="21"/>
              </w:rPr>
            </w:pPr>
          </w:p>
          <w:p w14:paraId="3C4CFCBF">
            <w:pPr>
              <w:keepNext w:val="0"/>
              <w:keepLines w:val="0"/>
              <w:widowControl/>
              <w:suppressLineNumbers w:val="0"/>
              <w:adjustRightInd w:val="0"/>
              <w:snapToGrid w:val="0"/>
              <w:spacing w:before="0" w:beforeAutospacing="0" w:after="0" w:afterAutospacing="0"/>
              <w:ind w:left="0" w:right="0"/>
              <w:jc w:val="center"/>
              <w:rPr>
                <w:rFonts w:hint="default"/>
                <w:b/>
                <w:bCs w:val="0"/>
                <w:color w:val="auto"/>
                <w:szCs w:val="21"/>
              </w:rPr>
            </w:pPr>
            <w:r>
              <w:rPr>
                <w:rFonts w:hint="eastAsia"/>
                <w:b/>
                <w:bCs w:val="0"/>
                <w:color w:val="auto"/>
                <w:szCs w:val="21"/>
              </w:rPr>
              <w:t>表1-1</w:t>
            </w:r>
            <w:r>
              <w:rPr>
                <w:rFonts w:hint="eastAsia"/>
                <w:b/>
                <w:bCs w:val="0"/>
                <w:color w:val="auto"/>
                <w:szCs w:val="21"/>
                <w:lang w:val="en-US" w:eastAsia="zh-CN"/>
              </w:rPr>
              <w:t xml:space="preserve">  </w:t>
            </w:r>
            <w:r>
              <w:rPr>
                <w:rFonts w:hint="eastAsia"/>
                <w:b/>
                <w:bCs w:val="0"/>
                <w:color w:val="auto"/>
                <w:szCs w:val="21"/>
              </w:rPr>
              <w:t>专项评价设置情况</w:t>
            </w:r>
          </w:p>
          <w:tbl>
            <w:tblPr>
              <w:tblStyle w:val="21"/>
              <w:tblW w:w="5000" w:type="pct"/>
              <w:jc w:val="center"/>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Layout w:type="autofit"/>
              <w:tblCellMar>
                <w:top w:w="0" w:type="dxa"/>
                <w:left w:w="28" w:type="dxa"/>
                <w:bottom w:w="0" w:type="dxa"/>
                <w:right w:w="28" w:type="dxa"/>
              </w:tblCellMar>
            </w:tblPr>
            <w:tblGrid>
              <w:gridCol w:w="1040"/>
              <w:gridCol w:w="4541"/>
              <w:gridCol w:w="833"/>
              <w:gridCol w:w="723"/>
            </w:tblGrid>
            <w:tr w14:paraId="064178F0">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29" w:type="pct"/>
                  <w:noWrap w:val="0"/>
                  <w:vAlign w:val="center"/>
                </w:tcPr>
                <w:p w14:paraId="68A26B4D">
                  <w:pPr>
                    <w:keepNext w:val="0"/>
                    <w:keepLines w:val="0"/>
                    <w:widowControl/>
                    <w:suppressLineNumbers w:val="0"/>
                    <w:adjustRightInd w:val="0"/>
                    <w:snapToGrid w:val="0"/>
                    <w:spacing w:before="0" w:beforeAutospacing="0" w:after="0" w:afterAutospacing="0"/>
                    <w:ind w:left="0" w:right="0"/>
                    <w:jc w:val="center"/>
                    <w:rPr>
                      <w:rFonts w:hint="default"/>
                      <w:b/>
                      <w:bCs w:val="0"/>
                      <w:color w:val="auto"/>
                      <w:sz w:val="18"/>
                      <w:szCs w:val="18"/>
                    </w:rPr>
                  </w:pPr>
                  <w:r>
                    <w:rPr>
                      <w:rFonts w:hint="eastAsia"/>
                      <w:b/>
                      <w:bCs w:val="0"/>
                      <w:color w:val="auto"/>
                      <w:sz w:val="18"/>
                      <w:szCs w:val="18"/>
                    </w:rPr>
                    <w:t>专项评价的类别</w:t>
                  </w:r>
                </w:p>
              </w:tc>
              <w:tc>
                <w:tcPr>
                  <w:tcW w:w="3180" w:type="pct"/>
                  <w:noWrap w:val="0"/>
                  <w:vAlign w:val="center"/>
                </w:tcPr>
                <w:p w14:paraId="25260AD4">
                  <w:pPr>
                    <w:keepNext w:val="0"/>
                    <w:keepLines w:val="0"/>
                    <w:widowControl/>
                    <w:suppressLineNumbers w:val="0"/>
                    <w:adjustRightInd w:val="0"/>
                    <w:snapToGrid w:val="0"/>
                    <w:spacing w:before="0" w:beforeAutospacing="0" w:after="0" w:afterAutospacing="0"/>
                    <w:ind w:left="0" w:right="0"/>
                    <w:jc w:val="center"/>
                    <w:rPr>
                      <w:rFonts w:hint="default" w:eastAsia="宋体"/>
                      <w:b/>
                      <w:bCs w:val="0"/>
                      <w:color w:val="auto"/>
                      <w:sz w:val="18"/>
                      <w:szCs w:val="18"/>
                      <w:lang w:val="en-US" w:eastAsia="zh-CN"/>
                    </w:rPr>
                  </w:pPr>
                  <w:r>
                    <w:rPr>
                      <w:rFonts w:hint="eastAsia"/>
                      <w:b/>
                      <w:bCs w:val="0"/>
                      <w:color w:val="auto"/>
                      <w:sz w:val="18"/>
                      <w:szCs w:val="18"/>
                      <w:lang w:val="en-US" w:eastAsia="zh-CN"/>
                    </w:rPr>
                    <w:t>涉及项目类别</w:t>
                  </w:r>
                </w:p>
              </w:tc>
              <w:tc>
                <w:tcPr>
                  <w:tcW w:w="583" w:type="pct"/>
                  <w:noWrap w:val="0"/>
                  <w:vAlign w:val="center"/>
                </w:tcPr>
                <w:p w14:paraId="42E6DE4B">
                  <w:pPr>
                    <w:keepNext w:val="0"/>
                    <w:keepLines w:val="0"/>
                    <w:widowControl/>
                    <w:suppressLineNumbers w:val="0"/>
                    <w:adjustRightInd w:val="0"/>
                    <w:snapToGrid w:val="0"/>
                    <w:spacing w:before="0" w:beforeAutospacing="0" w:after="0" w:afterAutospacing="0"/>
                    <w:ind w:left="0" w:right="0"/>
                    <w:jc w:val="center"/>
                    <w:rPr>
                      <w:rFonts w:hint="default" w:eastAsia="宋体"/>
                      <w:b/>
                      <w:bCs w:val="0"/>
                      <w:color w:val="auto"/>
                      <w:sz w:val="18"/>
                      <w:szCs w:val="18"/>
                      <w:lang w:val="en-US" w:eastAsia="zh-CN"/>
                    </w:rPr>
                  </w:pPr>
                  <w:r>
                    <w:rPr>
                      <w:rFonts w:hint="eastAsia"/>
                      <w:b/>
                      <w:bCs w:val="0"/>
                      <w:color w:val="auto"/>
                      <w:sz w:val="18"/>
                      <w:szCs w:val="18"/>
                      <w:lang w:val="en-US" w:eastAsia="zh-CN"/>
                    </w:rPr>
                    <w:t>本项目情况</w:t>
                  </w:r>
                </w:p>
              </w:tc>
              <w:tc>
                <w:tcPr>
                  <w:tcW w:w="506" w:type="pct"/>
                  <w:tcBorders>
                    <w:right w:val="nil"/>
                  </w:tcBorders>
                  <w:noWrap w:val="0"/>
                  <w:vAlign w:val="center"/>
                </w:tcPr>
                <w:p w14:paraId="69069F2B">
                  <w:pPr>
                    <w:keepNext w:val="0"/>
                    <w:keepLines w:val="0"/>
                    <w:widowControl/>
                    <w:suppressLineNumbers w:val="0"/>
                    <w:adjustRightInd w:val="0"/>
                    <w:snapToGrid w:val="0"/>
                    <w:spacing w:before="0" w:beforeAutospacing="0" w:after="0" w:afterAutospacing="0"/>
                    <w:ind w:left="0" w:right="0"/>
                    <w:jc w:val="center"/>
                    <w:rPr>
                      <w:rFonts w:hint="eastAsia"/>
                      <w:b/>
                      <w:bCs w:val="0"/>
                      <w:color w:val="auto"/>
                      <w:sz w:val="18"/>
                      <w:szCs w:val="18"/>
                    </w:rPr>
                  </w:pPr>
                  <w:r>
                    <w:rPr>
                      <w:rFonts w:hint="eastAsia"/>
                      <w:b/>
                      <w:bCs w:val="0"/>
                      <w:color w:val="auto"/>
                      <w:sz w:val="18"/>
                      <w:szCs w:val="18"/>
                    </w:rPr>
                    <w:t>是否设置专项</w:t>
                  </w:r>
                </w:p>
              </w:tc>
            </w:tr>
            <w:tr w14:paraId="0802DB08">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29" w:type="pct"/>
                  <w:noWrap w:val="0"/>
                  <w:vAlign w:val="center"/>
                </w:tcPr>
                <w:p w14:paraId="5B851605">
                  <w:pPr>
                    <w:pStyle w:val="4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地表水</w:t>
                  </w:r>
                </w:p>
              </w:tc>
              <w:tc>
                <w:tcPr>
                  <w:tcW w:w="3180" w:type="pct"/>
                  <w:noWrap w:val="0"/>
                  <w:vAlign w:val="center"/>
                </w:tcPr>
                <w:p w14:paraId="1F1CCFD9">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Cs/>
                      <w:color w:val="auto"/>
                      <w:sz w:val="18"/>
                      <w:szCs w:val="18"/>
                      <w:lang w:bidi="ar"/>
                    </w:rPr>
                  </w:pPr>
                  <w:r>
                    <w:rPr>
                      <w:rFonts w:hint="eastAsia"/>
                      <w:bCs/>
                      <w:color w:val="auto"/>
                      <w:sz w:val="18"/>
                      <w:szCs w:val="18"/>
                      <w:lang w:bidi="ar"/>
                    </w:rPr>
                    <w:t>水力发电：引水式发电、涉及调峰发电的项目；</w:t>
                  </w:r>
                </w:p>
                <w:p w14:paraId="05CE8021">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Cs/>
                      <w:color w:val="auto"/>
                      <w:sz w:val="18"/>
                      <w:szCs w:val="18"/>
                      <w:lang w:bidi="ar"/>
                    </w:rPr>
                  </w:pPr>
                  <w:r>
                    <w:rPr>
                      <w:rFonts w:hint="eastAsia"/>
                      <w:bCs/>
                      <w:color w:val="auto"/>
                      <w:sz w:val="18"/>
                      <w:szCs w:val="18"/>
                      <w:lang w:bidi="ar"/>
                    </w:rPr>
                    <w:t>人工湖、人工湿地：全部；</w:t>
                  </w:r>
                </w:p>
                <w:p w14:paraId="03CD9DB5">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Cs/>
                      <w:color w:val="auto"/>
                      <w:sz w:val="18"/>
                      <w:szCs w:val="18"/>
                      <w:lang w:bidi="ar"/>
                    </w:rPr>
                  </w:pPr>
                  <w:r>
                    <w:rPr>
                      <w:rFonts w:hint="eastAsia"/>
                      <w:bCs/>
                      <w:color w:val="auto"/>
                      <w:sz w:val="18"/>
                      <w:szCs w:val="18"/>
                      <w:lang w:bidi="ar"/>
                    </w:rPr>
                    <w:t>水库：全部；</w:t>
                  </w:r>
                </w:p>
                <w:p w14:paraId="34423857">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Cs/>
                      <w:color w:val="auto"/>
                      <w:sz w:val="18"/>
                      <w:szCs w:val="18"/>
                      <w:lang w:bidi="ar"/>
                    </w:rPr>
                  </w:pPr>
                  <w:r>
                    <w:rPr>
                      <w:rFonts w:hint="eastAsia"/>
                      <w:bCs/>
                      <w:color w:val="auto"/>
                      <w:sz w:val="18"/>
                      <w:szCs w:val="18"/>
                      <w:lang w:bidi="ar"/>
                    </w:rPr>
                    <w:t>引水工程：全部（配套的管线工程等除外）；</w:t>
                  </w:r>
                </w:p>
                <w:p w14:paraId="7EA5D8B4">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Cs/>
                      <w:color w:val="auto"/>
                      <w:sz w:val="18"/>
                      <w:szCs w:val="18"/>
                      <w:lang w:bidi="ar"/>
                    </w:rPr>
                  </w:pPr>
                  <w:r>
                    <w:rPr>
                      <w:rFonts w:hint="eastAsia"/>
                      <w:bCs/>
                      <w:color w:val="auto"/>
                      <w:sz w:val="18"/>
                      <w:szCs w:val="18"/>
                      <w:lang w:bidi="ar"/>
                    </w:rPr>
                    <w:t>防洪除涝工程：包含水库的项目；</w:t>
                  </w:r>
                </w:p>
                <w:p w14:paraId="6C40BB39">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default"/>
                      <w:bCs/>
                      <w:color w:val="auto"/>
                      <w:sz w:val="18"/>
                      <w:szCs w:val="18"/>
                      <w:lang w:bidi="ar"/>
                    </w:rPr>
                  </w:pPr>
                  <w:r>
                    <w:rPr>
                      <w:rFonts w:hint="eastAsia"/>
                      <w:bCs/>
                      <w:color w:val="auto"/>
                      <w:sz w:val="18"/>
                      <w:szCs w:val="18"/>
                      <w:lang w:bidi="ar"/>
                    </w:rPr>
                    <w:t>河湖整治：涉及清淤且底泥存在重金属污染的项目</w:t>
                  </w:r>
                </w:p>
              </w:tc>
              <w:tc>
                <w:tcPr>
                  <w:tcW w:w="583" w:type="pct"/>
                  <w:noWrap w:val="0"/>
                  <w:vAlign w:val="center"/>
                </w:tcPr>
                <w:p w14:paraId="48EBC059">
                  <w:pPr>
                    <w:keepNext w:val="0"/>
                    <w:keepLines w:val="0"/>
                    <w:widowControl/>
                    <w:suppressLineNumbers w:val="0"/>
                    <w:adjustRightInd w:val="0"/>
                    <w:snapToGrid w:val="0"/>
                    <w:spacing w:before="0" w:beforeAutospacing="0" w:after="0" w:afterAutospacing="0"/>
                    <w:ind w:left="0" w:right="0"/>
                    <w:jc w:val="center"/>
                    <w:rPr>
                      <w:rFonts w:hint="eastAsia" w:eastAsia="宋体"/>
                      <w:bCs/>
                      <w:color w:val="auto"/>
                      <w:sz w:val="18"/>
                      <w:szCs w:val="18"/>
                      <w:lang w:val="en-US" w:eastAsia="zh-CN" w:bidi="ar"/>
                    </w:rPr>
                  </w:pPr>
                  <w:r>
                    <w:rPr>
                      <w:rFonts w:hint="eastAsia"/>
                      <w:bCs/>
                      <w:color w:val="auto"/>
                      <w:sz w:val="18"/>
                      <w:szCs w:val="18"/>
                      <w:lang w:val="en-US" w:eastAsia="zh-CN" w:bidi="ar"/>
                    </w:rPr>
                    <w:t>不涉及</w:t>
                  </w:r>
                </w:p>
              </w:tc>
              <w:tc>
                <w:tcPr>
                  <w:tcW w:w="506" w:type="pct"/>
                  <w:tcBorders>
                    <w:right w:val="nil"/>
                  </w:tcBorders>
                  <w:noWrap w:val="0"/>
                  <w:vAlign w:val="center"/>
                </w:tcPr>
                <w:p w14:paraId="75ECFAE4">
                  <w:pPr>
                    <w:keepNext w:val="0"/>
                    <w:keepLines w:val="0"/>
                    <w:widowControl/>
                    <w:suppressLineNumbers w:val="0"/>
                    <w:adjustRightInd w:val="0"/>
                    <w:snapToGrid w:val="0"/>
                    <w:spacing w:before="0" w:beforeAutospacing="0" w:after="0" w:afterAutospacing="0"/>
                    <w:ind w:left="0" w:right="0"/>
                    <w:jc w:val="center"/>
                    <w:rPr>
                      <w:rFonts w:hint="eastAsia"/>
                      <w:bCs/>
                      <w:color w:val="auto"/>
                      <w:sz w:val="18"/>
                      <w:szCs w:val="18"/>
                      <w:lang w:bidi="ar"/>
                    </w:rPr>
                  </w:pPr>
                  <w:r>
                    <w:rPr>
                      <w:rFonts w:hint="eastAsia"/>
                      <w:bCs/>
                      <w:color w:val="auto"/>
                      <w:sz w:val="18"/>
                      <w:szCs w:val="18"/>
                      <w:lang w:bidi="ar"/>
                    </w:rPr>
                    <w:t>否</w:t>
                  </w:r>
                </w:p>
              </w:tc>
            </w:tr>
            <w:tr w14:paraId="58FF7A4A">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29" w:type="pct"/>
                  <w:noWrap w:val="0"/>
                  <w:vAlign w:val="center"/>
                </w:tcPr>
                <w:p w14:paraId="7C0DE7C2">
                  <w:pPr>
                    <w:pStyle w:val="4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地下水</w:t>
                  </w:r>
                </w:p>
              </w:tc>
              <w:tc>
                <w:tcPr>
                  <w:tcW w:w="3180" w:type="pct"/>
                  <w:noWrap w:val="0"/>
                  <w:vAlign w:val="center"/>
                </w:tcPr>
                <w:p w14:paraId="2518FDE4">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Cs/>
                      <w:color w:val="auto"/>
                      <w:sz w:val="18"/>
                      <w:szCs w:val="18"/>
                    </w:rPr>
                  </w:pPr>
                  <w:r>
                    <w:rPr>
                      <w:rFonts w:hint="eastAsia"/>
                      <w:bCs/>
                      <w:color w:val="auto"/>
                      <w:sz w:val="18"/>
                      <w:szCs w:val="18"/>
                    </w:rPr>
                    <w:t>陆地石油和天然气开采：全部；</w:t>
                  </w:r>
                </w:p>
                <w:p w14:paraId="6CF7FB70">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Cs/>
                      <w:color w:val="auto"/>
                      <w:sz w:val="18"/>
                      <w:szCs w:val="18"/>
                    </w:rPr>
                  </w:pPr>
                  <w:r>
                    <w:rPr>
                      <w:rFonts w:hint="eastAsia"/>
                      <w:bCs/>
                      <w:color w:val="auto"/>
                      <w:sz w:val="18"/>
                      <w:szCs w:val="18"/>
                    </w:rPr>
                    <w:t>地下水（含矿泉水）开采：全部；</w:t>
                  </w:r>
                </w:p>
                <w:p w14:paraId="1E2B91FD">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default"/>
                      <w:bCs/>
                      <w:color w:val="auto"/>
                      <w:sz w:val="18"/>
                      <w:szCs w:val="18"/>
                    </w:rPr>
                  </w:pPr>
                  <w:r>
                    <w:rPr>
                      <w:rFonts w:hint="eastAsia"/>
                      <w:bCs/>
                      <w:color w:val="auto"/>
                      <w:sz w:val="18"/>
                      <w:szCs w:val="18"/>
                    </w:rPr>
                    <w:t>水利、水电、交通等：含穿越可溶岩地层隧道的项目</w:t>
                  </w:r>
                </w:p>
              </w:tc>
              <w:tc>
                <w:tcPr>
                  <w:tcW w:w="583" w:type="pct"/>
                  <w:noWrap w:val="0"/>
                  <w:vAlign w:val="center"/>
                </w:tcPr>
                <w:p w14:paraId="6FBBBC70">
                  <w:pPr>
                    <w:keepNext w:val="0"/>
                    <w:keepLines w:val="0"/>
                    <w:suppressLineNumbers w:val="0"/>
                    <w:spacing w:before="0" w:beforeAutospacing="0" w:after="0" w:afterAutospacing="0"/>
                    <w:ind w:left="0" w:right="0"/>
                    <w:jc w:val="center"/>
                    <w:rPr>
                      <w:rFonts w:hint="default"/>
                      <w:color w:val="auto"/>
                      <w:sz w:val="18"/>
                      <w:szCs w:val="18"/>
                    </w:rPr>
                  </w:pPr>
                  <w:r>
                    <w:rPr>
                      <w:rFonts w:hint="eastAsia"/>
                      <w:bCs/>
                      <w:color w:val="auto"/>
                      <w:sz w:val="18"/>
                      <w:szCs w:val="18"/>
                      <w:lang w:val="en-US" w:eastAsia="zh-CN" w:bidi="ar"/>
                    </w:rPr>
                    <w:t>不涉及</w:t>
                  </w:r>
                </w:p>
              </w:tc>
              <w:tc>
                <w:tcPr>
                  <w:tcW w:w="506" w:type="pct"/>
                  <w:tcBorders>
                    <w:right w:val="nil"/>
                  </w:tcBorders>
                  <w:noWrap w:val="0"/>
                  <w:vAlign w:val="center"/>
                </w:tcPr>
                <w:p w14:paraId="465A237F">
                  <w:pPr>
                    <w:keepNext w:val="0"/>
                    <w:keepLines w:val="0"/>
                    <w:widowControl/>
                    <w:suppressLineNumbers w:val="0"/>
                    <w:adjustRightInd w:val="0"/>
                    <w:snapToGrid w:val="0"/>
                    <w:spacing w:before="0" w:beforeAutospacing="0" w:after="0" w:afterAutospacing="0"/>
                    <w:ind w:left="0" w:right="0"/>
                    <w:jc w:val="center"/>
                    <w:rPr>
                      <w:rFonts w:hint="eastAsia"/>
                      <w:bCs/>
                      <w:color w:val="auto"/>
                      <w:sz w:val="18"/>
                      <w:szCs w:val="18"/>
                      <w:lang w:bidi="ar"/>
                    </w:rPr>
                  </w:pPr>
                  <w:r>
                    <w:rPr>
                      <w:rFonts w:hint="eastAsia"/>
                      <w:bCs/>
                      <w:color w:val="auto"/>
                      <w:sz w:val="18"/>
                      <w:szCs w:val="18"/>
                      <w:lang w:bidi="ar"/>
                    </w:rPr>
                    <w:t>否</w:t>
                  </w:r>
                </w:p>
              </w:tc>
            </w:tr>
            <w:tr w14:paraId="310F5F2B">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29" w:type="pct"/>
                  <w:noWrap w:val="0"/>
                  <w:vAlign w:val="center"/>
                </w:tcPr>
                <w:p w14:paraId="5E21FF1A">
                  <w:pPr>
                    <w:pStyle w:val="4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生态</w:t>
                  </w:r>
                </w:p>
              </w:tc>
              <w:tc>
                <w:tcPr>
                  <w:tcW w:w="3180" w:type="pct"/>
                  <w:noWrap w:val="0"/>
                  <w:vAlign w:val="center"/>
                </w:tcPr>
                <w:p w14:paraId="60724C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eastAsia"/>
                      <w:b w:val="0"/>
                      <w:bCs w:val="0"/>
                      <w:color w:val="auto"/>
                      <w:sz w:val="18"/>
                      <w:szCs w:val="18"/>
                    </w:rPr>
                  </w:pPr>
                  <w:r>
                    <w:rPr>
                      <w:rFonts w:hint="eastAsia"/>
                      <w:b w:val="0"/>
                      <w:bCs w:val="0"/>
                      <w:color w:val="auto"/>
                      <w:sz w:val="18"/>
                      <w:szCs w:val="18"/>
                    </w:rPr>
                    <w:t>涉及环境敏感区（不包括饮用水水源保护区，以居住、医疗卫生、文化教育、</w:t>
                  </w:r>
                </w:p>
                <w:p w14:paraId="7D69B7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default"/>
                      <w:b w:val="0"/>
                      <w:bCs w:val="0"/>
                      <w:color w:val="auto"/>
                      <w:sz w:val="18"/>
                      <w:szCs w:val="18"/>
                    </w:rPr>
                  </w:pPr>
                  <w:r>
                    <w:rPr>
                      <w:rFonts w:hint="eastAsia"/>
                      <w:b w:val="0"/>
                      <w:bCs w:val="0"/>
                      <w:color w:val="auto"/>
                      <w:sz w:val="18"/>
                      <w:szCs w:val="18"/>
                    </w:rPr>
                    <w:t>科研、行政办公为主要功能的区域，以及文物保护单位）的项目</w:t>
                  </w:r>
                </w:p>
              </w:tc>
              <w:tc>
                <w:tcPr>
                  <w:tcW w:w="583" w:type="pct"/>
                  <w:noWrap w:val="0"/>
                  <w:vAlign w:val="center"/>
                </w:tcPr>
                <w:p w14:paraId="4933982F">
                  <w:pPr>
                    <w:keepNext w:val="0"/>
                    <w:keepLines w:val="0"/>
                    <w:suppressLineNumbers w:val="0"/>
                    <w:spacing w:before="0" w:beforeAutospacing="0" w:after="0" w:afterAutospacing="0"/>
                    <w:ind w:left="0" w:right="0"/>
                    <w:jc w:val="center"/>
                    <w:rPr>
                      <w:rFonts w:hint="eastAsia"/>
                      <w:b w:val="0"/>
                      <w:bCs w:val="0"/>
                      <w:color w:val="auto"/>
                      <w:sz w:val="18"/>
                      <w:szCs w:val="18"/>
                      <w:highlight w:val="none"/>
                    </w:rPr>
                  </w:pPr>
                  <w:r>
                    <w:rPr>
                      <w:rFonts w:hint="eastAsia"/>
                      <w:bCs/>
                      <w:color w:val="auto"/>
                      <w:sz w:val="18"/>
                      <w:szCs w:val="18"/>
                      <w:lang w:val="en-US" w:eastAsia="zh-CN" w:bidi="ar"/>
                    </w:rPr>
                    <w:t>不涉及</w:t>
                  </w:r>
                </w:p>
              </w:tc>
              <w:tc>
                <w:tcPr>
                  <w:tcW w:w="506" w:type="pct"/>
                  <w:tcBorders>
                    <w:right w:val="nil"/>
                  </w:tcBorders>
                  <w:noWrap w:val="0"/>
                  <w:vAlign w:val="center"/>
                </w:tcPr>
                <w:p w14:paraId="7583A6A3">
                  <w:pPr>
                    <w:keepNext w:val="0"/>
                    <w:keepLines w:val="0"/>
                    <w:widowControl/>
                    <w:suppressLineNumbers w:val="0"/>
                    <w:adjustRightInd w:val="0"/>
                    <w:snapToGrid w:val="0"/>
                    <w:spacing w:before="0" w:beforeAutospacing="0" w:after="0" w:afterAutospacing="0"/>
                    <w:ind w:left="0" w:right="0"/>
                    <w:jc w:val="center"/>
                    <w:rPr>
                      <w:rFonts w:hint="eastAsia" w:eastAsia="宋体"/>
                      <w:b w:val="0"/>
                      <w:bCs w:val="0"/>
                      <w:color w:val="auto"/>
                      <w:sz w:val="18"/>
                      <w:szCs w:val="18"/>
                      <w:lang w:eastAsia="zh-CN" w:bidi="ar"/>
                    </w:rPr>
                  </w:pPr>
                  <w:r>
                    <w:rPr>
                      <w:rFonts w:hint="eastAsia"/>
                      <w:bCs/>
                      <w:color w:val="auto"/>
                      <w:sz w:val="18"/>
                      <w:szCs w:val="18"/>
                      <w:lang w:bidi="ar"/>
                    </w:rPr>
                    <w:t>否</w:t>
                  </w:r>
                </w:p>
              </w:tc>
            </w:tr>
            <w:tr w14:paraId="208109C6">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29" w:type="pct"/>
                  <w:noWrap w:val="0"/>
                  <w:vAlign w:val="center"/>
                </w:tcPr>
                <w:p w14:paraId="08BC26D6">
                  <w:pPr>
                    <w:pStyle w:val="4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
                      <w:bCs w:val="0"/>
                      <w:color w:val="auto"/>
                      <w:sz w:val="18"/>
                      <w:szCs w:val="18"/>
                      <w:lang w:val="en-US" w:eastAsia="zh-CN"/>
                    </w:rPr>
                  </w:pPr>
                  <w:r>
                    <w:rPr>
                      <w:rFonts w:hint="eastAsia" w:ascii="Times New Roman" w:hAnsi="Times New Roman" w:eastAsia="宋体" w:cs="Times New Roman"/>
                      <w:b/>
                      <w:bCs w:val="0"/>
                      <w:color w:val="auto"/>
                      <w:sz w:val="18"/>
                      <w:szCs w:val="18"/>
                      <w:lang w:val="en-US" w:eastAsia="zh-CN"/>
                    </w:rPr>
                    <w:t>大气</w:t>
                  </w:r>
                </w:p>
              </w:tc>
              <w:tc>
                <w:tcPr>
                  <w:tcW w:w="3180" w:type="pct"/>
                  <w:noWrap w:val="0"/>
                  <w:vAlign w:val="center"/>
                </w:tcPr>
                <w:p w14:paraId="5ABC6571">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eastAsia"/>
                      <w:b/>
                      <w:bCs w:val="0"/>
                      <w:color w:val="auto"/>
                      <w:sz w:val="18"/>
                      <w:szCs w:val="18"/>
                    </w:rPr>
                  </w:pPr>
                  <w:r>
                    <w:rPr>
                      <w:rFonts w:hint="eastAsia"/>
                      <w:b/>
                      <w:bCs w:val="0"/>
                      <w:color w:val="auto"/>
                      <w:sz w:val="18"/>
                      <w:szCs w:val="18"/>
                    </w:rPr>
                    <w:t>油气、液体化工码头：全部；</w:t>
                  </w:r>
                </w:p>
                <w:p w14:paraId="14D2536E">
                  <w:pPr>
                    <w:keepNext w:val="0"/>
                    <w:keepLines w:val="0"/>
                    <w:pageBreakBefore w:val="0"/>
                    <w:suppressLineNumbers w:val="0"/>
                    <w:kinsoku/>
                    <w:wordWrap/>
                    <w:overflowPunct/>
                    <w:topLinePunct w:val="0"/>
                    <w:autoSpaceDE/>
                    <w:autoSpaceDN/>
                    <w:bidi w:val="0"/>
                    <w:spacing w:before="0" w:beforeAutospacing="0" w:after="0" w:afterAutospacing="0"/>
                    <w:ind w:left="0" w:right="0" w:firstLine="90" w:firstLineChars="50"/>
                    <w:jc w:val="left"/>
                    <w:textAlignment w:val="auto"/>
                    <w:rPr>
                      <w:rFonts w:hint="default"/>
                      <w:b/>
                      <w:bCs w:val="0"/>
                      <w:color w:val="auto"/>
                      <w:sz w:val="18"/>
                      <w:szCs w:val="18"/>
                    </w:rPr>
                  </w:pPr>
                  <w:r>
                    <w:rPr>
                      <w:rFonts w:hint="eastAsia"/>
                      <w:b/>
                      <w:bCs w:val="0"/>
                      <w:color w:val="auto"/>
                      <w:sz w:val="18"/>
                      <w:szCs w:val="18"/>
                    </w:rPr>
                    <w:t>干散货（含煤炭、矿石）、件杂、多用途、通用码头：涉及粉尘、挥发性有机物排放的项目</w:t>
                  </w:r>
                </w:p>
              </w:tc>
              <w:tc>
                <w:tcPr>
                  <w:tcW w:w="583" w:type="pct"/>
                  <w:noWrap w:val="0"/>
                  <w:vAlign w:val="center"/>
                </w:tcPr>
                <w:p w14:paraId="7E79DD04">
                  <w:pPr>
                    <w:keepNext w:val="0"/>
                    <w:keepLines w:val="0"/>
                    <w:suppressLineNumbers w:val="0"/>
                    <w:spacing w:before="0" w:beforeAutospacing="0" w:after="0" w:afterAutospacing="0"/>
                    <w:ind w:left="0" w:right="0"/>
                    <w:jc w:val="center"/>
                    <w:rPr>
                      <w:rFonts w:hint="default" w:eastAsia="宋体"/>
                      <w:b/>
                      <w:bCs w:val="0"/>
                      <w:color w:val="auto"/>
                      <w:sz w:val="18"/>
                      <w:szCs w:val="18"/>
                      <w:lang w:val="en-US" w:eastAsia="zh-CN"/>
                    </w:rPr>
                  </w:pPr>
                  <w:r>
                    <w:rPr>
                      <w:rFonts w:hint="eastAsia"/>
                      <w:b/>
                      <w:bCs w:val="0"/>
                      <w:color w:val="auto"/>
                      <w:sz w:val="18"/>
                      <w:szCs w:val="18"/>
                      <w:lang w:val="en-US" w:eastAsia="zh-CN"/>
                    </w:rPr>
                    <w:t>本项目涉及液体化工码头</w:t>
                  </w:r>
                </w:p>
              </w:tc>
              <w:tc>
                <w:tcPr>
                  <w:tcW w:w="506" w:type="pct"/>
                  <w:tcBorders>
                    <w:right w:val="nil"/>
                  </w:tcBorders>
                  <w:noWrap w:val="0"/>
                  <w:vAlign w:val="center"/>
                </w:tcPr>
                <w:p w14:paraId="223F1ADA">
                  <w:pPr>
                    <w:keepNext w:val="0"/>
                    <w:keepLines w:val="0"/>
                    <w:widowControl/>
                    <w:suppressLineNumbers w:val="0"/>
                    <w:adjustRightInd w:val="0"/>
                    <w:snapToGrid w:val="0"/>
                    <w:spacing w:before="0" w:beforeAutospacing="0" w:after="0" w:afterAutospacing="0"/>
                    <w:ind w:left="0" w:right="0"/>
                    <w:jc w:val="center"/>
                    <w:rPr>
                      <w:rFonts w:hint="eastAsia"/>
                      <w:b/>
                      <w:bCs w:val="0"/>
                      <w:color w:val="auto"/>
                      <w:sz w:val="18"/>
                      <w:szCs w:val="18"/>
                      <w:lang w:bidi="ar"/>
                    </w:rPr>
                  </w:pPr>
                  <w:r>
                    <w:rPr>
                      <w:rFonts w:hint="eastAsia"/>
                      <w:b/>
                      <w:bCs w:val="0"/>
                      <w:color w:val="auto"/>
                      <w:sz w:val="18"/>
                      <w:szCs w:val="18"/>
                      <w:lang w:eastAsia="zh-CN" w:bidi="ar"/>
                    </w:rPr>
                    <w:t>是</w:t>
                  </w:r>
                </w:p>
              </w:tc>
            </w:tr>
            <w:tr w14:paraId="740DE9C6">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29" w:type="pct"/>
                  <w:noWrap w:val="0"/>
                  <w:vAlign w:val="center"/>
                </w:tcPr>
                <w:p w14:paraId="3C4BB851">
                  <w:pPr>
                    <w:pStyle w:val="4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噪声</w:t>
                  </w:r>
                </w:p>
              </w:tc>
              <w:tc>
                <w:tcPr>
                  <w:tcW w:w="3180" w:type="pct"/>
                  <w:noWrap w:val="0"/>
                  <w:vAlign w:val="center"/>
                </w:tcPr>
                <w:p w14:paraId="16364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eastAsia"/>
                      <w:bCs/>
                      <w:color w:val="auto"/>
                      <w:sz w:val="18"/>
                      <w:szCs w:val="18"/>
                    </w:rPr>
                  </w:pPr>
                  <w:r>
                    <w:rPr>
                      <w:rFonts w:hint="eastAsia"/>
                      <w:bCs/>
                      <w:color w:val="auto"/>
                      <w:sz w:val="18"/>
                      <w:szCs w:val="18"/>
                    </w:rPr>
                    <w:t>公路、铁路、机场等交通运输业涉及环境敏感区（以居住、医疗卫生、文化</w:t>
                  </w:r>
                </w:p>
                <w:p w14:paraId="2BCD5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eastAsia"/>
                      <w:bCs/>
                      <w:color w:val="auto"/>
                      <w:sz w:val="18"/>
                      <w:szCs w:val="18"/>
                    </w:rPr>
                  </w:pPr>
                  <w:r>
                    <w:rPr>
                      <w:rFonts w:hint="eastAsia"/>
                      <w:bCs/>
                      <w:color w:val="auto"/>
                      <w:sz w:val="18"/>
                      <w:szCs w:val="18"/>
                    </w:rPr>
                    <w:t>教育、科研、行政办公为主要功能的区域）的项目；</w:t>
                  </w:r>
                </w:p>
                <w:p w14:paraId="56357A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default"/>
                      <w:bCs/>
                      <w:color w:val="auto"/>
                      <w:sz w:val="18"/>
                      <w:szCs w:val="18"/>
                    </w:rPr>
                  </w:pPr>
                  <w:r>
                    <w:rPr>
                      <w:rFonts w:hint="eastAsia"/>
                      <w:bCs/>
                      <w:color w:val="auto"/>
                      <w:sz w:val="18"/>
                      <w:szCs w:val="18"/>
                    </w:rPr>
                    <w:t>城市道路（不含维护，不含支路、人行天桥、人行地道）：全部</w:t>
                  </w:r>
                </w:p>
              </w:tc>
              <w:tc>
                <w:tcPr>
                  <w:tcW w:w="583" w:type="pct"/>
                  <w:noWrap w:val="0"/>
                  <w:vAlign w:val="center"/>
                </w:tcPr>
                <w:p w14:paraId="63AFE2B2">
                  <w:pPr>
                    <w:keepNext w:val="0"/>
                    <w:keepLines w:val="0"/>
                    <w:suppressLineNumbers w:val="0"/>
                    <w:spacing w:before="0" w:beforeAutospacing="0" w:after="0" w:afterAutospacing="0"/>
                    <w:ind w:left="0" w:right="0"/>
                    <w:jc w:val="center"/>
                    <w:rPr>
                      <w:rFonts w:hint="default"/>
                      <w:color w:val="auto"/>
                      <w:sz w:val="18"/>
                      <w:szCs w:val="18"/>
                    </w:rPr>
                  </w:pPr>
                  <w:r>
                    <w:rPr>
                      <w:rFonts w:hint="eastAsia"/>
                      <w:bCs/>
                      <w:color w:val="auto"/>
                      <w:sz w:val="18"/>
                      <w:szCs w:val="18"/>
                      <w:lang w:val="en-US" w:eastAsia="zh-CN" w:bidi="ar"/>
                    </w:rPr>
                    <w:t>不涉及</w:t>
                  </w:r>
                </w:p>
              </w:tc>
              <w:tc>
                <w:tcPr>
                  <w:tcW w:w="506" w:type="pct"/>
                  <w:tcBorders>
                    <w:right w:val="nil"/>
                  </w:tcBorders>
                  <w:noWrap w:val="0"/>
                  <w:vAlign w:val="center"/>
                </w:tcPr>
                <w:p w14:paraId="0872D89B">
                  <w:pPr>
                    <w:keepNext w:val="0"/>
                    <w:keepLines w:val="0"/>
                    <w:widowControl/>
                    <w:suppressLineNumbers w:val="0"/>
                    <w:adjustRightInd w:val="0"/>
                    <w:snapToGrid w:val="0"/>
                    <w:spacing w:before="0" w:beforeAutospacing="0" w:after="0" w:afterAutospacing="0"/>
                    <w:ind w:left="0" w:right="0"/>
                    <w:jc w:val="center"/>
                    <w:rPr>
                      <w:rFonts w:hint="eastAsia"/>
                      <w:bCs/>
                      <w:color w:val="auto"/>
                      <w:sz w:val="18"/>
                      <w:szCs w:val="18"/>
                      <w:lang w:bidi="ar"/>
                    </w:rPr>
                  </w:pPr>
                  <w:r>
                    <w:rPr>
                      <w:rFonts w:hint="eastAsia"/>
                      <w:bCs/>
                      <w:color w:val="auto"/>
                      <w:sz w:val="18"/>
                      <w:szCs w:val="18"/>
                      <w:lang w:bidi="ar"/>
                    </w:rPr>
                    <w:t>否</w:t>
                  </w:r>
                </w:p>
              </w:tc>
            </w:tr>
            <w:tr w14:paraId="0D50667F">
              <w:tblPrEx>
                <w:tblBorders>
                  <w:top w:val="single" w:color="auto" w:sz="12" w:space="0"/>
                  <w:left w:val="none" w:color="auto" w:sz="0" w:space="0"/>
                  <w:bottom w:val="single" w:color="auto" w:sz="12" w:space="0"/>
                  <w:right w:val="none" w:color="auto" w:sz="6"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729" w:type="pct"/>
                  <w:tcBorders>
                    <w:bottom w:val="single" w:color="auto" w:sz="12" w:space="0"/>
                  </w:tcBorders>
                  <w:noWrap w:val="0"/>
                  <w:vAlign w:val="center"/>
                </w:tcPr>
                <w:p w14:paraId="279A64A2">
                  <w:pPr>
                    <w:pStyle w:val="43"/>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val="0"/>
                      <w:color w:val="auto"/>
                      <w:sz w:val="18"/>
                      <w:szCs w:val="18"/>
                      <w:lang w:val="en-US" w:eastAsia="zh-CN"/>
                    </w:rPr>
                  </w:pPr>
                  <w:r>
                    <w:rPr>
                      <w:rFonts w:hint="eastAsia" w:ascii="Times New Roman" w:hAnsi="Times New Roman" w:eastAsia="宋体" w:cs="Times New Roman"/>
                      <w:b/>
                      <w:bCs w:val="0"/>
                      <w:color w:val="auto"/>
                      <w:sz w:val="18"/>
                      <w:szCs w:val="18"/>
                      <w:lang w:val="en-US" w:eastAsia="zh-CN"/>
                    </w:rPr>
                    <w:t>环境风险</w:t>
                  </w:r>
                </w:p>
              </w:tc>
              <w:tc>
                <w:tcPr>
                  <w:tcW w:w="3180" w:type="pct"/>
                  <w:tcBorders>
                    <w:bottom w:val="single" w:color="auto" w:sz="12" w:space="0"/>
                  </w:tcBorders>
                  <w:noWrap w:val="0"/>
                  <w:vAlign w:val="center"/>
                </w:tcPr>
                <w:p w14:paraId="6585D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eastAsia"/>
                      <w:b/>
                      <w:bCs w:val="0"/>
                      <w:color w:val="auto"/>
                      <w:sz w:val="18"/>
                      <w:szCs w:val="18"/>
                    </w:rPr>
                  </w:pPr>
                  <w:r>
                    <w:rPr>
                      <w:rFonts w:hint="eastAsia"/>
                      <w:b/>
                      <w:bCs w:val="0"/>
                      <w:color w:val="auto"/>
                      <w:sz w:val="18"/>
                      <w:szCs w:val="18"/>
                    </w:rPr>
                    <w:t>石油和天然气开采：全部；</w:t>
                  </w:r>
                </w:p>
                <w:p w14:paraId="02F07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eastAsia"/>
                      <w:b/>
                      <w:bCs w:val="0"/>
                      <w:color w:val="auto"/>
                      <w:sz w:val="18"/>
                      <w:szCs w:val="18"/>
                    </w:rPr>
                  </w:pPr>
                  <w:r>
                    <w:rPr>
                      <w:rFonts w:hint="eastAsia"/>
                      <w:b/>
                      <w:bCs w:val="0"/>
                      <w:color w:val="auto"/>
                      <w:sz w:val="18"/>
                      <w:szCs w:val="18"/>
                    </w:rPr>
                    <w:t>油气、液体化工码头：全部；</w:t>
                  </w:r>
                </w:p>
                <w:p w14:paraId="3BE83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90" w:firstLineChars="50"/>
                    <w:jc w:val="left"/>
                    <w:textAlignment w:val="auto"/>
                    <w:rPr>
                      <w:rFonts w:hint="default"/>
                      <w:b/>
                      <w:bCs w:val="0"/>
                      <w:color w:val="auto"/>
                      <w:sz w:val="18"/>
                      <w:szCs w:val="18"/>
                    </w:rPr>
                  </w:pPr>
                  <w:r>
                    <w:rPr>
                      <w:rFonts w:hint="eastAsia"/>
                      <w:b/>
                      <w:bCs w:val="0"/>
                      <w:color w:val="auto"/>
                      <w:sz w:val="18"/>
                      <w:szCs w:val="18"/>
                    </w:rPr>
                    <w:t>原油、成品油、天然气管线（不含城镇天然气管线、企业厂区内管线），危险化学品输送管线（不含企业厂区内管线）：全部</w:t>
                  </w:r>
                </w:p>
              </w:tc>
              <w:tc>
                <w:tcPr>
                  <w:tcW w:w="583" w:type="pct"/>
                  <w:tcBorders>
                    <w:bottom w:val="single" w:color="auto" w:sz="12" w:space="0"/>
                  </w:tcBorders>
                  <w:noWrap w:val="0"/>
                  <w:vAlign w:val="center"/>
                </w:tcPr>
                <w:p w14:paraId="09359D15">
                  <w:pPr>
                    <w:keepNext w:val="0"/>
                    <w:keepLines w:val="0"/>
                    <w:suppressLineNumbers w:val="0"/>
                    <w:spacing w:before="0" w:beforeAutospacing="0" w:after="0" w:afterAutospacing="0"/>
                    <w:ind w:left="0" w:right="0"/>
                    <w:jc w:val="center"/>
                    <w:rPr>
                      <w:rFonts w:hint="default"/>
                      <w:b/>
                      <w:bCs w:val="0"/>
                      <w:color w:val="auto"/>
                      <w:sz w:val="18"/>
                      <w:szCs w:val="18"/>
                    </w:rPr>
                  </w:pPr>
                  <w:r>
                    <w:rPr>
                      <w:rFonts w:hint="eastAsia"/>
                      <w:b/>
                      <w:bCs w:val="0"/>
                      <w:color w:val="auto"/>
                      <w:sz w:val="18"/>
                      <w:szCs w:val="18"/>
                      <w:lang w:val="en-US" w:eastAsia="zh-CN"/>
                    </w:rPr>
                    <w:t>本项目涉及液体化工码头</w:t>
                  </w:r>
                </w:p>
              </w:tc>
              <w:tc>
                <w:tcPr>
                  <w:tcW w:w="506" w:type="pct"/>
                  <w:tcBorders>
                    <w:bottom w:val="single" w:color="auto" w:sz="12" w:space="0"/>
                    <w:right w:val="nil"/>
                  </w:tcBorders>
                  <w:noWrap w:val="0"/>
                  <w:vAlign w:val="center"/>
                </w:tcPr>
                <w:p w14:paraId="4B1D5883">
                  <w:pPr>
                    <w:keepNext w:val="0"/>
                    <w:keepLines w:val="0"/>
                    <w:widowControl/>
                    <w:suppressLineNumbers w:val="0"/>
                    <w:adjustRightInd w:val="0"/>
                    <w:snapToGrid w:val="0"/>
                    <w:spacing w:before="0" w:beforeAutospacing="0" w:after="0" w:afterAutospacing="0"/>
                    <w:ind w:left="0" w:right="0"/>
                    <w:jc w:val="center"/>
                    <w:rPr>
                      <w:rFonts w:hint="eastAsia"/>
                      <w:b/>
                      <w:bCs w:val="0"/>
                      <w:color w:val="auto"/>
                      <w:sz w:val="18"/>
                      <w:szCs w:val="18"/>
                      <w:lang w:bidi="ar"/>
                    </w:rPr>
                  </w:pPr>
                  <w:r>
                    <w:rPr>
                      <w:rFonts w:hint="eastAsia"/>
                      <w:b/>
                      <w:bCs w:val="0"/>
                      <w:color w:val="auto"/>
                      <w:sz w:val="18"/>
                      <w:szCs w:val="18"/>
                      <w:lang w:eastAsia="zh-CN" w:bidi="ar"/>
                    </w:rPr>
                    <w:t>是</w:t>
                  </w:r>
                </w:p>
              </w:tc>
            </w:tr>
          </w:tbl>
          <w:p w14:paraId="758D6D51">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kern w:val="0"/>
                <w:sz w:val="15"/>
                <w:szCs w:val="15"/>
                <w:lang w:val="en-US" w:eastAsia="zh-CN"/>
              </w:rPr>
            </w:pPr>
          </w:p>
          <w:p w14:paraId="28A7E2F8">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kern w:val="0"/>
                <w:sz w:val="11"/>
                <w:szCs w:val="11"/>
                <w:lang w:val="en-US" w:eastAsia="zh-CN"/>
              </w:rPr>
            </w:pPr>
          </w:p>
        </w:tc>
      </w:tr>
      <w:tr w14:paraId="417E3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65" w:hRule="atLeast"/>
        </w:trPr>
        <w:tc>
          <w:tcPr>
            <w:tcW w:w="1033" w:type="pct"/>
            <w:noWrap w:val="0"/>
            <w:tcMar>
              <w:top w:w="16" w:type="dxa"/>
              <w:left w:w="16" w:type="dxa"/>
              <w:right w:w="16" w:type="dxa"/>
            </w:tcMar>
            <w:vAlign w:val="center"/>
          </w:tcPr>
          <w:p w14:paraId="7403678D">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szCs w:val="21"/>
              </w:rPr>
              <w:t>规划情况</w:t>
            </w:r>
          </w:p>
        </w:tc>
        <w:tc>
          <w:tcPr>
            <w:tcW w:w="3966" w:type="pct"/>
            <w:gridSpan w:val="4"/>
            <w:noWrap w:val="0"/>
            <w:tcMar>
              <w:top w:w="16" w:type="dxa"/>
              <w:left w:w="16" w:type="dxa"/>
              <w:right w:w="16" w:type="dxa"/>
            </w:tcMar>
            <w:vAlign w:val="center"/>
          </w:tcPr>
          <w:p w14:paraId="548A5C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规划名称：《江阴临港开发区工业园区详细规划及城市设计》</w:t>
            </w:r>
          </w:p>
          <w:p w14:paraId="191F3B8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审批机关：江阴市人民政府</w:t>
            </w:r>
          </w:p>
          <w:p w14:paraId="4470B9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审批文件名称及文号：市政府关于《江阴临港开发区工业园区详细规划及城市设计》的批复（澄政复〔20</w:t>
            </w:r>
            <w:r>
              <w:rPr>
                <w:rFonts w:hint="eastAsia" w:ascii="Times New Roman" w:hAnsi="Times New Roman" w:eastAsia="宋体" w:cs="Times New Roman"/>
                <w:color w:val="auto"/>
                <w:szCs w:val="21"/>
                <w:highlight w:val="none"/>
                <w:lang w:val="en-US" w:eastAsia="zh-CN"/>
              </w:rPr>
              <w:t>2</w:t>
            </w:r>
            <w:r>
              <w:rPr>
                <w:rFonts w:hint="eastAsia" w:ascii="Times New Roman" w:hAnsi="Times New Roman" w:eastAsia="宋体" w:cs="Times New Roman"/>
                <w:color w:val="auto"/>
                <w:szCs w:val="21"/>
                <w:highlight w:val="none"/>
                <w:lang w:eastAsia="zh-CN"/>
              </w:rPr>
              <w:t>3〕45号）</w:t>
            </w:r>
          </w:p>
        </w:tc>
      </w:tr>
      <w:tr w14:paraId="4745B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553" w:hRule="atLeast"/>
        </w:trPr>
        <w:tc>
          <w:tcPr>
            <w:tcW w:w="1033" w:type="pct"/>
            <w:noWrap w:val="0"/>
            <w:tcMar>
              <w:top w:w="16" w:type="dxa"/>
              <w:left w:w="16" w:type="dxa"/>
              <w:right w:w="16" w:type="dxa"/>
            </w:tcMar>
            <w:vAlign w:val="center"/>
          </w:tcPr>
          <w:p w14:paraId="6DA40A8B">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szCs w:val="21"/>
              </w:rPr>
              <w:t>规划环境影响</w:t>
            </w:r>
          </w:p>
          <w:p w14:paraId="18FCE593">
            <w:pPr>
              <w:keepNext w:val="0"/>
              <w:keepLines w:val="0"/>
              <w:suppressLineNumbers w:val="0"/>
              <w:autoSpaceDE w:val="0"/>
              <w:autoSpaceDN w:val="0"/>
              <w:adjustRightInd w:val="0"/>
              <w:snapToGrid w:val="0"/>
              <w:spacing w:before="0" w:beforeAutospacing="0" w:after="0" w:afterAutospacing="0"/>
              <w:ind w:left="0" w:right="0"/>
              <w:jc w:val="center"/>
              <w:rPr>
                <w:rFonts w:hint="eastAsia" w:ascii="宋体" w:hAnsi="宋体" w:cs="宋体"/>
                <w:color w:val="auto"/>
                <w:szCs w:val="21"/>
              </w:rPr>
            </w:pPr>
            <w:r>
              <w:rPr>
                <w:rFonts w:hint="eastAsia" w:ascii="宋体" w:hAnsi="宋体" w:cs="宋体"/>
                <w:color w:val="auto"/>
                <w:szCs w:val="21"/>
              </w:rPr>
              <w:t>评价情况</w:t>
            </w:r>
          </w:p>
        </w:tc>
        <w:tc>
          <w:tcPr>
            <w:tcW w:w="3966" w:type="pct"/>
            <w:gridSpan w:val="4"/>
            <w:noWrap w:val="0"/>
            <w:tcMar>
              <w:top w:w="16" w:type="dxa"/>
              <w:left w:w="16" w:type="dxa"/>
              <w:right w:w="16" w:type="dxa"/>
            </w:tcMar>
            <w:vAlign w:val="center"/>
          </w:tcPr>
          <w:p w14:paraId="5E4378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规划环境影响评价文件名称：《江苏江阴临港化工园区总体规划（2023</w:t>
            </w: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lang w:eastAsia="zh-CN"/>
              </w:rPr>
              <w:t>2035年）环境影响报告书》</w:t>
            </w:r>
          </w:p>
          <w:p w14:paraId="10AECF1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召集审查机关：江苏省生态环境厅</w:t>
            </w:r>
          </w:p>
          <w:p w14:paraId="2F0ADD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审查文件名称及文号：《省生态环境厅关于江阴临港化工园总体规划（2023—2035年）环境影响报告书的审查意见》（苏环审〔2025〕88号）</w:t>
            </w:r>
          </w:p>
        </w:tc>
      </w:tr>
    </w:tbl>
    <w:p w14:paraId="0B8870F6">
      <w:pPr>
        <w:autoSpaceDE w:val="0"/>
        <w:autoSpaceDN w:val="0"/>
        <w:adjustRightInd w:val="0"/>
        <w:snapToGrid w:val="0"/>
        <w:jc w:val="center"/>
        <w:rPr>
          <w:rFonts w:hint="eastAsia" w:ascii="宋体" w:hAnsi="宋体" w:cs="宋体"/>
          <w:color w:val="auto"/>
          <w:szCs w:val="21"/>
        </w:rPr>
        <w:sectPr>
          <w:footerReference r:id="rId5" w:type="default"/>
          <w:pgSz w:w="11906" w:h="16838"/>
          <w:pgMar w:top="1440" w:right="1440" w:bottom="1440" w:left="1440"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1"/>
        <w:tblW w:w="4995"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59"/>
        <w:gridCol w:w="7990"/>
      </w:tblGrid>
      <w:tr w14:paraId="385FA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57" w:hRule="atLeast"/>
        </w:trPr>
        <w:tc>
          <w:tcPr>
            <w:tcW w:w="585" w:type="pct"/>
            <w:noWrap w:val="0"/>
            <w:tcMar>
              <w:top w:w="16" w:type="dxa"/>
              <w:left w:w="16" w:type="dxa"/>
              <w:right w:w="16" w:type="dxa"/>
            </w:tcMar>
            <w:vAlign w:val="center"/>
          </w:tcPr>
          <w:p w14:paraId="050AE96B">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规划及</w:t>
            </w:r>
            <w:r>
              <w:rPr>
                <w:rFonts w:hint="eastAsia" w:ascii="宋体" w:hAnsi="宋体" w:cs="宋体"/>
                <w:color w:val="auto"/>
                <w:szCs w:val="21"/>
              </w:rPr>
              <w:t>规划环境影响评价</w:t>
            </w:r>
            <w:r>
              <w:rPr>
                <w:rFonts w:hint="eastAsia" w:ascii="宋体" w:hAnsi="宋体" w:cs="宋体"/>
                <w:color w:val="auto"/>
                <w:kern w:val="0"/>
                <w:szCs w:val="21"/>
              </w:rPr>
              <w:t>符合性分析</w:t>
            </w:r>
          </w:p>
        </w:tc>
        <w:tc>
          <w:tcPr>
            <w:tcW w:w="4414" w:type="pct"/>
            <w:noWrap w:val="0"/>
            <w:tcMar>
              <w:top w:w="16" w:type="dxa"/>
              <w:left w:w="16" w:type="dxa"/>
              <w:right w:w="16" w:type="dxa"/>
            </w:tcMar>
            <w:vAlign w:val="center"/>
          </w:tcPr>
          <w:p w14:paraId="4F7262AD">
            <w:pPr>
              <w:keepNext w:val="0"/>
              <w:keepLines w:val="0"/>
              <w:suppressLineNumbers w:val="0"/>
              <w:autoSpaceDE w:val="0"/>
              <w:autoSpaceDN w:val="0"/>
              <w:adjustRightInd w:val="0"/>
              <w:snapToGrid w:val="0"/>
              <w:spacing w:before="120" w:beforeLines="50" w:beforeAutospacing="0" w:after="0" w:afterAutospacing="0" w:line="360" w:lineRule="auto"/>
              <w:ind w:left="0" w:right="0" w:firstLine="422" w:firstLineChars="200"/>
              <w:rPr>
                <w:rFonts w:hint="default"/>
                <w:b/>
                <w:bCs/>
                <w:color w:val="auto"/>
                <w:szCs w:val="21"/>
                <w:highlight w:val="none"/>
              </w:rPr>
            </w:pPr>
            <w:r>
              <w:rPr>
                <w:rFonts w:hint="eastAsia"/>
                <w:b/>
                <w:bCs/>
                <w:color w:val="auto"/>
                <w:szCs w:val="21"/>
                <w:lang w:val="en-US" w:eastAsia="zh-CN"/>
              </w:rPr>
              <w:t>1、</w:t>
            </w:r>
            <w:r>
              <w:rPr>
                <w:rFonts w:hint="eastAsia"/>
                <w:b/>
                <w:bCs/>
                <w:color w:val="auto"/>
                <w:szCs w:val="21"/>
                <w:highlight w:val="none"/>
              </w:rPr>
              <w:t>与《</w:t>
            </w:r>
            <w:r>
              <w:rPr>
                <w:rFonts w:hint="eastAsia"/>
                <w:b/>
                <w:bCs/>
                <w:color w:val="auto"/>
                <w:szCs w:val="21"/>
                <w:highlight w:val="none"/>
                <w:lang w:eastAsia="zh-CN"/>
              </w:rPr>
              <w:t>江阴临港开发区工业园区详细规划及城市设计</w:t>
            </w:r>
            <w:r>
              <w:rPr>
                <w:rFonts w:hint="eastAsia"/>
                <w:b/>
                <w:bCs/>
                <w:color w:val="auto"/>
                <w:szCs w:val="21"/>
                <w:highlight w:val="none"/>
              </w:rPr>
              <w:t>》相符性分析</w:t>
            </w:r>
          </w:p>
          <w:p w14:paraId="3ACB93A6">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szCs w:val="21"/>
                <w:highlight w:val="none"/>
                <w:lang w:val="en-US" w:eastAsia="zh-CN"/>
              </w:rPr>
            </w:pPr>
            <w:r>
              <w:rPr>
                <w:rFonts w:hint="eastAsia"/>
                <w:color w:val="auto"/>
                <w:kern w:val="0"/>
                <w:szCs w:val="21"/>
              </w:rPr>
              <w:t>本项目</w:t>
            </w:r>
            <w:r>
              <w:rPr>
                <w:rFonts w:hint="eastAsia"/>
                <w:color w:val="auto"/>
                <w:kern w:val="0"/>
                <w:szCs w:val="21"/>
                <w:lang w:val="en-US" w:eastAsia="zh-CN"/>
              </w:rPr>
              <w:t>为</w:t>
            </w:r>
            <w:r>
              <w:rPr>
                <w:rFonts w:hint="eastAsia"/>
                <w:color w:val="auto"/>
                <w:szCs w:val="21"/>
                <w:lang w:val="en-US" w:eastAsia="zh-CN"/>
              </w:rPr>
              <w:t>储存品种调整及储运设施安全改造项目</w:t>
            </w:r>
            <w:r>
              <w:rPr>
                <w:rFonts w:hint="eastAsia"/>
                <w:color w:val="auto"/>
                <w:szCs w:val="21"/>
                <w:lang w:eastAsia="zh-CN"/>
              </w:rPr>
              <w:t>，</w:t>
            </w:r>
            <w:r>
              <w:rPr>
                <w:rFonts w:hint="eastAsia"/>
                <w:color w:val="auto"/>
                <w:szCs w:val="21"/>
                <w:lang w:val="en-US" w:eastAsia="zh-CN"/>
              </w:rPr>
              <w:t>位于</w:t>
            </w:r>
            <w:r>
              <w:rPr>
                <w:rFonts w:hint="default"/>
                <w:color w:val="auto"/>
                <w:szCs w:val="21"/>
              </w:rPr>
              <w:t>江阴市</w:t>
            </w:r>
            <w:r>
              <w:rPr>
                <w:rFonts w:hint="eastAsia"/>
                <w:color w:val="auto"/>
                <w:szCs w:val="21"/>
                <w:lang w:val="en-US" w:eastAsia="zh-CN"/>
              </w:rPr>
              <w:t>利港街道</w:t>
            </w:r>
            <w:r>
              <w:rPr>
                <w:rFonts w:hint="default"/>
                <w:color w:val="auto"/>
                <w:szCs w:val="21"/>
              </w:rPr>
              <w:t>润华路</w:t>
            </w:r>
            <w:r>
              <w:rPr>
                <w:rFonts w:hint="eastAsia"/>
                <w:color w:val="auto"/>
                <w:szCs w:val="21"/>
                <w:lang w:val="en-US" w:eastAsia="zh-CN"/>
              </w:rPr>
              <w:t>9</w:t>
            </w:r>
            <w:r>
              <w:rPr>
                <w:rFonts w:hint="default"/>
                <w:color w:val="auto"/>
                <w:szCs w:val="21"/>
              </w:rPr>
              <w:t>号</w:t>
            </w:r>
            <w:r>
              <w:rPr>
                <w:rFonts w:hint="eastAsia"/>
                <w:color w:val="auto"/>
                <w:szCs w:val="21"/>
                <w:lang w:val="en-US" w:eastAsia="zh-CN"/>
              </w:rPr>
              <w:t>江苏苏豪丽天智储循环科技有限公司</w:t>
            </w:r>
            <w:r>
              <w:rPr>
                <w:rFonts w:hint="eastAsia"/>
                <w:color w:val="auto"/>
                <w:kern w:val="0"/>
                <w:szCs w:val="21"/>
              </w:rPr>
              <w:t>现有厂区</w:t>
            </w:r>
            <w:r>
              <w:rPr>
                <w:rFonts w:hint="eastAsia"/>
                <w:color w:val="auto"/>
                <w:kern w:val="0"/>
                <w:szCs w:val="21"/>
                <w:lang w:eastAsia="zh-CN"/>
              </w:rPr>
              <w:t>。</w:t>
            </w:r>
            <w:r>
              <w:rPr>
                <w:rFonts w:hint="eastAsia" w:ascii="Times New Roman" w:hAnsi="Times New Roman" w:eastAsia="宋体" w:cs="Times New Roman"/>
                <w:color w:val="auto"/>
                <w:szCs w:val="21"/>
                <w:highlight w:val="none"/>
                <w:lang w:eastAsia="zh-CN"/>
              </w:rPr>
              <w:t>根据《江阴临港开发区工业园区详细规划及城市设计》，</w:t>
            </w:r>
            <w:r>
              <w:rPr>
                <w:rFonts w:hint="eastAsia"/>
                <w:color w:val="auto"/>
                <w:kern w:val="0"/>
                <w:szCs w:val="21"/>
              </w:rPr>
              <w:t>厂区</w:t>
            </w:r>
            <w:r>
              <w:rPr>
                <w:rFonts w:hint="eastAsia"/>
                <w:color w:val="auto"/>
                <w:kern w:val="0"/>
                <w:szCs w:val="21"/>
                <w:lang w:val="en-US" w:eastAsia="zh-CN"/>
              </w:rPr>
              <w:t>用地性质为</w:t>
            </w:r>
            <w:r>
              <w:rPr>
                <w:rFonts w:hint="eastAsia"/>
                <w:color w:val="auto"/>
                <w:kern w:val="0"/>
                <w:szCs w:val="21"/>
              </w:rPr>
              <w:t>工业用地</w:t>
            </w:r>
            <w:r>
              <w:rPr>
                <w:rFonts w:hint="eastAsia"/>
                <w:color w:val="auto"/>
                <w:kern w:val="0"/>
                <w:szCs w:val="21"/>
                <w:lang w:eastAsia="zh-CN"/>
              </w:rPr>
              <w:t>，</w:t>
            </w:r>
            <w:r>
              <w:rPr>
                <w:rFonts w:hint="eastAsia"/>
                <w:color w:val="auto"/>
                <w:kern w:val="0"/>
                <w:szCs w:val="21"/>
                <w:lang w:val="en-US" w:eastAsia="zh-CN"/>
              </w:rPr>
              <w:t>本项目不新增用地，不改变现有厂区用地性质</w:t>
            </w:r>
            <w:r>
              <w:rPr>
                <w:rFonts w:hint="eastAsia"/>
                <w:color w:val="auto"/>
                <w:kern w:val="0"/>
                <w:szCs w:val="21"/>
                <w:lang w:eastAsia="zh-CN"/>
              </w:rPr>
              <w:t>。</w:t>
            </w:r>
            <w:r>
              <w:rPr>
                <w:rFonts w:hint="eastAsia"/>
                <w:color w:val="auto"/>
                <w:kern w:val="0"/>
                <w:szCs w:val="21"/>
                <w:lang w:val="en-US" w:eastAsia="zh-CN"/>
              </w:rPr>
              <w:t>因此，</w:t>
            </w:r>
            <w:r>
              <w:rPr>
                <w:rFonts w:hint="eastAsia"/>
                <w:color w:val="auto"/>
                <w:kern w:val="0"/>
                <w:szCs w:val="21"/>
                <w:highlight w:val="none"/>
                <w:lang w:val="en-US" w:eastAsia="zh-CN"/>
              </w:rPr>
              <w:t>本项目符合</w:t>
            </w:r>
            <w:r>
              <w:rPr>
                <w:rFonts w:hint="eastAsia" w:ascii="Times New Roman" w:hAnsi="Times New Roman" w:eastAsia="宋体" w:cs="Times New Roman"/>
                <w:color w:val="auto"/>
                <w:szCs w:val="21"/>
                <w:highlight w:val="none"/>
                <w:lang w:eastAsia="zh-CN"/>
              </w:rPr>
              <w:t>《江阴临港开发区工业园区详细规划及城市设计》</w:t>
            </w:r>
            <w:r>
              <w:rPr>
                <w:rFonts w:hint="eastAsia" w:ascii="Times New Roman" w:hAnsi="Times New Roman" w:eastAsia="宋体" w:cs="Times New Roman"/>
                <w:color w:val="auto"/>
                <w:szCs w:val="21"/>
                <w:highlight w:val="none"/>
                <w:lang w:val="en-US" w:eastAsia="zh-CN"/>
              </w:rPr>
              <w:t>要求。</w:t>
            </w:r>
          </w:p>
          <w:p w14:paraId="7DB38640">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本项目与</w:t>
            </w:r>
            <w:r>
              <w:rPr>
                <w:rFonts w:hint="eastAsia" w:ascii="Times New Roman" w:hAnsi="Times New Roman" w:eastAsia="宋体" w:cs="Times New Roman"/>
                <w:color w:val="auto"/>
                <w:szCs w:val="21"/>
                <w:highlight w:val="none"/>
                <w:lang w:eastAsia="zh-CN"/>
              </w:rPr>
              <w:t>《江阴临港开发区工业园区详细规划及城市设计——</w:t>
            </w:r>
            <w:r>
              <w:rPr>
                <w:rFonts w:hint="eastAsia" w:ascii="Times New Roman" w:hAnsi="Times New Roman" w:eastAsia="宋体" w:cs="Times New Roman"/>
                <w:color w:val="auto"/>
                <w:szCs w:val="21"/>
                <w:highlight w:val="none"/>
                <w:lang w:val="en-US" w:eastAsia="zh-CN"/>
              </w:rPr>
              <w:t>规划用地图</w:t>
            </w:r>
            <w:r>
              <w:rPr>
                <w:rFonts w:hint="eastAsia" w:ascii="Times New Roman" w:hAnsi="Times New Roman" w:eastAsia="宋体" w:cs="Times New Roman"/>
                <w:color w:val="auto"/>
                <w:szCs w:val="21"/>
                <w:highlight w:val="none"/>
                <w:lang w:eastAsia="zh-CN"/>
              </w:rPr>
              <w:t>》</w:t>
            </w:r>
            <w:r>
              <w:rPr>
                <w:rFonts w:hint="eastAsia" w:ascii="Times New Roman" w:hAnsi="Times New Roman" w:eastAsia="宋体" w:cs="Times New Roman"/>
                <w:color w:val="auto"/>
                <w:szCs w:val="21"/>
                <w:highlight w:val="none"/>
                <w:lang w:val="en-US" w:eastAsia="zh-CN"/>
              </w:rPr>
              <w:t>位置关系</w:t>
            </w:r>
            <w:r>
              <w:rPr>
                <w:rFonts w:hint="eastAsia"/>
                <w:color w:val="auto"/>
                <w:kern w:val="0"/>
                <w:szCs w:val="21"/>
                <w:lang w:val="en-US" w:eastAsia="zh-CN"/>
              </w:rPr>
              <w:t>详见</w:t>
            </w:r>
            <w:r>
              <w:rPr>
                <w:rFonts w:hint="eastAsia"/>
                <w:color w:val="auto"/>
                <w:kern w:val="0"/>
                <w:szCs w:val="21"/>
                <w:highlight w:val="none"/>
                <w:lang w:val="en-US" w:eastAsia="zh-CN"/>
              </w:rPr>
              <w:t>附图2</w:t>
            </w:r>
            <w:r>
              <w:rPr>
                <w:rFonts w:hint="eastAsia"/>
                <w:color w:val="auto"/>
                <w:kern w:val="0"/>
                <w:szCs w:val="21"/>
                <w:highlight w:val="none"/>
                <w:lang w:eastAsia="zh-CN"/>
              </w:rPr>
              <w:t>。</w:t>
            </w:r>
          </w:p>
          <w:p w14:paraId="4D1ADA89">
            <w:pPr>
              <w:pStyle w:val="7"/>
              <w:keepNext w:val="0"/>
              <w:keepLines w:val="0"/>
              <w:suppressLineNumbers w:val="0"/>
              <w:spacing w:before="0" w:beforeAutospacing="0" w:after="0" w:afterAutospacing="0" w:line="360" w:lineRule="auto"/>
              <w:ind w:left="0" w:right="0" w:firstLine="422" w:firstLineChars="200"/>
              <w:rPr>
                <w:rFonts w:hint="default" w:ascii="Times New Roman" w:hAnsi="Times New Roman" w:cs="Times New Roman"/>
                <w:b/>
                <w:bCs/>
                <w:color w:val="auto"/>
                <w:sz w:val="21"/>
                <w:szCs w:val="21"/>
                <w:highlight w:val="none"/>
              </w:rPr>
            </w:pPr>
            <w:r>
              <w:rPr>
                <w:rFonts w:hint="eastAsia" w:ascii="Times New Roman" w:hAnsi="Times New Roman" w:cs="Times New Roman"/>
                <w:b/>
                <w:bCs/>
                <w:color w:val="auto"/>
                <w:sz w:val="21"/>
                <w:szCs w:val="21"/>
                <w:highlight w:val="none"/>
                <w:lang w:val="en-US" w:eastAsia="zh-CN"/>
              </w:rPr>
              <w:t>2、</w:t>
            </w:r>
            <w:r>
              <w:rPr>
                <w:rFonts w:hint="eastAsia" w:ascii="Times New Roman" w:hAnsi="Times New Roman" w:cs="Times New Roman"/>
                <w:b/>
                <w:bCs/>
                <w:color w:val="auto"/>
                <w:sz w:val="21"/>
                <w:szCs w:val="21"/>
                <w:highlight w:val="none"/>
              </w:rPr>
              <w:t>与《江苏江阴临港化工园区总体规划（2023</w:t>
            </w:r>
            <w:r>
              <w:rPr>
                <w:rFonts w:hint="eastAsia" w:ascii="Times New Roman" w:hAnsi="Times New Roman" w:cs="Times New Roman"/>
                <w:b/>
                <w:bCs/>
                <w:color w:val="auto"/>
                <w:sz w:val="21"/>
                <w:szCs w:val="21"/>
                <w:highlight w:val="none"/>
                <w:lang w:eastAsia="zh-CN"/>
              </w:rPr>
              <w:t>—</w:t>
            </w:r>
            <w:r>
              <w:rPr>
                <w:rFonts w:hint="eastAsia" w:ascii="Times New Roman" w:hAnsi="Times New Roman" w:cs="Times New Roman"/>
                <w:b/>
                <w:bCs/>
                <w:color w:val="auto"/>
                <w:sz w:val="21"/>
                <w:szCs w:val="21"/>
                <w:highlight w:val="none"/>
              </w:rPr>
              <w:t>2035</w:t>
            </w:r>
            <w:r>
              <w:rPr>
                <w:rFonts w:hint="eastAsia" w:ascii="Times New Roman" w:hAnsi="Times New Roman" w:cs="Times New Roman"/>
                <w:b/>
                <w:bCs/>
                <w:color w:val="auto"/>
                <w:sz w:val="21"/>
                <w:szCs w:val="21"/>
                <w:highlight w:val="none"/>
                <w:lang w:val="en-US" w:eastAsia="zh-CN"/>
              </w:rPr>
              <w:t>年</w:t>
            </w:r>
            <w:r>
              <w:rPr>
                <w:rFonts w:hint="eastAsia" w:ascii="Times New Roman" w:hAnsi="Times New Roman" w:cs="Times New Roman"/>
                <w:b/>
                <w:bCs/>
                <w:color w:val="auto"/>
                <w:sz w:val="21"/>
                <w:szCs w:val="21"/>
                <w:highlight w:val="none"/>
              </w:rPr>
              <w:t>）环境影响报告书》相符性分析</w:t>
            </w:r>
          </w:p>
          <w:p w14:paraId="79405A7E">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szCs w:val="21"/>
                <w:highlight w:val="yellow"/>
                <w:lang w:val="en-US" w:eastAsia="zh-CN"/>
              </w:rPr>
            </w:pPr>
            <w:r>
              <w:rPr>
                <w:rFonts w:hint="eastAsia" w:ascii="Times New Roman" w:hAnsi="Times New Roman" w:eastAsia="宋体" w:cs="Times New Roman"/>
                <w:color w:val="auto"/>
                <w:szCs w:val="21"/>
                <w:highlight w:val="none"/>
                <w:lang w:val="en-US" w:eastAsia="zh-CN"/>
              </w:rPr>
              <w:t>江阴临港化工园包括东、西两片区，东片区前身为江阴市临港经济开发区中的化工片区，2006年开发区由江苏省人民政府批准设立（苏政复〔2006〕66号）；2018年，无锡市人民政府对开发区化工片区的四至范围进行了明确（锡政复〔2018〕60号），核准面积2.194平方公里；2019年，《江苏江阴临港经济开发区规划环境影响跟踪评价报告书》取得江苏省生态环境厅审查意见（苏环审〔2019〕13号）。西片区前身为江阴临港新城石庄区的化工片区；2018年，无锡市人民政府对石庄区化工片区的四至范围进行了明确（锡政复〔2018〕3号），核准面积4.243平方公里；2019年，《江苏江阴临港新城石庄区规划环境影响跟踪评价报告书》取得江苏省生态环境厅审查意见（苏环审〔2018〕8号）。2020年3月，无锡市人民政府批准整合原开发区化工片区和原石庄区化工片区，正式设立江阴临港化工园（锡政复〔2020〕23号），规划面积6.437平方公里。2020年10月，园区经省政府认定为化工园区（苏政发〔2020〕94号），认定面积6.437平方公里。2023年3月，无锡市人民政府发文（锡政复〔2023〕16号），将园区面积调减为6.1196平方公里。2023年5月，园区通过省政府组织的第一批化工园区认定复核（苏政发〔2023〕38号）。2025年11月，《江阴临港化工园区总体规划（2023—2035年）环境影响报告书》取得江苏省生态环境厅审查意见（苏环审〔2025〕88号），江阴临港化工园区规划面积6.1196平方公里，东片区面积2.0354平方公里，西片区面积4.0842平方公里。规划发展高分子材料产业、生物医药产业，化工仓储、LNG新能源等为配套支撑。</w:t>
            </w:r>
          </w:p>
          <w:p w14:paraId="3EEE7F0C">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jc w:val="both"/>
              <w:rPr>
                <w:rFonts w:hint="eastAsia"/>
                <w:color w:val="auto"/>
                <w:szCs w:val="21"/>
              </w:rPr>
            </w:pPr>
            <w:r>
              <w:rPr>
                <w:rFonts w:hint="eastAsia"/>
                <w:color w:val="auto"/>
                <w:kern w:val="0"/>
                <w:szCs w:val="21"/>
              </w:rPr>
              <w:t>本项目</w:t>
            </w:r>
            <w:r>
              <w:rPr>
                <w:rFonts w:hint="eastAsia"/>
                <w:color w:val="auto"/>
                <w:kern w:val="0"/>
                <w:szCs w:val="21"/>
                <w:lang w:val="en-US" w:eastAsia="zh-CN"/>
              </w:rPr>
              <w:t>为</w:t>
            </w:r>
            <w:r>
              <w:rPr>
                <w:rFonts w:hint="eastAsia"/>
                <w:color w:val="auto"/>
                <w:szCs w:val="21"/>
                <w:lang w:val="en-US" w:eastAsia="zh-CN"/>
              </w:rPr>
              <w:t>储存品种调整及储运设施安全改造项目，属于化工仓储，</w:t>
            </w:r>
            <w:r>
              <w:rPr>
                <w:rFonts w:hint="eastAsia" w:ascii="Times New Roman" w:hAnsi="Times New Roman" w:eastAsia="宋体" w:cs="Times New Roman"/>
                <w:color w:val="auto"/>
                <w:kern w:val="0"/>
                <w:szCs w:val="21"/>
                <w:highlight w:val="none"/>
                <w:lang w:val="en-US" w:eastAsia="zh-CN"/>
              </w:rPr>
              <w:t>位于</w:t>
            </w:r>
            <w:r>
              <w:rPr>
                <w:rFonts w:hint="eastAsia" w:ascii="Times New Roman" w:hAnsi="Times New Roman" w:eastAsia="宋体" w:cs="Times New Roman"/>
                <w:color w:val="auto"/>
                <w:szCs w:val="21"/>
                <w:highlight w:val="none"/>
                <w:lang w:val="en-US" w:eastAsia="zh-CN"/>
              </w:rPr>
              <w:t>江阴临港化工园区东片区</w:t>
            </w:r>
            <w:r>
              <w:rPr>
                <w:rFonts w:hint="eastAsia" w:ascii="Times New Roman" w:hAnsi="Times New Roman" w:eastAsia="宋体" w:cs="Times New Roman"/>
                <w:color w:val="auto"/>
                <w:kern w:val="0"/>
                <w:szCs w:val="21"/>
                <w:highlight w:val="none"/>
                <w:lang w:val="en-US" w:eastAsia="zh-CN"/>
              </w:rPr>
              <w:t>范围内，符合</w:t>
            </w:r>
            <w:r>
              <w:rPr>
                <w:rFonts w:hint="eastAsia" w:ascii="Times New Roman" w:hAnsi="Times New Roman" w:eastAsia="宋体" w:cs="Times New Roman"/>
                <w:color w:val="auto"/>
                <w:szCs w:val="21"/>
                <w:highlight w:val="none"/>
                <w:lang w:val="en-US" w:eastAsia="zh-CN"/>
              </w:rPr>
              <w:t>江阴临港化工园区</w:t>
            </w:r>
            <w:r>
              <w:rPr>
                <w:rFonts w:hint="eastAsia" w:ascii="Times New Roman" w:hAnsi="Times New Roman" w:eastAsia="宋体" w:cs="Times New Roman"/>
                <w:color w:val="auto"/>
                <w:kern w:val="0"/>
                <w:szCs w:val="21"/>
                <w:highlight w:val="none"/>
                <w:lang w:val="en-US" w:eastAsia="zh-CN"/>
              </w:rPr>
              <w:t>产业定位。</w:t>
            </w:r>
          </w:p>
        </w:tc>
      </w:tr>
      <w:tr w14:paraId="36465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585" w:type="pct"/>
            <w:noWrap w:val="0"/>
            <w:tcMar>
              <w:top w:w="16" w:type="dxa"/>
              <w:left w:w="16" w:type="dxa"/>
              <w:right w:w="16" w:type="dxa"/>
            </w:tcMar>
            <w:vAlign w:val="center"/>
          </w:tcPr>
          <w:p w14:paraId="132C6692">
            <w:pPr>
              <w:keepNext w:val="0"/>
              <w:keepLines w:val="0"/>
              <w:suppressLineNumbers w:val="0"/>
              <w:autoSpaceDE w:val="0"/>
              <w:autoSpaceDN w:val="0"/>
              <w:adjustRightInd w:val="0"/>
              <w:snapToGrid w:val="0"/>
              <w:spacing w:before="0" w:beforeAutospacing="0" w:after="0" w:afterAutospacing="0"/>
              <w:ind w:left="0" w:right="0"/>
              <w:jc w:val="center"/>
              <w:rPr>
                <w:rFonts w:hint="default" w:ascii="宋体" w:hAnsi="宋体" w:cs="宋体"/>
                <w:color w:val="auto"/>
                <w:kern w:val="0"/>
                <w:szCs w:val="21"/>
              </w:rPr>
            </w:pPr>
            <w:bookmarkStart w:id="3" w:name="_Hlk56690880"/>
            <w:r>
              <w:rPr>
                <w:rFonts w:hint="eastAsia" w:ascii="宋体" w:hAnsi="宋体" w:cs="宋体"/>
                <w:color w:val="auto"/>
                <w:kern w:val="0"/>
                <w:szCs w:val="21"/>
              </w:rPr>
              <w:t>其他符合性分析</w:t>
            </w:r>
            <w:bookmarkEnd w:id="3"/>
          </w:p>
        </w:tc>
        <w:tc>
          <w:tcPr>
            <w:tcW w:w="4414" w:type="pct"/>
            <w:noWrap w:val="0"/>
            <w:tcMar>
              <w:top w:w="16" w:type="dxa"/>
              <w:left w:w="16" w:type="dxa"/>
              <w:right w:w="16" w:type="dxa"/>
            </w:tcMar>
            <w:vAlign w:val="center"/>
          </w:tcPr>
          <w:p w14:paraId="32BA2E13">
            <w:pPr>
              <w:keepNext w:val="0"/>
              <w:keepLines w:val="0"/>
              <w:suppressLineNumbers w:val="0"/>
              <w:autoSpaceDE w:val="0"/>
              <w:autoSpaceDN w:val="0"/>
              <w:adjustRightInd w:val="0"/>
              <w:snapToGrid w:val="0"/>
              <w:spacing w:before="120" w:beforeLines="50" w:beforeAutospacing="0" w:after="0" w:afterAutospacing="0" w:line="360" w:lineRule="auto"/>
              <w:ind w:left="0" w:right="0"/>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1、与生态环境分区管控相符性分析</w:t>
            </w:r>
          </w:p>
          <w:p w14:paraId="7E3A760D">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（1）生态保护红线</w:t>
            </w:r>
          </w:p>
          <w:p w14:paraId="32E1373A">
            <w:pPr>
              <w:keepNext w:val="0"/>
              <w:keepLines w:val="0"/>
              <w:suppressLineNumbers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yellow"/>
                <w:lang w:val="en-US" w:eastAsia="zh-CN"/>
              </w:rPr>
            </w:pPr>
            <w:r>
              <w:rPr>
                <w:rFonts w:hint="eastAsia"/>
                <w:color w:val="auto"/>
                <w:lang w:val="en-US" w:eastAsia="zh-CN"/>
              </w:rPr>
              <w:t>对照</w:t>
            </w:r>
            <w:r>
              <w:rPr>
                <w:rFonts w:hint="eastAsia"/>
                <w:color w:val="auto"/>
                <w:lang w:eastAsia="zh-CN"/>
              </w:rPr>
              <w:t>《</w:t>
            </w:r>
            <w:r>
              <w:rPr>
                <w:rFonts w:hint="eastAsia"/>
                <w:color w:val="auto"/>
                <w:lang w:val="en-US" w:eastAsia="zh-CN"/>
              </w:rPr>
              <w:t>江阴市</w:t>
            </w:r>
            <w:r>
              <w:rPr>
                <w:rFonts w:hint="eastAsia"/>
                <w:color w:val="auto"/>
                <w:kern w:val="0"/>
                <w:szCs w:val="21"/>
                <w:highlight w:val="none"/>
              </w:rPr>
              <w:t>国土空间</w:t>
            </w:r>
            <w:r>
              <w:rPr>
                <w:rFonts w:hint="eastAsia"/>
                <w:color w:val="auto"/>
                <w:kern w:val="0"/>
                <w:szCs w:val="21"/>
                <w:highlight w:val="none"/>
                <w:lang w:val="en-US" w:eastAsia="zh-CN"/>
              </w:rPr>
              <w:t>总体</w:t>
            </w:r>
            <w:r>
              <w:rPr>
                <w:rFonts w:hint="eastAsia"/>
                <w:color w:val="auto"/>
                <w:kern w:val="0"/>
                <w:szCs w:val="21"/>
                <w:highlight w:val="none"/>
              </w:rPr>
              <w:t>规划（2021-2035年）</w:t>
            </w:r>
            <w:r>
              <w:rPr>
                <w:rFonts w:hint="eastAsia"/>
                <w:color w:val="auto"/>
                <w:lang w:eastAsia="zh-CN"/>
              </w:rPr>
              <w:t>》</w:t>
            </w:r>
            <w:r>
              <w:rPr>
                <w:rFonts w:hint="eastAsia"/>
                <w:color w:val="auto"/>
                <w:lang w:val="en-US" w:eastAsia="zh-CN"/>
              </w:rPr>
              <w:t>和</w:t>
            </w:r>
            <w:r>
              <w:rPr>
                <w:rFonts w:hint="default"/>
                <w:color w:val="auto"/>
                <w:kern w:val="2"/>
              </w:rPr>
              <w:t>江阴市“三区三线”划定成果</w:t>
            </w:r>
            <w:r>
              <w:rPr>
                <w:rFonts w:hint="eastAsia"/>
                <w:color w:val="auto"/>
                <w:lang w:val="en-US" w:eastAsia="zh-CN"/>
              </w:rPr>
              <w:t>，</w:t>
            </w:r>
            <w:r>
              <w:rPr>
                <w:rFonts w:hint="default"/>
                <w:color w:val="auto"/>
                <w:shd w:val="clear" w:color="auto" w:fill="auto"/>
              </w:rPr>
              <w:t>本项目</w:t>
            </w:r>
            <w:r>
              <w:rPr>
                <w:rFonts w:hint="eastAsia"/>
                <w:color w:val="auto"/>
              </w:rPr>
              <w:t>不占用</w:t>
            </w:r>
            <w:r>
              <w:rPr>
                <w:rFonts w:hint="eastAsia"/>
                <w:color w:val="auto"/>
                <w:shd w:val="clear" w:color="auto" w:fill="auto"/>
              </w:rPr>
              <w:t>生态保护</w:t>
            </w:r>
            <w:r>
              <w:rPr>
                <w:rFonts w:hint="eastAsia"/>
                <w:color w:val="auto"/>
                <w:highlight w:val="none"/>
                <w:shd w:val="clear" w:color="auto" w:fill="auto"/>
              </w:rPr>
              <w:t>红线</w:t>
            </w:r>
            <w:r>
              <w:rPr>
                <w:rFonts w:hint="eastAsia"/>
                <w:color w:val="auto"/>
                <w:highlight w:val="none"/>
                <w:shd w:val="clear" w:color="auto" w:fill="auto"/>
                <w:lang w:eastAsia="zh-CN"/>
              </w:rPr>
              <w:t>，</w:t>
            </w:r>
            <w:r>
              <w:rPr>
                <w:rFonts w:hint="eastAsia" w:ascii="Times New Roman" w:hAnsi="Times New Roman" w:eastAsia="宋体" w:cs="Times New Roman"/>
                <w:color w:val="auto"/>
                <w:highlight w:val="none"/>
                <w:lang w:val="en-US" w:eastAsia="zh-CN"/>
              </w:rPr>
              <w:t>距离本项目最近的生态保护红线为西石桥饮用水水源保护区，位于本项目上游西北侧约850m。本项目与生态保护红线位置关系图详见附图3。</w:t>
            </w:r>
          </w:p>
          <w:p w14:paraId="0A2A06FB">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w:t>
            </w:r>
            <w:r>
              <w:rPr>
                <w:rFonts w:hint="eastAsia" w:ascii="Times New Roman" w:hAnsi="Times New Roman" w:eastAsia="宋体" w:cs="Times New Roman"/>
                <w:b/>
                <w:bCs/>
                <w:color w:val="auto"/>
                <w:kern w:val="0"/>
                <w:szCs w:val="21"/>
                <w:highlight w:val="none"/>
                <w:lang w:val="en-US" w:eastAsia="zh-CN"/>
              </w:rPr>
              <w:t>2</w:t>
            </w:r>
            <w:r>
              <w:rPr>
                <w:rFonts w:hint="eastAsia" w:ascii="Times New Roman" w:hAnsi="Times New Roman" w:eastAsia="宋体" w:cs="Times New Roman"/>
                <w:b/>
                <w:bCs/>
                <w:color w:val="auto"/>
                <w:kern w:val="0"/>
                <w:szCs w:val="21"/>
                <w:highlight w:val="none"/>
              </w:rPr>
              <w:t>）环境质量底线</w:t>
            </w:r>
          </w:p>
          <w:p w14:paraId="69B15FF6">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Cs w:val="21"/>
                <w:highlight w:val="none"/>
              </w:rPr>
            </w:pPr>
            <w:r>
              <w:rPr>
                <w:rFonts w:hint="default"/>
                <w:color w:val="auto"/>
                <w:highlight w:val="none"/>
              </w:rPr>
              <w:t>根据《202</w:t>
            </w:r>
            <w:r>
              <w:rPr>
                <w:rFonts w:hint="eastAsia"/>
                <w:color w:val="auto"/>
                <w:highlight w:val="none"/>
                <w:lang w:val="en-US" w:eastAsia="zh-CN"/>
              </w:rPr>
              <w:t>4</w:t>
            </w:r>
            <w:r>
              <w:rPr>
                <w:rFonts w:hint="default"/>
                <w:color w:val="auto"/>
                <w:highlight w:val="none"/>
              </w:rPr>
              <w:t>年度江阴市生态环境</w:t>
            </w:r>
            <w:r>
              <w:rPr>
                <w:rFonts w:hint="eastAsia"/>
                <w:color w:val="auto"/>
                <w:highlight w:val="none"/>
                <w:lang w:val="en-US" w:eastAsia="zh-CN"/>
              </w:rPr>
              <w:t>状况</w:t>
            </w:r>
            <w:r>
              <w:rPr>
                <w:rFonts w:hint="default"/>
                <w:color w:val="auto"/>
                <w:highlight w:val="none"/>
              </w:rPr>
              <w:t>公报》，</w:t>
            </w:r>
            <w:r>
              <w:rPr>
                <w:rFonts w:hint="eastAsia"/>
                <w:color w:val="auto"/>
                <w:szCs w:val="21"/>
                <w:highlight w:val="none"/>
              </w:rPr>
              <w:t>2024年，全市PM</w:t>
            </w:r>
            <w:r>
              <w:rPr>
                <w:rFonts w:hint="eastAsia"/>
                <w:color w:val="auto"/>
                <w:szCs w:val="21"/>
                <w:highlight w:val="none"/>
                <w:vertAlign w:val="subscript"/>
              </w:rPr>
              <w:t>2.5</w:t>
            </w:r>
            <w:r>
              <w:rPr>
                <w:rFonts w:hint="eastAsia"/>
                <w:color w:val="auto"/>
                <w:szCs w:val="21"/>
                <w:highlight w:val="none"/>
              </w:rPr>
              <w:t>年平均浓度32微克/立方米，完成省、市下达的目标任务。空气质量优良天数298天，优良天数比率达81.4%。全市空气SO</w:t>
            </w:r>
            <w:r>
              <w:rPr>
                <w:rFonts w:hint="eastAsia"/>
                <w:color w:val="auto"/>
                <w:szCs w:val="21"/>
                <w:highlight w:val="none"/>
                <w:vertAlign w:val="subscript"/>
              </w:rPr>
              <w:t>2</w:t>
            </w:r>
            <w:r>
              <w:rPr>
                <w:rFonts w:hint="eastAsia"/>
                <w:color w:val="auto"/>
                <w:szCs w:val="21"/>
                <w:highlight w:val="none"/>
              </w:rPr>
              <w:t>年平均浓度为8.0微克/立方米，达到一级标准；NO</w:t>
            </w:r>
            <w:r>
              <w:rPr>
                <w:rFonts w:hint="eastAsia"/>
                <w:color w:val="auto"/>
                <w:szCs w:val="21"/>
                <w:highlight w:val="none"/>
                <w:vertAlign w:val="subscript"/>
              </w:rPr>
              <w:t>2</w:t>
            </w:r>
            <w:r>
              <w:rPr>
                <w:rFonts w:hint="eastAsia"/>
                <w:color w:val="auto"/>
                <w:szCs w:val="21"/>
                <w:highlight w:val="none"/>
              </w:rPr>
              <w:t>年平均浓度为33.1微克/立方米，达到一级标准；PM</w:t>
            </w:r>
            <w:r>
              <w:rPr>
                <w:rFonts w:hint="eastAsia"/>
                <w:color w:val="auto"/>
                <w:szCs w:val="21"/>
                <w:highlight w:val="none"/>
                <w:vertAlign w:val="subscript"/>
              </w:rPr>
              <w:t>10</w:t>
            </w:r>
            <w:r>
              <w:rPr>
                <w:rFonts w:hint="eastAsia"/>
                <w:color w:val="auto"/>
                <w:szCs w:val="21"/>
                <w:highlight w:val="none"/>
              </w:rPr>
              <w:t>年平均浓度为51.7微克/立方米，达到二级标准；CO年平均浓度为1.134毫克/立方米，达到一级标准；O</w:t>
            </w:r>
            <w:r>
              <w:rPr>
                <w:rFonts w:hint="eastAsia"/>
                <w:color w:val="auto"/>
                <w:szCs w:val="21"/>
                <w:highlight w:val="none"/>
                <w:vertAlign w:val="subscript"/>
              </w:rPr>
              <w:t>3</w:t>
            </w:r>
            <w:r>
              <w:rPr>
                <w:rFonts w:hint="eastAsia"/>
                <w:color w:val="auto"/>
                <w:szCs w:val="21"/>
                <w:highlight w:val="none"/>
              </w:rPr>
              <w:t>年平均浓度为162微克/立方米，同比下降6.5%。</w:t>
            </w:r>
            <w:r>
              <w:rPr>
                <w:rFonts w:hint="default"/>
                <w:color w:val="auto"/>
                <w:highlight w:val="none"/>
              </w:rPr>
              <w:t>因此，该区域为不达标区</w:t>
            </w:r>
            <w:r>
              <w:rPr>
                <w:rFonts w:hint="eastAsia"/>
                <w:color w:val="auto"/>
                <w:highlight w:val="none"/>
                <w:lang w:eastAsia="zh-CN"/>
              </w:rPr>
              <w:t>。</w:t>
            </w:r>
            <w:r>
              <w:rPr>
                <w:rFonts w:hint="default"/>
                <w:color w:val="auto"/>
                <w:szCs w:val="21"/>
                <w:highlight w:val="none"/>
              </w:rPr>
              <w:t>目前，</w:t>
            </w:r>
            <w:r>
              <w:rPr>
                <w:rFonts w:hint="default"/>
                <w:color w:val="auto"/>
                <w:highlight w:val="none"/>
              </w:rPr>
              <w:t>地方政府</w:t>
            </w:r>
            <w:r>
              <w:rPr>
                <w:rFonts w:hint="default"/>
                <w:color w:val="auto"/>
                <w:szCs w:val="21"/>
                <w:highlight w:val="none"/>
              </w:rPr>
              <w:t>已经出具大气整治方案和《无锡市大气环境质量限期达标规划（正式稿）》。</w:t>
            </w:r>
          </w:p>
          <w:p w14:paraId="497374C9">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Cs w:val="21"/>
                <w:highlight w:val="yellow"/>
              </w:rPr>
            </w:pPr>
            <w:r>
              <w:rPr>
                <w:rFonts w:hint="default"/>
                <w:color w:val="auto"/>
              </w:rPr>
              <w:t>根据《202</w:t>
            </w:r>
            <w:r>
              <w:rPr>
                <w:rFonts w:hint="eastAsia"/>
                <w:color w:val="auto"/>
                <w:lang w:val="en-US" w:eastAsia="zh-CN"/>
              </w:rPr>
              <w:t>4</w:t>
            </w:r>
            <w:r>
              <w:rPr>
                <w:rFonts w:hint="default"/>
                <w:color w:val="auto"/>
              </w:rPr>
              <w:t>年度江阴市生态环境</w:t>
            </w:r>
            <w:r>
              <w:rPr>
                <w:rFonts w:hint="eastAsia"/>
                <w:color w:val="auto"/>
                <w:lang w:val="en-US" w:eastAsia="zh-CN"/>
              </w:rPr>
              <w:t>状况</w:t>
            </w:r>
            <w:r>
              <w:rPr>
                <w:rFonts w:hint="default"/>
                <w:color w:val="auto"/>
              </w:rPr>
              <w:t>公报》，</w:t>
            </w:r>
            <w:r>
              <w:rPr>
                <w:rFonts w:hint="eastAsia"/>
                <w:color w:val="auto"/>
              </w:rPr>
              <w:t>2024年，全市国、省考河流断面水质优Ⅲ比例达到100%，长江三个集中式饮用水源地达标率100%，长江干流江阴段稳定达到Ⅱ类标准，地表水环境质量总体改善。全市6个国考断面全部达标，18个省考断面全部达标。西石桥饮用水源地水质良好，109项指标均满足《地表水环境质量标准》（GB3838-2002）中集中式生活饮用水地表水源地水质标准要求。16条重点河流中，长江、应天河、桃花港、石牌港、申港河、利港河、老夏港河、新夏港河、白屈港、锡澄运河、新沟河等11条河流水质状况为优；东横河、东清河、二干河、青祝运河、张家港河等5条河流水质状况为良好。与2023年相比，2024年全市16条重点河流中，白屈港、锡澄运河、新沟河、新夏港河水质由良好转为优</w:t>
            </w:r>
            <w:r>
              <w:rPr>
                <w:rFonts w:hint="default"/>
                <w:color w:val="auto"/>
                <w:highlight w:val="none"/>
              </w:rPr>
              <w:t>。</w:t>
            </w:r>
          </w:p>
          <w:p w14:paraId="6DF9F3BA">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auto"/>
                <w:lang w:val="en-US" w:eastAsia="zh-CN"/>
              </w:rPr>
            </w:pPr>
            <w:r>
              <w:rPr>
                <w:rFonts w:hint="default"/>
                <w:color w:val="auto"/>
              </w:rPr>
              <w:t>根据</w:t>
            </w:r>
            <w:r>
              <w:rPr>
                <w:rFonts w:hint="default"/>
                <w:color w:val="auto"/>
                <w:highlight w:val="none"/>
              </w:rPr>
              <w:t>《202</w:t>
            </w:r>
            <w:r>
              <w:rPr>
                <w:rFonts w:hint="eastAsia"/>
                <w:color w:val="auto"/>
                <w:highlight w:val="none"/>
                <w:lang w:val="en-US" w:eastAsia="zh-CN"/>
              </w:rPr>
              <w:t>4</w:t>
            </w:r>
            <w:r>
              <w:rPr>
                <w:rFonts w:hint="default"/>
                <w:color w:val="auto"/>
                <w:highlight w:val="none"/>
              </w:rPr>
              <w:t>年度江阴市生态环境</w:t>
            </w:r>
            <w:r>
              <w:rPr>
                <w:rFonts w:hint="eastAsia"/>
                <w:color w:val="auto"/>
                <w:highlight w:val="none"/>
                <w:lang w:val="en-US" w:eastAsia="zh-CN"/>
              </w:rPr>
              <w:t>状况</w:t>
            </w:r>
            <w:r>
              <w:rPr>
                <w:rFonts w:hint="default"/>
                <w:color w:val="auto"/>
                <w:highlight w:val="none"/>
              </w:rPr>
              <w:t>公报》</w:t>
            </w:r>
            <w:r>
              <w:rPr>
                <w:rFonts w:hint="default"/>
                <w:color w:val="auto"/>
              </w:rPr>
              <w:t>，202</w:t>
            </w:r>
            <w:r>
              <w:rPr>
                <w:rFonts w:hint="eastAsia"/>
                <w:color w:val="auto"/>
                <w:lang w:val="en-US" w:eastAsia="zh-CN"/>
              </w:rPr>
              <w:t>4</w:t>
            </w:r>
            <w:r>
              <w:rPr>
                <w:rFonts w:hint="default"/>
                <w:color w:val="auto"/>
              </w:rPr>
              <w:t>年，全市昼间和夜间声环境质量基本保持稳定，声环境质量总体较好。</w:t>
            </w:r>
          </w:p>
          <w:p w14:paraId="06EAD6FB">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highlight w:val="yellow"/>
                <w:lang w:eastAsia="zh-CN"/>
              </w:rPr>
            </w:pPr>
            <w:r>
              <w:rPr>
                <w:rFonts w:hint="eastAsia"/>
                <w:color w:val="auto"/>
                <w:highlight w:val="none"/>
                <w:lang w:val="en-US" w:eastAsia="zh-CN"/>
              </w:rPr>
              <w:t>本项目废气经密闭管道收集后依托现有催化氧化装置处理后通过现有DA001排气筒排放，项目</w:t>
            </w:r>
            <w:r>
              <w:rPr>
                <w:rFonts w:hint="eastAsia"/>
                <w:color w:val="auto"/>
                <w:highlight w:val="none"/>
              </w:rPr>
              <w:t>不新增</w:t>
            </w:r>
            <w:r>
              <w:rPr>
                <w:rFonts w:hint="eastAsia"/>
                <w:color w:val="auto"/>
                <w:highlight w:val="none"/>
                <w:lang w:val="en-US" w:eastAsia="zh-CN"/>
              </w:rPr>
              <w:t>废水</w:t>
            </w:r>
            <w:r>
              <w:rPr>
                <w:rFonts w:hint="eastAsia"/>
                <w:color w:val="auto"/>
                <w:highlight w:val="none"/>
              </w:rPr>
              <w:t>排放</w:t>
            </w:r>
            <w:r>
              <w:rPr>
                <w:rFonts w:hint="eastAsia"/>
                <w:color w:val="auto"/>
                <w:highlight w:val="none"/>
                <w:lang w:eastAsia="zh-CN"/>
              </w:rPr>
              <w:t>；</w:t>
            </w:r>
            <w:r>
              <w:rPr>
                <w:rFonts w:hint="eastAsia"/>
                <w:color w:val="auto"/>
                <w:highlight w:val="none"/>
              </w:rPr>
              <w:t>采用隔声、减振等防护措施后，噪声对周边环境影响较小。综上，本项目的建设不会超过</w:t>
            </w:r>
            <w:r>
              <w:rPr>
                <w:rFonts w:hint="eastAsia"/>
                <w:color w:val="auto"/>
                <w:highlight w:val="none"/>
                <w:lang w:val="en-US" w:eastAsia="zh-CN"/>
              </w:rPr>
              <w:t>区域</w:t>
            </w:r>
            <w:r>
              <w:rPr>
                <w:rFonts w:hint="eastAsia"/>
                <w:color w:val="auto"/>
                <w:highlight w:val="none"/>
              </w:rPr>
              <w:t>环境质量底线</w:t>
            </w:r>
            <w:r>
              <w:rPr>
                <w:rFonts w:hint="eastAsia"/>
                <w:color w:val="auto"/>
                <w:highlight w:val="none"/>
                <w:lang w:eastAsia="zh-CN"/>
              </w:rPr>
              <w:t>。</w:t>
            </w:r>
          </w:p>
          <w:p w14:paraId="183A3D2D">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lang w:eastAsia="zh-CN"/>
              </w:rPr>
              <w:t>（</w:t>
            </w:r>
            <w:r>
              <w:rPr>
                <w:rFonts w:hint="eastAsia" w:ascii="Times New Roman" w:hAnsi="Times New Roman" w:eastAsia="宋体" w:cs="Times New Roman"/>
                <w:b/>
                <w:bCs/>
                <w:color w:val="auto"/>
                <w:kern w:val="0"/>
                <w:szCs w:val="21"/>
                <w:highlight w:val="none"/>
                <w:lang w:val="en-US" w:eastAsia="zh-CN"/>
              </w:rPr>
              <w:t>3</w:t>
            </w:r>
            <w:r>
              <w:rPr>
                <w:rFonts w:hint="eastAsia" w:ascii="Times New Roman" w:hAnsi="Times New Roman" w:eastAsia="宋体" w:cs="Times New Roman"/>
                <w:b/>
                <w:bCs/>
                <w:color w:val="auto"/>
                <w:kern w:val="0"/>
                <w:szCs w:val="21"/>
                <w:highlight w:val="none"/>
                <w:lang w:eastAsia="zh-CN"/>
              </w:rPr>
              <w:t>）</w:t>
            </w:r>
            <w:r>
              <w:rPr>
                <w:rFonts w:hint="eastAsia" w:ascii="Times New Roman" w:hAnsi="Times New Roman" w:eastAsia="宋体" w:cs="Times New Roman"/>
                <w:b/>
                <w:bCs/>
                <w:color w:val="auto"/>
                <w:kern w:val="0"/>
                <w:szCs w:val="21"/>
                <w:highlight w:val="none"/>
              </w:rPr>
              <w:t>资源利用上线</w:t>
            </w:r>
          </w:p>
          <w:p w14:paraId="7DA90F57">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color w:val="auto"/>
                <w:lang w:eastAsia="zh-CN"/>
              </w:rPr>
            </w:pPr>
            <w:r>
              <w:rPr>
                <w:rFonts w:hint="eastAsia"/>
                <w:color w:val="auto"/>
                <w:kern w:val="0"/>
                <w:szCs w:val="21"/>
              </w:rPr>
              <w:t>本项目</w:t>
            </w:r>
            <w:r>
              <w:rPr>
                <w:rFonts w:hint="eastAsia"/>
                <w:color w:val="auto"/>
                <w:kern w:val="0"/>
                <w:szCs w:val="21"/>
                <w:lang w:val="en-US" w:eastAsia="zh-CN"/>
              </w:rPr>
              <w:t>为液体化工码头和</w:t>
            </w:r>
            <w:r>
              <w:rPr>
                <w:rFonts w:hint="eastAsia"/>
                <w:color w:val="auto"/>
                <w:kern w:val="0"/>
                <w:szCs w:val="21"/>
              </w:rPr>
              <w:t>危险化学品仓储项目</w:t>
            </w:r>
            <w:r>
              <w:rPr>
                <w:rFonts w:hint="eastAsia"/>
                <w:color w:val="auto"/>
                <w:kern w:val="0"/>
                <w:szCs w:val="21"/>
                <w:lang w:eastAsia="zh-CN"/>
              </w:rPr>
              <w:t>，</w:t>
            </w:r>
            <w:r>
              <w:rPr>
                <w:rFonts w:hint="default"/>
                <w:color w:val="auto"/>
              </w:rPr>
              <w:t>不属于</w:t>
            </w:r>
            <w:r>
              <w:rPr>
                <w:rFonts w:hint="eastAsia"/>
                <w:color w:val="auto"/>
              </w:rPr>
              <w:t>《江苏省“两高”项目管理目录（202</w:t>
            </w:r>
            <w:r>
              <w:rPr>
                <w:rFonts w:hint="eastAsia"/>
                <w:color w:val="auto"/>
                <w:lang w:val="en-US" w:eastAsia="zh-CN"/>
              </w:rPr>
              <w:t>5</w:t>
            </w:r>
            <w:r>
              <w:rPr>
                <w:rFonts w:hint="eastAsia"/>
                <w:color w:val="auto"/>
              </w:rPr>
              <w:t>年版）》</w:t>
            </w:r>
            <w:r>
              <w:rPr>
                <w:rFonts w:hint="eastAsia"/>
                <w:color w:val="auto"/>
                <w:lang w:eastAsia="zh-CN"/>
              </w:rPr>
              <w:t>（</w:t>
            </w:r>
            <w:r>
              <w:rPr>
                <w:rFonts w:hint="eastAsia"/>
                <w:color w:val="auto"/>
              </w:rPr>
              <w:t>苏发改规发〔202</w:t>
            </w:r>
            <w:r>
              <w:rPr>
                <w:rFonts w:hint="eastAsia"/>
                <w:color w:val="auto"/>
                <w:lang w:val="en-US" w:eastAsia="zh-CN"/>
              </w:rPr>
              <w:t>5</w:t>
            </w:r>
            <w:r>
              <w:rPr>
                <w:rFonts w:hint="eastAsia"/>
                <w:color w:val="auto"/>
              </w:rPr>
              <w:t>〕4号</w:t>
            </w:r>
            <w:r>
              <w:rPr>
                <w:rFonts w:hint="eastAsia"/>
                <w:color w:val="auto"/>
                <w:lang w:eastAsia="zh-CN"/>
              </w:rPr>
              <w:t>）</w:t>
            </w:r>
            <w:r>
              <w:rPr>
                <w:rFonts w:hint="default"/>
                <w:color w:val="auto"/>
              </w:rPr>
              <w:t>中“两高”项目范围</w:t>
            </w:r>
            <w:r>
              <w:rPr>
                <w:rFonts w:hint="eastAsia"/>
                <w:color w:val="auto"/>
                <w:lang w:eastAsia="zh-CN"/>
              </w:rPr>
              <w:t>；</w:t>
            </w:r>
            <w:r>
              <w:rPr>
                <w:rFonts w:hint="eastAsia"/>
                <w:color w:val="auto"/>
                <w:lang w:val="en-US" w:eastAsia="zh-CN"/>
              </w:rPr>
              <w:t>项目位于企业现有厂区内，</w:t>
            </w:r>
            <w:r>
              <w:rPr>
                <w:rFonts w:hint="eastAsia"/>
                <w:color w:val="auto"/>
              </w:rPr>
              <w:t>不占用新的土地资源；项目用电量较小</w:t>
            </w:r>
            <w:r>
              <w:rPr>
                <w:rFonts w:hint="eastAsia"/>
                <w:color w:val="auto"/>
                <w:lang w:eastAsia="zh-CN"/>
              </w:rPr>
              <w:t>。因此，本项目的建设</w:t>
            </w:r>
            <w:r>
              <w:rPr>
                <w:rFonts w:hint="eastAsia"/>
                <w:color w:val="auto"/>
                <w:highlight w:val="none"/>
              </w:rPr>
              <w:t>不会超过</w:t>
            </w:r>
            <w:r>
              <w:rPr>
                <w:rFonts w:hint="eastAsia"/>
                <w:color w:val="auto"/>
                <w:highlight w:val="none"/>
                <w:lang w:val="en-US" w:eastAsia="zh-CN"/>
              </w:rPr>
              <w:t>区域资源利用上线。</w:t>
            </w:r>
          </w:p>
          <w:p w14:paraId="7F393273">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jc w:val="left"/>
              <w:rPr>
                <w:rFonts w:hint="eastAsia" w:ascii="Times New Roman" w:hAnsi="Times New Roman" w:eastAsia="宋体" w:cs="Times New Roman"/>
                <w:b/>
                <w:bCs/>
                <w:color w:val="auto"/>
                <w:kern w:val="0"/>
                <w:szCs w:val="21"/>
                <w:highlight w:val="none"/>
                <w:lang w:eastAsia="zh-CN"/>
              </w:rPr>
            </w:pPr>
            <w:r>
              <w:rPr>
                <w:rFonts w:hint="eastAsia" w:ascii="Times New Roman" w:hAnsi="Times New Roman" w:eastAsia="宋体" w:cs="Times New Roman"/>
                <w:b/>
                <w:bCs/>
                <w:color w:val="auto"/>
                <w:kern w:val="0"/>
                <w:szCs w:val="21"/>
                <w:highlight w:val="none"/>
                <w:lang w:eastAsia="zh-CN"/>
              </w:rPr>
              <w:t>（</w:t>
            </w:r>
            <w:r>
              <w:rPr>
                <w:rFonts w:hint="eastAsia" w:ascii="Times New Roman" w:hAnsi="Times New Roman" w:eastAsia="宋体" w:cs="Times New Roman"/>
                <w:b/>
                <w:bCs/>
                <w:color w:val="auto"/>
                <w:kern w:val="0"/>
                <w:szCs w:val="21"/>
                <w:highlight w:val="none"/>
                <w:lang w:val="en-US" w:eastAsia="zh-CN"/>
              </w:rPr>
              <w:t>4</w:t>
            </w:r>
            <w:r>
              <w:rPr>
                <w:rFonts w:hint="eastAsia" w:ascii="Times New Roman" w:hAnsi="Times New Roman" w:eastAsia="宋体" w:cs="Times New Roman"/>
                <w:b/>
                <w:bCs/>
                <w:color w:val="auto"/>
                <w:kern w:val="0"/>
                <w:szCs w:val="21"/>
                <w:highlight w:val="none"/>
                <w:lang w:eastAsia="zh-CN"/>
              </w:rPr>
              <w:t>）生态环境准入清单</w:t>
            </w:r>
          </w:p>
          <w:p w14:paraId="453388C1">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eastAsia"/>
                <w:b/>
                <w:bCs/>
                <w:color w:val="auto"/>
              </w:rPr>
            </w:pPr>
            <w:r>
              <w:rPr>
                <w:rFonts w:hint="eastAsia"/>
                <w:b/>
                <w:bCs/>
                <w:color w:val="auto"/>
                <w:kern w:val="0"/>
                <w:szCs w:val="21"/>
                <w:highlight w:val="none"/>
                <w:lang w:val="en-US" w:eastAsia="zh-CN"/>
              </w:rPr>
              <w:t>1</w:t>
            </w:r>
            <w:r>
              <w:rPr>
                <w:rFonts w:hint="eastAsia"/>
                <w:b/>
                <w:bCs/>
                <w:color w:val="auto"/>
                <w:kern w:val="0"/>
                <w:szCs w:val="21"/>
                <w:highlight w:val="none"/>
              </w:rPr>
              <w:t>）与《省政府关于印发江苏省“三线一单”生态环境分区管控方案的通知》（苏政发</w:t>
            </w:r>
            <w:r>
              <w:rPr>
                <w:rFonts w:hint="eastAsia"/>
                <w:b/>
                <w:bCs/>
                <w:color w:val="auto"/>
              </w:rPr>
              <w:t>〔</w:t>
            </w:r>
            <w:r>
              <w:rPr>
                <w:rFonts w:hint="eastAsia"/>
                <w:b/>
                <w:bCs/>
                <w:color w:val="auto"/>
                <w:kern w:val="0"/>
                <w:szCs w:val="21"/>
                <w:highlight w:val="none"/>
              </w:rPr>
              <w:t>2020</w:t>
            </w:r>
            <w:r>
              <w:rPr>
                <w:rFonts w:hint="eastAsia"/>
                <w:b/>
                <w:bCs/>
                <w:color w:val="auto"/>
              </w:rPr>
              <w:t>〕</w:t>
            </w:r>
            <w:r>
              <w:rPr>
                <w:rFonts w:hint="eastAsia"/>
                <w:b/>
                <w:bCs/>
                <w:color w:val="auto"/>
                <w:kern w:val="0"/>
                <w:szCs w:val="21"/>
                <w:highlight w:val="none"/>
              </w:rPr>
              <w:t>49号）及《江苏省2023年度生态环境分区管控动态更新成果公告》（江苏省生态环境厅，2024年6月13日）相符</w:t>
            </w:r>
            <w:r>
              <w:rPr>
                <w:rFonts w:hint="default"/>
                <w:b/>
                <w:bCs/>
                <w:color w:val="auto"/>
                <w:kern w:val="0"/>
                <w:szCs w:val="21"/>
                <w:highlight w:val="none"/>
              </w:rPr>
              <w:t>性</w:t>
            </w:r>
          </w:p>
          <w:p w14:paraId="4F26D8F6">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color w:val="auto"/>
                <w:highlight w:val="none"/>
              </w:rPr>
            </w:pPr>
            <w:r>
              <w:rPr>
                <w:rFonts w:hint="eastAsia"/>
                <w:color w:val="auto"/>
                <w:highlight w:val="none"/>
              </w:rPr>
              <w:t>根据《江苏省“三线一单”生态环境分区管控方案》（苏政发</w:t>
            </w:r>
            <w:r>
              <w:rPr>
                <w:rFonts w:hint="eastAsia"/>
                <w:color w:val="auto"/>
              </w:rPr>
              <w:t>〔</w:t>
            </w:r>
            <w:r>
              <w:rPr>
                <w:rFonts w:hint="eastAsia"/>
                <w:color w:val="auto"/>
                <w:kern w:val="0"/>
                <w:szCs w:val="21"/>
                <w:highlight w:val="none"/>
              </w:rPr>
              <w:t>2020</w:t>
            </w:r>
            <w:r>
              <w:rPr>
                <w:rFonts w:hint="eastAsia"/>
                <w:color w:val="auto"/>
              </w:rPr>
              <w:t>〕</w:t>
            </w:r>
            <w:r>
              <w:rPr>
                <w:rFonts w:hint="eastAsia"/>
                <w:color w:val="auto"/>
                <w:highlight w:val="none"/>
              </w:rPr>
              <w:t>49号）及江苏省2023年度生态环境分区管控动态更新成果公告（江苏省生态环境厅，2024年6月13日），全省包括“1”个总体管控要求，长江流域、太湖流域、淮河流域、沿海地区等“4”个重点区域（流域）管控要求，“13”个设区市管控要求，以及全省“N”个（45</w:t>
            </w:r>
            <w:r>
              <w:rPr>
                <w:rFonts w:hint="eastAsia"/>
                <w:color w:val="auto"/>
                <w:highlight w:val="none"/>
                <w:lang w:val="en-US" w:eastAsia="zh-CN"/>
              </w:rPr>
              <w:t>70</w:t>
            </w:r>
            <w:r>
              <w:rPr>
                <w:rFonts w:hint="eastAsia"/>
                <w:color w:val="auto"/>
                <w:highlight w:val="none"/>
              </w:rPr>
              <w:t>个）环境管控单元的生态环境准入清单，着重加强省级及以上产业园区、市县级及以下产业园区环境管理，严格落实生态环境准入清单要求。</w:t>
            </w:r>
          </w:p>
          <w:p w14:paraId="0185DDDE">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eastAsia="宋体"/>
                <w:color w:val="auto"/>
                <w:highlight w:val="yellow"/>
                <w:lang w:eastAsia="zh-CN"/>
              </w:rPr>
            </w:pPr>
            <w:r>
              <w:rPr>
                <w:rFonts w:hint="eastAsia"/>
                <w:color w:val="auto"/>
                <w:highlight w:val="none"/>
                <w:lang w:val="en-US" w:eastAsia="zh-CN"/>
              </w:rPr>
              <w:t>本项目位于</w:t>
            </w:r>
            <w:r>
              <w:rPr>
                <w:rFonts w:hint="eastAsia"/>
                <w:color w:val="auto"/>
                <w:highlight w:val="none"/>
              </w:rPr>
              <w:t>“4”个重点区域（流域）中的</w:t>
            </w:r>
            <w:r>
              <w:rPr>
                <w:rFonts w:hint="eastAsia"/>
                <w:color w:val="auto"/>
                <w:highlight w:val="none"/>
                <w:lang w:val="en-US" w:eastAsia="zh-CN"/>
              </w:rPr>
              <w:t>长江流域和太湖</w:t>
            </w:r>
            <w:r>
              <w:rPr>
                <w:rFonts w:hint="eastAsia"/>
                <w:color w:val="auto"/>
                <w:highlight w:val="none"/>
              </w:rPr>
              <w:t>流域，</w:t>
            </w:r>
            <w:r>
              <w:rPr>
                <w:rFonts w:hint="eastAsia"/>
                <w:color w:val="auto"/>
                <w:highlight w:val="none"/>
                <w:lang w:val="en-US" w:eastAsia="zh-CN"/>
              </w:rPr>
              <w:t>位于重点管控单元和一般管控单元。</w:t>
            </w:r>
            <w:r>
              <w:rPr>
                <w:rFonts w:hint="eastAsia"/>
                <w:color w:val="auto"/>
                <w:highlight w:val="none"/>
              </w:rPr>
              <w:t>本次规划与《江苏省“三线一单”生态环境分区管控方案》（苏政发</w:t>
            </w:r>
            <w:r>
              <w:rPr>
                <w:rFonts w:hint="eastAsia"/>
                <w:color w:val="auto"/>
              </w:rPr>
              <w:t>〔</w:t>
            </w:r>
            <w:r>
              <w:rPr>
                <w:rFonts w:hint="eastAsia"/>
                <w:color w:val="auto"/>
                <w:kern w:val="0"/>
                <w:szCs w:val="21"/>
                <w:highlight w:val="none"/>
              </w:rPr>
              <w:t>2020</w:t>
            </w:r>
            <w:r>
              <w:rPr>
                <w:rFonts w:hint="eastAsia"/>
                <w:color w:val="auto"/>
              </w:rPr>
              <w:t>〕</w:t>
            </w:r>
            <w:r>
              <w:rPr>
                <w:rFonts w:hint="eastAsia"/>
                <w:color w:val="auto"/>
                <w:highlight w:val="none"/>
              </w:rPr>
              <w:t>49号）及江苏省2023年度生态环境分区管控动态更新成果公告（江苏省生态环境厅，2024年6月13日）相符</w:t>
            </w:r>
            <w:r>
              <w:rPr>
                <w:rFonts w:hint="eastAsia"/>
                <w:color w:val="auto"/>
                <w:highlight w:val="none"/>
                <w:lang w:eastAsia="zh-CN"/>
              </w:rPr>
              <w:t>。</w:t>
            </w:r>
          </w:p>
          <w:p w14:paraId="742BF406">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2）与《无锡市“三线一单”生态环境分区管控实施方案》（锡环委办〔2020〕40号）、《江苏省2023年度生态环境分区管控动态更新成果公告》（江苏省生态环境厅，2024年6月13日）及《无锡市2024年度生态环境分区管控动态更新成果公告》（无锡市生态环境局，2025年4月29日）相符性分析</w:t>
            </w:r>
          </w:p>
          <w:p w14:paraId="5F854DC8">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color w:val="auto"/>
                <w:highlight w:val="none"/>
                <w:lang w:val="en-US" w:eastAsia="zh-CN"/>
              </w:rPr>
            </w:pPr>
            <w:r>
              <w:rPr>
                <w:rFonts w:hint="eastAsia" w:ascii="Times New Roman" w:hAnsi="Times New Roman" w:eastAsia="宋体" w:cs="Times New Roman"/>
                <w:color w:val="auto"/>
                <w:highlight w:val="none"/>
                <w:lang w:val="en-US" w:eastAsia="zh-CN"/>
              </w:rPr>
              <w:t>对照《无锡市“三线一单”生态环境分区管控实施方案》（锡环委办〔2020〕40号）、《江苏省2023年度生态环境分区管控动态更新成果公告》（江苏省生态环境厅，2024年6月13日）及《无锡市2024年度生态环境分区管控动态更新成果公告》（无锡市生态环境局，2025年4月29日），本项目库区位于“江苏江阴临港经济开发区”重点管控单元，码头区域位于“利港街道”一般管控单元，</w:t>
            </w:r>
            <w:r>
              <w:rPr>
                <w:rFonts w:hint="eastAsia"/>
                <w:color w:val="auto"/>
              </w:rPr>
              <w:t>不在优先保护单元内，距离本项目最近优先保护单元为项目</w:t>
            </w:r>
            <w:r>
              <w:rPr>
                <w:rFonts w:hint="eastAsia"/>
                <w:color w:val="auto"/>
                <w:lang w:val="en-US" w:eastAsia="zh-CN"/>
              </w:rPr>
              <w:t>上游西北</w:t>
            </w:r>
            <w:r>
              <w:rPr>
                <w:rFonts w:hint="eastAsia"/>
                <w:color w:val="auto"/>
              </w:rPr>
              <w:t>侧</w:t>
            </w:r>
            <w:r>
              <w:rPr>
                <w:rFonts w:hint="eastAsia"/>
                <w:color w:val="auto"/>
                <w:lang w:val="en-US" w:eastAsia="zh-CN"/>
              </w:rPr>
              <w:t>约680</w:t>
            </w:r>
            <w:r>
              <w:rPr>
                <w:rFonts w:hint="eastAsia"/>
                <w:color w:val="auto"/>
              </w:rPr>
              <w:t>m处的长江西石桥饮用水水源保护区</w:t>
            </w:r>
            <w:r>
              <w:rPr>
                <w:rFonts w:hint="eastAsia"/>
                <w:color w:val="auto"/>
                <w:lang w:eastAsia="zh-CN"/>
              </w:rPr>
              <w:t>（</w:t>
            </w:r>
            <w:r>
              <w:rPr>
                <w:rFonts w:hint="eastAsia"/>
                <w:color w:val="auto"/>
                <w:lang w:val="en-US" w:eastAsia="zh-CN"/>
              </w:rPr>
              <w:t>生态空间管控区</w:t>
            </w:r>
            <w:r>
              <w:rPr>
                <w:rFonts w:hint="eastAsia"/>
                <w:color w:val="auto"/>
                <w:lang w:eastAsia="zh-CN"/>
              </w:rPr>
              <w:t>）</w:t>
            </w:r>
            <w:r>
              <w:rPr>
                <w:rFonts w:hint="eastAsia"/>
                <w:color w:val="auto"/>
                <w:lang w:val="en-US" w:eastAsia="zh-CN"/>
              </w:rPr>
              <w:t>和西北侧约850m处的</w:t>
            </w:r>
            <w:r>
              <w:rPr>
                <w:rFonts w:hint="eastAsia"/>
                <w:color w:val="auto"/>
              </w:rPr>
              <w:t>西石桥饮用水水源保护区</w:t>
            </w:r>
            <w:r>
              <w:rPr>
                <w:rFonts w:hint="eastAsia"/>
                <w:color w:val="auto"/>
                <w:lang w:eastAsia="zh-CN"/>
              </w:rPr>
              <w:t>（</w:t>
            </w:r>
            <w:r>
              <w:rPr>
                <w:rFonts w:hint="eastAsia"/>
                <w:color w:val="auto"/>
                <w:lang w:val="en-US" w:eastAsia="zh-CN"/>
              </w:rPr>
              <w:t>生态保护红线</w:t>
            </w:r>
            <w:r>
              <w:rPr>
                <w:rFonts w:hint="eastAsia"/>
                <w:color w:val="auto"/>
                <w:lang w:eastAsia="zh-CN"/>
              </w:rPr>
              <w:t>）</w:t>
            </w:r>
            <w:r>
              <w:rPr>
                <w:rFonts w:hint="eastAsia"/>
                <w:color w:val="auto"/>
                <w:highlight w:val="none"/>
                <w:lang w:val="en-US" w:eastAsia="zh-CN"/>
              </w:rPr>
              <w:t>。</w:t>
            </w:r>
          </w:p>
          <w:p w14:paraId="7410E6D8">
            <w:pPr>
              <w:keepNext w:val="0"/>
              <w:keepLines w:val="0"/>
              <w:suppressLineNumbers w:val="0"/>
              <w:autoSpaceDE w:val="0"/>
              <w:autoSpaceDN w:val="0"/>
              <w:adjustRightInd w:val="0"/>
              <w:snapToGrid w:val="0"/>
              <w:spacing w:before="0" w:beforeAutospacing="0" w:after="0" w:afterAutospacing="0" w:line="360" w:lineRule="auto"/>
              <w:ind w:left="0" w:right="0" w:firstLine="422" w:firstLineChars="200"/>
              <w:rPr>
                <w:rFonts w:hint="eastAsia"/>
                <w:color w:val="auto"/>
              </w:rPr>
            </w:pPr>
            <w:r>
              <w:rPr>
                <w:rFonts w:hint="eastAsia" w:ascii="Times New Roman" w:hAnsi="Times New Roman" w:eastAsia="宋体" w:cs="Times New Roman"/>
                <w:b/>
                <w:bCs/>
                <w:color w:val="auto"/>
                <w:kern w:val="0"/>
                <w:szCs w:val="21"/>
                <w:highlight w:val="none"/>
                <w:lang w:val="en-US" w:eastAsia="zh-CN"/>
              </w:rPr>
              <w:t>3）与长江经济带相关要求相符性分析</w:t>
            </w:r>
          </w:p>
          <w:p w14:paraId="4EA80811">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eastAsia="宋体"/>
                <w:color w:val="auto"/>
                <w:lang w:val="en-US" w:eastAsia="zh-CN"/>
              </w:rPr>
            </w:pPr>
            <w:r>
              <w:rPr>
                <w:rFonts w:hint="eastAsia"/>
                <w:color w:val="auto"/>
              </w:rPr>
              <w:t>对照《长江经济带发展负面清单指南（试行，2022年版）》</w:t>
            </w:r>
            <w:r>
              <w:rPr>
                <w:rFonts w:hint="eastAsia"/>
                <w:color w:val="auto"/>
                <w:lang w:eastAsia="zh-CN"/>
              </w:rPr>
              <w:t>（长江办</w:t>
            </w:r>
            <w:r>
              <w:rPr>
                <w:rFonts w:hint="eastAsia"/>
                <w:color w:val="auto"/>
              </w:rPr>
              <w:t>〔202</w:t>
            </w:r>
            <w:r>
              <w:rPr>
                <w:rFonts w:hint="eastAsia"/>
                <w:color w:val="auto"/>
                <w:lang w:val="en-US" w:eastAsia="zh-CN"/>
              </w:rPr>
              <w:t>2</w:t>
            </w:r>
            <w:r>
              <w:rPr>
                <w:rFonts w:hint="eastAsia"/>
                <w:color w:val="auto"/>
              </w:rPr>
              <w:t>〕</w:t>
            </w:r>
            <w:r>
              <w:rPr>
                <w:rFonts w:hint="eastAsia"/>
                <w:color w:val="auto"/>
                <w:lang w:eastAsia="zh-CN"/>
              </w:rPr>
              <w:t>7号）和《&lt;长江经济带发展负面清单指南（试行，2022年版）&gt;江苏省实施细则》（苏长江办发</w:t>
            </w:r>
            <w:r>
              <w:rPr>
                <w:rFonts w:hint="eastAsia"/>
                <w:color w:val="auto"/>
              </w:rPr>
              <w:t>〔202</w:t>
            </w:r>
            <w:r>
              <w:rPr>
                <w:rFonts w:hint="eastAsia"/>
                <w:color w:val="auto"/>
                <w:lang w:val="en-US" w:eastAsia="zh-CN"/>
              </w:rPr>
              <w:t>2</w:t>
            </w:r>
            <w:r>
              <w:rPr>
                <w:rFonts w:hint="eastAsia"/>
                <w:color w:val="auto"/>
              </w:rPr>
              <w:t>〕</w:t>
            </w:r>
            <w:r>
              <w:rPr>
                <w:rFonts w:hint="eastAsia"/>
                <w:color w:val="auto"/>
                <w:lang w:eastAsia="zh-CN"/>
              </w:rPr>
              <w:t>55号）</w:t>
            </w:r>
            <w:r>
              <w:rPr>
                <w:rFonts w:hint="eastAsia"/>
                <w:color w:val="auto"/>
              </w:rPr>
              <w:t>，本项目</w:t>
            </w:r>
            <w:r>
              <w:rPr>
                <w:rFonts w:hint="eastAsia"/>
                <w:color w:val="auto"/>
                <w:lang w:val="en-US" w:eastAsia="zh-CN"/>
              </w:rPr>
              <w:t>紧邻</w:t>
            </w:r>
            <w:r>
              <w:rPr>
                <w:rFonts w:hint="eastAsia"/>
                <w:color w:val="auto"/>
              </w:rPr>
              <w:t>长江，位于太湖流域三级保护区，与《江苏省太湖水污染防治条例》相符，本项目</w:t>
            </w:r>
            <w:r>
              <w:rPr>
                <w:rFonts w:hint="eastAsia"/>
                <w:color w:val="auto"/>
                <w:kern w:val="0"/>
                <w:szCs w:val="21"/>
                <w:lang w:val="en-US" w:eastAsia="zh-CN"/>
              </w:rPr>
              <w:t>为液体化工码头和</w:t>
            </w:r>
            <w:r>
              <w:rPr>
                <w:rFonts w:hint="eastAsia"/>
                <w:color w:val="auto"/>
                <w:kern w:val="0"/>
                <w:szCs w:val="21"/>
              </w:rPr>
              <w:t>危险化学品仓储项目</w:t>
            </w:r>
            <w:r>
              <w:rPr>
                <w:rFonts w:hint="eastAsia"/>
                <w:color w:val="auto"/>
              </w:rPr>
              <w:t>，不属于《江苏省“两高”项目管理目录（202</w:t>
            </w:r>
            <w:r>
              <w:rPr>
                <w:rFonts w:hint="eastAsia"/>
                <w:color w:val="auto"/>
                <w:lang w:val="en-US" w:eastAsia="zh-CN"/>
              </w:rPr>
              <w:t>5</w:t>
            </w:r>
            <w:r>
              <w:rPr>
                <w:rFonts w:hint="eastAsia"/>
                <w:color w:val="auto"/>
              </w:rPr>
              <w:t>年版）》</w:t>
            </w:r>
            <w:r>
              <w:rPr>
                <w:rFonts w:hint="eastAsia"/>
                <w:color w:val="auto"/>
                <w:lang w:eastAsia="zh-CN"/>
              </w:rPr>
              <w:t>（</w:t>
            </w:r>
            <w:r>
              <w:rPr>
                <w:rFonts w:hint="eastAsia"/>
                <w:color w:val="auto"/>
              </w:rPr>
              <w:t>苏发改规发〔20</w:t>
            </w:r>
            <w:r>
              <w:rPr>
                <w:rFonts w:hint="eastAsia"/>
                <w:color w:val="auto"/>
                <w:lang w:val="en-US" w:eastAsia="zh-CN"/>
              </w:rPr>
              <w:t>25</w:t>
            </w:r>
            <w:r>
              <w:rPr>
                <w:rFonts w:hint="eastAsia"/>
                <w:color w:val="auto"/>
              </w:rPr>
              <w:t>〕4号</w:t>
            </w:r>
            <w:r>
              <w:rPr>
                <w:rFonts w:hint="eastAsia"/>
                <w:color w:val="auto"/>
                <w:lang w:eastAsia="zh-CN"/>
              </w:rPr>
              <w:t>）</w:t>
            </w:r>
            <w:r>
              <w:rPr>
                <w:rFonts w:hint="eastAsia"/>
                <w:color w:val="auto"/>
              </w:rPr>
              <w:t>中“两高”项目范围，项目不属于实施细则中禁止类项目，与文件要求相符。</w:t>
            </w:r>
          </w:p>
          <w:p w14:paraId="583ACA48">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val="0"/>
                <w:color w:val="auto"/>
                <w:sz w:val="21"/>
                <w:szCs w:val="21"/>
                <w:highlight w:val="none"/>
              </w:rPr>
            </w:pPr>
            <w:r>
              <w:rPr>
                <w:rFonts w:hint="eastAsia" w:ascii="Times New Roman" w:hAnsi="Times New Roman" w:eastAsia="宋体" w:cs="Times New Roman"/>
                <w:b/>
                <w:bCs w:val="0"/>
                <w:color w:val="auto"/>
                <w:sz w:val="21"/>
                <w:szCs w:val="21"/>
                <w:highlight w:val="none"/>
                <w:lang w:val="en-US" w:eastAsia="zh-CN"/>
              </w:rPr>
              <w:t>4）</w:t>
            </w:r>
            <w:r>
              <w:rPr>
                <w:rFonts w:hint="eastAsia" w:ascii="Times New Roman" w:hAnsi="Times New Roman" w:eastAsia="宋体" w:cs="Times New Roman"/>
                <w:b/>
                <w:bCs w:val="0"/>
                <w:color w:val="auto"/>
                <w:sz w:val="21"/>
                <w:szCs w:val="21"/>
                <w:highlight w:val="none"/>
              </w:rPr>
              <w:t>与</w:t>
            </w:r>
            <w:r>
              <w:rPr>
                <w:rFonts w:hint="eastAsia" w:ascii="Times New Roman" w:hAnsi="Times New Roman" w:cs="Times New Roman"/>
                <w:b/>
                <w:bCs/>
                <w:color w:val="auto"/>
                <w:sz w:val="21"/>
                <w:szCs w:val="21"/>
                <w:highlight w:val="none"/>
              </w:rPr>
              <w:t>江阴临港化工园</w:t>
            </w:r>
            <w:r>
              <w:rPr>
                <w:rFonts w:hint="eastAsia" w:ascii="Times New Roman" w:hAnsi="Times New Roman" w:eastAsia="宋体" w:cs="Times New Roman"/>
                <w:b/>
                <w:bCs w:val="0"/>
                <w:color w:val="auto"/>
                <w:sz w:val="21"/>
                <w:szCs w:val="21"/>
                <w:highlight w:val="none"/>
                <w:lang w:val="en-US" w:eastAsia="zh-CN"/>
              </w:rPr>
              <w:t>生态环境准入</w:t>
            </w:r>
            <w:r>
              <w:rPr>
                <w:rFonts w:hint="eastAsia" w:ascii="Times New Roman" w:hAnsi="Times New Roman" w:eastAsia="宋体" w:cs="Times New Roman"/>
                <w:b/>
                <w:bCs w:val="0"/>
                <w:color w:val="auto"/>
                <w:sz w:val="21"/>
                <w:szCs w:val="21"/>
                <w:highlight w:val="none"/>
              </w:rPr>
              <w:t>清单相符性分析</w:t>
            </w:r>
          </w:p>
          <w:p w14:paraId="13812C89">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本项目符合准入清单要求。</w:t>
            </w:r>
          </w:p>
          <w:p w14:paraId="18525AC0">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bCs/>
                <w:snapToGrid w:val="0"/>
                <w:color w:val="auto"/>
                <w:szCs w:val="21"/>
                <w:lang w:bidi="ar"/>
              </w:rPr>
            </w:pPr>
            <w:r>
              <w:rPr>
                <w:rFonts w:hint="eastAsia" w:ascii="Times New Roman" w:hAnsi="Times New Roman" w:eastAsia="宋体" w:cs="Times New Roman"/>
                <w:bCs/>
                <w:snapToGrid w:val="0"/>
                <w:color w:val="auto"/>
                <w:szCs w:val="21"/>
                <w:lang w:eastAsia="zh-CN" w:bidi="ar"/>
              </w:rPr>
              <w:t>综上，本项目符合生态环境分区管控要求。</w:t>
            </w:r>
          </w:p>
          <w:p w14:paraId="598A3BA6">
            <w:pPr>
              <w:keepNext w:val="0"/>
              <w:keepLines w:val="0"/>
              <w:suppressLineNumbers w:val="0"/>
              <w:shd w:val="clear" w:color="auto" w:fill="auto"/>
              <w:autoSpaceDE w:val="0"/>
              <w:autoSpaceDN w:val="0"/>
              <w:adjustRightInd w:val="0"/>
              <w:snapToGrid w:val="0"/>
              <w:spacing w:before="0" w:beforeAutospacing="0" w:after="0" w:afterAutospacing="0" w:line="360" w:lineRule="auto"/>
              <w:ind w:left="0" w:right="0"/>
              <w:rPr>
                <w:rFonts w:hint="eastAsia"/>
                <w:b/>
                <w:bCs/>
                <w:color w:val="auto"/>
              </w:rPr>
            </w:pPr>
            <w:r>
              <w:rPr>
                <w:rFonts w:hint="default"/>
                <w:b/>
                <w:bCs/>
                <w:color w:val="auto"/>
                <w:szCs w:val="21"/>
              </w:rPr>
              <w:t>2、产业政策相符性分析</w:t>
            </w:r>
          </w:p>
          <w:p w14:paraId="7C78C8F5">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color w:val="auto"/>
                <w:szCs w:val="21"/>
                <w:highlight w:val="yellow"/>
                <w:lang w:eastAsia="zh-CN"/>
              </w:rPr>
            </w:pPr>
            <w:r>
              <w:rPr>
                <w:rFonts w:hint="eastAsia"/>
                <w:color w:val="auto"/>
                <w:szCs w:val="21"/>
                <w:highlight w:val="none"/>
              </w:rPr>
              <w:t>本项目属于液体化工码头</w:t>
            </w:r>
            <w:r>
              <w:rPr>
                <w:rFonts w:hint="eastAsia"/>
                <w:color w:val="auto"/>
                <w:szCs w:val="21"/>
                <w:highlight w:val="none"/>
                <w:lang w:val="en-US" w:eastAsia="zh-CN"/>
              </w:rPr>
              <w:t>和</w:t>
            </w:r>
            <w:r>
              <w:rPr>
                <w:rFonts w:hint="eastAsia"/>
                <w:color w:val="auto"/>
                <w:szCs w:val="21"/>
                <w:highlight w:val="none"/>
              </w:rPr>
              <w:t>危险品仓储项目，不属于《产业结构调整指导目录（2024年版）》中限制类、淘汰类；</w:t>
            </w:r>
            <w:r>
              <w:rPr>
                <w:rFonts w:hint="eastAsia"/>
                <w:color w:val="auto"/>
                <w:szCs w:val="21"/>
                <w:highlight w:val="none"/>
                <w:lang w:val="en-US" w:eastAsia="zh-CN"/>
              </w:rPr>
              <w:t>不属于《市场准入负面清单（2025年版）》（发改体改规</w:t>
            </w:r>
            <w:r>
              <w:rPr>
                <w:rFonts w:hint="eastAsia"/>
                <w:color w:val="auto"/>
                <w:szCs w:val="21"/>
                <w:highlight w:val="none"/>
              </w:rPr>
              <w:t>〔</w:t>
            </w:r>
            <w:r>
              <w:rPr>
                <w:rFonts w:hint="eastAsia"/>
                <w:color w:val="auto"/>
                <w:szCs w:val="21"/>
                <w:highlight w:val="none"/>
                <w:lang w:val="en-US" w:eastAsia="zh-CN"/>
              </w:rPr>
              <w:t>2025</w:t>
            </w:r>
            <w:r>
              <w:rPr>
                <w:rFonts w:hint="eastAsia"/>
                <w:color w:val="auto"/>
                <w:szCs w:val="21"/>
                <w:highlight w:val="none"/>
              </w:rPr>
              <w:t>〕</w:t>
            </w:r>
            <w:r>
              <w:rPr>
                <w:rFonts w:hint="eastAsia"/>
                <w:color w:val="auto"/>
                <w:szCs w:val="21"/>
                <w:highlight w:val="none"/>
                <w:lang w:val="en-US" w:eastAsia="zh-CN"/>
              </w:rPr>
              <w:t>466号）中禁止准入类项目；</w:t>
            </w:r>
            <w:r>
              <w:rPr>
                <w:rFonts w:hint="eastAsia"/>
                <w:color w:val="auto"/>
                <w:szCs w:val="21"/>
                <w:highlight w:val="none"/>
              </w:rPr>
              <w:t>不属于《无锡市产业结构调整指导目录（试行）》（锡政办发〔2008〕6号）中的禁止类、淘汰类项目</w:t>
            </w:r>
            <w:r>
              <w:rPr>
                <w:rFonts w:hint="eastAsia"/>
                <w:color w:val="auto"/>
                <w:szCs w:val="21"/>
                <w:highlight w:val="none"/>
                <w:lang w:eastAsia="zh-CN"/>
              </w:rPr>
              <w:t>；</w:t>
            </w:r>
            <w:r>
              <w:rPr>
                <w:rFonts w:hint="eastAsia"/>
                <w:color w:val="auto"/>
                <w:szCs w:val="21"/>
                <w:highlight w:val="none"/>
              </w:rPr>
              <w:t>不属于《江苏省太湖流域禁止和限制的产业产品目录（2024年本）》中限制、淘汰和禁止类项目，属于允许类项目</w:t>
            </w:r>
            <w:r>
              <w:rPr>
                <w:rFonts w:hint="eastAsia"/>
                <w:color w:val="auto"/>
                <w:szCs w:val="21"/>
                <w:highlight w:val="none"/>
                <w:lang w:eastAsia="zh-CN"/>
              </w:rPr>
              <w:t>；</w:t>
            </w:r>
            <w:r>
              <w:rPr>
                <w:rFonts w:hint="eastAsia"/>
                <w:color w:val="auto"/>
                <w:szCs w:val="21"/>
                <w:highlight w:val="none"/>
                <w:lang w:val="en-US" w:eastAsia="zh-CN"/>
              </w:rPr>
              <w:t>本项目</w:t>
            </w:r>
            <w:r>
              <w:rPr>
                <w:rFonts w:hint="eastAsia"/>
                <w:color w:val="auto"/>
                <w:szCs w:val="21"/>
                <w:highlight w:val="none"/>
              </w:rPr>
              <w:t>已</w:t>
            </w:r>
            <w:r>
              <w:rPr>
                <w:rFonts w:hint="eastAsia"/>
                <w:color w:val="auto"/>
                <w:szCs w:val="21"/>
                <w:highlight w:val="none"/>
                <w:lang w:val="en-US" w:eastAsia="zh-CN"/>
              </w:rPr>
              <w:t>取得</w:t>
            </w:r>
            <w:r>
              <w:rPr>
                <w:rFonts w:hint="eastAsia"/>
                <w:color w:val="auto"/>
                <w:szCs w:val="21"/>
                <w:highlight w:val="none"/>
              </w:rPr>
              <w:t>江阴市</w:t>
            </w:r>
            <w:r>
              <w:rPr>
                <w:rFonts w:hint="eastAsia"/>
                <w:color w:val="auto"/>
                <w:szCs w:val="21"/>
                <w:highlight w:val="none"/>
                <w:lang w:val="en-US" w:eastAsia="zh-CN"/>
              </w:rPr>
              <w:t>数据</w:t>
            </w:r>
            <w:r>
              <w:rPr>
                <w:rFonts w:hint="eastAsia"/>
                <w:color w:val="auto"/>
                <w:szCs w:val="21"/>
                <w:highlight w:val="none"/>
              </w:rPr>
              <w:t>局出具</w:t>
            </w:r>
            <w:r>
              <w:rPr>
                <w:rFonts w:hint="eastAsia"/>
                <w:color w:val="auto"/>
                <w:szCs w:val="21"/>
                <w:highlight w:val="none"/>
                <w:lang w:eastAsia="zh-CN"/>
              </w:rPr>
              <w:t>的</w:t>
            </w:r>
            <w:r>
              <w:rPr>
                <w:rFonts w:hint="eastAsia"/>
                <w:color w:val="auto"/>
                <w:szCs w:val="21"/>
                <w:highlight w:val="none"/>
              </w:rPr>
              <w:t>备案证（备案号：</w:t>
            </w:r>
            <w:r>
              <w:rPr>
                <w:rFonts w:hint="eastAsia"/>
                <w:color w:val="auto"/>
                <w:szCs w:val="21"/>
                <w:highlight w:val="none"/>
                <w:lang w:val="en-US" w:eastAsia="zh-CN"/>
              </w:rPr>
              <w:t>澄数投备</w:t>
            </w:r>
            <w:r>
              <w:rPr>
                <w:rFonts w:hint="eastAsia"/>
                <w:color w:val="auto"/>
                <w:szCs w:val="21"/>
                <w:highlight w:val="none"/>
              </w:rPr>
              <w:t>〔202</w:t>
            </w:r>
            <w:r>
              <w:rPr>
                <w:rFonts w:hint="eastAsia"/>
                <w:color w:val="auto"/>
                <w:szCs w:val="21"/>
                <w:highlight w:val="none"/>
                <w:lang w:val="en-US" w:eastAsia="zh-CN"/>
              </w:rPr>
              <w:t>6</w:t>
            </w:r>
            <w:r>
              <w:rPr>
                <w:rFonts w:hint="eastAsia"/>
                <w:color w:val="auto"/>
                <w:szCs w:val="21"/>
                <w:highlight w:val="none"/>
              </w:rPr>
              <w:t>〕</w:t>
            </w:r>
            <w:r>
              <w:rPr>
                <w:rFonts w:hint="eastAsia"/>
                <w:color w:val="auto"/>
                <w:szCs w:val="21"/>
                <w:highlight w:val="none"/>
                <w:lang w:val="en-US" w:eastAsia="zh-CN"/>
              </w:rPr>
              <w:t>22</w:t>
            </w:r>
            <w:r>
              <w:rPr>
                <w:rFonts w:hint="eastAsia"/>
                <w:color w:val="auto"/>
                <w:szCs w:val="21"/>
                <w:highlight w:val="none"/>
              </w:rPr>
              <w:t>号）</w:t>
            </w:r>
            <w:r>
              <w:rPr>
                <w:rFonts w:hint="eastAsia"/>
                <w:color w:val="auto"/>
                <w:szCs w:val="21"/>
                <w:highlight w:val="none"/>
                <w:lang w:eastAsia="zh-CN"/>
              </w:rPr>
              <w:t>。</w:t>
            </w:r>
          </w:p>
          <w:p w14:paraId="66651815">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default"/>
                <w:color w:val="auto"/>
                <w:szCs w:val="21"/>
              </w:rPr>
            </w:pPr>
            <w:r>
              <w:rPr>
                <w:rFonts w:hint="eastAsia"/>
                <w:color w:val="auto"/>
                <w:szCs w:val="21"/>
                <w:highlight w:val="none"/>
                <w:lang w:val="en-US" w:eastAsia="zh-CN"/>
              </w:rPr>
              <w:t>综上，</w:t>
            </w:r>
            <w:r>
              <w:rPr>
                <w:rFonts w:hint="default"/>
                <w:color w:val="auto"/>
                <w:szCs w:val="21"/>
              </w:rPr>
              <w:t>本项目的建设符合国家及地方产业政策。</w:t>
            </w:r>
          </w:p>
          <w:p w14:paraId="05739F93">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rPr>
              <w:t>、与相关生态环境保护法律法规政策相符性分析</w:t>
            </w:r>
          </w:p>
          <w:p w14:paraId="7C5AC260">
            <w:pPr>
              <w:keepNext w:val="0"/>
              <w:keepLines w:val="0"/>
              <w:suppressLineNumbers w:val="0"/>
              <w:autoSpaceDE w:val="0"/>
              <w:autoSpaceDN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szCs w:val="21"/>
                <w:highlight w:val="yellow"/>
              </w:rPr>
            </w:pPr>
            <w:r>
              <w:rPr>
                <w:rFonts w:hint="eastAsia" w:ascii="Times New Roman" w:hAnsi="Times New Roman" w:eastAsia="宋体" w:cs="Times New Roman"/>
                <w:color w:val="auto"/>
                <w:szCs w:val="21"/>
                <w:highlight w:val="none"/>
              </w:rPr>
              <w:t>本项目为液体化工码头</w:t>
            </w:r>
            <w:r>
              <w:rPr>
                <w:rFonts w:hint="eastAsia" w:ascii="Times New Roman" w:hAnsi="Times New Roman" w:eastAsia="宋体" w:cs="Times New Roman"/>
                <w:color w:val="auto"/>
                <w:szCs w:val="21"/>
                <w:highlight w:val="none"/>
                <w:lang w:val="en-US" w:eastAsia="zh-CN"/>
              </w:rPr>
              <w:t>和</w:t>
            </w:r>
            <w:r>
              <w:rPr>
                <w:rFonts w:hint="eastAsia" w:ascii="Times New Roman" w:hAnsi="Times New Roman" w:eastAsia="宋体" w:cs="Times New Roman"/>
                <w:color w:val="auto"/>
                <w:szCs w:val="21"/>
                <w:highlight w:val="none"/>
              </w:rPr>
              <w:t>危险品仓储项目，本项目与</w:t>
            </w:r>
            <w:r>
              <w:rPr>
                <w:rFonts w:hint="eastAsia" w:ascii="Times New Roman" w:hAnsi="Times New Roman" w:eastAsia="宋体" w:cs="Times New Roman"/>
                <w:color w:val="auto"/>
                <w:szCs w:val="21"/>
                <w:highlight w:val="none"/>
                <w:lang w:eastAsia="zh-CN"/>
              </w:rPr>
              <w:t>《中华人民共和国长江保护法》《江苏省长江水污染防治条例》《太湖流域管理条例》《江苏省太湖水污染防治条例》</w:t>
            </w:r>
            <w:r>
              <w:rPr>
                <w:rFonts w:hint="eastAsia" w:ascii="Times New Roman" w:hAnsi="Times New Roman" w:eastAsia="宋体" w:cs="Times New Roman"/>
                <w:color w:val="auto"/>
                <w:szCs w:val="21"/>
                <w:highlight w:val="none"/>
              </w:rPr>
              <w:t>等相关生态环境保护法律法规要求相符。</w:t>
            </w:r>
          </w:p>
          <w:p w14:paraId="6EC81AA4">
            <w:pPr>
              <w:keepNext w:val="0"/>
              <w:keepLines w:val="0"/>
              <w:suppressLineNumbers w:val="0"/>
              <w:autoSpaceDE w:val="0"/>
              <w:autoSpaceDN w:val="0"/>
              <w:adjustRightInd w:val="0"/>
              <w:snapToGrid w:val="0"/>
              <w:spacing w:before="0" w:beforeAutospacing="0" w:after="0" w:afterAutospacing="0"/>
              <w:ind w:left="0" w:right="0"/>
              <w:rPr>
                <w:rFonts w:hint="default" w:ascii="宋体" w:hAnsi="宋体" w:cs="宋体"/>
                <w:color w:val="auto"/>
                <w:kern w:val="0"/>
                <w:szCs w:val="21"/>
              </w:rPr>
            </w:pPr>
          </w:p>
        </w:tc>
      </w:tr>
    </w:tbl>
    <w:p w14:paraId="37B5BA5F">
      <w:pPr>
        <w:spacing w:line="360" w:lineRule="auto"/>
        <w:outlineLvl w:val="0"/>
        <w:rPr>
          <w:rFonts w:eastAsia="黑体"/>
          <w:color w:val="auto"/>
          <w:sz w:val="30"/>
        </w:rPr>
        <w:sectPr>
          <w:pgSz w:w="11906" w:h="16838"/>
          <w:pgMar w:top="1440" w:right="1440" w:bottom="1440" w:left="1440"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AB390DB">
      <w:pPr>
        <w:pStyle w:val="19"/>
        <w:tabs>
          <w:tab w:val="left" w:pos="4200"/>
        </w:tabs>
        <w:jc w:val="center"/>
        <w:outlineLvl w:val="0"/>
        <w:rPr>
          <w:rFonts w:ascii="黑体" w:hAnsi="黑体" w:eastAsia="黑体"/>
          <w:snapToGrid w:val="0"/>
          <w:color w:val="auto"/>
          <w:sz w:val="30"/>
          <w:szCs w:val="30"/>
        </w:rPr>
      </w:pPr>
      <w:bookmarkStart w:id="4" w:name="_Toc8323"/>
      <w:r>
        <w:rPr>
          <w:rFonts w:hint="eastAsia" w:ascii="黑体" w:hAnsi="黑体" w:eastAsia="黑体"/>
          <w:snapToGrid w:val="0"/>
          <w:color w:val="auto"/>
          <w:sz w:val="30"/>
          <w:szCs w:val="30"/>
        </w:rPr>
        <w:t>二、建设内容</w:t>
      </w:r>
      <w:bookmarkEnd w:id="4"/>
    </w:p>
    <w:tbl>
      <w:tblPr>
        <w:tblStyle w:val="21"/>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8380"/>
      </w:tblGrid>
      <w:tr w14:paraId="07620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noWrap w:val="0"/>
            <w:vAlign w:val="center"/>
          </w:tcPr>
          <w:p w14:paraId="2847CADC">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地理位置</w:t>
            </w:r>
          </w:p>
        </w:tc>
        <w:tc>
          <w:tcPr>
            <w:tcW w:w="8380" w:type="dxa"/>
            <w:noWrap w:val="0"/>
            <w:vAlign w:val="center"/>
          </w:tcPr>
          <w:p w14:paraId="4406A030">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jc w:val="both"/>
              <w:textAlignment w:val="auto"/>
              <w:rPr>
                <w:rFonts w:hint="default" w:ascii="宋体" w:hAnsi="宋体" w:cs="宋体"/>
                <w:color w:val="auto"/>
                <w:kern w:val="0"/>
                <w:szCs w:val="21"/>
              </w:rPr>
            </w:pPr>
            <w:r>
              <w:rPr>
                <w:rFonts w:hint="eastAsia" w:ascii="Times New Roman" w:hAnsi="Times New Roman" w:eastAsia="宋体" w:cs="Times New Roman"/>
                <w:color w:val="auto"/>
                <w:kern w:val="0"/>
                <w:szCs w:val="21"/>
                <w:lang w:val="en-US" w:eastAsia="zh-CN"/>
              </w:rPr>
              <w:t>江苏苏豪丽天智储循环科技有限公司位于江苏省</w:t>
            </w:r>
            <w:r>
              <w:rPr>
                <w:rFonts w:hint="default" w:ascii="Times New Roman" w:hAnsi="Times New Roman" w:eastAsia="宋体" w:cs="Times New Roman"/>
                <w:color w:val="auto"/>
                <w:kern w:val="0"/>
                <w:szCs w:val="21"/>
              </w:rPr>
              <w:t>无锡市江阴市</w:t>
            </w:r>
            <w:r>
              <w:rPr>
                <w:rFonts w:hint="eastAsia" w:ascii="Times New Roman" w:hAnsi="Times New Roman" w:eastAsia="宋体" w:cs="Times New Roman"/>
                <w:color w:val="auto"/>
                <w:kern w:val="0"/>
                <w:szCs w:val="21"/>
                <w:lang w:val="en-US" w:eastAsia="zh-CN"/>
              </w:rPr>
              <w:t>利港街道</w:t>
            </w:r>
            <w:r>
              <w:rPr>
                <w:rFonts w:hint="default" w:ascii="Times New Roman" w:hAnsi="Times New Roman" w:eastAsia="宋体" w:cs="Times New Roman"/>
                <w:color w:val="auto"/>
                <w:kern w:val="0"/>
                <w:szCs w:val="21"/>
              </w:rPr>
              <w:t>润华路</w:t>
            </w:r>
            <w:r>
              <w:rPr>
                <w:rFonts w:hint="eastAsia" w:ascii="Times New Roman" w:hAnsi="Times New Roman" w:eastAsia="宋体" w:cs="Times New Roman"/>
                <w:color w:val="auto"/>
                <w:kern w:val="0"/>
                <w:szCs w:val="21"/>
                <w:lang w:val="en-US" w:eastAsia="zh-CN"/>
              </w:rPr>
              <w:t>9</w:t>
            </w:r>
            <w:r>
              <w:rPr>
                <w:rFonts w:hint="default" w:ascii="Times New Roman" w:hAnsi="Times New Roman" w:eastAsia="宋体" w:cs="Times New Roman"/>
                <w:color w:val="auto"/>
                <w:kern w:val="0"/>
                <w:szCs w:val="21"/>
              </w:rPr>
              <w:t>号</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公司码头位于无锡（江阴）港石利港区，项目地理位置详见</w:t>
            </w:r>
            <w:r>
              <w:rPr>
                <w:rFonts w:hint="eastAsia" w:ascii="Times New Roman" w:hAnsi="Times New Roman" w:eastAsia="宋体" w:cs="Times New Roman"/>
                <w:color w:val="auto"/>
                <w:kern w:val="0"/>
                <w:szCs w:val="21"/>
                <w:highlight w:val="none"/>
                <w:lang w:val="en-US" w:eastAsia="zh-CN"/>
              </w:rPr>
              <w:t>附图1</w:t>
            </w:r>
            <w:r>
              <w:rPr>
                <w:rFonts w:hint="eastAsia" w:ascii="Times New Roman" w:hAnsi="Times New Roman" w:eastAsia="宋体" w:cs="Times New Roman"/>
                <w:color w:val="auto"/>
                <w:kern w:val="0"/>
                <w:szCs w:val="21"/>
                <w:lang w:val="en-US" w:eastAsia="zh-CN"/>
              </w:rPr>
              <w:t>。</w:t>
            </w:r>
          </w:p>
        </w:tc>
      </w:tr>
      <w:tr w14:paraId="10770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0" w:type="dxa"/>
            <w:noWrap w:val="0"/>
            <w:vAlign w:val="center"/>
          </w:tcPr>
          <w:p w14:paraId="198035C8">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项目组成及规模</w:t>
            </w:r>
          </w:p>
        </w:tc>
        <w:tc>
          <w:tcPr>
            <w:tcW w:w="8380" w:type="dxa"/>
            <w:noWrap w:val="0"/>
            <w:vAlign w:val="center"/>
          </w:tcPr>
          <w:p w14:paraId="6A239D18">
            <w:pPr>
              <w:keepNext w:val="0"/>
              <w:keepLines w:val="0"/>
              <w:suppressLineNumbers w:val="0"/>
              <w:adjustRightInd w:val="0"/>
              <w:snapToGrid w:val="0"/>
              <w:spacing w:before="120" w:beforeLines="50" w:beforeAutospacing="0" w:after="0" w:afterAutospacing="0" w:line="360" w:lineRule="auto"/>
              <w:ind w:left="0" w:right="0" w:firstLine="422" w:firstLineChars="200"/>
              <w:rPr>
                <w:rFonts w:hint="eastAsia" w:eastAsia="宋体"/>
                <w:b/>
                <w:bCs/>
                <w:color w:val="auto"/>
                <w:szCs w:val="21"/>
                <w:lang w:val="en-US" w:eastAsia="zh-CN"/>
              </w:rPr>
            </w:pPr>
            <w:r>
              <w:rPr>
                <w:rFonts w:hint="default"/>
                <w:b/>
                <w:bCs/>
                <w:color w:val="auto"/>
                <w:szCs w:val="21"/>
              </w:rPr>
              <w:t>1、项目</w:t>
            </w:r>
            <w:r>
              <w:rPr>
                <w:rFonts w:hint="eastAsia"/>
                <w:b/>
                <w:bCs/>
                <w:color w:val="auto"/>
                <w:szCs w:val="21"/>
                <w:lang w:val="en-US" w:eastAsia="zh-CN"/>
              </w:rPr>
              <w:t>由来</w:t>
            </w:r>
          </w:p>
          <w:p w14:paraId="7E7BA1D5">
            <w:pPr>
              <w:keepNext w:val="0"/>
              <w:keepLines w:val="0"/>
              <w:widowControl/>
              <w:suppressLineNumbers w:val="0"/>
              <w:adjustRightInd w:val="0"/>
              <w:snapToGrid w:val="0"/>
              <w:spacing w:before="0" w:beforeAutospacing="0" w:after="0" w:afterAutospacing="0" w:line="360" w:lineRule="auto"/>
              <w:ind w:left="0" w:right="0" w:firstLine="420" w:firstLineChars="200"/>
              <w:rPr>
                <w:rFonts w:hint="eastAsia"/>
                <w:i w:val="0"/>
                <w:iCs w:val="0"/>
                <w:color w:val="auto"/>
                <w:highlight w:val="none"/>
              </w:rPr>
            </w:pPr>
            <w:r>
              <w:rPr>
                <w:rFonts w:hint="eastAsia"/>
                <w:i w:val="0"/>
                <w:iCs w:val="0"/>
                <w:color w:val="auto"/>
                <w:highlight w:val="none"/>
              </w:rPr>
              <w:t>江苏苏豪丽天智储循环科技有限公司</w:t>
            </w:r>
            <w:r>
              <w:rPr>
                <w:rFonts w:hint="eastAsia"/>
                <w:i w:val="0"/>
                <w:iCs w:val="0"/>
                <w:color w:val="auto"/>
                <w:highlight w:val="none"/>
                <w:lang w:eastAsia="zh-CN"/>
              </w:rPr>
              <w:t>（</w:t>
            </w:r>
            <w:r>
              <w:rPr>
                <w:rFonts w:hint="eastAsia"/>
                <w:i w:val="0"/>
                <w:iCs w:val="0"/>
                <w:color w:val="auto"/>
                <w:highlight w:val="none"/>
                <w:lang w:val="en-US" w:eastAsia="zh-CN"/>
              </w:rPr>
              <w:t>以下简称“</w:t>
            </w:r>
            <w:r>
              <w:rPr>
                <w:rFonts w:hint="eastAsia"/>
                <w:i w:val="0"/>
                <w:iCs w:val="0"/>
                <w:color w:val="auto"/>
                <w:highlight w:val="none"/>
              </w:rPr>
              <w:t>丽天</w:t>
            </w:r>
            <w:r>
              <w:rPr>
                <w:rFonts w:hint="eastAsia"/>
                <w:i w:val="0"/>
                <w:iCs w:val="0"/>
                <w:color w:val="auto"/>
                <w:highlight w:val="none"/>
                <w:lang w:val="en-US" w:eastAsia="zh-CN"/>
              </w:rPr>
              <w:t>公司”</w:t>
            </w:r>
            <w:r>
              <w:rPr>
                <w:rFonts w:hint="eastAsia"/>
                <w:i w:val="0"/>
                <w:iCs w:val="0"/>
                <w:color w:val="auto"/>
                <w:highlight w:val="none"/>
                <w:lang w:eastAsia="zh-CN"/>
              </w:rPr>
              <w:t>）隶属</w:t>
            </w:r>
            <w:r>
              <w:rPr>
                <w:rFonts w:hint="eastAsia"/>
                <w:i w:val="0"/>
                <w:iCs w:val="0"/>
                <w:color w:val="auto"/>
                <w:highlight w:val="none"/>
                <w:lang w:val="en-US" w:eastAsia="zh-CN"/>
              </w:rPr>
              <w:t>江苏省苏豪控股集团有限公司</w:t>
            </w:r>
            <w:r>
              <w:rPr>
                <w:rFonts w:hint="eastAsia"/>
                <w:i w:val="0"/>
                <w:iCs w:val="0"/>
                <w:color w:val="auto"/>
                <w:highlight w:val="none"/>
                <w:lang w:eastAsia="zh-CN"/>
              </w:rPr>
              <w:t>，</w:t>
            </w:r>
            <w:r>
              <w:rPr>
                <w:rFonts w:hint="eastAsia"/>
                <w:i w:val="0"/>
                <w:iCs w:val="0"/>
                <w:color w:val="auto"/>
                <w:highlight w:val="none"/>
              </w:rPr>
              <w:t>原名江苏丽天石化码头有限公司，专业从事油类、芳烃、醇类、酯类和酮类等散装液体石油化工的仓储、转运业务</w:t>
            </w:r>
            <w:r>
              <w:rPr>
                <w:rFonts w:hint="eastAsia"/>
                <w:i w:val="0"/>
                <w:iCs w:val="0"/>
                <w:color w:val="auto"/>
                <w:highlight w:val="none"/>
                <w:lang w:eastAsia="zh-CN"/>
              </w:rPr>
              <w:t>。</w:t>
            </w:r>
            <w:r>
              <w:rPr>
                <w:rFonts w:hint="eastAsia"/>
                <w:i w:val="0"/>
                <w:iCs w:val="0"/>
                <w:color w:val="auto"/>
                <w:highlight w:val="none"/>
              </w:rPr>
              <w:t>公司总占地面积241400</w:t>
            </w:r>
            <w:r>
              <w:rPr>
                <w:rFonts w:hint="eastAsia"/>
                <w:i w:val="0"/>
                <w:iCs w:val="0"/>
                <w:color w:val="auto"/>
                <w:highlight w:val="none"/>
                <w:lang w:val="en-US" w:eastAsia="zh-CN"/>
              </w:rPr>
              <w:t>m</w:t>
            </w:r>
            <w:r>
              <w:rPr>
                <w:rFonts w:hint="eastAsia"/>
                <w:i w:val="0"/>
                <w:iCs w:val="0"/>
                <w:color w:val="auto"/>
                <w:highlight w:val="none"/>
                <w:vertAlign w:val="superscript"/>
                <w:lang w:val="en-US" w:eastAsia="zh-CN"/>
              </w:rPr>
              <w:t>2</w:t>
            </w:r>
            <w:r>
              <w:rPr>
                <w:rFonts w:hint="eastAsia"/>
                <w:i w:val="0"/>
                <w:iCs w:val="0"/>
                <w:color w:val="auto"/>
                <w:highlight w:val="none"/>
              </w:rPr>
              <w:t>，建筑面积4086.99</w:t>
            </w:r>
            <w:r>
              <w:rPr>
                <w:rFonts w:hint="eastAsia"/>
                <w:i w:val="0"/>
                <w:iCs w:val="0"/>
                <w:color w:val="auto"/>
                <w:highlight w:val="none"/>
                <w:lang w:val="en-US" w:eastAsia="zh-CN"/>
              </w:rPr>
              <w:t>m</w:t>
            </w:r>
            <w:r>
              <w:rPr>
                <w:rFonts w:hint="eastAsia"/>
                <w:i w:val="0"/>
                <w:iCs w:val="0"/>
                <w:color w:val="auto"/>
                <w:highlight w:val="none"/>
                <w:vertAlign w:val="superscript"/>
                <w:lang w:val="en-US" w:eastAsia="zh-CN"/>
              </w:rPr>
              <w:t>2</w:t>
            </w:r>
            <w:r>
              <w:rPr>
                <w:rFonts w:hint="eastAsia"/>
                <w:i w:val="0"/>
                <w:iCs w:val="0"/>
                <w:color w:val="auto"/>
                <w:highlight w:val="none"/>
              </w:rPr>
              <w:t>。目前拥有1座液体化工品码头，外档设1个2万吨级液体化工泊位和1个5万吨级液体化工泊位（上下游泊位均为5万吨级靠泊能力，泊位长度可满足1艘5万吨级化学品船和1艘2万吨级化学品船同时靠泊），内档设3个500吨级泊位，满足长江流域液体化工品运输各种船型的装卸要求。码头后方库区设有6</w:t>
            </w:r>
            <w:r>
              <w:rPr>
                <w:rFonts w:hint="eastAsia"/>
                <w:i w:val="0"/>
                <w:iCs w:val="0"/>
                <w:color w:val="auto"/>
                <w:highlight w:val="none"/>
                <w:lang w:val="en-US" w:eastAsia="zh-CN"/>
              </w:rPr>
              <w:t>个</w:t>
            </w:r>
            <w:r>
              <w:rPr>
                <w:rFonts w:hint="eastAsia"/>
                <w:i w:val="0"/>
                <w:iCs w:val="0"/>
                <w:color w:val="auto"/>
                <w:highlight w:val="none"/>
              </w:rPr>
              <w:t>相邻的罐</w:t>
            </w:r>
            <w:r>
              <w:rPr>
                <w:rFonts w:hint="eastAsia"/>
                <w:i w:val="0"/>
                <w:iCs w:val="0"/>
                <w:color w:val="auto"/>
                <w:highlight w:val="none"/>
                <w:lang w:val="en-US" w:eastAsia="zh-CN"/>
              </w:rPr>
              <w:t>区</w:t>
            </w:r>
            <w:r>
              <w:rPr>
                <w:rFonts w:hint="eastAsia"/>
                <w:i w:val="0"/>
                <w:iCs w:val="0"/>
                <w:color w:val="auto"/>
                <w:highlight w:val="none"/>
              </w:rPr>
              <w:t>，设有各类储罐55</w:t>
            </w:r>
            <w:r>
              <w:rPr>
                <w:rFonts w:hint="eastAsia"/>
                <w:i w:val="0"/>
                <w:iCs w:val="0"/>
                <w:color w:val="auto"/>
                <w:highlight w:val="none"/>
                <w:lang w:val="en-US" w:eastAsia="zh-CN"/>
              </w:rPr>
              <w:t>座</w:t>
            </w:r>
            <w:r>
              <w:rPr>
                <w:rFonts w:hint="eastAsia"/>
                <w:i w:val="0"/>
                <w:iCs w:val="0"/>
                <w:color w:val="auto"/>
                <w:highlight w:val="none"/>
              </w:rPr>
              <w:t>，总容积约22万m</w:t>
            </w:r>
            <w:r>
              <w:rPr>
                <w:rFonts w:hint="eastAsia"/>
                <w:i w:val="0"/>
                <w:iCs w:val="0"/>
                <w:color w:val="auto"/>
                <w:highlight w:val="none"/>
                <w:vertAlign w:val="superscript"/>
              </w:rPr>
              <w:t>3</w:t>
            </w:r>
            <w:r>
              <w:rPr>
                <w:rFonts w:hint="eastAsia"/>
                <w:i w:val="0"/>
                <w:iCs w:val="0"/>
                <w:color w:val="auto"/>
                <w:highlight w:val="none"/>
                <w:lang w:eastAsia="zh-CN"/>
              </w:rPr>
              <w:t>。</w:t>
            </w:r>
            <w:r>
              <w:rPr>
                <w:rFonts w:hint="eastAsia"/>
                <w:i w:val="0"/>
                <w:iCs w:val="0"/>
                <w:color w:val="auto"/>
                <w:highlight w:val="none"/>
                <w:lang w:val="en-US" w:eastAsia="zh-CN"/>
              </w:rPr>
              <w:t>其中，一罐区（</w:t>
            </w:r>
            <w:r>
              <w:rPr>
                <w:rFonts w:hint="eastAsia"/>
                <w:i w:val="0"/>
                <w:iCs w:val="0"/>
                <w:color w:val="auto"/>
                <w:highlight w:val="none"/>
              </w:rPr>
              <w:t>球罐区</w:t>
            </w:r>
            <w:r>
              <w:rPr>
                <w:rFonts w:hint="eastAsia"/>
                <w:i w:val="0"/>
                <w:iCs w:val="0"/>
                <w:color w:val="auto"/>
                <w:highlight w:val="none"/>
                <w:lang w:val="en-US" w:eastAsia="zh-CN"/>
              </w:rPr>
              <w:t>）</w:t>
            </w:r>
            <w:r>
              <w:rPr>
                <w:rFonts w:hint="eastAsia"/>
                <w:i w:val="0"/>
                <w:iCs w:val="0"/>
                <w:color w:val="auto"/>
                <w:highlight w:val="none"/>
              </w:rPr>
              <w:t>建有4</w:t>
            </w:r>
            <w:r>
              <w:rPr>
                <w:rFonts w:hint="eastAsia"/>
                <w:i w:val="0"/>
                <w:iCs w:val="0"/>
                <w:color w:val="auto"/>
                <w:highlight w:val="none"/>
                <w:lang w:val="en-US" w:eastAsia="zh-CN"/>
              </w:rPr>
              <w:t>座</w:t>
            </w:r>
            <w:r>
              <w:rPr>
                <w:rFonts w:hint="eastAsia"/>
                <w:i w:val="0"/>
                <w:iCs w:val="0"/>
                <w:color w:val="auto"/>
                <w:highlight w:val="none"/>
              </w:rPr>
              <w:t>5000m</w:t>
            </w:r>
            <w:r>
              <w:rPr>
                <w:rFonts w:hint="eastAsia"/>
                <w:i w:val="0"/>
                <w:iCs w:val="0"/>
                <w:color w:val="auto"/>
                <w:highlight w:val="none"/>
                <w:vertAlign w:val="superscript"/>
              </w:rPr>
              <w:t>3</w:t>
            </w:r>
            <w:r>
              <w:rPr>
                <w:rFonts w:hint="eastAsia"/>
                <w:i w:val="0"/>
                <w:iCs w:val="0"/>
                <w:color w:val="auto"/>
                <w:highlight w:val="none"/>
              </w:rPr>
              <w:t>和4</w:t>
            </w:r>
            <w:r>
              <w:rPr>
                <w:rFonts w:hint="eastAsia"/>
                <w:i w:val="0"/>
                <w:iCs w:val="0"/>
                <w:color w:val="auto"/>
                <w:highlight w:val="none"/>
                <w:lang w:val="en-US" w:eastAsia="zh-CN"/>
              </w:rPr>
              <w:t>座</w:t>
            </w:r>
            <w:r>
              <w:rPr>
                <w:rFonts w:hint="eastAsia"/>
                <w:i w:val="0"/>
                <w:iCs w:val="0"/>
                <w:color w:val="auto"/>
                <w:highlight w:val="none"/>
              </w:rPr>
              <w:t>3000m</w:t>
            </w:r>
            <w:r>
              <w:rPr>
                <w:rFonts w:hint="eastAsia"/>
                <w:i w:val="0"/>
                <w:iCs w:val="0"/>
                <w:color w:val="auto"/>
                <w:highlight w:val="none"/>
                <w:vertAlign w:val="superscript"/>
              </w:rPr>
              <w:t>3</w:t>
            </w:r>
            <w:r>
              <w:rPr>
                <w:rFonts w:hint="eastAsia"/>
                <w:i w:val="0"/>
                <w:iCs w:val="0"/>
                <w:color w:val="auto"/>
                <w:highlight w:val="none"/>
              </w:rPr>
              <w:t>球型储罐；其他5个罐区设置47</w:t>
            </w:r>
            <w:r>
              <w:rPr>
                <w:rFonts w:hint="eastAsia"/>
                <w:i w:val="0"/>
                <w:iCs w:val="0"/>
                <w:color w:val="auto"/>
                <w:highlight w:val="none"/>
                <w:lang w:val="en-US" w:eastAsia="zh-CN"/>
              </w:rPr>
              <w:t>座</w:t>
            </w:r>
            <w:r>
              <w:rPr>
                <w:rFonts w:hint="eastAsia"/>
                <w:i w:val="0"/>
                <w:iCs w:val="0"/>
                <w:color w:val="auto"/>
                <w:highlight w:val="none"/>
              </w:rPr>
              <w:t>不同容积的立式储罐，储存其他液体化工物料</w:t>
            </w:r>
            <w:r>
              <w:rPr>
                <w:rFonts w:hint="eastAsia"/>
                <w:i w:val="0"/>
                <w:iCs w:val="0"/>
                <w:color w:val="auto"/>
                <w:highlight w:val="none"/>
                <w:lang w:eastAsia="zh-CN"/>
              </w:rPr>
              <w:t>。</w:t>
            </w:r>
            <w:r>
              <w:rPr>
                <w:rFonts w:hint="eastAsia"/>
                <w:i w:val="0"/>
                <w:iCs w:val="0"/>
                <w:color w:val="auto"/>
                <w:highlight w:val="none"/>
                <w:lang w:val="en-US" w:eastAsia="zh-CN"/>
              </w:rPr>
              <w:t>二罐区南侧</w:t>
            </w:r>
            <w:r>
              <w:rPr>
                <w:rFonts w:hint="eastAsia"/>
                <w:i w:val="0"/>
                <w:iCs w:val="0"/>
                <w:color w:val="auto"/>
                <w:highlight w:val="none"/>
              </w:rPr>
              <w:t>设有装卸车区，共15组60个可供作业的装卸车台位</w:t>
            </w:r>
            <w:r>
              <w:rPr>
                <w:rFonts w:hint="eastAsia"/>
                <w:i w:val="0"/>
                <w:iCs w:val="0"/>
                <w:color w:val="auto"/>
                <w:highlight w:val="none"/>
                <w:lang w:eastAsia="zh-CN"/>
              </w:rPr>
              <w:t>；三</w:t>
            </w:r>
            <w:r>
              <w:rPr>
                <w:rFonts w:hint="eastAsia"/>
                <w:i w:val="0"/>
                <w:iCs w:val="0"/>
                <w:color w:val="auto"/>
                <w:highlight w:val="none"/>
                <w:lang w:val="en-US" w:eastAsia="zh-CN"/>
              </w:rPr>
              <w:t>罐</w:t>
            </w:r>
            <w:r>
              <w:rPr>
                <w:rFonts w:hint="eastAsia"/>
                <w:i w:val="0"/>
                <w:iCs w:val="0"/>
                <w:color w:val="auto"/>
                <w:highlight w:val="none"/>
                <w:lang w:eastAsia="zh-CN"/>
              </w:rPr>
              <w:t>区泵房</w:t>
            </w:r>
            <w:r>
              <w:rPr>
                <w:rFonts w:hint="eastAsia"/>
                <w:i w:val="0"/>
                <w:iCs w:val="0"/>
                <w:color w:val="auto"/>
                <w:highlight w:val="none"/>
                <w:lang w:val="en-US" w:eastAsia="zh-CN"/>
              </w:rPr>
              <w:t>设有</w:t>
            </w:r>
            <w:r>
              <w:rPr>
                <w:rFonts w:hint="eastAsia"/>
                <w:i w:val="0"/>
                <w:iCs w:val="0"/>
                <w:color w:val="auto"/>
                <w:highlight w:val="none"/>
                <w:lang w:eastAsia="zh-CN"/>
              </w:rPr>
              <w:t>一座餐厨废油（工业级混合油）卸车区；公司东北角</w:t>
            </w:r>
            <w:r>
              <w:rPr>
                <w:rFonts w:hint="eastAsia"/>
                <w:i w:val="0"/>
                <w:iCs w:val="0"/>
                <w:color w:val="auto"/>
                <w:highlight w:val="none"/>
                <w:lang w:val="en-US" w:eastAsia="zh-CN"/>
              </w:rPr>
              <w:t>设有</w:t>
            </w:r>
            <w:r>
              <w:rPr>
                <w:rFonts w:hint="eastAsia"/>
                <w:i w:val="0"/>
                <w:iCs w:val="0"/>
                <w:color w:val="auto"/>
                <w:highlight w:val="none"/>
                <w:lang w:eastAsia="zh-CN"/>
              </w:rPr>
              <w:t>一座沥青卸车区</w:t>
            </w:r>
            <w:r>
              <w:rPr>
                <w:rFonts w:hint="eastAsia"/>
                <w:i w:val="0"/>
                <w:iCs w:val="0"/>
                <w:color w:val="auto"/>
                <w:highlight w:val="none"/>
              </w:rPr>
              <w:t>。</w:t>
            </w:r>
            <w:r>
              <w:rPr>
                <w:rFonts w:hint="eastAsia"/>
                <w:i w:val="0"/>
                <w:iCs w:val="0"/>
                <w:color w:val="auto"/>
                <w:highlight w:val="none"/>
                <w:lang w:val="en-US" w:eastAsia="zh-CN"/>
              </w:rPr>
              <w:t>另外，公司</w:t>
            </w:r>
            <w:r>
              <w:rPr>
                <w:rFonts w:hint="eastAsia"/>
                <w:i w:val="0"/>
                <w:iCs w:val="0"/>
                <w:color w:val="auto"/>
                <w:highlight w:val="none"/>
              </w:rPr>
              <w:t>设有江阴市石利港区长江干线水上洗舱站，洗舱能力为600艘次/年</w:t>
            </w:r>
            <w:r>
              <w:rPr>
                <w:rFonts w:hint="eastAsia"/>
                <w:i w:val="0"/>
                <w:iCs w:val="0"/>
                <w:color w:val="auto"/>
                <w:highlight w:val="none"/>
                <w:lang w:eastAsia="zh-CN"/>
              </w:rPr>
              <w:t>；</w:t>
            </w:r>
            <w:r>
              <w:rPr>
                <w:rFonts w:hint="eastAsia"/>
                <w:i w:val="0"/>
                <w:iCs w:val="0"/>
                <w:color w:val="auto"/>
                <w:highlight w:val="none"/>
                <w:lang w:val="en-US" w:eastAsia="zh-CN"/>
              </w:rPr>
              <w:t>具有</w:t>
            </w:r>
            <w:r>
              <w:rPr>
                <w:rFonts w:hint="eastAsia"/>
                <w:i w:val="0"/>
                <w:iCs w:val="0"/>
                <w:color w:val="auto"/>
                <w:highlight w:val="none"/>
              </w:rPr>
              <w:t>船舶60000吨油污水收集上岸处理的能力。</w:t>
            </w:r>
          </w:p>
          <w:p w14:paraId="6D16585E">
            <w:pPr>
              <w:keepNext w:val="0"/>
              <w:keepLines w:val="0"/>
              <w:widowControl/>
              <w:suppressLineNumbers w:val="0"/>
              <w:adjustRightInd w:val="0"/>
              <w:snapToGrid w:val="0"/>
              <w:spacing w:before="0" w:beforeAutospacing="0" w:after="0" w:afterAutospacing="0" w:line="360" w:lineRule="auto"/>
              <w:ind w:left="0" w:right="0" w:firstLine="420" w:firstLineChars="200"/>
              <w:rPr>
                <w:rFonts w:hint="eastAsia"/>
                <w:i w:val="0"/>
                <w:iCs w:val="0"/>
                <w:color w:val="auto"/>
                <w:highlight w:val="none"/>
              </w:rPr>
            </w:pPr>
            <w:r>
              <w:rPr>
                <w:rFonts w:hint="eastAsia"/>
                <w:i w:val="0"/>
                <w:iCs w:val="0"/>
                <w:color w:val="auto"/>
                <w:highlight w:val="none"/>
              </w:rPr>
              <w:t>丽天</w:t>
            </w:r>
            <w:r>
              <w:rPr>
                <w:rFonts w:hint="eastAsia"/>
                <w:i w:val="0"/>
                <w:iCs w:val="0"/>
                <w:color w:val="auto"/>
                <w:highlight w:val="none"/>
                <w:lang w:val="en-US" w:eastAsia="zh-CN"/>
              </w:rPr>
              <w:t>公司现有可作业货种共计74种，包括：苯、苯乙烯、甲苯、对二甲苯、混二甲苯、丙酮、1,3-丁二烯、苯酚、乙酸、甲醇、乙二醇、二甘醇、异丙醇、1,2-丙二醇、正丁醇、异丁醇、乙酸乙酯、乙酸丁酯、丙烯酸乙酯、丙烯酸丁酯、戊烷（混合碳五）、汽油、柴油、乙醇、乙苯、邻二甲苯、间二甲苯、甲基丙烯酸甲酯、异辛醇、沥青（含煤焦油沥青）、燃料油、正丙醇、1,4-丁二醇、环己酮、丁酮、乙酸酐、基础油、1-丁烯、双环戊二烯、乙酸乙烯酯、石蜡、丙烯酸、丙烯酸甲酯、丙酸、碳四、工业油脂（用过的食用油）、甲基叔丁基醚、石脑油、甘油、炭黑油、碳五馏分、润滑油、环己烷、二乙醇胺、棕榈油、棕榈酸化油、脂肪醇、异戊二烯、1-己烯、碳酸二甲酯、己二胺、环戊烯、1,2-戊二醇、间戊二烯、牛/羊油脂、</w:t>
            </w:r>
            <w:r>
              <w:rPr>
                <w:rFonts w:hint="eastAsia"/>
                <w:i w:val="0"/>
                <w:iCs w:val="0"/>
                <w:color w:val="auto"/>
                <w:highlight w:val="none"/>
              </w:rPr>
              <w:t>1,2-</w:t>
            </w:r>
            <w:r>
              <w:rPr>
                <w:rFonts w:hint="eastAsia"/>
                <w:i w:val="0"/>
                <w:iCs w:val="0"/>
                <w:color w:val="auto"/>
                <w:highlight w:val="none"/>
                <w:lang w:val="en-US" w:eastAsia="zh-CN"/>
              </w:rPr>
              <w:t>二氯乙烷（二氯乙烷）、</w:t>
            </w:r>
            <w:r>
              <w:rPr>
                <w:rFonts w:hint="eastAsia"/>
                <w:i w:val="0"/>
                <w:iCs w:val="0"/>
                <w:color w:val="auto"/>
                <w:highlight w:val="none"/>
              </w:rPr>
              <w:t>烷基</w:t>
            </w:r>
            <w:r>
              <w:rPr>
                <w:rFonts w:hint="eastAsia"/>
                <w:i w:val="0"/>
                <w:iCs w:val="0"/>
                <w:color w:val="auto"/>
                <w:highlight w:val="none"/>
                <w:lang w:val="en-US" w:eastAsia="zh-CN"/>
              </w:rPr>
              <w:t>(</w:t>
            </w:r>
            <w:r>
              <w:rPr>
                <w:rFonts w:hint="eastAsia"/>
                <w:i w:val="0"/>
                <w:iCs w:val="0"/>
                <w:color w:val="auto"/>
                <w:highlight w:val="none"/>
              </w:rPr>
              <w:t>C3-C4</w:t>
            </w:r>
            <w:r>
              <w:rPr>
                <w:rFonts w:hint="eastAsia"/>
                <w:i w:val="0"/>
                <w:iCs w:val="0"/>
                <w:color w:val="auto"/>
                <w:highlight w:val="none"/>
                <w:lang w:val="en-US" w:eastAsia="zh-CN"/>
              </w:rPr>
              <w:t>)</w:t>
            </w:r>
            <w:r>
              <w:rPr>
                <w:rFonts w:hint="eastAsia"/>
                <w:i w:val="0"/>
                <w:iCs w:val="0"/>
                <w:color w:val="auto"/>
                <w:highlight w:val="none"/>
              </w:rPr>
              <w:t>苯</w:t>
            </w:r>
            <w:r>
              <w:rPr>
                <w:rFonts w:hint="eastAsia"/>
                <w:i w:val="0"/>
                <w:iCs w:val="0"/>
                <w:color w:val="auto"/>
                <w:highlight w:val="none"/>
                <w:lang w:eastAsia="zh-CN"/>
              </w:rPr>
              <w:t>（</w:t>
            </w:r>
            <w:r>
              <w:rPr>
                <w:rFonts w:hint="eastAsia"/>
                <w:i w:val="0"/>
                <w:iCs w:val="0"/>
                <w:color w:val="auto"/>
                <w:highlight w:val="none"/>
                <w:lang w:val="en-US" w:eastAsia="zh-CN"/>
              </w:rPr>
              <w:t>混合芳烃</w:t>
            </w:r>
            <w:r>
              <w:rPr>
                <w:rFonts w:hint="eastAsia"/>
                <w:i w:val="0"/>
                <w:iCs w:val="0"/>
                <w:color w:val="auto"/>
                <w:highlight w:val="none"/>
                <w:lang w:eastAsia="zh-CN"/>
              </w:rPr>
              <w:t>）</w:t>
            </w:r>
            <w:r>
              <w:rPr>
                <w:rFonts w:hint="eastAsia"/>
                <w:i w:val="0"/>
                <w:iCs w:val="0"/>
                <w:color w:val="auto"/>
                <w:highlight w:val="none"/>
                <w:lang w:val="en-US" w:eastAsia="zh-CN"/>
              </w:rPr>
              <w:t>、丙酸丁酯、溶剂油</w:t>
            </w:r>
            <w:r>
              <w:rPr>
                <w:rFonts w:hint="eastAsia"/>
                <w:i w:val="0"/>
                <w:iCs w:val="0"/>
                <w:color w:val="auto"/>
                <w:highlight w:val="none"/>
              </w:rPr>
              <w:t>[闭杯闪点≤60</w:t>
            </w:r>
            <w:r>
              <w:rPr>
                <w:rFonts w:hint="eastAsia"/>
                <w:i w:val="0"/>
                <w:iCs w:val="0"/>
                <w:color w:val="auto"/>
                <w:highlight w:val="none"/>
                <w:lang w:val="en-US" w:eastAsia="zh-CN"/>
              </w:rPr>
              <w:t>℃</w:t>
            </w:r>
            <w:r>
              <w:rPr>
                <w:rFonts w:hint="eastAsia"/>
                <w:i w:val="0"/>
                <w:iCs w:val="0"/>
                <w:color w:val="auto"/>
                <w:highlight w:val="none"/>
              </w:rPr>
              <w:t>]</w:t>
            </w:r>
            <w:r>
              <w:rPr>
                <w:rFonts w:hint="eastAsia"/>
                <w:i w:val="0"/>
                <w:iCs w:val="0"/>
                <w:color w:val="auto"/>
                <w:highlight w:val="none"/>
                <w:lang w:val="en-US" w:eastAsia="zh-CN"/>
              </w:rPr>
              <w:t>、硫酸</w:t>
            </w:r>
            <w:r>
              <w:rPr>
                <w:rFonts w:hint="eastAsia"/>
                <w:i w:val="0"/>
                <w:iCs w:val="0"/>
                <w:color w:val="auto"/>
                <w:highlight w:val="none"/>
                <w:lang w:eastAsia="zh-CN"/>
              </w:rPr>
              <w:t>（</w:t>
            </w:r>
            <w:r>
              <w:rPr>
                <w:rFonts w:hint="eastAsia"/>
                <w:i w:val="0"/>
                <w:iCs w:val="0"/>
                <w:color w:val="auto"/>
                <w:highlight w:val="none"/>
              </w:rPr>
              <w:t>98%</w:t>
            </w:r>
            <w:r>
              <w:rPr>
                <w:rFonts w:hint="eastAsia"/>
                <w:i w:val="0"/>
                <w:iCs w:val="0"/>
                <w:color w:val="auto"/>
                <w:highlight w:val="none"/>
                <w:lang w:eastAsia="zh-CN"/>
              </w:rPr>
              <w:t>）</w:t>
            </w:r>
            <w:r>
              <w:rPr>
                <w:rFonts w:hint="eastAsia"/>
                <w:i w:val="0"/>
                <w:iCs w:val="0"/>
                <w:color w:val="auto"/>
                <w:highlight w:val="none"/>
                <w:lang w:val="en-US" w:eastAsia="zh-CN"/>
              </w:rPr>
              <w:t>、氢氧化钠</w:t>
            </w:r>
            <w:r>
              <w:rPr>
                <w:rFonts w:hint="eastAsia"/>
                <w:i w:val="0"/>
                <w:iCs w:val="0"/>
                <w:color w:val="auto"/>
                <w:highlight w:val="none"/>
              </w:rPr>
              <w:t>溶液</w:t>
            </w:r>
            <w:r>
              <w:rPr>
                <w:rFonts w:hint="eastAsia"/>
                <w:i w:val="0"/>
                <w:iCs w:val="0"/>
                <w:color w:val="auto"/>
                <w:highlight w:val="none"/>
                <w:lang w:eastAsia="zh-CN"/>
              </w:rPr>
              <w:t>（</w:t>
            </w:r>
            <w:r>
              <w:rPr>
                <w:rFonts w:hint="eastAsia"/>
                <w:i w:val="0"/>
                <w:iCs w:val="0"/>
                <w:color w:val="auto"/>
                <w:highlight w:val="none"/>
              </w:rPr>
              <w:t>30%</w:t>
            </w:r>
            <w:r>
              <w:rPr>
                <w:rFonts w:hint="eastAsia"/>
                <w:i w:val="0"/>
                <w:iCs w:val="0"/>
                <w:color w:val="auto"/>
                <w:highlight w:val="none"/>
                <w:lang w:eastAsia="zh-CN"/>
              </w:rPr>
              <w:t>）</w:t>
            </w:r>
            <w:r>
              <w:rPr>
                <w:rFonts w:hint="eastAsia"/>
                <w:i w:val="0"/>
                <w:iCs w:val="0"/>
                <w:color w:val="auto"/>
                <w:highlight w:val="none"/>
                <w:lang w:val="en-US" w:eastAsia="zh-CN"/>
              </w:rPr>
              <w:t>、乙烯焦油、航空煤油、脂肪酸甲酯（生物柴油）。</w:t>
            </w:r>
          </w:p>
          <w:p w14:paraId="49AB76C8">
            <w:pPr>
              <w:keepNext w:val="0"/>
              <w:keepLines w:val="0"/>
              <w:widowControl/>
              <w:suppressLineNumbers w:val="0"/>
              <w:adjustRightInd w:val="0"/>
              <w:snapToGrid w:val="0"/>
              <w:spacing w:before="0" w:beforeAutospacing="0" w:after="0" w:afterAutospacing="0" w:line="360" w:lineRule="auto"/>
              <w:ind w:left="0" w:right="0" w:firstLine="420" w:firstLineChars="200"/>
              <w:rPr>
                <w:rFonts w:hint="eastAsia" w:eastAsia="宋体"/>
                <w:i w:val="0"/>
                <w:iCs w:val="0"/>
                <w:color w:val="auto"/>
                <w:highlight w:val="none"/>
                <w:lang w:eastAsia="zh-CN"/>
              </w:rPr>
            </w:pPr>
            <w:r>
              <w:rPr>
                <w:rFonts w:hint="eastAsia"/>
                <w:i w:val="0"/>
                <w:iCs w:val="0"/>
                <w:color w:val="auto"/>
                <w:highlight w:val="none"/>
              </w:rPr>
              <w:t>为积极响应化工行业绿色低碳转型与高质量发展的战略部署，丽天</w:t>
            </w:r>
            <w:r>
              <w:rPr>
                <w:rFonts w:hint="eastAsia"/>
                <w:i w:val="0"/>
                <w:iCs w:val="0"/>
                <w:color w:val="auto"/>
                <w:highlight w:val="none"/>
                <w:lang w:val="en-US" w:eastAsia="zh-CN"/>
              </w:rPr>
              <w:t>公司拟投资284.63万元建设“储存品种调整及储运设施安全改造项目”，该项目不新征土地，建设内容包括存储品种调整、储罐安全改造以及煤焦沥青装车功能改造等。</w:t>
            </w:r>
            <w:r>
              <w:rPr>
                <w:rFonts w:hint="eastAsia"/>
                <w:i w:val="0"/>
                <w:iCs w:val="0"/>
                <w:color w:val="auto"/>
                <w:highlight w:val="none"/>
              </w:rPr>
              <w:t>通过对现有存储的具有较大安全隐患和环境危害的9个品种进行调整并对储罐进行安全改造，降低危险性实现本质安全水平提升，减少环境污染满足日益严格的环保监管要求，推动企业向绿色低碳、高端化、循环化方向转型。同时，受国际政治经济形势变化及贸易政策调整影响，公司现有煤焦沥青业务中“国内车卸、国际船出”的传统作业模式面临较大冲击，业务量出现明显萎缩，单一外向型的业务结构已难以适应当前复杂多变的市场环境。为积极应对市场挑战，增强业务韧性，拓展国内贸易渠道，优化业务结构</w:t>
            </w:r>
            <w:r>
              <w:rPr>
                <w:rFonts w:hint="eastAsia"/>
                <w:i w:val="0"/>
                <w:iCs w:val="0"/>
                <w:color w:val="auto"/>
                <w:highlight w:val="none"/>
                <w:lang w:val="en-US" w:eastAsia="zh-CN"/>
              </w:rPr>
              <w:t>等</w:t>
            </w:r>
            <w:r>
              <w:rPr>
                <w:rFonts w:hint="eastAsia"/>
                <w:i w:val="0"/>
                <w:iCs w:val="0"/>
                <w:color w:val="auto"/>
                <w:highlight w:val="none"/>
                <w:lang w:eastAsia="zh-CN"/>
              </w:rPr>
              <w:t>，</w:t>
            </w:r>
            <w:r>
              <w:rPr>
                <w:rFonts w:hint="eastAsia"/>
                <w:i w:val="0"/>
                <w:iCs w:val="0"/>
                <w:color w:val="auto"/>
                <w:highlight w:val="none"/>
                <w:lang w:val="en-US" w:eastAsia="zh-CN"/>
              </w:rPr>
              <w:t>丽天公司</w:t>
            </w:r>
            <w:r>
              <w:rPr>
                <w:rFonts w:hint="eastAsia"/>
                <w:i w:val="0"/>
                <w:iCs w:val="0"/>
                <w:color w:val="auto"/>
                <w:highlight w:val="none"/>
              </w:rPr>
              <w:t>拟利用现有煤焦沥青卸车区域的管道基础及设施，通过新增装车撬装装置，补充完善煤焦沥青的国内公路装车功能。旨在打通国内贸易的公路发运通道，盘活现有设施利用率，降低对国际市场的过度依赖，进一步提升企业的抗风险能力和市场竞争力，实现内外贸业务的协同发展</w:t>
            </w:r>
            <w:r>
              <w:rPr>
                <w:rFonts w:hint="eastAsia"/>
                <w:i w:val="0"/>
                <w:iCs w:val="0"/>
                <w:color w:val="auto"/>
                <w:highlight w:val="none"/>
                <w:lang w:eastAsia="zh-CN"/>
              </w:rPr>
              <w:t>。</w:t>
            </w:r>
          </w:p>
          <w:p w14:paraId="7B6A4919">
            <w:pPr>
              <w:keepNext w:val="0"/>
              <w:keepLines w:val="0"/>
              <w:widowControl/>
              <w:suppressLineNumbers w:val="0"/>
              <w:adjustRightInd w:val="0"/>
              <w:snapToGrid w:val="0"/>
              <w:spacing w:before="0" w:beforeAutospacing="0" w:after="0" w:afterAutospacing="0" w:line="360" w:lineRule="auto"/>
              <w:ind w:left="0" w:right="0" w:firstLine="420" w:firstLineChars="200"/>
              <w:rPr>
                <w:rFonts w:hint="eastAsia" w:eastAsia="宋体"/>
                <w:color w:val="auto"/>
                <w:highlight w:val="none"/>
                <w:lang w:val="en-US" w:eastAsia="zh-CN"/>
              </w:rPr>
            </w:pPr>
            <w:r>
              <w:rPr>
                <w:rFonts w:hint="eastAsia"/>
                <w:color w:val="auto"/>
                <w:highlight w:val="none"/>
                <w:lang w:val="en-US" w:eastAsia="zh-CN"/>
              </w:rPr>
              <w:t>本项目不改变码头设计通过能力（276万吨/年）和库区库容（22万立方米），库区年周转总量不突破原环评批复总量（272万吨/年）。本项目已取得江阴市数据局</w:t>
            </w:r>
            <w:r>
              <w:rPr>
                <w:rFonts w:hint="eastAsia"/>
                <w:color w:val="auto"/>
                <w:szCs w:val="21"/>
                <w:highlight w:val="none"/>
                <w:lang w:val="en-US" w:eastAsia="zh-CN"/>
              </w:rPr>
              <w:t>备案（澄数投备</w:t>
            </w:r>
            <w:r>
              <w:rPr>
                <w:rFonts w:hint="eastAsia"/>
                <w:color w:val="auto"/>
                <w:szCs w:val="21"/>
                <w:highlight w:val="none"/>
              </w:rPr>
              <w:t>〔202</w:t>
            </w:r>
            <w:r>
              <w:rPr>
                <w:rFonts w:hint="eastAsia"/>
                <w:color w:val="auto"/>
                <w:szCs w:val="21"/>
                <w:highlight w:val="none"/>
                <w:lang w:val="en-US" w:eastAsia="zh-CN"/>
              </w:rPr>
              <w:t>6</w:t>
            </w:r>
            <w:r>
              <w:rPr>
                <w:rFonts w:hint="eastAsia"/>
                <w:color w:val="auto"/>
                <w:szCs w:val="21"/>
                <w:highlight w:val="none"/>
              </w:rPr>
              <w:t>〕</w:t>
            </w:r>
            <w:r>
              <w:rPr>
                <w:rFonts w:hint="eastAsia"/>
                <w:color w:val="auto"/>
                <w:szCs w:val="21"/>
                <w:highlight w:val="none"/>
                <w:lang w:val="en-US" w:eastAsia="zh-CN"/>
              </w:rPr>
              <w:t>22</w:t>
            </w:r>
            <w:r>
              <w:rPr>
                <w:rFonts w:hint="eastAsia"/>
                <w:color w:val="auto"/>
                <w:szCs w:val="21"/>
                <w:highlight w:val="none"/>
              </w:rPr>
              <w:t>号</w:t>
            </w:r>
            <w:r>
              <w:rPr>
                <w:rFonts w:hint="eastAsia"/>
                <w:color w:val="auto"/>
                <w:szCs w:val="21"/>
                <w:highlight w:val="none"/>
                <w:lang w:val="en-US" w:eastAsia="zh-CN"/>
              </w:rPr>
              <w:t>）。</w:t>
            </w:r>
          </w:p>
          <w:p w14:paraId="3539CFB0">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lang w:eastAsia="zh-CN"/>
              </w:rPr>
            </w:pPr>
            <w:r>
              <w:rPr>
                <w:rFonts w:hint="eastAsia"/>
                <w:color w:val="auto"/>
                <w:highlight w:val="none"/>
                <w:lang w:eastAsia="zh-CN"/>
              </w:rPr>
              <w:t>根据《中华人民共和国环境保护法》《建设项目环境保护管理条例》等文件，建设过程中或者建成后可能对环境产生影响的新建、扩建、改建、迁建、技术改造项目及区域开发建设项目，需进行环境影响评价。根据</w:t>
            </w:r>
            <w:r>
              <w:rPr>
                <w:rFonts w:hint="eastAsia"/>
                <w:color w:val="auto"/>
              </w:rPr>
              <w:t>《建设项目环境影响评价分类管理名录（2021年版）》</w:t>
            </w:r>
            <w:r>
              <w:rPr>
                <w:rFonts w:hint="eastAsia"/>
                <w:color w:val="auto"/>
                <w:highlight w:val="none"/>
                <w:lang w:eastAsia="zh-CN"/>
              </w:rPr>
              <w:t>，本项目属于“</w:t>
            </w:r>
            <w:r>
              <w:rPr>
                <w:rFonts w:hint="eastAsia"/>
                <w:color w:val="auto"/>
                <w:highlight w:val="none"/>
                <w:lang w:val="en-US" w:eastAsia="zh-CN"/>
              </w:rPr>
              <w:t>五十二、交通运输业、管道运输业：138油气、液体化工码头--其他”和“五十三、装卸搬运和仓储业59：149危险品仓储594（不含加油站的油库；不含加气站的气库）--其他（含有毒、有害、危险品的仓储；含液化天然气库）”</w:t>
            </w:r>
            <w:r>
              <w:rPr>
                <w:rFonts w:hint="eastAsia"/>
                <w:color w:val="auto"/>
              </w:rPr>
              <w:t>，应编制环境影响报告表。为此，江苏苏豪丽天智储循环科技有限公司委托江苏润环环境科技有限公司承担本项目环境影响报告表的编写工作。接受委托后，江苏润环环境科技有限公司组织项目组人员对该项目区进行了现场踏勘，收集有关项目区的</w:t>
            </w:r>
            <w:r>
              <w:rPr>
                <w:rFonts w:hint="eastAsia"/>
                <w:color w:val="auto"/>
                <w:lang w:val="en-US" w:eastAsia="zh-CN"/>
              </w:rPr>
              <w:t>环境质量现状</w:t>
            </w:r>
            <w:r>
              <w:rPr>
                <w:rFonts w:hint="eastAsia"/>
                <w:color w:val="auto"/>
              </w:rPr>
              <w:t>等基础资料，根据环境影响评价有关规范和技术要求，编制了本项目的环境影响报告表</w:t>
            </w:r>
            <w:r>
              <w:rPr>
                <w:rFonts w:hint="eastAsia"/>
                <w:color w:val="auto"/>
                <w:highlight w:val="none"/>
                <w:lang w:eastAsia="zh-CN"/>
              </w:rPr>
              <w:t>（附大气专项</w:t>
            </w:r>
            <w:r>
              <w:rPr>
                <w:rFonts w:hint="eastAsia"/>
                <w:color w:val="auto"/>
                <w:highlight w:val="none"/>
                <w:lang w:val="en-US" w:eastAsia="zh-CN"/>
              </w:rPr>
              <w:t>评价</w:t>
            </w:r>
            <w:r>
              <w:rPr>
                <w:rFonts w:hint="eastAsia"/>
                <w:color w:val="auto"/>
                <w:highlight w:val="none"/>
                <w:lang w:eastAsia="zh-CN"/>
              </w:rPr>
              <w:t>和环境风险专项评价）</w:t>
            </w:r>
            <w:r>
              <w:rPr>
                <w:rFonts w:hint="eastAsia"/>
                <w:color w:val="auto"/>
              </w:rPr>
              <w:t>，为项目实施和管理提供参考依据</w:t>
            </w:r>
            <w:r>
              <w:rPr>
                <w:rFonts w:hint="eastAsia"/>
                <w:color w:val="auto"/>
                <w:lang w:eastAsia="zh-CN"/>
              </w:rPr>
              <w:t>。</w:t>
            </w:r>
          </w:p>
          <w:p w14:paraId="6DAD641B">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szCs w:val="21"/>
                <w:lang w:eastAsia="zh-CN"/>
              </w:rPr>
            </w:pPr>
            <w:r>
              <w:rPr>
                <w:rFonts w:hint="eastAsia" w:ascii="Times New Roman" w:hAnsi="Times New Roman" w:eastAsia="宋体" w:cs="Times New Roman"/>
                <w:b/>
                <w:bCs/>
                <w:color w:val="auto"/>
                <w:szCs w:val="21"/>
                <w:lang w:val="en-US" w:eastAsia="zh-CN"/>
              </w:rPr>
              <w:t>2、</w:t>
            </w:r>
            <w:r>
              <w:rPr>
                <w:rFonts w:hint="eastAsia" w:ascii="Times New Roman" w:hAnsi="Times New Roman" w:eastAsia="宋体" w:cs="Times New Roman"/>
                <w:b/>
                <w:bCs/>
                <w:color w:val="auto"/>
                <w:szCs w:val="21"/>
                <w:lang w:eastAsia="zh-CN"/>
              </w:rPr>
              <w:t>项目概况</w:t>
            </w:r>
          </w:p>
          <w:p w14:paraId="3759ECAA">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）项目名称：</w:t>
            </w:r>
            <w:r>
              <w:rPr>
                <w:rFonts w:hint="eastAsia" w:ascii="宋体" w:hAnsi="宋体" w:cs="宋体"/>
                <w:color w:val="auto"/>
                <w:szCs w:val="21"/>
                <w:highlight w:val="none"/>
                <w:lang w:val="en-US" w:eastAsia="zh-CN"/>
              </w:rPr>
              <w:t>储存品种调整及储运设施安全改造项目</w:t>
            </w:r>
            <w:r>
              <w:rPr>
                <w:rFonts w:hint="eastAsia" w:ascii="Times New Roman" w:hAnsi="Times New Roman" w:eastAsia="宋体" w:cs="Times New Roman"/>
                <w:color w:val="auto"/>
                <w:highlight w:val="none"/>
                <w:lang w:eastAsia="zh-CN"/>
              </w:rPr>
              <w:t>；</w:t>
            </w:r>
          </w:p>
          <w:p w14:paraId="71505040">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）项目性质：</w:t>
            </w:r>
            <w:r>
              <w:rPr>
                <w:rFonts w:hint="eastAsia" w:ascii="Times New Roman" w:hAnsi="Times New Roman" w:eastAsia="宋体" w:cs="Times New Roman"/>
                <w:color w:val="auto"/>
                <w:highlight w:val="none"/>
                <w:lang w:val="en-US" w:eastAsia="zh-CN"/>
              </w:rPr>
              <w:t>改建</w:t>
            </w:r>
            <w:r>
              <w:rPr>
                <w:rFonts w:hint="eastAsia" w:ascii="Times New Roman" w:hAnsi="Times New Roman" w:eastAsia="宋体" w:cs="Times New Roman"/>
                <w:color w:val="auto"/>
                <w:highlight w:val="none"/>
                <w:lang w:eastAsia="zh-CN"/>
              </w:rPr>
              <w:t>；</w:t>
            </w:r>
          </w:p>
          <w:p w14:paraId="7F7318B5">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）建设单位：</w:t>
            </w:r>
            <w:r>
              <w:rPr>
                <w:rFonts w:hint="eastAsia"/>
                <w:i w:val="0"/>
                <w:iCs w:val="0"/>
                <w:color w:val="auto"/>
                <w:highlight w:val="none"/>
              </w:rPr>
              <w:t>江苏苏豪丽天智储循环科技有限公司</w:t>
            </w:r>
            <w:r>
              <w:rPr>
                <w:rFonts w:hint="eastAsia" w:ascii="Times New Roman" w:hAnsi="Times New Roman" w:eastAsia="宋体" w:cs="Times New Roman"/>
                <w:color w:val="auto"/>
                <w:highlight w:val="none"/>
                <w:lang w:eastAsia="zh-CN"/>
              </w:rPr>
              <w:t>；</w:t>
            </w:r>
          </w:p>
          <w:p w14:paraId="4964B6CB">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yellow"/>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lang w:eastAsia="zh-CN"/>
              </w:rPr>
              <w:t>）建设地点：</w:t>
            </w:r>
            <w:r>
              <w:rPr>
                <w:rFonts w:hint="eastAsia" w:ascii="Times New Roman" w:hAnsi="Times New Roman" w:eastAsia="宋体" w:cs="Times New Roman"/>
                <w:color w:val="auto"/>
                <w:highlight w:val="none"/>
                <w:lang w:val="en-US" w:eastAsia="zh-CN"/>
              </w:rPr>
              <w:t>江苏省</w:t>
            </w:r>
            <w:r>
              <w:rPr>
                <w:rFonts w:hint="eastAsia" w:ascii="Times New Roman" w:hAnsi="Times New Roman" w:eastAsia="宋体" w:cs="Times New Roman"/>
                <w:color w:val="auto"/>
                <w:highlight w:val="none"/>
                <w:lang w:eastAsia="zh-CN"/>
              </w:rPr>
              <w:t>无锡市江阴市</w:t>
            </w:r>
            <w:r>
              <w:rPr>
                <w:rFonts w:hint="eastAsia" w:ascii="Times New Roman" w:hAnsi="Times New Roman" w:eastAsia="宋体" w:cs="Times New Roman"/>
                <w:color w:val="auto"/>
                <w:highlight w:val="none"/>
                <w:lang w:val="en-US" w:eastAsia="zh-CN"/>
              </w:rPr>
              <w:t>利港街道</w:t>
            </w:r>
            <w:r>
              <w:rPr>
                <w:rFonts w:hint="eastAsia" w:ascii="Times New Roman" w:hAnsi="Times New Roman" w:eastAsia="宋体" w:cs="Times New Roman"/>
                <w:color w:val="auto"/>
                <w:highlight w:val="none"/>
                <w:lang w:eastAsia="zh-CN"/>
              </w:rPr>
              <w:t>润华路</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eastAsia="zh-CN"/>
              </w:rPr>
              <w:t>号；</w:t>
            </w:r>
          </w:p>
          <w:p w14:paraId="4926F888">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）行业类别和代码：[G5532]货运港口、[C5942]危险化学品仓储；</w:t>
            </w:r>
          </w:p>
          <w:p w14:paraId="43B315D5">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占地面积</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本项目不新增占地，公司现有总占地面积241400m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eastAsia="zh-CN"/>
              </w:rPr>
              <w:t>；</w:t>
            </w:r>
          </w:p>
          <w:p w14:paraId="50467C94">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eastAsia="zh-CN"/>
              </w:rPr>
              <w:t>）劳动定员：改建前后不新增劳动定员，工作人员从现有项目内调拨，现有劳动定员120人；</w:t>
            </w:r>
          </w:p>
          <w:p w14:paraId="568FDC53">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lang w:eastAsia="zh-CN"/>
              </w:rPr>
              <w:t>）工作制度：本项目建成后，全厂</w:t>
            </w:r>
            <w:r>
              <w:rPr>
                <w:rFonts w:hint="eastAsia" w:ascii="Times New Roman" w:hAnsi="Times New Roman" w:eastAsia="宋体" w:cs="Times New Roman"/>
                <w:color w:val="auto"/>
                <w:highlight w:val="none"/>
                <w:lang w:val="en-US" w:eastAsia="zh-CN"/>
              </w:rPr>
              <w:t>仍</w:t>
            </w:r>
            <w:r>
              <w:rPr>
                <w:rFonts w:hint="eastAsia" w:ascii="Times New Roman" w:hAnsi="Times New Roman" w:eastAsia="宋体" w:cs="Times New Roman"/>
                <w:color w:val="auto"/>
                <w:highlight w:val="none"/>
                <w:lang w:eastAsia="zh-CN"/>
              </w:rPr>
              <w:t>实施“三班”24h工作制，年工作350天，年运行8400h；</w:t>
            </w:r>
          </w:p>
          <w:p w14:paraId="6CBD4FCC">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yellow"/>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eastAsia="zh-CN"/>
              </w:rPr>
              <w:t>）投资总额：总投资约</w:t>
            </w:r>
            <w:r>
              <w:rPr>
                <w:rFonts w:hint="eastAsia" w:ascii="Times New Roman" w:hAnsi="Times New Roman" w:eastAsia="宋体" w:cs="Times New Roman"/>
                <w:color w:val="auto"/>
                <w:highlight w:val="none"/>
                <w:lang w:val="en-US" w:eastAsia="zh-CN"/>
              </w:rPr>
              <w:t>284.63</w:t>
            </w:r>
            <w:r>
              <w:rPr>
                <w:rFonts w:hint="eastAsia" w:ascii="Times New Roman" w:hAnsi="Times New Roman" w:eastAsia="宋体" w:cs="Times New Roman"/>
                <w:color w:val="auto"/>
                <w:highlight w:val="none"/>
                <w:lang w:eastAsia="zh-CN"/>
              </w:rPr>
              <w:t>万元，</w:t>
            </w:r>
            <w:r>
              <w:rPr>
                <w:rFonts w:hint="eastAsia" w:ascii="Times New Roman" w:hAnsi="Times New Roman" w:eastAsia="宋体" w:cs="Times New Roman"/>
                <w:color w:val="auto"/>
                <w:highlight w:val="none"/>
                <w:lang w:val="en-US" w:eastAsia="zh-CN"/>
              </w:rPr>
              <w:t>环保投资约</w:t>
            </w:r>
            <w:r>
              <w:rPr>
                <w:rFonts w:hint="eastAsia" w:cs="Times New Roman"/>
                <w:color w:val="auto"/>
                <w:highlight w:val="none"/>
                <w:lang w:val="en-US" w:eastAsia="zh-CN"/>
              </w:rPr>
              <w:t>25</w:t>
            </w:r>
            <w:r>
              <w:rPr>
                <w:rFonts w:hint="eastAsia" w:ascii="Times New Roman" w:hAnsi="Times New Roman" w:eastAsia="宋体" w:cs="Times New Roman"/>
                <w:color w:val="auto"/>
                <w:highlight w:val="none"/>
                <w:lang w:val="en-US" w:eastAsia="zh-CN"/>
              </w:rPr>
              <w:t>万元，环保投资占比约</w:t>
            </w:r>
            <w:r>
              <w:rPr>
                <w:rFonts w:hint="eastAsia" w:cs="Times New Roman"/>
                <w:color w:val="auto"/>
                <w:highlight w:val="none"/>
                <w:lang w:val="en-US" w:eastAsia="zh-CN"/>
              </w:rPr>
              <w:t>8</w:t>
            </w: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lang w:eastAsia="zh-CN"/>
              </w:rPr>
              <w:t>。</w:t>
            </w:r>
          </w:p>
          <w:p w14:paraId="611B485E">
            <w:pPr>
              <w:keepNext w:val="0"/>
              <w:keepLines w:val="0"/>
              <w:suppressLineNumbers w:val="0"/>
              <w:adjustRightInd w:val="0"/>
              <w:snapToGrid w:val="0"/>
              <w:spacing w:before="0" w:beforeAutospacing="0" w:after="0" w:afterAutospacing="0" w:line="360" w:lineRule="auto"/>
              <w:ind w:left="0" w:right="0" w:firstLine="422" w:firstLineChars="200"/>
              <w:rPr>
                <w:rFonts w:hint="default"/>
                <w:color w:val="auto"/>
                <w:szCs w:val="21"/>
              </w:rPr>
            </w:pPr>
            <w:r>
              <w:rPr>
                <w:rFonts w:hint="eastAsia"/>
                <w:b/>
                <w:bCs/>
                <w:color w:val="auto"/>
                <w:szCs w:val="21"/>
                <w:lang w:val="en-US" w:eastAsia="zh-CN"/>
              </w:rPr>
              <w:t>3</w:t>
            </w:r>
            <w:r>
              <w:rPr>
                <w:rFonts w:hint="default"/>
                <w:b/>
                <w:bCs/>
                <w:color w:val="auto"/>
                <w:szCs w:val="21"/>
              </w:rPr>
              <w:t>、</w:t>
            </w:r>
            <w:r>
              <w:rPr>
                <w:rFonts w:hint="eastAsia"/>
                <w:b/>
                <w:bCs/>
                <w:color w:val="auto"/>
                <w:kern w:val="0"/>
                <w:szCs w:val="21"/>
                <w:lang w:val="en-US" w:eastAsia="zh-CN"/>
              </w:rPr>
              <w:t>项目组成</w:t>
            </w:r>
            <w:r>
              <w:rPr>
                <w:rFonts w:hint="default"/>
                <w:b/>
                <w:bCs/>
                <w:color w:val="auto"/>
                <w:kern w:val="0"/>
                <w:szCs w:val="21"/>
              </w:rPr>
              <w:t>及建设规模</w:t>
            </w:r>
          </w:p>
          <w:p w14:paraId="1EEBE33B">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highlight w:val="none"/>
                <w:lang w:val="en-US" w:eastAsia="zh-CN"/>
              </w:rPr>
            </w:pPr>
            <w:r>
              <w:rPr>
                <w:rFonts w:hint="default"/>
                <w:color w:val="auto"/>
                <w:highlight w:val="none"/>
                <w:lang w:val="en-US" w:eastAsia="zh-CN"/>
              </w:rPr>
              <w:t>本项目</w:t>
            </w:r>
            <w:r>
              <w:rPr>
                <w:rFonts w:hint="eastAsia"/>
                <w:color w:val="auto"/>
                <w:highlight w:val="none"/>
                <w:lang w:val="en-US" w:eastAsia="zh-CN"/>
              </w:rPr>
              <w:t>不新增用地，</w:t>
            </w:r>
            <w:r>
              <w:rPr>
                <w:rFonts w:hint="eastAsia"/>
                <w:color w:val="auto"/>
                <w:highlight w:val="none"/>
              </w:rPr>
              <w:t>不改变码头设计通过能力和库区库容</w:t>
            </w:r>
            <w:r>
              <w:rPr>
                <w:rFonts w:hint="eastAsia"/>
                <w:color w:val="auto"/>
                <w:highlight w:val="none"/>
                <w:lang w:eastAsia="zh-CN"/>
              </w:rPr>
              <w:t>，</w:t>
            </w:r>
            <w:r>
              <w:rPr>
                <w:rFonts w:hint="eastAsia"/>
                <w:color w:val="auto"/>
                <w:szCs w:val="21"/>
                <w:highlight w:val="none"/>
                <w:lang w:val="en-US" w:eastAsia="zh-CN"/>
              </w:rPr>
              <w:t>库区周转总量不突破原环评批复总量</w:t>
            </w:r>
            <w:r>
              <w:rPr>
                <w:rFonts w:hint="eastAsia"/>
                <w:color w:val="auto"/>
                <w:highlight w:val="none"/>
                <w:lang w:val="en-US" w:eastAsia="zh-CN"/>
              </w:rPr>
              <w:t>，</w:t>
            </w:r>
            <w:r>
              <w:rPr>
                <w:rFonts w:hint="default"/>
                <w:color w:val="auto"/>
                <w:highlight w:val="none"/>
                <w:lang w:val="en-US" w:eastAsia="zh-CN"/>
              </w:rPr>
              <w:t>利用现有码头</w:t>
            </w:r>
            <w:r>
              <w:rPr>
                <w:rFonts w:hint="eastAsia"/>
                <w:color w:val="auto"/>
                <w:highlight w:val="none"/>
                <w:lang w:val="en-US" w:eastAsia="zh-CN"/>
              </w:rPr>
              <w:t>及库区</w:t>
            </w:r>
            <w:r>
              <w:rPr>
                <w:rFonts w:hint="default"/>
                <w:color w:val="auto"/>
                <w:highlight w:val="none"/>
                <w:lang w:val="en-US" w:eastAsia="zh-CN"/>
              </w:rPr>
              <w:t>内输送管线，不涉及码头岸线、水工建筑物</w:t>
            </w:r>
            <w:r>
              <w:rPr>
                <w:rFonts w:hint="eastAsia"/>
                <w:color w:val="auto"/>
                <w:highlight w:val="none"/>
                <w:lang w:val="en-US" w:eastAsia="zh-CN"/>
              </w:rPr>
              <w:t>等</w:t>
            </w:r>
            <w:r>
              <w:rPr>
                <w:rFonts w:hint="default"/>
                <w:color w:val="auto"/>
                <w:highlight w:val="none"/>
                <w:lang w:val="en-US" w:eastAsia="zh-CN"/>
              </w:rPr>
              <w:t>建设。</w:t>
            </w:r>
          </w:p>
          <w:p w14:paraId="5757A40A">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highlight w:val="none"/>
                <w:lang w:val="en-US" w:eastAsia="zh-CN"/>
              </w:rPr>
            </w:pPr>
            <w:r>
              <w:rPr>
                <w:rFonts w:hint="eastAsia"/>
                <w:color w:val="auto"/>
                <w:highlight w:val="none"/>
                <w:lang w:val="en-US" w:eastAsia="zh-CN"/>
              </w:rPr>
              <w:t>本项目</w:t>
            </w:r>
            <w:r>
              <w:rPr>
                <w:rFonts w:hint="eastAsia"/>
                <w:i w:val="0"/>
                <w:iCs w:val="0"/>
                <w:color w:val="auto"/>
                <w:highlight w:val="none"/>
              </w:rPr>
              <w:t>拟在经营范围内进行</w:t>
            </w:r>
            <w:r>
              <w:rPr>
                <w:rFonts w:hint="eastAsia"/>
                <w:i w:val="0"/>
                <w:iCs w:val="0"/>
                <w:color w:val="auto"/>
                <w:highlight w:val="none"/>
                <w:lang w:val="en-US" w:eastAsia="zh-CN"/>
              </w:rPr>
              <w:t>货种优化调整</w:t>
            </w:r>
            <w:r>
              <w:rPr>
                <w:rFonts w:hint="eastAsia"/>
                <w:i w:val="0"/>
                <w:iCs w:val="0"/>
                <w:color w:val="auto"/>
                <w:highlight w:val="none"/>
              </w:rPr>
              <w:t>，</w:t>
            </w:r>
            <w:r>
              <w:rPr>
                <w:rFonts w:hint="eastAsia"/>
                <w:color w:val="auto"/>
                <w:highlight w:val="none"/>
                <w:lang w:val="en-US" w:eastAsia="zh-CN"/>
              </w:rPr>
              <w:t>将已通过仓储经营许可（安评环评名录中74个品种）中的高风险、高污染品类删除，包括：</w:t>
            </w:r>
            <w:r>
              <w:rPr>
                <w:rFonts w:hint="eastAsia"/>
                <w:i w:val="0"/>
                <w:iCs w:val="0"/>
                <w:color w:val="auto"/>
                <w:highlight w:val="none"/>
              </w:rPr>
              <w:t>1,2-</w:t>
            </w:r>
            <w:r>
              <w:rPr>
                <w:rFonts w:hint="eastAsia"/>
                <w:i w:val="0"/>
                <w:iCs w:val="0"/>
                <w:color w:val="auto"/>
                <w:highlight w:val="none"/>
                <w:lang w:val="en-US" w:eastAsia="zh-CN"/>
              </w:rPr>
              <w:t>二氯乙烷（二氯乙烷）、</w:t>
            </w:r>
            <w:r>
              <w:rPr>
                <w:rFonts w:hint="eastAsia"/>
                <w:i w:val="0"/>
                <w:iCs w:val="0"/>
                <w:color w:val="auto"/>
                <w:highlight w:val="none"/>
              </w:rPr>
              <w:t>烷基</w:t>
            </w:r>
            <w:r>
              <w:rPr>
                <w:rFonts w:hint="eastAsia"/>
                <w:i w:val="0"/>
                <w:iCs w:val="0"/>
                <w:color w:val="auto"/>
                <w:highlight w:val="none"/>
                <w:lang w:val="en-US" w:eastAsia="zh-CN"/>
              </w:rPr>
              <w:t>(</w:t>
            </w:r>
            <w:r>
              <w:rPr>
                <w:rFonts w:hint="eastAsia"/>
                <w:i w:val="0"/>
                <w:iCs w:val="0"/>
                <w:color w:val="auto"/>
                <w:highlight w:val="none"/>
              </w:rPr>
              <w:t>C3-C4</w:t>
            </w:r>
            <w:r>
              <w:rPr>
                <w:rFonts w:hint="eastAsia"/>
                <w:i w:val="0"/>
                <w:iCs w:val="0"/>
                <w:color w:val="auto"/>
                <w:highlight w:val="none"/>
                <w:lang w:val="en-US" w:eastAsia="zh-CN"/>
              </w:rPr>
              <w:t>)</w:t>
            </w:r>
            <w:r>
              <w:rPr>
                <w:rFonts w:hint="eastAsia"/>
                <w:i w:val="0"/>
                <w:iCs w:val="0"/>
                <w:color w:val="auto"/>
                <w:highlight w:val="none"/>
              </w:rPr>
              <w:t>苯</w:t>
            </w:r>
            <w:r>
              <w:rPr>
                <w:rFonts w:hint="eastAsia"/>
                <w:i w:val="0"/>
                <w:iCs w:val="0"/>
                <w:color w:val="auto"/>
                <w:highlight w:val="none"/>
                <w:lang w:eastAsia="zh-CN"/>
              </w:rPr>
              <w:t>（</w:t>
            </w:r>
            <w:r>
              <w:rPr>
                <w:rFonts w:hint="eastAsia"/>
                <w:i w:val="0"/>
                <w:iCs w:val="0"/>
                <w:color w:val="auto"/>
                <w:highlight w:val="none"/>
                <w:lang w:val="en-US" w:eastAsia="zh-CN"/>
              </w:rPr>
              <w:t>混合芳烃</w:t>
            </w:r>
            <w:r>
              <w:rPr>
                <w:rFonts w:hint="eastAsia"/>
                <w:i w:val="0"/>
                <w:iCs w:val="0"/>
                <w:color w:val="auto"/>
                <w:highlight w:val="none"/>
                <w:lang w:eastAsia="zh-CN"/>
              </w:rPr>
              <w:t>）</w:t>
            </w:r>
            <w:r>
              <w:rPr>
                <w:rFonts w:hint="eastAsia"/>
                <w:i w:val="0"/>
                <w:iCs w:val="0"/>
                <w:color w:val="auto"/>
                <w:highlight w:val="none"/>
                <w:lang w:val="en-US" w:eastAsia="zh-CN"/>
              </w:rPr>
              <w:t>、丙酸丁酯、溶剂油</w:t>
            </w:r>
            <w:r>
              <w:rPr>
                <w:rFonts w:hint="eastAsia"/>
                <w:i w:val="0"/>
                <w:iCs w:val="0"/>
                <w:color w:val="auto"/>
                <w:highlight w:val="none"/>
              </w:rPr>
              <w:t>[闭杯闪点≤60</w:t>
            </w:r>
            <w:r>
              <w:rPr>
                <w:rFonts w:hint="eastAsia"/>
                <w:i w:val="0"/>
                <w:iCs w:val="0"/>
                <w:color w:val="auto"/>
                <w:highlight w:val="none"/>
                <w:lang w:val="en-US" w:eastAsia="zh-CN"/>
              </w:rPr>
              <w:t>℃</w:t>
            </w:r>
            <w:r>
              <w:rPr>
                <w:rFonts w:hint="eastAsia"/>
                <w:i w:val="0"/>
                <w:iCs w:val="0"/>
                <w:color w:val="auto"/>
                <w:highlight w:val="none"/>
              </w:rPr>
              <w:t>]</w:t>
            </w:r>
            <w:r>
              <w:rPr>
                <w:rFonts w:hint="eastAsia"/>
                <w:i w:val="0"/>
                <w:iCs w:val="0"/>
                <w:color w:val="auto"/>
                <w:highlight w:val="none"/>
                <w:lang w:eastAsia="zh-CN"/>
              </w:rPr>
              <w:t>（</w:t>
            </w:r>
            <w:r>
              <w:rPr>
                <w:rFonts w:hint="eastAsia"/>
                <w:i w:val="0"/>
                <w:iCs w:val="0"/>
                <w:color w:val="auto"/>
                <w:highlight w:val="none"/>
                <w:lang w:val="en-US" w:eastAsia="zh-CN"/>
              </w:rPr>
              <w:t>溶剂油</w:t>
            </w:r>
            <w:r>
              <w:rPr>
                <w:rFonts w:hint="eastAsia"/>
                <w:i w:val="0"/>
                <w:iCs w:val="0"/>
                <w:color w:val="auto"/>
                <w:highlight w:val="none"/>
                <w:lang w:eastAsia="zh-CN"/>
              </w:rPr>
              <w:t>）</w:t>
            </w:r>
            <w:r>
              <w:rPr>
                <w:rFonts w:hint="eastAsia"/>
                <w:i w:val="0"/>
                <w:iCs w:val="0"/>
                <w:color w:val="auto"/>
                <w:highlight w:val="none"/>
                <w:lang w:val="en-US" w:eastAsia="zh-CN"/>
              </w:rPr>
              <w:t>、硫酸</w:t>
            </w:r>
            <w:r>
              <w:rPr>
                <w:rFonts w:hint="eastAsia"/>
                <w:i w:val="0"/>
                <w:iCs w:val="0"/>
                <w:color w:val="auto"/>
                <w:highlight w:val="none"/>
                <w:lang w:eastAsia="zh-CN"/>
              </w:rPr>
              <w:t>（</w:t>
            </w:r>
            <w:r>
              <w:rPr>
                <w:rFonts w:hint="eastAsia"/>
                <w:i w:val="0"/>
                <w:iCs w:val="0"/>
                <w:color w:val="auto"/>
                <w:highlight w:val="none"/>
              </w:rPr>
              <w:t>98%</w:t>
            </w:r>
            <w:r>
              <w:rPr>
                <w:rFonts w:hint="eastAsia"/>
                <w:i w:val="0"/>
                <w:iCs w:val="0"/>
                <w:color w:val="auto"/>
                <w:highlight w:val="none"/>
                <w:lang w:eastAsia="zh-CN"/>
              </w:rPr>
              <w:t>）</w:t>
            </w:r>
            <w:r>
              <w:rPr>
                <w:rFonts w:hint="eastAsia"/>
                <w:i w:val="0"/>
                <w:iCs w:val="0"/>
                <w:color w:val="auto"/>
                <w:highlight w:val="none"/>
                <w:lang w:val="en-US" w:eastAsia="zh-CN"/>
              </w:rPr>
              <w:t>、氢氧化钠</w:t>
            </w:r>
            <w:r>
              <w:rPr>
                <w:rFonts w:hint="eastAsia"/>
                <w:i w:val="0"/>
                <w:iCs w:val="0"/>
                <w:color w:val="auto"/>
                <w:highlight w:val="none"/>
              </w:rPr>
              <w:t>溶液</w:t>
            </w:r>
            <w:r>
              <w:rPr>
                <w:rFonts w:hint="eastAsia"/>
                <w:i w:val="0"/>
                <w:iCs w:val="0"/>
                <w:color w:val="auto"/>
                <w:highlight w:val="none"/>
                <w:lang w:eastAsia="zh-CN"/>
              </w:rPr>
              <w:t>（</w:t>
            </w:r>
            <w:r>
              <w:rPr>
                <w:rFonts w:hint="eastAsia"/>
                <w:i w:val="0"/>
                <w:iCs w:val="0"/>
                <w:color w:val="auto"/>
                <w:highlight w:val="none"/>
              </w:rPr>
              <w:t>30%</w:t>
            </w:r>
            <w:r>
              <w:rPr>
                <w:rFonts w:hint="eastAsia"/>
                <w:i w:val="0"/>
                <w:iCs w:val="0"/>
                <w:color w:val="auto"/>
                <w:highlight w:val="none"/>
                <w:lang w:eastAsia="zh-CN"/>
              </w:rPr>
              <w:t>）</w:t>
            </w:r>
            <w:r>
              <w:rPr>
                <w:rFonts w:hint="eastAsia"/>
                <w:i w:val="0"/>
                <w:iCs w:val="0"/>
                <w:color w:val="auto"/>
                <w:highlight w:val="none"/>
                <w:lang w:val="en-US" w:eastAsia="zh-CN"/>
              </w:rPr>
              <w:t>、乙烯焦油、航空煤油、脂肪酸甲酯（生物柴油）</w:t>
            </w:r>
            <w:r>
              <w:rPr>
                <w:rFonts w:hint="eastAsia"/>
                <w:color w:val="auto"/>
                <w:highlight w:val="none"/>
                <w:lang w:val="en-US" w:eastAsia="zh-CN"/>
              </w:rPr>
              <w:t>共9个品种。新增：硬脂酸、棕榈硬脂、棕榈油脂肪酸、脂肪酸、植物酸化油、棕榈液油、精炼工业级蓖麻油、生物航煤（可持续航空燃料）、烃基生物柴油共计9个新品种。调整后，江苏苏豪丽天智储循环科技有限公司可作业货种仍为74种，仍为22万立方米，未扩容。本改建项目实施前后</w:t>
            </w:r>
            <w:r>
              <w:rPr>
                <w:rFonts w:hint="eastAsia"/>
                <w:i w:val="0"/>
                <w:iCs w:val="0"/>
                <w:color w:val="auto"/>
                <w:highlight w:val="none"/>
                <w:lang w:val="en-US" w:eastAsia="zh-CN"/>
              </w:rPr>
              <w:t>丽天公司可作业货种变更前后对比见表2-1。</w:t>
            </w:r>
          </w:p>
          <w:p w14:paraId="41F545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b/>
                <w:bCs/>
                <w:color w:val="auto"/>
              </w:rPr>
              <w:t>表2-</w:t>
            </w:r>
            <w:r>
              <w:rPr>
                <w:rFonts w:hint="eastAsia"/>
                <w:b/>
                <w:bCs/>
                <w:color w:val="auto"/>
                <w:lang w:val="en-US" w:eastAsia="zh-CN"/>
              </w:rPr>
              <w:t>1  改建项目实施前后</w:t>
            </w:r>
            <w:r>
              <w:rPr>
                <w:rFonts w:hint="eastAsia"/>
                <w:b/>
                <w:bCs/>
                <w:color w:val="auto"/>
                <w:highlight w:val="none"/>
                <w:lang w:val="en-US" w:eastAsia="zh-CN"/>
              </w:rPr>
              <w:t>丽天公司可作业货种一览表</w:t>
            </w:r>
          </w:p>
          <w:tbl>
            <w:tblPr>
              <w:tblStyle w:val="21"/>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428"/>
              <w:gridCol w:w="1668"/>
              <w:gridCol w:w="1666"/>
              <w:gridCol w:w="490"/>
              <w:gridCol w:w="435"/>
              <w:gridCol w:w="1366"/>
              <w:gridCol w:w="1568"/>
              <w:gridCol w:w="540"/>
            </w:tblGrid>
            <w:tr w14:paraId="13E6F1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62" w:type="pct"/>
                  <w:tcBorders>
                    <w:tl2br w:val="nil"/>
                    <w:tr2bl w:val="nil"/>
                  </w:tcBorders>
                  <w:noWrap w:val="0"/>
                  <w:vAlign w:val="center"/>
                </w:tcPr>
                <w:p w14:paraId="336F7B9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序号</w:t>
                  </w:r>
                </w:p>
              </w:tc>
              <w:tc>
                <w:tcPr>
                  <w:tcW w:w="1021" w:type="pct"/>
                  <w:tcBorders>
                    <w:tl2br w:val="nil"/>
                    <w:tr2bl w:val="nil"/>
                  </w:tcBorders>
                  <w:noWrap w:val="0"/>
                  <w:vAlign w:val="center"/>
                </w:tcPr>
                <w:p w14:paraId="47A4CEF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改建前作业货种</w:t>
                  </w:r>
                </w:p>
              </w:tc>
              <w:tc>
                <w:tcPr>
                  <w:tcW w:w="1020" w:type="pct"/>
                  <w:tcBorders>
                    <w:tl2br w:val="nil"/>
                    <w:tr2bl w:val="nil"/>
                  </w:tcBorders>
                  <w:noWrap w:val="0"/>
                  <w:vAlign w:val="center"/>
                </w:tcPr>
                <w:p w14:paraId="599F0A6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改建后作业货种</w:t>
                  </w:r>
                </w:p>
              </w:tc>
              <w:tc>
                <w:tcPr>
                  <w:tcW w:w="300" w:type="pct"/>
                  <w:tcBorders>
                    <w:tl2br w:val="nil"/>
                    <w:tr2bl w:val="nil"/>
                  </w:tcBorders>
                  <w:noWrap w:val="0"/>
                  <w:vAlign w:val="center"/>
                </w:tcPr>
                <w:p w14:paraId="11CDC7A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备注</w:t>
                  </w:r>
                </w:p>
              </w:tc>
              <w:tc>
                <w:tcPr>
                  <w:tcW w:w="266" w:type="pct"/>
                  <w:tcBorders>
                    <w:tl2br w:val="nil"/>
                    <w:tr2bl w:val="nil"/>
                  </w:tcBorders>
                  <w:noWrap w:val="0"/>
                  <w:vAlign w:val="center"/>
                </w:tcPr>
                <w:p w14:paraId="1BDDF70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序号</w:t>
                  </w:r>
                </w:p>
              </w:tc>
              <w:tc>
                <w:tcPr>
                  <w:tcW w:w="836" w:type="pct"/>
                  <w:tcBorders>
                    <w:tl2br w:val="nil"/>
                    <w:tr2bl w:val="nil"/>
                  </w:tcBorders>
                  <w:noWrap w:val="0"/>
                  <w:vAlign w:val="center"/>
                </w:tcPr>
                <w:p w14:paraId="7E6FD22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改建前作业货种</w:t>
                  </w:r>
                </w:p>
              </w:tc>
              <w:tc>
                <w:tcPr>
                  <w:tcW w:w="960" w:type="pct"/>
                  <w:tcBorders>
                    <w:tl2br w:val="nil"/>
                    <w:tr2bl w:val="nil"/>
                  </w:tcBorders>
                  <w:noWrap w:val="0"/>
                  <w:vAlign w:val="center"/>
                </w:tcPr>
                <w:p w14:paraId="48A6360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改建后作业货种</w:t>
                  </w:r>
                </w:p>
              </w:tc>
              <w:tc>
                <w:tcPr>
                  <w:tcW w:w="330" w:type="pct"/>
                  <w:tcBorders>
                    <w:tl2br w:val="nil"/>
                    <w:tr2bl w:val="nil"/>
                  </w:tcBorders>
                  <w:noWrap w:val="0"/>
                  <w:vAlign w:val="center"/>
                </w:tcPr>
                <w:p w14:paraId="1E5C9F8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备注</w:t>
                  </w:r>
                </w:p>
              </w:tc>
            </w:tr>
            <w:tr w14:paraId="5BC57B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62" w:type="pct"/>
                  <w:tcBorders>
                    <w:tl2br w:val="nil"/>
                    <w:tr2bl w:val="nil"/>
                  </w:tcBorders>
                  <w:noWrap w:val="0"/>
                  <w:vAlign w:val="center"/>
                </w:tcPr>
                <w:p w14:paraId="4F0EFE6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1021" w:type="pct"/>
                  <w:tcBorders>
                    <w:tl2br w:val="nil"/>
                    <w:tr2bl w:val="nil"/>
                  </w:tcBorders>
                  <w:noWrap w:val="0"/>
                  <w:vAlign w:val="center"/>
                </w:tcPr>
                <w:p w14:paraId="7974151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苯</w:t>
                  </w:r>
                </w:p>
              </w:tc>
              <w:tc>
                <w:tcPr>
                  <w:tcW w:w="1020" w:type="pct"/>
                  <w:tcBorders>
                    <w:tl2br w:val="nil"/>
                    <w:tr2bl w:val="nil"/>
                  </w:tcBorders>
                  <w:noWrap w:val="0"/>
                  <w:vAlign w:val="center"/>
                </w:tcPr>
                <w:p w14:paraId="47E6D83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苯</w:t>
                  </w:r>
                </w:p>
              </w:tc>
              <w:tc>
                <w:tcPr>
                  <w:tcW w:w="300" w:type="pct"/>
                  <w:tcBorders>
                    <w:tl2br w:val="nil"/>
                    <w:tr2bl w:val="nil"/>
                  </w:tcBorders>
                  <w:noWrap w:val="0"/>
                  <w:vAlign w:val="center"/>
                </w:tcPr>
                <w:p w14:paraId="7606003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0859F7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43</w:t>
                  </w:r>
                </w:p>
              </w:tc>
              <w:tc>
                <w:tcPr>
                  <w:tcW w:w="836" w:type="pct"/>
                  <w:tcBorders>
                    <w:tl2br w:val="nil"/>
                    <w:tr2bl w:val="nil"/>
                  </w:tcBorders>
                  <w:noWrap w:val="0"/>
                  <w:vAlign w:val="center"/>
                </w:tcPr>
                <w:p w14:paraId="5F848D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丙烯酸甲酯</w:t>
                  </w:r>
                </w:p>
              </w:tc>
              <w:tc>
                <w:tcPr>
                  <w:tcW w:w="960" w:type="pct"/>
                  <w:tcBorders>
                    <w:tl2br w:val="nil"/>
                    <w:tr2bl w:val="nil"/>
                  </w:tcBorders>
                  <w:noWrap w:val="0"/>
                  <w:vAlign w:val="center"/>
                </w:tcPr>
                <w:p w14:paraId="1033968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丙烯酸甲酯</w:t>
                  </w:r>
                </w:p>
              </w:tc>
              <w:tc>
                <w:tcPr>
                  <w:tcW w:w="330" w:type="pct"/>
                  <w:tcBorders>
                    <w:tl2br w:val="nil"/>
                    <w:tr2bl w:val="nil"/>
                  </w:tcBorders>
                  <w:noWrap w:val="0"/>
                  <w:vAlign w:val="center"/>
                </w:tcPr>
                <w:p w14:paraId="750386D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6F49FF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5E18050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w:t>
                  </w:r>
                </w:p>
              </w:tc>
              <w:tc>
                <w:tcPr>
                  <w:tcW w:w="1021" w:type="pct"/>
                  <w:tcBorders>
                    <w:tl2br w:val="nil"/>
                    <w:tr2bl w:val="nil"/>
                  </w:tcBorders>
                  <w:noWrap w:val="0"/>
                  <w:vAlign w:val="center"/>
                </w:tcPr>
                <w:p w14:paraId="468573D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苯乙烯</w:t>
                  </w:r>
                </w:p>
              </w:tc>
              <w:tc>
                <w:tcPr>
                  <w:tcW w:w="1020" w:type="pct"/>
                  <w:tcBorders>
                    <w:tl2br w:val="nil"/>
                    <w:tr2bl w:val="nil"/>
                  </w:tcBorders>
                  <w:noWrap w:val="0"/>
                  <w:vAlign w:val="center"/>
                </w:tcPr>
                <w:p w14:paraId="019A579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苯乙烯</w:t>
                  </w:r>
                </w:p>
              </w:tc>
              <w:tc>
                <w:tcPr>
                  <w:tcW w:w="300" w:type="pct"/>
                  <w:tcBorders>
                    <w:tl2br w:val="nil"/>
                    <w:tr2bl w:val="nil"/>
                  </w:tcBorders>
                  <w:noWrap w:val="0"/>
                  <w:vAlign w:val="center"/>
                </w:tcPr>
                <w:p w14:paraId="01D25FD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3C6B549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44</w:t>
                  </w:r>
                </w:p>
              </w:tc>
              <w:tc>
                <w:tcPr>
                  <w:tcW w:w="836" w:type="pct"/>
                  <w:tcBorders>
                    <w:tl2br w:val="nil"/>
                    <w:tr2bl w:val="nil"/>
                  </w:tcBorders>
                  <w:noWrap w:val="0"/>
                  <w:vAlign w:val="center"/>
                </w:tcPr>
                <w:p w14:paraId="13E5790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丙酸</w:t>
                  </w:r>
                </w:p>
              </w:tc>
              <w:tc>
                <w:tcPr>
                  <w:tcW w:w="960" w:type="pct"/>
                  <w:tcBorders>
                    <w:tl2br w:val="nil"/>
                    <w:tr2bl w:val="nil"/>
                  </w:tcBorders>
                  <w:noWrap w:val="0"/>
                  <w:vAlign w:val="center"/>
                </w:tcPr>
                <w:p w14:paraId="6C7DBD8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丙酸</w:t>
                  </w:r>
                </w:p>
              </w:tc>
              <w:tc>
                <w:tcPr>
                  <w:tcW w:w="330" w:type="pct"/>
                  <w:tcBorders>
                    <w:tl2br w:val="nil"/>
                    <w:tr2bl w:val="nil"/>
                  </w:tcBorders>
                  <w:noWrap w:val="0"/>
                  <w:vAlign w:val="center"/>
                </w:tcPr>
                <w:p w14:paraId="0314396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79CB96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623D428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w:t>
                  </w:r>
                </w:p>
              </w:tc>
              <w:tc>
                <w:tcPr>
                  <w:tcW w:w="1021" w:type="pct"/>
                  <w:tcBorders>
                    <w:tl2br w:val="nil"/>
                    <w:tr2bl w:val="nil"/>
                  </w:tcBorders>
                  <w:noWrap w:val="0"/>
                  <w:vAlign w:val="center"/>
                </w:tcPr>
                <w:p w14:paraId="140DF8A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甲苯</w:t>
                  </w:r>
                </w:p>
              </w:tc>
              <w:tc>
                <w:tcPr>
                  <w:tcW w:w="1020" w:type="pct"/>
                  <w:tcBorders>
                    <w:tl2br w:val="nil"/>
                    <w:tr2bl w:val="nil"/>
                  </w:tcBorders>
                  <w:noWrap w:val="0"/>
                  <w:vAlign w:val="center"/>
                </w:tcPr>
                <w:p w14:paraId="28AE424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甲苯</w:t>
                  </w:r>
                </w:p>
              </w:tc>
              <w:tc>
                <w:tcPr>
                  <w:tcW w:w="300" w:type="pct"/>
                  <w:tcBorders>
                    <w:tl2br w:val="nil"/>
                    <w:tr2bl w:val="nil"/>
                  </w:tcBorders>
                  <w:noWrap w:val="0"/>
                  <w:vAlign w:val="center"/>
                </w:tcPr>
                <w:p w14:paraId="2E3EBE7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1265AA3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45</w:t>
                  </w:r>
                </w:p>
              </w:tc>
              <w:tc>
                <w:tcPr>
                  <w:tcW w:w="836" w:type="pct"/>
                  <w:tcBorders>
                    <w:tl2br w:val="nil"/>
                    <w:tr2bl w:val="nil"/>
                  </w:tcBorders>
                  <w:noWrap w:val="0"/>
                  <w:vAlign w:val="center"/>
                </w:tcPr>
                <w:p w14:paraId="44AB742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碳四</w:t>
                  </w:r>
                </w:p>
              </w:tc>
              <w:tc>
                <w:tcPr>
                  <w:tcW w:w="960" w:type="pct"/>
                  <w:tcBorders>
                    <w:tl2br w:val="nil"/>
                    <w:tr2bl w:val="nil"/>
                  </w:tcBorders>
                  <w:noWrap w:val="0"/>
                  <w:vAlign w:val="center"/>
                </w:tcPr>
                <w:p w14:paraId="2D58058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碳四</w:t>
                  </w:r>
                </w:p>
              </w:tc>
              <w:tc>
                <w:tcPr>
                  <w:tcW w:w="330" w:type="pct"/>
                  <w:tcBorders>
                    <w:tl2br w:val="nil"/>
                    <w:tr2bl w:val="nil"/>
                  </w:tcBorders>
                  <w:noWrap w:val="0"/>
                  <w:vAlign w:val="center"/>
                </w:tcPr>
                <w:p w14:paraId="1AD2316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19AA3F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0610ED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w:t>
                  </w:r>
                </w:p>
              </w:tc>
              <w:tc>
                <w:tcPr>
                  <w:tcW w:w="1021" w:type="pct"/>
                  <w:tcBorders>
                    <w:tl2br w:val="nil"/>
                    <w:tr2bl w:val="nil"/>
                  </w:tcBorders>
                  <w:noWrap w:val="0"/>
                  <w:vAlign w:val="center"/>
                </w:tcPr>
                <w:p w14:paraId="7BE0110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对二甲苯</w:t>
                  </w:r>
                </w:p>
              </w:tc>
              <w:tc>
                <w:tcPr>
                  <w:tcW w:w="1020" w:type="pct"/>
                  <w:tcBorders>
                    <w:tl2br w:val="nil"/>
                    <w:tr2bl w:val="nil"/>
                  </w:tcBorders>
                  <w:noWrap w:val="0"/>
                  <w:vAlign w:val="center"/>
                </w:tcPr>
                <w:p w14:paraId="204010A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对二甲苯</w:t>
                  </w:r>
                </w:p>
              </w:tc>
              <w:tc>
                <w:tcPr>
                  <w:tcW w:w="300" w:type="pct"/>
                  <w:tcBorders>
                    <w:tl2br w:val="nil"/>
                    <w:tr2bl w:val="nil"/>
                  </w:tcBorders>
                  <w:noWrap w:val="0"/>
                  <w:vAlign w:val="center"/>
                </w:tcPr>
                <w:p w14:paraId="7A35EAF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6D14FC3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46</w:t>
                  </w:r>
                </w:p>
              </w:tc>
              <w:tc>
                <w:tcPr>
                  <w:tcW w:w="836" w:type="pct"/>
                  <w:tcBorders>
                    <w:tl2br w:val="nil"/>
                    <w:tr2bl w:val="nil"/>
                  </w:tcBorders>
                  <w:noWrap w:val="0"/>
                  <w:vAlign w:val="center"/>
                </w:tcPr>
                <w:p w14:paraId="4320EF7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工业油脂（用过的食用油）</w:t>
                  </w:r>
                </w:p>
              </w:tc>
              <w:tc>
                <w:tcPr>
                  <w:tcW w:w="960" w:type="pct"/>
                  <w:tcBorders>
                    <w:tl2br w:val="nil"/>
                    <w:tr2bl w:val="nil"/>
                  </w:tcBorders>
                  <w:noWrap w:val="0"/>
                  <w:vAlign w:val="center"/>
                </w:tcPr>
                <w:p w14:paraId="0531E46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工业油脂（用过的食用油）</w:t>
                  </w:r>
                </w:p>
              </w:tc>
              <w:tc>
                <w:tcPr>
                  <w:tcW w:w="330" w:type="pct"/>
                  <w:tcBorders>
                    <w:tl2br w:val="nil"/>
                    <w:tr2bl w:val="nil"/>
                  </w:tcBorders>
                  <w:noWrap w:val="0"/>
                  <w:vAlign w:val="center"/>
                </w:tcPr>
                <w:p w14:paraId="16CF2E8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6F0E21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383F36B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w:t>
                  </w:r>
                </w:p>
              </w:tc>
              <w:tc>
                <w:tcPr>
                  <w:tcW w:w="1021" w:type="pct"/>
                  <w:tcBorders>
                    <w:tl2br w:val="nil"/>
                    <w:tr2bl w:val="nil"/>
                  </w:tcBorders>
                  <w:noWrap w:val="0"/>
                  <w:vAlign w:val="center"/>
                </w:tcPr>
                <w:p w14:paraId="012817A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混二甲苯</w:t>
                  </w:r>
                </w:p>
              </w:tc>
              <w:tc>
                <w:tcPr>
                  <w:tcW w:w="1020" w:type="pct"/>
                  <w:tcBorders>
                    <w:tl2br w:val="nil"/>
                    <w:tr2bl w:val="nil"/>
                  </w:tcBorders>
                  <w:noWrap w:val="0"/>
                  <w:vAlign w:val="center"/>
                </w:tcPr>
                <w:p w14:paraId="2900D71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混二甲苯</w:t>
                  </w:r>
                </w:p>
              </w:tc>
              <w:tc>
                <w:tcPr>
                  <w:tcW w:w="300" w:type="pct"/>
                  <w:tcBorders>
                    <w:tl2br w:val="nil"/>
                    <w:tr2bl w:val="nil"/>
                  </w:tcBorders>
                  <w:noWrap w:val="0"/>
                  <w:vAlign w:val="center"/>
                </w:tcPr>
                <w:p w14:paraId="0DB2004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065206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47</w:t>
                  </w:r>
                </w:p>
              </w:tc>
              <w:tc>
                <w:tcPr>
                  <w:tcW w:w="836" w:type="pct"/>
                  <w:tcBorders>
                    <w:tl2br w:val="nil"/>
                    <w:tr2bl w:val="nil"/>
                  </w:tcBorders>
                  <w:noWrap w:val="0"/>
                  <w:vAlign w:val="center"/>
                </w:tcPr>
                <w:p w14:paraId="72234CF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甲基叔丁基醚</w:t>
                  </w:r>
                </w:p>
              </w:tc>
              <w:tc>
                <w:tcPr>
                  <w:tcW w:w="960" w:type="pct"/>
                  <w:tcBorders>
                    <w:tl2br w:val="nil"/>
                    <w:tr2bl w:val="nil"/>
                  </w:tcBorders>
                  <w:noWrap w:val="0"/>
                  <w:vAlign w:val="center"/>
                </w:tcPr>
                <w:p w14:paraId="0876B0B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甲基叔丁基醚</w:t>
                  </w:r>
                </w:p>
              </w:tc>
              <w:tc>
                <w:tcPr>
                  <w:tcW w:w="330" w:type="pct"/>
                  <w:tcBorders>
                    <w:tl2br w:val="nil"/>
                    <w:tr2bl w:val="nil"/>
                  </w:tcBorders>
                  <w:noWrap w:val="0"/>
                  <w:vAlign w:val="center"/>
                </w:tcPr>
                <w:p w14:paraId="5D2E38D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5DEFCC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2E2F9D0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w:t>
                  </w:r>
                </w:p>
              </w:tc>
              <w:tc>
                <w:tcPr>
                  <w:tcW w:w="1021" w:type="pct"/>
                  <w:tcBorders>
                    <w:tl2br w:val="nil"/>
                    <w:tr2bl w:val="nil"/>
                  </w:tcBorders>
                  <w:noWrap w:val="0"/>
                  <w:vAlign w:val="center"/>
                </w:tcPr>
                <w:p w14:paraId="0E69DBD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丙酮</w:t>
                  </w:r>
                </w:p>
              </w:tc>
              <w:tc>
                <w:tcPr>
                  <w:tcW w:w="1020" w:type="pct"/>
                  <w:tcBorders>
                    <w:tl2br w:val="nil"/>
                    <w:tr2bl w:val="nil"/>
                  </w:tcBorders>
                  <w:noWrap w:val="0"/>
                  <w:vAlign w:val="center"/>
                </w:tcPr>
                <w:p w14:paraId="4EB6B50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丙酮</w:t>
                  </w:r>
                </w:p>
              </w:tc>
              <w:tc>
                <w:tcPr>
                  <w:tcW w:w="300" w:type="pct"/>
                  <w:tcBorders>
                    <w:tl2br w:val="nil"/>
                    <w:tr2bl w:val="nil"/>
                  </w:tcBorders>
                  <w:noWrap w:val="0"/>
                  <w:vAlign w:val="center"/>
                </w:tcPr>
                <w:p w14:paraId="1D388BF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7A4ED92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48</w:t>
                  </w:r>
                </w:p>
              </w:tc>
              <w:tc>
                <w:tcPr>
                  <w:tcW w:w="836" w:type="pct"/>
                  <w:tcBorders>
                    <w:tl2br w:val="nil"/>
                    <w:tr2bl w:val="nil"/>
                  </w:tcBorders>
                  <w:noWrap w:val="0"/>
                  <w:vAlign w:val="center"/>
                </w:tcPr>
                <w:p w14:paraId="4FE0788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石脑油</w:t>
                  </w:r>
                </w:p>
              </w:tc>
              <w:tc>
                <w:tcPr>
                  <w:tcW w:w="960" w:type="pct"/>
                  <w:tcBorders>
                    <w:tl2br w:val="nil"/>
                    <w:tr2bl w:val="nil"/>
                  </w:tcBorders>
                  <w:noWrap w:val="0"/>
                  <w:vAlign w:val="center"/>
                </w:tcPr>
                <w:p w14:paraId="182B536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石脑油</w:t>
                  </w:r>
                </w:p>
              </w:tc>
              <w:tc>
                <w:tcPr>
                  <w:tcW w:w="330" w:type="pct"/>
                  <w:tcBorders>
                    <w:tl2br w:val="nil"/>
                    <w:tr2bl w:val="nil"/>
                  </w:tcBorders>
                  <w:noWrap w:val="0"/>
                  <w:vAlign w:val="center"/>
                </w:tcPr>
                <w:p w14:paraId="1800594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6EF8F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09" w:hRule="atLeast"/>
              </w:trPr>
              <w:tc>
                <w:tcPr>
                  <w:tcW w:w="262" w:type="pct"/>
                  <w:tcBorders>
                    <w:tl2br w:val="nil"/>
                    <w:tr2bl w:val="nil"/>
                  </w:tcBorders>
                  <w:noWrap w:val="0"/>
                  <w:vAlign w:val="center"/>
                </w:tcPr>
                <w:p w14:paraId="3425BFD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w:t>
                  </w:r>
                </w:p>
              </w:tc>
              <w:tc>
                <w:tcPr>
                  <w:tcW w:w="1021" w:type="pct"/>
                  <w:tcBorders>
                    <w:tl2br w:val="nil"/>
                    <w:tr2bl w:val="nil"/>
                  </w:tcBorders>
                  <w:noWrap w:val="0"/>
                  <w:vAlign w:val="center"/>
                </w:tcPr>
                <w:p w14:paraId="1F2C08F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1,3-</w:t>
                  </w:r>
                  <w:r>
                    <w:rPr>
                      <w:rFonts w:hint="eastAsia" w:ascii="Times New Roman" w:hAnsi="Times New Roman" w:eastAsia="宋体" w:cs="Times New Roman"/>
                      <w:color w:val="auto"/>
                      <w:sz w:val="18"/>
                      <w:szCs w:val="18"/>
                      <w:highlight w:val="none"/>
                      <w:lang w:val="en-US" w:eastAsia="zh-CN"/>
                    </w:rPr>
                    <w:t>丁二烯</w:t>
                  </w:r>
                </w:p>
              </w:tc>
              <w:tc>
                <w:tcPr>
                  <w:tcW w:w="1020" w:type="pct"/>
                  <w:tcBorders>
                    <w:tl2br w:val="nil"/>
                    <w:tr2bl w:val="nil"/>
                  </w:tcBorders>
                  <w:noWrap w:val="0"/>
                  <w:vAlign w:val="center"/>
                </w:tcPr>
                <w:p w14:paraId="4C97BD2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1,3-</w:t>
                  </w:r>
                  <w:r>
                    <w:rPr>
                      <w:rFonts w:hint="eastAsia" w:ascii="Times New Roman" w:hAnsi="Times New Roman" w:eastAsia="宋体" w:cs="Times New Roman"/>
                      <w:color w:val="auto"/>
                      <w:sz w:val="18"/>
                      <w:szCs w:val="18"/>
                      <w:highlight w:val="none"/>
                      <w:lang w:val="en-US" w:eastAsia="zh-CN"/>
                    </w:rPr>
                    <w:t>丁二烯</w:t>
                  </w:r>
                </w:p>
              </w:tc>
              <w:tc>
                <w:tcPr>
                  <w:tcW w:w="300" w:type="pct"/>
                  <w:tcBorders>
                    <w:tl2br w:val="nil"/>
                    <w:tr2bl w:val="nil"/>
                  </w:tcBorders>
                  <w:noWrap w:val="0"/>
                  <w:vAlign w:val="center"/>
                </w:tcPr>
                <w:p w14:paraId="542DA48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238D751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49</w:t>
                  </w:r>
                </w:p>
              </w:tc>
              <w:tc>
                <w:tcPr>
                  <w:tcW w:w="836" w:type="pct"/>
                  <w:tcBorders>
                    <w:tl2br w:val="nil"/>
                    <w:tr2bl w:val="nil"/>
                  </w:tcBorders>
                  <w:noWrap w:val="0"/>
                  <w:vAlign w:val="center"/>
                </w:tcPr>
                <w:p w14:paraId="0498864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甘油</w:t>
                  </w:r>
                </w:p>
              </w:tc>
              <w:tc>
                <w:tcPr>
                  <w:tcW w:w="960" w:type="pct"/>
                  <w:tcBorders>
                    <w:tl2br w:val="nil"/>
                    <w:tr2bl w:val="nil"/>
                  </w:tcBorders>
                  <w:noWrap w:val="0"/>
                  <w:vAlign w:val="center"/>
                </w:tcPr>
                <w:p w14:paraId="3574DA7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甘油</w:t>
                  </w:r>
                </w:p>
              </w:tc>
              <w:tc>
                <w:tcPr>
                  <w:tcW w:w="330" w:type="pct"/>
                  <w:tcBorders>
                    <w:tl2br w:val="nil"/>
                    <w:tr2bl w:val="nil"/>
                  </w:tcBorders>
                  <w:noWrap w:val="0"/>
                  <w:vAlign w:val="center"/>
                </w:tcPr>
                <w:p w14:paraId="06DC2DC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7F5334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7D4C65D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8</w:t>
                  </w:r>
                </w:p>
              </w:tc>
              <w:tc>
                <w:tcPr>
                  <w:tcW w:w="1021" w:type="pct"/>
                  <w:tcBorders>
                    <w:tl2br w:val="nil"/>
                    <w:tr2bl w:val="nil"/>
                  </w:tcBorders>
                  <w:noWrap w:val="0"/>
                  <w:vAlign w:val="center"/>
                </w:tcPr>
                <w:p w14:paraId="57753AF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苯酚</w:t>
                  </w:r>
                </w:p>
              </w:tc>
              <w:tc>
                <w:tcPr>
                  <w:tcW w:w="1020" w:type="pct"/>
                  <w:tcBorders>
                    <w:tl2br w:val="nil"/>
                    <w:tr2bl w:val="nil"/>
                  </w:tcBorders>
                  <w:noWrap w:val="0"/>
                  <w:vAlign w:val="center"/>
                </w:tcPr>
                <w:p w14:paraId="4C6D652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苯酚</w:t>
                  </w:r>
                </w:p>
              </w:tc>
              <w:tc>
                <w:tcPr>
                  <w:tcW w:w="300" w:type="pct"/>
                  <w:tcBorders>
                    <w:tl2br w:val="nil"/>
                    <w:tr2bl w:val="nil"/>
                  </w:tcBorders>
                  <w:noWrap w:val="0"/>
                  <w:vAlign w:val="center"/>
                </w:tcPr>
                <w:p w14:paraId="54F3380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264A8DB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50</w:t>
                  </w:r>
                </w:p>
              </w:tc>
              <w:tc>
                <w:tcPr>
                  <w:tcW w:w="836" w:type="pct"/>
                  <w:tcBorders>
                    <w:tl2br w:val="nil"/>
                    <w:tr2bl w:val="nil"/>
                  </w:tcBorders>
                  <w:noWrap w:val="0"/>
                  <w:vAlign w:val="center"/>
                </w:tcPr>
                <w:p w14:paraId="3D0C59C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炭黑油</w:t>
                  </w:r>
                </w:p>
              </w:tc>
              <w:tc>
                <w:tcPr>
                  <w:tcW w:w="960" w:type="pct"/>
                  <w:tcBorders>
                    <w:tl2br w:val="nil"/>
                    <w:tr2bl w:val="nil"/>
                  </w:tcBorders>
                  <w:noWrap w:val="0"/>
                  <w:vAlign w:val="center"/>
                </w:tcPr>
                <w:p w14:paraId="70897A5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炭黑油</w:t>
                  </w:r>
                </w:p>
              </w:tc>
              <w:tc>
                <w:tcPr>
                  <w:tcW w:w="330" w:type="pct"/>
                  <w:tcBorders>
                    <w:tl2br w:val="nil"/>
                    <w:tr2bl w:val="nil"/>
                  </w:tcBorders>
                  <w:noWrap w:val="0"/>
                  <w:vAlign w:val="center"/>
                </w:tcPr>
                <w:p w14:paraId="43D277F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23A67C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14" w:hRule="atLeast"/>
              </w:trPr>
              <w:tc>
                <w:tcPr>
                  <w:tcW w:w="262" w:type="pct"/>
                  <w:tcBorders>
                    <w:tl2br w:val="nil"/>
                    <w:tr2bl w:val="nil"/>
                  </w:tcBorders>
                  <w:noWrap w:val="0"/>
                  <w:vAlign w:val="center"/>
                </w:tcPr>
                <w:p w14:paraId="06A7002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9</w:t>
                  </w:r>
                </w:p>
              </w:tc>
              <w:tc>
                <w:tcPr>
                  <w:tcW w:w="1021" w:type="pct"/>
                  <w:tcBorders>
                    <w:tl2br w:val="nil"/>
                    <w:tr2bl w:val="nil"/>
                  </w:tcBorders>
                  <w:noWrap w:val="0"/>
                  <w:vAlign w:val="center"/>
                </w:tcPr>
                <w:p w14:paraId="583D029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w:t>
                  </w:r>
                </w:p>
              </w:tc>
              <w:tc>
                <w:tcPr>
                  <w:tcW w:w="1020" w:type="pct"/>
                  <w:tcBorders>
                    <w:tl2br w:val="nil"/>
                    <w:tr2bl w:val="nil"/>
                  </w:tcBorders>
                  <w:noWrap w:val="0"/>
                  <w:vAlign w:val="center"/>
                </w:tcPr>
                <w:p w14:paraId="1210247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w:t>
                  </w:r>
                </w:p>
              </w:tc>
              <w:tc>
                <w:tcPr>
                  <w:tcW w:w="300" w:type="pct"/>
                  <w:tcBorders>
                    <w:tl2br w:val="nil"/>
                    <w:tr2bl w:val="nil"/>
                  </w:tcBorders>
                  <w:noWrap w:val="0"/>
                  <w:vAlign w:val="center"/>
                </w:tcPr>
                <w:p w14:paraId="15B6620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9CF451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51</w:t>
                  </w:r>
                </w:p>
              </w:tc>
              <w:tc>
                <w:tcPr>
                  <w:tcW w:w="836" w:type="pct"/>
                  <w:tcBorders>
                    <w:tl2br w:val="nil"/>
                    <w:tr2bl w:val="nil"/>
                  </w:tcBorders>
                  <w:noWrap w:val="0"/>
                  <w:vAlign w:val="center"/>
                </w:tcPr>
                <w:p w14:paraId="3E3F3EC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碳五馏分</w:t>
                  </w:r>
                </w:p>
              </w:tc>
              <w:tc>
                <w:tcPr>
                  <w:tcW w:w="960" w:type="pct"/>
                  <w:tcBorders>
                    <w:tl2br w:val="nil"/>
                    <w:tr2bl w:val="nil"/>
                  </w:tcBorders>
                  <w:noWrap w:val="0"/>
                  <w:vAlign w:val="center"/>
                </w:tcPr>
                <w:p w14:paraId="32692BB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碳五馏分</w:t>
                  </w:r>
                </w:p>
              </w:tc>
              <w:tc>
                <w:tcPr>
                  <w:tcW w:w="330" w:type="pct"/>
                  <w:tcBorders>
                    <w:tl2br w:val="nil"/>
                    <w:tr2bl w:val="nil"/>
                  </w:tcBorders>
                  <w:noWrap w:val="0"/>
                  <w:vAlign w:val="center"/>
                </w:tcPr>
                <w:p w14:paraId="7627C88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5FA166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BB0C73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10</w:t>
                  </w:r>
                </w:p>
              </w:tc>
              <w:tc>
                <w:tcPr>
                  <w:tcW w:w="1021" w:type="pct"/>
                  <w:tcBorders>
                    <w:tl2br w:val="nil"/>
                    <w:tr2bl w:val="nil"/>
                  </w:tcBorders>
                  <w:noWrap w:val="0"/>
                  <w:vAlign w:val="center"/>
                </w:tcPr>
                <w:p w14:paraId="1063106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甲醇</w:t>
                  </w:r>
                </w:p>
              </w:tc>
              <w:tc>
                <w:tcPr>
                  <w:tcW w:w="1020" w:type="pct"/>
                  <w:tcBorders>
                    <w:tl2br w:val="nil"/>
                    <w:tr2bl w:val="nil"/>
                  </w:tcBorders>
                  <w:noWrap w:val="0"/>
                  <w:vAlign w:val="center"/>
                </w:tcPr>
                <w:p w14:paraId="58C41C3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甲醇</w:t>
                  </w:r>
                </w:p>
              </w:tc>
              <w:tc>
                <w:tcPr>
                  <w:tcW w:w="300" w:type="pct"/>
                  <w:tcBorders>
                    <w:tl2br w:val="nil"/>
                    <w:tr2bl w:val="nil"/>
                  </w:tcBorders>
                  <w:noWrap w:val="0"/>
                  <w:vAlign w:val="center"/>
                </w:tcPr>
                <w:p w14:paraId="2A5A73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21A1135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52</w:t>
                  </w:r>
                </w:p>
              </w:tc>
              <w:tc>
                <w:tcPr>
                  <w:tcW w:w="836" w:type="pct"/>
                  <w:tcBorders>
                    <w:tl2br w:val="nil"/>
                    <w:tr2bl w:val="nil"/>
                  </w:tcBorders>
                  <w:noWrap w:val="0"/>
                  <w:vAlign w:val="center"/>
                </w:tcPr>
                <w:p w14:paraId="0A75E27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润滑油</w:t>
                  </w:r>
                </w:p>
              </w:tc>
              <w:tc>
                <w:tcPr>
                  <w:tcW w:w="960" w:type="pct"/>
                  <w:tcBorders>
                    <w:tl2br w:val="nil"/>
                    <w:tr2bl w:val="nil"/>
                  </w:tcBorders>
                  <w:noWrap w:val="0"/>
                  <w:vAlign w:val="center"/>
                </w:tcPr>
                <w:p w14:paraId="3E56FF6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润滑油</w:t>
                  </w:r>
                </w:p>
              </w:tc>
              <w:tc>
                <w:tcPr>
                  <w:tcW w:w="330" w:type="pct"/>
                  <w:tcBorders>
                    <w:tl2br w:val="nil"/>
                    <w:tr2bl w:val="nil"/>
                  </w:tcBorders>
                  <w:noWrap w:val="0"/>
                  <w:vAlign w:val="center"/>
                </w:tcPr>
                <w:p w14:paraId="534AAF0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61FC1C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6A24D86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11</w:t>
                  </w:r>
                </w:p>
              </w:tc>
              <w:tc>
                <w:tcPr>
                  <w:tcW w:w="1021" w:type="pct"/>
                  <w:tcBorders>
                    <w:tl2br w:val="nil"/>
                    <w:tr2bl w:val="nil"/>
                  </w:tcBorders>
                  <w:noWrap w:val="0"/>
                  <w:vAlign w:val="center"/>
                </w:tcPr>
                <w:p w14:paraId="5FDDCA3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乙二醇</w:t>
                  </w:r>
                </w:p>
              </w:tc>
              <w:tc>
                <w:tcPr>
                  <w:tcW w:w="1020" w:type="pct"/>
                  <w:tcBorders>
                    <w:tl2br w:val="nil"/>
                    <w:tr2bl w:val="nil"/>
                  </w:tcBorders>
                  <w:noWrap w:val="0"/>
                  <w:vAlign w:val="center"/>
                </w:tcPr>
                <w:p w14:paraId="28DE6D4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乙二醇</w:t>
                  </w:r>
                </w:p>
              </w:tc>
              <w:tc>
                <w:tcPr>
                  <w:tcW w:w="300" w:type="pct"/>
                  <w:tcBorders>
                    <w:tl2br w:val="nil"/>
                    <w:tr2bl w:val="nil"/>
                  </w:tcBorders>
                  <w:noWrap w:val="0"/>
                  <w:vAlign w:val="center"/>
                </w:tcPr>
                <w:p w14:paraId="1112F88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F9E43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53</w:t>
                  </w:r>
                </w:p>
              </w:tc>
              <w:tc>
                <w:tcPr>
                  <w:tcW w:w="836" w:type="pct"/>
                  <w:tcBorders>
                    <w:tl2br w:val="nil"/>
                    <w:tr2bl w:val="nil"/>
                  </w:tcBorders>
                  <w:noWrap w:val="0"/>
                  <w:vAlign w:val="center"/>
                </w:tcPr>
                <w:p w14:paraId="65E670B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环己烷</w:t>
                  </w:r>
                </w:p>
              </w:tc>
              <w:tc>
                <w:tcPr>
                  <w:tcW w:w="960" w:type="pct"/>
                  <w:tcBorders>
                    <w:tl2br w:val="nil"/>
                    <w:tr2bl w:val="nil"/>
                  </w:tcBorders>
                  <w:noWrap w:val="0"/>
                  <w:vAlign w:val="center"/>
                </w:tcPr>
                <w:p w14:paraId="38FB37B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环己烷</w:t>
                  </w:r>
                </w:p>
              </w:tc>
              <w:tc>
                <w:tcPr>
                  <w:tcW w:w="330" w:type="pct"/>
                  <w:tcBorders>
                    <w:tl2br w:val="nil"/>
                    <w:tr2bl w:val="nil"/>
                  </w:tcBorders>
                  <w:noWrap w:val="0"/>
                  <w:vAlign w:val="center"/>
                </w:tcPr>
                <w:p w14:paraId="6F54B89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3EBBA5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2D37D1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w:t>
                  </w:r>
                </w:p>
              </w:tc>
              <w:tc>
                <w:tcPr>
                  <w:tcW w:w="1021" w:type="pct"/>
                  <w:tcBorders>
                    <w:tl2br w:val="nil"/>
                    <w:tr2bl w:val="nil"/>
                  </w:tcBorders>
                  <w:noWrap w:val="0"/>
                  <w:vAlign w:val="center"/>
                </w:tcPr>
                <w:p w14:paraId="759CF54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二甘醇</w:t>
                  </w:r>
                </w:p>
              </w:tc>
              <w:tc>
                <w:tcPr>
                  <w:tcW w:w="1020" w:type="pct"/>
                  <w:tcBorders>
                    <w:tl2br w:val="nil"/>
                    <w:tr2bl w:val="nil"/>
                  </w:tcBorders>
                  <w:noWrap w:val="0"/>
                  <w:vAlign w:val="center"/>
                </w:tcPr>
                <w:p w14:paraId="50A1080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二甘醇</w:t>
                  </w:r>
                </w:p>
              </w:tc>
              <w:tc>
                <w:tcPr>
                  <w:tcW w:w="300" w:type="pct"/>
                  <w:tcBorders>
                    <w:tl2br w:val="nil"/>
                    <w:tr2bl w:val="nil"/>
                  </w:tcBorders>
                  <w:noWrap w:val="0"/>
                  <w:vAlign w:val="center"/>
                </w:tcPr>
                <w:p w14:paraId="3252D88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0FB136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54</w:t>
                  </w:r>
                </w:p>
              </w:tc>
              <w:tc>
                <w:tcPr>
                  <w:tcW w:w="836" w:type="pct"/>
                  <w:tcBorders>
                    <w:tl2br w:val="nil"/>
                    <w:tr2bl w:val="nil"/>
                  </w:tcBorders>
                  <w:noWrap w:val="0"/>
                  <w:vAlign w:val="center"/>
                </w:tcPr>
                <w:p w14:paraId="29A372A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二乙醇胺</w:t>
                  </w:r>
                </w:p>
              </w:tc>
              <w:tc>
                <w:tcPr>
                  <w:tcW w:w="960" w:type="pct"/>
                  <w:tcBorders>
                    <w:tl2br w:val="nil"/>
                    <w:tr2bl w:val="nil"/>
                  </w:tcBorders>
                  <w:noWrap w:val="0"/>
                  <w:vAlign w:val="center"/>
                </w:tcPr>
                <w:p w14:paraId="569F05E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二乙醇胺</w:t>
                  </w:r>
                </w:p>
              </w:tc>
              <w:tc>
                <w:tcPr>
                  <w:tcW w:w="330" w:type="pct"/>
                  <w:tcBorders>
                    <w:tl2br w:val="nil"/>
                    <w:tr2bl w:val="nil"/>
                  </w:tcBorders>
                  <w:noWrap w:val="0"/>
                  <w:vAlign w:val="center"/>
                </w:tcPr>
                <w:p w14:paraId="380ED1B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4E27A9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6013922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13</w:t>
                  </w:r>
                </w:p>
              </w:tc>
              <w:tc>
                <w:tcPr>
                  <w:tcW w:w="1021" w:type="pct"/>
                  <w:tcBorders>
                    <w:tl2br w:val="nil"/>
                    <w:tr2bl w:val="nil"/>
                  </w:tcBorders>
                  <w:noWrap w:val="0"/>
                  <w:vAlign w:val="center"/>
                </w:tcPr>
                <w:p w14:paraId="6F77115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异丙醇</w:t>
                  </w:r>
                </w:p>
              </w:tc>
              <w:tc>
                <w:tcPr>
                  <w:tcW w:w="1020" w:type="pct"/>
                  <w:tcBorders>
                    <w:tl2br w:val="nil"/>
                    <w:tr2bl w:val="nil"/>
                  </w:tcBorders>
                  <w:noWrap w:val="0"/>
                  <w:vAlign w:val="center"/>
                </w:tcPr>
                <w:p w14:paraId="7763C1A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异丙醇</w:t>
                  </w:r>
                </w:p>
              </w:tc>
              <w:tc>
                <w:tcPr>
                  <w:tcW w:w="300" w:type="pct"/>
                  <w:tcBorders>
                    <w:tl2br w:val="nil"/>
                    <w:tr2bl w:val="nil"/>
                  </w:tcBorders>
                  <w:noWrap w:val="0"/>
                  <w:vAlign w:val="center"/>
                </w:tcPr>
                <w:p w14:paraId="4D00232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6CAC2A5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55</w:t>
                  </w:r>
                </w:p>
              </w:tc>
              <w:tc>
                <w:tcPr>
                  <w:tcW w:w="836" w:type="pct"/>
                  <w:tcBorders>
                    <w:tl2br w:val="nil"/>
                    <w:tr2bl w:val="nil"/>
                  </w:tcBorders>
                  <w:noWrap w:val="0"/>
                  <w:vAlign w:val="center"/>
                </w:tcPr>
                <w:p w14:paraId="2702BA3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棕榈油</w:t>
                  </w:r>
                </w:p>
              </w:tc>
              <w:tc>
                <w:tcPr>
                  <w:tcW w:w="960" w:type="pct"/>
                  <w:tcBorders>
                    <w:tl2br w:val="nil"/>
                    <w:tr2bl w:val="nil"/>
                  </w:tcBorders>
                  <w:noWrap w:val="0"/>
                  <w:vAlign w:val="center"/>
                </w:tcPr>
                <w:p w14:paraId="6BF4F5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棕榈油</w:t>
                  </w:r>
                </w:p>
              </w:tc>
              <w:tc>
                <w:tcPr>
                  <w:tcW w:w="330" w:type="pct"/>
                  <w:tcBorders>
                    <w:tl2br w:val="nil"/>
                    <w:tr2bl w:val="nil"/>
                  </w:tcBorders>
                  <w:noWrap w:val="0"/>
                  <w:vAlign w:val="center"/>
                </w:tcPr>
                <w:p w14:paraId="7E406B0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5B72CF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62" w:type="pct"/>
                  <w:tcBorders>
                    <w:tl2br w:val="nil"/>
                    <w:tr2bl w:val="nil"/>
                  </w:tcBorders>
                  <w:noWrap w:val="0"/>
                  <w:vAlign w:val="center"/>
                </w:tcPr>
                <w:p w14:paraId="30D2C77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14</w:t>
                  </w:r>
                </w:p>
              </w:tc>
              <w:tc>
                <w:tcPr>
                  <w:tcW w:w="1021" w:type="pct"/>
                  <w:tcBorders>
                    <w:tl2br w:val="nil"/>
                    <w:tr2bl w:val="nil"/>
                  </w:tcBorders>
                  <w:noWrap w:val="0"/>
                  <w:vAlign w:val="center"/>
                </w:tcPr>
                <w:p w14:paraId="7E5D98F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w:t>
                  </w:r>
                  <w:r>
                    <w:rPr>
                      <w:rFonts w:hint="eastAsia" w:ascii="Times New Roman" w:hAnsi="Times New Roman" w:eastAsia="宋体" w:cs="Times New Roman"/>
                      <w:color w:val="auto"/>
                      <w:sz w:val="18"/>
                      <w:szCs w:val="18"/>
                      <w:highlight w:val="none"/>
                      <w:lang w:val="en-US" w:eastAsia="zh-CN"/>
                    </w:rPr>
                    <w:t>丙二醇</w:t>
                  </w:r>
                </w:p>
              </w:tc>
              <w:tc>
                <w:tcPr>
                  <w:tcW w:w="1020" w:type="pct"/>
                  <w:tcBorders>
                    <w:tl2br w:val="nil"/>
                    <w:tr2bl w:val="nil"/>
                  </w:tcBorders>
                  <w:noWrap w:val="0"/>
                  <w:vAlign w:val="center"/>
                </w:tcPr>
                <w:p w14:paraId="3BF5E76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w:t>
                  </w:r>
                  <w:r>
                    <w:rPr>
                      <w:rFonts w:hint="eastAsia" w:ascii="Times New Roman" w:hAnsi="Times New Roman" w:eastAsia="宋体" w:cs="Times New Roman"/>
                      <w:color w:val="auto"/>
                      <w:sz w:val="18"/>
                      <w:szCs w:val="18"/>
                      <w:highlight w:val="none"/>
                      <w:lang w:val="en-US" w:eastAsia="zh-CN"/>
                    </w:rPr>
                    <w:t>丙二醇</w:t>
                  </w:r>
                </w:p>
              </w:tc>
              <w:tc>
                <w:tcPr>
                  <w:tcW w:w="300" w:type="pct"/>
                  <w:tcBorders>
                    <w:tl2br w:val="nil"/>
                    <w:tr2bl w:val="nil"/>
                  </w:tcBorders>
                  <w:noWrap w:val="0"/>
                  <w:vAlign w:val="center"/>
                </w:tcPr>
                <w:p w14:paraId="7B0A282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1D2120A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56</w:t>
                  </w:r>
                </w:p>
              </w:tc>
              <w:tc>
                <w:tcPr>
                  <w:tcW w:w="836" w:type="pct"/>
                  <w:tcBorders>
                    <w:tl2br w:val="nil"/>
                    <w:tr2bl w:val="nil"/>
                  </w:tcBorders>
                  <w:noWrap w:val="0"/>
                  <w:vAlign w:val="center"/>
                </w:tcPr>
                <w:p w14:paraId="635B464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棕榈酸化油</w:t>
                  </w:r>
                </w:p>
              </w:tc>
              <w:tc>
                <w:tcPr>
                  <w:tcW w:w="960" w:type="pct"/>
                  <w:tcBorders>
                    <w:tl2br w:val="nil"/>
                    <w:tr2bl w:val="nil"/>
                  </w:tcBorders>
                  <w:noWrap w:val="0"/>
                  <w:vAlign w:val="center"/>
                </w:tcPr>
                <w:p w14:paraId="5345A97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棕榈酸化油</w:t>
                  </w:r>
                </w:p>
              </w:tc>
              <w:tc>
                <w:tcPr>
                  <w:tcW w:w="330" w:type="pct"/>
                  <w:tcBorders>
                    <w:tl2br w:val="nil"/>
                    <w:tr2bl w:val="nil"/>
                  </w:tcBorders>
                  <w:noWrap w:val="0"/>
                  <w:vAlign w:val="center"/>
                </w:tcPr>
                <w:p w14:paraId="4FFA56F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5CD7DE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62" w:type="pct"/>
                  <w:tcBorders>
                    <w:tl2br w:val="nil"/>
                    <w:tr2bl w:val="nil"/>
                  </w:tcBorders>
                  <w:noWrap w:val="0"/>
                  <w:vAlign w:val="center"/>
                </w:tcPr>
                <w:p w14:paraId="29FAFD9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15</w:t>
                  </w:r>
                </w:p>
              </w:tc>
              <w:tc>
                <w:tcPr>
                  <w:tcW w:w="1021" w:type="pct"/>
                  <w:tcBorders>
                    <w:tl2br w:val="nil"/>
                    <w:tr2bl w:val="nil"/>
                  </w:tcBorders>
                  <w:noWrap w:val="0"/>
                  <w:vAlign w:val="center"/>
                </w:tcPr>
                <w:p w14:paraId="697F692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正丁醇</w:t>
                  </w:r>
                </w:p>
              </w:tc>
              <w:tc>
                <w:tcPr>
                  <w:tcW w:w="1020" w:type="pct"/>
                  <w:tcBorders>
                    <w:tl2br w:val="nil"/>
                    <w:tr2bl w:val="nil"/>
                  </w:tcBorders>
                  <w:noWrap w:val="0"/>
                  <w:vAlign w:val="center"/>
                </w:tcPr>
                <w:p w14:paraId="370EC8E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正丁醇</w:t>
                  </w:r>
                </w:p>
              </w:tc>
              <w:tc>
                <w:tcPr>
                  <w:tcW w:w="300" w:type="pct"/>
                  <w:tcBorders>
                    <w:tl2br w:val="nil"/>
                    <w:tr2bl w:val="nil"/>
                  </w:tcBorders>
                  <w:noWrap w:val="0"/>
                  <w:vAlign w:val="center"/>
                </w:tcPr>
                <w:p w14:paraId="2ABDB58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56E6A27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57</w:t>
                  </w:r>
                </w:p>
              </w:tc>
              <w:tc>
                <w:tcPr>
                  <w:tcW w:w="836" w:type="pct"/>
                  <w:tcBorders>
                    <w:tl2br w:val="nil"/>
                    <w:tr2bl w:val="nil"/>
                  </w:tcBorders>
                  <w:noWrap w:val="0"/>
                  <w:vAlign w:val="center"/>
                </w:tcPr>
                <w:p w14:paraId="194E0E2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脂肪醇</w:t>
                  </w:r>
                </w:p>
              </w:tc>
              <w:tc>
                <w:tcPr>
                  <w:tcW w:w="960" w:type="pct"/>
                  <w:tcBorders>
                    <w:tl2br w:val="nil"/>
                    <w:tr2bl w:val="nil"/>
                  </w:tcBorders>
                  <w:noWrap w:val="0"/>
                  <w:vAlign w:val="center"/>
                </w:tcPr>
                <w:p w14:paraId="1FFD2EB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脂肪醇</w:t>
                  </w:r>
                </w:p>
              </w:tc>
              <w:tc>
                <w:tcPr>
                  <w:tcW w:w="330" w:type="pct"/>
                  <w:tcBorders>
                    <w:tl2br w:val="nil"/>
                    <w:tr2bl w:val="nil"/>
                  </w:tcBorders>
                  <w:noWrap w:val="0"/>
                  <w:vAlign w:val="center"/>
                </w:tcPr>
                <w:p w14:paraId="3E8CDC6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34688B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0671FC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16</w:t>
                  </w:r>
                </w:p>
              </w:tc>
              <w:tc>
                <w:tcPr>
                  <w:tcW w:w="1021" w:type="pct"/>
                  <w:tcBorders>
                    <w:tl2br w:val="nil"/>
                    <w:tr2bl w:val="nil"/>
                  </w:tcBorders>
                  <w:noWrap w:val="0"/>
                  <w:vAlign w:val="center"/>
                </w:tcPr>
                <w:p w14:paraId="3C2B855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异丁醇</w:t>
                  </w:r>
                </w:p>
              </w:tc>
              <w:tc>
                <w:tcPr>
                  <w:tcW w:w="1020" w:type="pct"/>
                  <w:tcBorders>
                    <w:tl2br w:val="nil"/>
                    <w:tr2bl w:val="nil"/>
                  </w:tcBorders>
                  <w:noWrap w:val="0"/>
                  <w:vAlign w:val="center"/>
                </w:tcPr>
                <w:p w14:paraId="387DEE1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异丁醇</w:t>
                  </w:r>
                </w:p>
              </w:tc>
              <w:tc>
                <w:tcPr>
                  <w:tcW w:w="300" w:type="pct"/>
                  <w:tcBorders>
                    <w:tl2br w:val="nil"/>
                    <w:tr2bl w:val="nil"/>
                  </w:tcBorders>
                  <w:noWrap w:val="0"/>
                  <w:vAlign w:val="center"/>
                </w:tcPr>
                <w:p w14:paraId="78B7E0C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EB836F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58</w:t>
                  </w:r>
                </w:p>
              </w:tc>
              <w:tc>
                <w:tcPr>
                  <w:tcW w:w="836" w:type="pct"/>
                  <w:tcBorders>
                    <w:tl2br w:val="nil"/>
                    <w:tr2bl w:val="nil"/>
                  </w:tcBorders>
                  <w:noWrap w:val="0"/>
                  <w:vAlign w:val="center"/>
                </w:tcPr>
                <w:p w14:paraId="2F0A8A0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异戊二烯</w:t>
                  </w:r>
                </w:p>
              </w:tc>
              <w:tc>
                <w:tcPr>
                  <w:tcW w:w="960" w:type="pct"/>
                  <w:tcBorders>
                    <w:tl2br w:val="nil"/>
                    <w:tr2bl w:val="nil"/>
                  </w:tcBorders>
                  <w:noWrap w:val="0"/>
                  <w:vAlign w:val="center"/>
                </w:tcPr>
                <w:p w14:paraId="0041EB7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异戊二烯</w:t>
                  </w:r>
                </w:p>
              </w:tc>
              <w:tc>
                <w:tcPr>
                  <w:tcW w:w="330" w:type="pct"/>
                  <w:tcBorders>
                    <w:tl2br w:val="nil"/>
                    <w:tr2bl w:val="nil"/>
                  </w:tcBorders>
                  <w:noWrap w:val="0"/>
                  <w:vAlign w:val="center"/>
                </w:tcPr>
                <w:p w14:paraId="4105E71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5C0626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3626A6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17</w:t>
                  </w:r>
                </w:p>
              </w:tc>
              <w:tc>
                <w:tcPr>
                  <w:tcW w:w="1021" w:type="pct"/>
                  <w:tcBorders>
                    <w:tl2br w:val="nil"/>
                    <w:tr2bl w:val="nil"/>
                  </w:tcBorders>
                  <w:noWrap w:val="0"/>
                  <w:vAlign w:val="center"/>
                </w:tcPr>
                <w:p w14:paraId="4BEF8C3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乙酸乙酯</w:t>
                  </w:r>
                </w:p>
              </w:tc>
              <w:tc>
                <w:tcPr>
                  <w:tcW w:w="1020" w:type="pct"/>
                  <w:tcBorders>
                    <w:tl2br w:val="nil"/>
                    <w:tr2bl w:val="nil"/>
                  </w:tcBorders>
                  <w:noWrap w:val="0"/>
                  <w:vAlign w:val="center"/>
                </w:tcPr>
                <w:p w14:paraId="165E90A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乙酸乙酯</w:t>
                  </w:r>
                </w:p>
              </w:tc>
              <w:tc>
                <w:tcPr>
                  <w:tcW w:w="300" w:type="pct"/>
                  <w:tcBorders>
                    <w:tl2br w:val="nil"/>
                    <w:tr2bl w:val="nil"/>
                  </w:tcBorders>
                  <w:noWrap w:val="0"/>
                  <w:vAlign w:val="center"/>
                </w:tcPr>
                <w:p w14:paraId="50EF708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40D0DA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59</w:t>
                  </w:r>
                </w:p>
              </w:tc>
              <w:tc>
                <w:tcPr>
                  <w:tcW w:w="836" w:type="pct"/>
                  <w:tcBorders>
                    <w:tl2br w:val="nil"/>
                    <w:tr2bl w:val="nil"/>
                  </w:tcBorders>
                  <w:noWrap w:val="0"/>
                  <w:vAlign w:val="center"/>
                </w:tcPr>
                <w:p w14:paraId="1BF4B93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己烯</w:t>
                  </w:r>
                </w:p>
              </w:tc>
              <w:tc>
                <w:tcPr>
                  <w:tcW w:w="960" w:type="pct"/>
                  <w:tcBorders>
                    <w:tl2br w:val="nil"/>
                    <w:tr2bl w:val="nil"/>
                  </w:tcBorders>
                  <w:noWrap w:val="0"/>
                  <w:vAlign w:val="center"/>
                </w:tcPr>
                <w:p w14:paraId="558F0DE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己烯</w:t>
                  </w:r>
                </w:p>
              </w:tc>
              <w:tc>
                <w:tcPr>
                  <w:tcW w:w="330" w:type="pct"/>
                  <w:tcBorders>
                    <w:tl2br w:val="nil"/>
                    <w:tr2bl w:val="nil"/>
                  </w:tcBorders>
                  <w:noWrap w:val="0"/>
                  <w:vAlign w:val="center"/>
                </w:tcPr>
                <w:p w14:paraId="6D72DEB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2508A2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9E44CA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18</w:t>
                  </w:r>
                </w:p>
              </w:tc>
              <w:tc>
                <w:tcPr>
                  <w:tcW w:w="1021" w:type="pct"/>
                  <w:tcBorders>
                    <w:tl2br w:val="nil"/>
                    <w:tr2bl w:val="nil"/>
                  </w:tcBorders>
                  <w:noWrap w:val="0"/>
                  <w:vAlign w:val="center"/>
                </w:tcPr>
                <w:p w14:paraId="3040914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乙酸丁酯</w:t>
                  </w:r>
                </w:p>
              </w:tc>
              <w:tc>
                <w:tcPr>
                  <w:tcW w:w="1020" w:type="pct"/>
                  <w:tcBorders>
                    <w:tl2br w:val="nil"/>
                    <w:tr2bl w:val="nil"/>
                  </w:tcBorders>
                  <w:noWrap w:val="0"/>
                  <w:vAlign w:val="center"/>
                </w:tcPr>
                <w:p w14:paraId="2351901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乙酸丁酯</w:t>
                  </w:r>
                </w:p>
              </w:tc>
              <w:tc>
                <w:tcPr>
                  <w:tcW w:w="300" w:type="pct"/>
                  <w:tcBorders>
                    <w:tl2br w:val="nil"/>
                    <w:tr2bl w:val="nil"/>
                  </w:tcBorders>
                  <w:noWrap w:val="0"/>
                  <w:vAlign w:val="center"/>
                </w:tcPr>
                <w:p w14:paraId="3A6B915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177D60F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60</w:t>
                  </w:r>
                </w:p>
              </w:tc>
              <w:tc>
                <w:tcPr>
                  <w:tcW w:w="836" w:type="pct"/>
                  <w:tcBorders>
                    <w:tl2br w:val="nil"/>
                    <w:tr2bl w:val="nil"/>
                  </w:tcBorders>
                  <w:noWrap w:val="0"/>
                  <w:vAlign w:val="center"/>
                </w:tcPr>
                <w:p w14:paraId="57C146C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碳酸二甲酯</w:t>
                  </w:r>
                </w:p>
              </w:tc>
              <w:tc>
                <w:tcPr>
                  <w:tcW w:w="960" w:type="pct"/>
                  <w:tcBorders>
                    <w:tl2br w:val="nil"/>
                    <w:tr2bl w:val="nil"/>
                  </w:tcBorders>
                  <w:noWrap w:val="0"/>
                  <w:vAlign w:val="center"/>
                </w:tcPr>
                <w:p w14:paraId="6010BFB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碳酸二甲酯</w:t>
                  </w:r>
                </w:p>
              </w:tc>
              <w:tc>
                <w:tcPr>
                  <w:tcW w:w="330" w:type="pct"/>
                  <w:tcBorders>
                    <w:tl2br w:val="nil"/>
                    <w:tr2bl w:val="nil"/>
                  </w:tcBorders>
                  <w:noWrap w:val="0"/>
                  <w:vAlign w:val="center"/>
                </w:tcPr>
                <w:p w14:paraId="48BC9B1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0BF695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1EE5109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19</w:t>
                  </w:r>
                </w:p>
              </w:tc>
              <w:tc>
                <w:tcPr>
                  <w:tcW w:w="1021" w:type="pct"/>
                  <w:tcBorders>
                    <w:tl2br w:val="nil"/>
                    <w:tr2bl w:val="nil"/>
                  </w:tcBorders>
                  <w:noWrap w:val="0"/>
                  <w:vAlign w:val="center"/>
                </w:tcPr>
                <w:p w14:paraId="4234BB5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丙烯酸乙酯</w:t>
                  </w:r>
                </w:p>
              </w:tc>
              <w:tc>
                <w:tcPr>
                  <w:tcW w:w="1020" w:type="pct"/>
                  <w:tcBorders>
                    <w:tl2br w:val="nil"/>
                    <w:tr2bl w:val="nil"/>
                  </w:tcBorders>
                  <w:noWrap w:val="0"/>
                  <w:vAlign w:val="center"/>
                </w:tcPr>
                <w:p w14:paraId="36A084C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丙烯酸乙酯</w:t>
                  </w:r>
                </w:p>
              </w:tc>
              <w:tc>
                <w:tcPr>
                  <w:tcW w:w="300" w:type="pct"/>
                  <w:tcBorders>
                    <w:tl2br w:val="nil"/>
                    <w:tr2bl w:val="nil"/>
                  </w:tcBorders>
                  <w:noWrap w:val="0"/>
                  <w:vAlign w:val="center"/>
                </w:tcPr>
                <w:p w14:paraId="1A234FA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3CDDA2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61</w:t>
                  </w:r>
                </w:p>
              </w:tc>
              <w:tc>
                <w:tcPr>
                  <w:tcW w:w="836" w:type="pct"/>
                  <w:tcBorders>
                    <w:tl2br w:val="nil"/>
                    <w:tr2bl w:val="nil"/>
                  </w:tcBorders>
                  <w:noWrap w:val="0"/>
                  <w:vAlign w:val="center"/>
                </w:tcPr>
                <w:p w14:paraId="25AEB8D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己二胺</w:t>
                  </w:r>
                </w:p>
              </w:tc>
              <w:tc>
                <w:tcPr>
                  <w:tcW w:w="960" w:type="pct"/>
                  <w:tcBorders>
                    <w:tl2br w:val="nil"/>
                    <w:tr2bl w:val="nil"/>
                  </w:tcBorders>
                  <w:noWrap w:val="0"/>
                  <w:vAlign w:val="center"/>
                </w:tcPr>
                <w:p w14:paraId="21502F7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己二胺</w:t>
                  </w:r>
                </w:p>
              </w:tc>
              <w:tc>
                <w:tcPr>
                  <w:tcW w:w="330" w:type="pct"/>
                  <w:tcBorders>
                    <w:tl2br w:val="nil"/>
                    <w:tr2bl w:val="nil"/>
                  </w:tcBorders>
                  <w:noWrap w:val="0"/>
                  <w:vAlign w:val="center"/>
                </w:tcPr>
                <w:p w14:paraId="303520E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438919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62AAA57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20</w:t>
                  </w:r>
                </w:p>
              </w:tc>
              <w:tc>
                <w:tcPr>
                  <w:tcW w:w="1021" w:type="pct"/>
                  <w:tcBorders>
                    <w:tl2br w:val="nil"/>
                    <w:tr2bl w:val="nil"/>
                  </w:tcBorders>
                  <w:noWrap w:val="0"/>
                  <w:vAlign w:val="center"/>
                </w:tcPr>
                <w:p w14:paraId="57902BE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丙烯酸丁酯</w:t>
                  </w:r>
                </w:p>
              </w:tc>
              <w:tc>
                <w:tcPr>
                  <w:tcW w:w="1020" w:type="pct"/>
                  <w:tcBorders>
                    <w:tl2br w:val="nil"/>
                    <w:tr2bl w:val="nil"/>
                  </w:tcBorders>
                  <w:noWrap w:val="0"/>
                  <w:vAlign w:val="center"/>
                </w:tcPr>
                <w:p w14:paraId="0A57ECC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丙烯酸丁酯</w:t>
                  </w:r>
                </w:p>
              </w:tc>
              <w:tc>
                <w:tcPr>
                  <w:tcW w:w="300" w:type="pct"/>
                  <w:tcBorders>
                    <w:tl2br w:val="nil"/>
                    <w:tr2bl w:val="nil"/>
                  </w:tcBorders>
                  <w:noWrap w:val="0"/>
                  <w:vAlign w:val="center"/>
                </w:tcPr>
                <w:p w14:paraId="5E55248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ABB37A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62</w:t>
                  </w:r>
                </w:p>
              </w:tc>
              <w:tc>
                <w:tcPr>
                  <w:tcW w:w="836" w:type="pct"/>
                  <w:tcBorders>
                    <w:tl2br w:val="nil"/>
                    <w:tr2bl w:val="nil"/>
                  </w:tcBorders>
                  <w:noWrap w:val="0"/>
                  <w:vAlign w:val="center"/>
                </w:tcPr>
                <w:p w14:paraId="6CE9826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环戊烯</w:t>
                  </w:r>
                </w:p>
              </w:tc>
              <w:tc>
                <w:tcPr>
                  <w:tcW w:w="960" w:type="pct"/>
                  <w:tcBorders>
                    <w:tl2br w:val="nil"/>
                    <w:tr2bl w:val="nil"/>
                  </w:tcBorders>
                  <w:noWrap w:val="0"/>
                  <w:vAlign w:val="center"/>
                </w:tcPr>
                <w:p w14:paraId="1462200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环戊烯</w:t>
                  </w:r>
                </w:p>
              </w:tc>
              <w:tc>
                <w:tcPr>
                  <w:tcW w:w="330" w:type="pct"/>
                  <w:tcBorders>
                    <w:tl2br w:val="nil"/>
                    <w:tr2bl w:val="nil"/>
                  </w:tcBorders>
                  <w:noWrap w:val="0"/>
                  <w:vAlign w:val="center"/>
                </w:tcPr>
                <w:p w14:paraId="059C5C2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776217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4FFB8D6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21</w:t>
                  </w:r>
                </w:p>
              </w:tc>
              <w:tc>
                <w:tcPr>
                  <w:tcW w:w="1021" w:type="pct"/>
                  <w:tcBorders>
                    <w:tl2br w:val="nil"/>
                    <w:tr2bl w:val="nil"/>
                  </w:tcBorders>
                  <w:noWrap w:val="0"/>
                  <w:vAlign w:val="center"/>
                </w:tcPr>
                <w:p w14:paraId="752F61D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戊烷（混合碳五）</w:t>
                  </w:r>
                </w:p>
              </w:tc>
              <w:tc>
                <w:tcPr>
                  <w:tcW w:w="1020" w:type="pct"/>
                  <w:tcBorders>
                    <w:tl2br w:val="nil"/>
                    <w:tr2bl w:val="nil"/>
                  </w:tcBorders>
                  <w:noWrap w:val="0"/>
                  <w:vAlign w:val="center"/>
                </w:tcPr>
                <w:p w14:paraId="3D45A84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戊烷（混合碳五）</w:t>
                  </w:r>
                </w:p>
              </w:tc>
              <w:tc>
                <w:tcPr>
                  <w:tcW w:w="300" w:type="pct"/>
                  <w:tcBorders>
                    <w:tl2br w:val="nil"/>
                    <w:tr2bl w:val="nil"/>
                  </w:tcBorders>
                  <w:noWrap w:val="0"/>
                  <w:vAlign w:val="center"/>
                </w:tcPr>
                <w:p w14:paraId="7CC0A6E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68A72F1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63</w:t>
                  </w:r>
                </w:p>
              </w:tc>
              <w:tc>
                <w:tcPr>
                  <w:tcW w:w="836" w:type="pct"/>
                  <w:tcBorders>
                    <w:tl2br w:val="nil"/>
                    <w:tr2bl w:val="nil"/>
                  </w:tcBorders>
                  <w:noWrap w:val="0"/>
                  <w:vAlign w:val="center"/>
                </w:tcPr>
                <w:p w14:paraId="520900D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w:t>
                  </w:r>
                  <w:r>
                    <w:rPr>
                      <w:rFonts w:hint="eastAsia" w:ascii="Times New Roman" w:hAnsi="Times New Roman" w:eastAsia="宋体" w:cs="Times New Roman"/>
                      <w:color w:val="auto"/>
                      <w:sz w:val="18"/>
                      <w:szCs w:val="18"/>
                      <w:highlight w:val="none"/>
                      <w:lang w:val="en-US" w:eastAsia="zh-CN"/>
                    </w:rPr>
                    <w:t>戊二醇</w:t>
                  </w:r>
                </w:p>
              </w:tc>
              <w:tc>
                <w:tcPr>
                  <w:tcW w:w="960" w:type="pct"/>
                  <w:tcBorders>
                    <w:tl2br w:val="nil"/>
                    <w:tr2bl w:val="nil"/>
                  </w:tcBorders>
                  <w:noWrap w:val="0"/>
                  <w:vAlign w:val="center"/>
                </w:tcPr>
                <w:p w14:paraId="42BE53F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1,2-</w:t>
                  </w:r>
                  <w:r>
                    <w:rPr>
                      <w:rFonts w:hint="eastAsia" w:ascii="Times New Roman" w:hAnsi="Times New Roman" w:eastAsia="宋体" w:cs="Times New Roman"/>
                      <w:color w:val="auto"/>
                      <w:sz w:val="18"/>
                      <w:szCs w:val="18"/>
                      <w:highlight w:val="none"/>
                      <w:lang w:val="en-US" w:eastAsia="zh-CN"/>
                    </w:rPr>
                    <w:t>戊二醇</w:t>
                  </w:r>
                </w:p>
              </w:tc>
              <w:tc>
                <w:tcPr>
                  <w:tcW w:w="330" w:type="pct"/>
                  <w:tcBorders>
                    <w:tl2br w:val="nil"/>
                    <w:tr2bl w:val="nil"/>
                  </w:tcBorders>
                  <w:noWrap w:val="0"/>
                  <w:vAlign w:val="center"/>
                </w:tcPr>
                <w:p w14:paraId="6F29B6A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3FEE97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37CABD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22</w:t>
                  </w:r>
                </w:p>
              </w:tc>
              <w:tc>
                <w:tcPr>
                  <w:tcW w:w="1021" w:type="pct"/>
                  <w:tcBorders>
                    <w:tl2br w:val="nil"/>
                    <w:tr2bl w:val="nil"/>
                  </w:tcBorders>
                  <w:noWrap w:val="0"/>
                  <w:vAlign w:val="center"/>
                </w:tcPr>
                <w:p w14:paraId="1073D6C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汽油</w:t>
                  </w:r>
                </w:p>
              </w:tc>
              <w:tc>
                <w:tcPr>
                  <w:tcW w:w="1020" w:type="pct"/>
                  <w:tcBorders>
                    <w:tl2br w:val="nil"/>
                    <w:tr2bl w:val="nil"/>
                  </w:tcBorders>
                  <w:noWrap w:val="0"/>
                  <w:vAlign w:val="center"/>
                </w:tcPr>
                <w:p w14:paraId="5AAA034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汽油</w:t>
                  </w:r>
                </w:p>
              </w:tc>
              <w:tc>
                <w:tcPr>
                  <w:tcW w:w="300" w:type="pct"/>
                  <w:tcBorders>
                    <w:tl2br w:val="nil"/>
                    <w:tr2bl w:val="nil"/>
                  </w:tcBorders>
                  <w:noWrap w:val="0"/>
                  <w:vAlign w:val="center"/>
                </w:tcPr>
                <w:p w14:paraId="2954CE8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1284827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64</w:t>
                  </w:r>
                </w:p>
              </w:tc>
              <w:tc>
                <w:tcPr>
                  <w:tcW w:w="836" w:type="pct"/>
                  <w:tcBorders>
                    <w:tl2br w:val="nil"/>
                    <w:tr2bl w:val="nil"/>
                  </w:tcBorders>
                  <w:noWrap w:val="0"/>
                  <w:vAlign w:val="center"/>
                </w:tcPr>
                <w:p w14:paraId="6031887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间戊二烯</w:t>
                  </w:r>
                </w:p>
              </w:tc>
              <w:tc>
                <w:tcPr>
                  <w:tcW w:w="960" w:type="pct"/>
                  <w:tcBorders>
                    <w:tl2br w:val="nil"/>
                    <w:tr2bl w:val="nil"/>
                  </w:tcBorders>
                  <w:noWrap w:val="0"/>
                  <w:vAlign w:val="center"/>
                </w:tcPr>
                <w:p w14:paraId="2800A7B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间戊二烯</w:t>
                  </w:r>
                </w:p>
              </w:tc>
              <w:tc>
                <w:tcPr>
                  <w:tcW w:w="330" w:type="pct"/>
                  <w:tcBorders>
                    <w:tl2br w:val="nil"/>
                    <w:tr2bl w:val="nil"/>
                  </w:tcBorders>
                  <w:noWrap w:val="0"/>
                  <w:vAlign w:val="center"/>
                </w:tcPr>
                <w:p w14:paraId="29B41C1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2C056A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1AEF8E5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23</w:t>
                  </w:r>
                </w:p>
              </w:tc>
              <w:tc>
                <w:tcPr>
                  <w:tcW w:w="1021" w:type="pct"/>
                  <w:tcBorders>
                    <w:tl2br w:val="nil"/>
                    <w:tr2bl w:val="nil"/>
                  </w:tcBorders>
                  <w:noWrap w:val="0"/>
                  <w:vAlign w:val="center"/>
                </w:tcPr>
                <w:p w14:paraId="4894D23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柴油</w:t>
                  </w:r>
                </w:p>
              </w:tc>
              <w:tc>
                <w:tcPr>
                  <w:tcW w:w="1020" w:type="pct"/>
                  <w:tcBorders>
                    <w:tl2br w:val="nil"/>
                    <w:tr2bl w:val="nil"/>
                  </w:tcBorders>
                  <w:noWrap w:val="0"/>
                  <w:vAlign w:val="center"/>
                </w:tcPr>
                <w:p w14:paraId="638A695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柴油</w:t>
                  </w:r>
                </w:p>
              </w:tc>
              <w:tc>
                <w:tcPr>
                  <w:tcW w:w="300" w:type="pct"/>
                  <w:tcBorders>
                    <w:tl2br w:val="nil"/>
                    <w:tr2bl w:val="nil"/>
                  </w:tcBorders>
                  <w:noWrap w:val="0"/>
                  <w:vAlign w:val="center"/>
                </w:tcPr>
                <w:p w14:paraId="42EE1CE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5D4B9F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65</w:t>
                  </w:r>
                </w:p>
              </w:tc>
              <w:tc>
                <w:tcPr>
                  <w:tcW w:w="836" w:type="pct"/>
                  <w:tcBorders>
                    <w:tl2br w:val="nil"/>
                    <w:tr2bl w:val="nil"/>
                  </w:tcBorders>
                  <w:noWrap w:val="0"/>
                  <w:vAlign w:val="center"/>
                </w:tcPr>
                <w:p w14:paraId="462F5DC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牛</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羊油脂</w:t>
                  </w:r>
                </w:p>
              </w:tc>
              <w:tc>
                <w:tcPr>
                  <w:tcW w:w="960" w:type="pct"/>
                  <w:tcBorders>
                    <w:tl2br w:val="nil"/>
                    <w:tr2bl w:val="nil"/>
                  </w:tcBorders>
                  <w:noWrap w:val="0"/>
                  <w:vAlign w:val="center"/>
                </w:tcPr>
                <w:p w14:paraId="4F93EA6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牛</w:t>
                  </w:r>
                  <w:r>
                    <w:rPr>
                      <w:rFonts w:hint="default" w:ascii="Times New Roman" w:hAnsi="Times New Roman" w:eastAsia="宋体"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羊油脂</w:t>
                  </w:r>
                </w:p>
              </w:tc>
              <w:tc>
                <w:tcPr>
                  <w:tcW w:w="330" w:type="pct"/>
                  <w:tcBorders>
                    <w:tl2br w:val="nil"/>
                    <w:tr2bl w:val="nil"/>
                  </w:tcBorders>
                  <w:noWrap w:val="0"/>
                  <w:vAlign w:val="center"/>
                </w:tcPr>
                <w:p w14:paraId="14B433B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587B5B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62" w:type="pct"/>
                  <w:tcBorders>
                    <w:tl2br w:val="nil"/>
                    <w:tr2bl w:val="nil"/>
                  </w:tcBorders>
                  <w:noWrap w:val="0"/>
                  <w:vAlign w:val="center"/>
                </w:tcPr>
                <w:p w14:paraId="25CC0A8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24</w:t>
                  </w:r>
                </w:p>
              </w:tc>
              <w:tc>
                <w:tcPr>
                  <w:tcW w:w="1021" w:type="pct"/>
                  <w:tcBorders>
                    <w:tl2br w:val="nil"/>
                    <w:tr2bl w:val="nil"/>
                  </w:tcBorders>
                  <w:noWrap w:val="0"/>
                  <w:vAlign w:val="center"/>
                </w:tcPr>
                <w:p w14:paraId="6F12581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乙醇</w:t>
                  </w:r>
                </w:p>
              </w:tc>
              <w:tc>
                <w:tcPr>
                  <w:tcW w:w="1020" w:type="pct"/>
                  <w:tcBorders>
                    <w:tl2br w:val="nil"/>
                    <w:tr2bl w:val="nil"/>
                  </w:tcBorders>
                  <w:noWrap w:val="0"/>
                  <w:vAlign w:val="center"/>
                </w:tcPr>
                <w:p w14:paraId="2D12381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乙醇</w:t>
                  </w:r>
                </w:p>
              </w:tc>
              <w:tc>
                <w:tcPr>
                  <w:tcW w:w="300" w:type="pct"/>
                  <w:tcBorders>
                    <w:tl2br w:val="nil"/>
                    <w:tr2bl w:val="nil"/>
                  </w:tcBorders>
                  <w:noWrap w:val="0"/>
                  <w:vAlign w:val="center"/>
                </w:tcPr>
                <w:p w14:paraId="5666C33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6B68919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66</w:t>
                  </w:r>
                </w:p>
              </w:tc>
              <w:tc>
                <w:tcPr>
                  <w:tcW w:w="836" w:type="pct"/>
                  <w:tcBorders>
                    <w:tl2br w:val="nil"/>
                    <w:tr2bl w:val="nil"/>
                  </w:tcBorders>
                  <w:noWrap w:val="0"/>
                  <w:vAlign w:val="center"/>
                </w:tcPr>
                <w:p w14:paraId="4CC6B50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1,2-二氯乙烷</w:t>
                  </w:r>
                </w:p>
                <w:p w14:paraId="259C2D2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（二氯乙烷）</w:t>
                  </w:r>
                </w:p>
              </w:tc>
              <w:tc>
                <w:tcPr>
                  <w:tcW w:w="960" w:type="pct"/>
                  <w:tcBorders>
                    <w:tl2br w:val="nil"/>
                    <w:tr2bl w:val="nil"/>
                  </w:tcBorders>
                  <w:noWrap w:val="0"/>
                  <w:vAlign w:val="center"/>
                </w:tcPr>
                <w:p w14:paraId="4DAAAE5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5AB5A5E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删除1</w:t>
                  </w:r>
                </w:p>
              </w:tc>
            </w:tr>
            <w:tr w14:paraId="5A57F6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5407950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25</w:t>
                  </w:r>
                </w:p>
              </w:tc>
              <w:tc>
                <w:tcPr>
                  <w:tcW w:w="1021" w:type="pct"/>
                  <w:tcBorders>
                    <w:tl2br w:val="nil"/>
                    <w:tr2bl w:val="nil"/>
                  </w:tcBorders>
                  <w:noWrap w:val="0"/>
                  <w:vAlign w:val="center"/>
                </w:tcPr>
                <w:p w14:paraId="7CE4944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乙苯</w:t>
                  </w:r>
                </w:p>
              </w:tc>
              <w:tc>
                <w:tcPr>
                  <w:tcW w:w="1020" w:type="pct"/>
                  <w:tcBorders>
                    <w:tl2br w:val="nil"/>
                    <w:tr2bl w:val="nil"/>
                  </w:tcBorders>
                  <w:noWrap w:val="0"/>
                  <w:vAlign w:val="center"/>
                </w:tcPr>
                <w:p w14:paraId="528F8C5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乙苯</w:t>
                  </w:r>
                </w:p>
              </w:tc>
              <w:tc>
                <w:tcPr>
                  <w:tcW w:w="300" w:type="pct"/>
                  <w:tcBorders>
                    <w:tl2br w:val="nil"/>
                    <w:tr2bl w:val="nil"/>
                  </w:tcBorders>
                  <w:noWrap w:val="0"/>
                  <w:vAlign w:val="center"/>
                </w:tcPr>
                <w:p w14:paraId="0A7DDA0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BD6174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67</w:t>
                  </w:r>
                </w:p>
              </w:tc>
              <w:tc>
                <w:tcPr>
                  <w:tcW w:w="836" w:type="pct"/>
                  <w:tcBorders>
                    <w:tl2br w:val="nil"/>
                    <w:tr2bl w:val="nil"/>
                  </w:tcBorders>
                  <w:noWrap w:val="0"/>
                  <w:vAlign w:val="center"/>
                </w:tcPr>
                <w:p w14:paraId="2310287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烷基(C3-C4)苯</w:t>
                  </w:r>
                  <w:r>
                    <w:rPr>
                      <w:rFonts w:hint="eastAsia" w:cs="Times New Roman"/>
                      <w:color w:val="auto"/>
                      <w:sz w:val="18"/>
                      <w:szCs w:val="18"/>
                      <w:highlight w:val="none"/>
                      <w:lang w:val="en-US" w:eastAsia="zh-CN"/>
                    </w:rPr>
                    <w:t>（</w:t>
                  </w:r>
                  <w:r>
                    <w:rPr>
                      <w:rFonts w:hint="eastAsia" w:ascii="Times New Roman" w:hAnsi="Times New Roman" w:eastAsia="宋体" w:cs="Times New Roman"/>
                      <w:color w:val="auto"/>
                      <w:sz w:val="18"/>
                      <w:szCs w:val="18"/>
                      <w:highlight w:val="none"/>
                      <w:lang w:val="en-US" w:eastAsia="zh-CN"/>
                    </w:rPr>
                    <w:t>混合芳烃</w:t>
                  </w:r>
                  <w:r>
                    <w:rPr>
                      <w:rFonts w:hint="eastAsia" w:cs="Times New Roman"/>
                      <w:color w:val="auto"/>
                      <w:sz w:val="18"/>
                      <w:szCs w:val="18"/>
                      <w:highlight w:val="none"/>
                      <w:lang w:val="en-US" w:eastAsia="zh-CN"/>
                    </w:rPr>
                    <w:t>）</w:t>
                  </w:r>
                </w:p>
              </w:tc>
              <w:tc>
                <w:tcPr>
                  <w:tcW w:w="960" w:type="pct"/>
                  <w:tcBorders>
                    <w:tl2br w:val="nil"/>
                    <w:tr2bl w:val="nil"/>
                  </w:tcBorders>
                  <w:noWrap w:val="0"/>
                  <w:vAlign w:val="center"/>
                </w:tcPr>
                <w:p w14:paraId="4FD766D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2B9EF8A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删除2</w:t>
                  </w:r>
                </w:p>
              </w:tc>
            </w:tr>
            <w:tr w14:paraId="544AD3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202659E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26</w:t>
                  </w:r>
                </w:p>
              </w:tc>
              <w:tc>
                <w:tcPr>
                  <w:tcW w:w="1021" w:type="pct"/>
                  <w:tcBorders>
                    <w:tl2br w:val="nil"/>
                    <w:tr2bl w:val="nil"/>
                  </w:tcBorders>
                  <w:noWrap w:val="0"/>
                  <w:vAlign w:val="center"/>
                </w:tcPr>
                <w:p w14:paraId="0B90325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邻二甲苯</w:t>
                  </w:r>
                </w:p>
              </w:tc>
              <w:tc>
                <w:tcPr>
                  <w:tcW w:w="1020" w:type="pct"/>
                  <w:tcBorders>
                    <w:tl2br w:val="nil"/>
                    <w:tr2bl w:val="nil"/>
                  </w:tcBorders>
                  <w:noWrap w:val="0"/>
                  <w:vAlign w:val="center"/>
                </w:tcPr>
                <w:p w14:paraId="49DDF93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邻二甲苯</w:t>
                  </w:r>
                </w:p>
              </w:tc>
              <w:tc>
                <w:tcPr>
                  <w:tcW w:w="300" w:type="pct"/>
                  <w:tcBorders>
                    <w:tl2br w:val="nil"/>
                    <w:tr2bl w:val="nil"/>
                  </w:tcBorders>
                  <w:noWrap w:val="0"/>
                  <w:vAlign w:val="center"/>
                </w:tcPr>
                <w:p w14:paraId="6EA8A11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388A432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68</w:t>
                  </w:r>
                </w:p>
              </w:tc>
              <w:tc>
                <w:tcPr>
                  <w:tcW w:w="836" w:type="pct"/>
                  <w:tcBorders>
                    <w:tl2br w:val="nil"/>
                    <w:tr2bl w:val="nil"/>
                  </w:tcBorders>
                  <w:noWrap w:val="0"/>
                  <w:vAlign w:val="center"/>
                </w:tcPr>
                <w:p w14:paraId="601BEBF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丙酸丁酯</w:t>
                  </w:r>
                </w:p>
              </w:tc>
              <w:tc>
                <w:tcPr>
                  <w:tcW w:w="960" w:type="pct"/>
                  <w:tcBorders>
                    <w:tl2br w:val="nil"/>
                    <w:tr2bl w:val="nil"/>
                  </w:tcBorders>
                  <w:noWrap w:val="0"/>
                  <w:vAlign w:val="center"/>
                </w:tcPr>
                <w:p w14:paraId="104EB5F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13B45EB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删除3</w:t>
                  </w:r>
                </w:p>
              </w:tc>
            </w:tr>
            <w:tr w14:paraId="01E8BE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210" w:hRule="atLeast"/>
              </w:trPr>
              <w:tc>
                <w:tcPr>
                  <w:tcW w:w="262" w:type="pct"/>
                  <w:tcBorders>
                    <w:tl2br w:val="nil"/>
                    <w:tr2bl w:val="nil"/>
                  </w:tcBorders>
                  <w:noWrap w:val="0"/>
                  <w:vAlign w:val="center"/>
                </w:tcPr>
                <w:p w14:paraId="1D40C3A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27</w:t>
                  </w:r>
                </w:p>
              </w:tc>
              <w:tc>
                <w:tcPr>
                  <w:tcW w:w="1021" w:type="pct"/>
                  <w:tcBorders>
                    <w:tl2br w:val="nil"/>
                    <w:tr2bl w:val="nil"/>
                  </w:tcBorders>
                  <w:noWrap w:val="0"/>
                  <w:vAlign w:val="center"/>
                </w:tcPr>
                <w:p w14:paraId="09DA3C0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间二甲苯</w:t>
                  </w:r>
                </w:p>
              </w:tc>
              <w:tc>
                <w:tcPr>
                  <w:tcW w:w="1020" w:type="pct"/>
                  <w:tcBorders>
                    <w:tl2br w:val="nil"/>
                    <w:tr2bl w:val="nil"/>
                  </w:tcBorders>
                  <w:noWrap w:val="0"/>
                  <w:vAlign w:val="center"/>
                </w:tcPr>
                <w:p w14:paraId="713A5D6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间二甲苯</w:t>
                  </w:r>
                </w:p>
              </w:tc>
              <w:tc>
                <w:tcPr>
                  <w:tcW w:w="300" w:type="pct"/>
                  <w:tcBorders>
                    <w:tl2br w:val="nil"/>
                    <w:tr2bl w:val="nil"/>
                  </w:tcBorders>
                  <w:noWrap w:val="0"/>
                  <w:vAlign w:val="center"/>
                </w:tcPr>
                <w:p w14:paraId="0D3FB2A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3B186A9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69</w:t>
                  </w:r>
                </w:p>
              </w:tc>
              <w:tc>
                <w:tcPr>
                  <w:tcW w:w="836" w:type="pct"/>
                  <w:tcBorders>
                    <w:tl2br w:val="nil"/>
                    <w:tr2bl w:val="nil"/>
                  </w:tcBorders>
                  <w:noWrap w:val="0"/>
                  <w:vAlign w:val="center"/>
                </w:tcPr>
                <w:p w14:paraId="6E1A978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溶剂油[闭杯闪点≤60℃]</w:t>
                  </w:r>
                </w:p>
              </w:tc>
              <w:tc>
                <w:tcPr>
                  <w:tcW w:w="960" w:type="pct"/>
                  <w:tcBorders>
                    <w:tl2br w:val="nil"/>
                    <w:tr2bl w:val="nil"/>
                  </w:tcBorders>
                  <w:noWrap w:val="0"/>
                  <w:vAlign w:val="center"/>
                </w:tcPr>
                <w:p w14:paraId="08E3ABF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41207F5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删除4</w:t>
                  </w:r>
                </w:p>
              </w:tc>
            </w:tr>
            <w:tr w14:paraId="1770F5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62" w:type="pct"/>
                  <w:tcBorders>
                    <w:tl2br w:val="nil"/>
                    <w:tr2bl w:val="nil"/>
                  </w:tcBorders>
                  <w:noWrap w:val="0"/>
                  <w:vAlign w:val="center"/>
                </w:tcPr>
                <w:p w14:paraId="0ACB9E0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28</w:t>
                  </w:r>
                </w:p>
              </w:tc>
              <w:tc>
                <w:tcPr>
                  <w:tcW w:w="1021" w:type="pct"/>
                  <w:tcBorders>
                    <w:tl2br w:val="nil"/>
                    <w:tr2bl w:val="nil"/>
                  </w:tcBorders>
                  <w:noWrap w:val="0"/>
                  <w:vAlign w:val="center"/>
                </w:tcPr>
                <w:p w14:paraId="7296A2C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甲基丙烯酸甲酯</w:t>
                  </w:r>
                </w:p>
              </w:tc>
              <w:tc>
                <w:tcPr>
                  <w:tcW w:w="1020" w:type="pct"/>
                  <w:tcBorders>
                    <w:tl2br w:val="nil"/>
                    <w:tr2bl w:val="nil"/>
                  </w:tcBorders>
                  <w:noWrap w:val="0"/>
                  <w:vAlign w:val="center"/>
                </w:tcPr>
                <w:p w14:paraId="3D6B4F4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甲基丙烯酸甲酯</w:t>
                  </w:r>
                </w:p>
              </w:tc>
              <w:tc>
                <w:tcPr>
                  <w:tcW w:w="300" w:type="pct"/>
                  <w:tcBorders>
                    <w:tl2br w:val="nil"/>
                    <w:tr2bl w:val="nil"/>
                  </w:tcBorders>
                  <w:noWrap w:val="0"/>
                  <w:vAlign w:val="center"/>
                </w:tcPr>
                <w:p w14:paraId="49C8E17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7EA7343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70</w:t>
                  </w:r>
                </w:p>
              </w:tc>
              <w:tc>
                <w:tcPr>
                  <w:tcW w:w="836" w:type="pct"/>
                  <w:tcBorders>
                    <w:tl2br w:val="nil"/>
                    <w:tr2bl w:val="nil"/>
                  </w:tcBorders>
                  <w:noWrap w:val="0"/>
                  <w:vAlign w:val="center"/>
                </w:tcPr>
                <w:p w14:paraId="2770F83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硫酸</w:t>
                  </w:r>
                  <w:r>
                    <w:rPr>
                      <w:rFonts w:hint="eastAsia" w:cs="Times New Roman"/>
                      <w:color w:val="auto"/>
                      <w:sz w:val="18"/>
                      <w:szCs w:val="18"/>
                      <w:highlight w:val="none"/>
                      <w:lang w:val="en-US" w:eastAsia="zh-CN"/>
                    </w:rPr>
                    <w:t>（98%）</w:t>
                  </w:r>
                </w:p>
              </w:tc>
              <w:tc>
                <w:tcPr>
                  <w:tcW w:w="960" w:type="pct"/>
                  <w:tcBorders>
                    <w:tl2br w:val="nil"/>
                    <w:tr2bl w:val="nil"/>
                  </w:tcBorders>
                  <w:noWrap w:val="0"/>
                  <w:vAlign w:val="center"/>
                </w:tcPr>
                <w:p w14:paraId="572D3A9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3B056F3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删除5</w:t>
                  </w:r>
                </w:p>
              </w:tc>
            </w:tr>
            <w:tr w14:paraId="09D718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5657E04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29</w:t>
                  </w:r>
                </w:p>
              </w:tc>
              <w:tc>
                <w:tcPr>
                  <w:tcW w:w="1021" w:type="pct"/>
                  <w:tcBorders>
                    <w:tl2br w:val="nil"/>
                    <w:tr2bl w:val="nil"/>
                  </w:tcBorders>
                  <w:noWrap w:val="0"/>
                  <w:vAlign w:val="center"/>
                </w:tcPr>
                <w:p w14:paraId="0D7EF81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异辛醇</w:t>
                  </w:r>
                </w:p>
              </w:tc>
              <w:tc>
                <w:tcPr>
                  <w:tcW w:w="1020" w:type="pct"/>
                  <w:tcBorders>
                    <w:tl2br w:val="nil"/>
                    <w:tr2bl w:val="nil"/>
                  </w:tcBorders>
                  <w:noWrap w:val="0"/>
                  <w:vAlign w:val="center"/>
                </w:tcPr>
                <w:p w14:paraId="2B6683A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异辛醇</w:t>
                  </w:r>
                </w:p>
              </w:tc>
              <w:tc>
                <w:tcPr>
                  <w:tcW w:w="300" w:type="pct"/>
                  <w:tcBorders>
                    <w:tl2br w:val="nil"/>
                    <w:tr2bl w:val="nil"/>
                  </w:tcBorders>
                  <w:noWrap w:val="0"/>
                  <w:vAlign w:val="center"/>
                </w:tcPr>
                <w:p w14:paraId="3ED61A3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715E279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71</w:t>
                  </w:r>
                </w:p>
              </w:tc>
              <w:tc>
                <w:tcPr>
                  <w:tcW w:w="836" w:type="pct"/>
                  <w:tcBorders>
                    <w:tl2br w:val="nil"/>
                    <w:tr2bl w:val="nil"/>
                  </w:tcBorders>
                  <w:noWrap w:val="0"/>
                  <w:vAlign w:val="center"/>
                </w:tcPr>
                <w:p w14:paraId="003E55E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氢氧化钠</w:t>
                  </w:r>
                  <w:r>
                    <w:rPr>
                      <w:rFonts w:hint="eastAsia" w:cs="Times New Roman"/>
                      <w:color w:val="auto"/>
                      <w:sz w:val="18"/>
                      <w:szCs w:val="18"/>
                      <w:highlight w:val="none"/>
                      <w:lang w:val="en-US" w:eastAsia="zh-CN"/>
                    </w:rPr>
                    <w:t>溶液（30%）</w:t>
                  </w:r>
                </w:p>
              </w:tc>
              <w:tc>
                <w:tcPr>
                  <w:tcW w:w="960" w:type="pct"/>
                  <w:tcBorders>
                    <w:tl2br w:val="nil"/>
                    <w:tr2bl w:val="nil"/>
                  </w:tcBorders>
                  <w:noWrap w:val="0"/>
                  <w:vAlign w:val="center"/>
                </w:tcPr>
                <w:p w14:paraId="0645AFD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6E5FA00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删除6</w:t>
                  </w:r>
                </w:p>
              </w:tc>
            </w:tr>
            <w:tr w14:paraId="4BFF20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5CBAE0D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30</w:t>
                  </w:r>
                </w:p>
              </w:tc>
              <w:tc>
                <w:tcPr>
                  <w:tcW w:w="1021" w:type="pct"/>
                  <w:tcBorders>
                    <w:tl2br w:val="nil"/>
                    <w:tr2bl w:val="nil"/>
                  </w:tcBorders>
                  <w:noWrap w:val="0"/>
                  <w:vAlign w:val="center"/>
                </w:tcPr>
                <w:p w14:paraId="48CEEFA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沥青（含煤焦油沥青）</w:t>
                  </w:r>
                </w:p>
              </w:tc>
              <w:tc>
                <w:tcPr>
                  <w:tcW w:w="1020" w:type="pct"/>
                  <w:tcBorders>
                    <w:tl2br w:val="nil"/>
                    <w:tr2bl w:val="nil"/>
                  </w:tcBorders>
                  <w:noWrap w:val="0"/>
                  <w:vAlign w:val="center"/>
                </w:tcPr>
                <w:p w14:paraId="343A3D8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沥青（含煤焦油沥青）</w:t>
                  </w:r>
                </w:p>
              </w:tc>
              <w:tc>
                <w:tcPr>
                  <w:tcW w:w="300" w:type="pct"/>
                  <w:tcBorders>
                    <w:tl2br w:val="nil"/>
                    <w:tr2bl w:val="nil"/>
                  </w:tcBorders>
                  <w:noWrap w:val="0"/>
                  <w:vAlign w:val="center"/>
                </w:tcPr>
                <w:p w14:paraId="7857A1C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1901A77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72</w:t>
                  </w:r>
                </w:p>
              </w:tc>
              <w:tc>
                <w:tcPr>
                  <w:tcW w:w="836" w:type="pct"/>
                  <w:tcBorders>
                    <w:tl2br w:val="nil"/>
                    <w:tr2bl w:val="nil"/>
                  </w:tcBorders>
                  <w:noWrap w:val="0"/>
                  <w:vAlign w:val="center"/>
                </w:tcPr>
                <w:p w14:paraId="3117871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乙烯焦油</w:t>
                  </w:r>
                </w:p>
              </w:tc>
              <w:tc>
                <w:tcPr>
                  <w:tcW w:w="960" w:type="pct"/>
                  <w:tcBorders>
                    <w:tl2br w:val="nil"/>
                    <w:tr2bl w:val="nil"/>
                  </w:tcBorders>
                  <w:noWrap w:val="0"/>
                  <w:vAlign w:val="center"/>
                </w:tcPr>
                <w:p w14:paraId="35CC64F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02F57B6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删除7</w:t>
                  </w:r>
                </w:p>
              </w:tc>
            </w:tr>
            <w:tr w14:paraId="731498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4DD2533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31</w:t>
                  </w:r>
                </w:p>
              </w:tc>
              <w:tc>
                <w:tcPr>
                  <w:tcW w:w="1021" w:type="pct"/>
                  <w:tcBorders>
                    <w:tl2br w:val="nil"/>
                    <w:tr2bl w:val="nil"/>
                  </w:tcBorders>
                  <w:noWrap w:val="0"/>
                  <w:vAlign w:val="center"/>
                </w:tcPr>
                <w:p w14:paraId="42CE845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燃料油</w:t>
                  </w:r>
                </w:p>
              </w:tc>
              <w:tc>
                <w:tcPr>
                  <w:tcW w:w="1020" w:type="pct"/>
                  <w:tcBorders>
                    <w:tl2br w:val="nil"/>
                    <w:tr2bl w:val="nil"/>
                  </w:tcBorders>
                  <w:noWrap w:val="0"/>
                  <w:vAlign w:val="center"/>
                </w:tcPr>
                <w:p w14:paraId="5AA1427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燃料油</w:t>
                  </w:r>
                </w:p>
              </w:tc>
              <w:tc>
                <w:tcPr>
                  <w:tcW w:w="300" w:type="pct"/>
                  <w:tcBorders>
                    <w:tl2br w:val="nil"/>
                    <w:tr2bl w:val="nil"/>
                  </w:tcBorders>
                  <w:noWrap w:val="0"/>
                  <w:vAlign w:val="center"/>
                </w:tcPr>
                <w:p w14:paraId="4DA0B64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63F821B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73</w:t>
                  </w:r>
                </w:p>
              </w:tc>
              <w:tc>
                <w:tcPr>
                  <w:tcW w:w="836" w:type="pct"/>
                  <w:tcBorders>
                    <w:tl2br w:val="nil"/>
                    <w:tr2bl w:val="nil"/>
                  </w:tcBorders>
                  <w:noWrap w:val="0"/>
                  <w:vAlign w:val="center"/>
                </w:tcPr>
                <w:p w14:paraId="4B847D9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航空煤油</w:t>
                  </w:r>
                </w:p>
              </w:tc>
              <w:tc>
                <w:tcPr>
                  <w:tcW w:w="960" w:type="pct"/>
                  <w:tcBorders>
                    <w:tl2br w:val="nil"/>
                    <w:tr2bl w:val="nil"/>
                  </w:tcBorders>
                  <w:noWrap w:val="0"/>
                  <w:vAlign w:val="center"/>
                </w:tcPr>
                <w:p w14:paraId="7E53B6A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16F1004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删除8</w:t>
                  </w:r>
                </w:p>
              </w:tc>
            </w:tr>
            <w:tr w14:paraId="1665FA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21F71A2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32</w:t>
                  </w:r>
                </w:p>
              </w:tc>
              <w:tc>
                <w:tcPr>
                  <w:tcW w:w="1021" w:type="pct"/>
                  <w:tcBorders>
                    <w:tl2br w:val="nil"/>
                    <w:tr2bl w:val="nil"/>
                  </w:tcBorders>
                  <w:noWrap w:val="0"/>
                  <w:vAlign w:val="center"/>
                </w:tcPr>
                <w:p w14:paraId="2645F33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正丙醇</w:t>
                  </w:r>
                </w:p>
              </w:tc>
              <w:tc>
                <w:tcPr>
                  <w:tcW w:w="1020" w:type="pct"/>
                  <w:tcBorders>
                    <w:tl2br w:val="nil"/>
                    <w:tr2bl w:val="nil"/>
                  </w:tcBorders>
                  <w:noWrap w:val="0"/>
                  <w:vAlign w:val="center"/>
                </w:tcPr>
                <w:p w14:paraId="573EB7B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正丙醇</w:t>
                  </w:r>
                </w:p>
              </w:tc>
              <w:tc>
                <w:tcPr>
                  <w:tcW w:w="300" w:type="pct"/>
                  <w:tcBorders>
                    <w:tl2br w:val="nil"/>
                    <w:tr2bl w:val="nil"/>
                  </w:tcBorders>
                  <w:noWrap w:val="0"/>
                  <w:vAlign w:val="center"/>
                </w:tcPr>
                <w:p w14:paraId="7466AF2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51222D3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74</w:t>
                  </w:r>
                </w:p>
              </w:tc>
              <w:tc>
                <w:tcPr>
                  <w:tcW w:w="836" w:type="pct"/>
                  <w:tcBorders>
                    <w:tl2br w:val="nil"/>
                    <w:tr2bl w:val="nil"/>
                  </w:tcBorders>
                  <w:noWrap w:val="0"/>
                  <w:vAlign w:val="center"/>
                </w:tcPr>
                <w:p w14:paraId="1CC6D60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脂肪酸甲酯（生物柴油）</w:t>
                  </w:r>
                </w:p>
              </w:tc>
              <w:tc>
                <w:tcPr>
                  <w:tcW w:w="960" w:type="pct"/>
                  <w:tcBorders>
                    <w:tl2br w:val="nil"/>
                    <w:tr2bl w:val="nil"/>
                  </w:tcBorders>
                  <w:noWrap w:val="0"/>
                  <w:vAlign w:val="center"/>
                </w:tcPr>
                <w:p w14:paraId="0E7800E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4FCF3B9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删除9</w:t>
                  </w:r>
                </w:p>
              </w:tc>
            </w:tr>
            <w:tr w14:paraId="1E1BE1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5B4F7FD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33</w:t>
                  </w:r>
                </w:p>
              </w:tc>
              <w:tc>
                <w:tcPr>
                  <w:tcW w:w="1021" w:type="pct"/>
                  <w:tcBorders>
                    <w:tl2br w:val="nil"/>
                    <w:tr2bl w:val="nil"/>
                  </w:tcBorders>
                  <w:noWrap w:val="0"/>
                  <w:vAlign w:val="center"/>
                </w:tcPr>
                <w:p w14:paraId="45FCE02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1,4-</w:t>
                  </w:r>
                  <w:r>
                    <w:rPr>
                      <w:rFonts w:hint="eastAsia" w:ascii="Times New Roman" w:hAnsi="Times New Roman" w:eastAsia="宋体" w:cs="Times New Roman"/>
                      <w:color w:val="auto"/>
                      <w:sz w:val="18"/>
                      <w:szCs w:val="18"/>
                      <w:highlight w:val="none"/>
                      <w:lang w:val="en-US" w:eastAsia="zh-CN"/>
                    </w:rPr>
                    <w:t>丁二醇</w:t>
                  </w:r>
                </w:p>
              </w:tc>
              <w:tc>
                <w:tcPr>
                  <w:tcW w:w="1020" w:type="pct"/>
                  <w:tcBorders>
                    <w:tl2br w:val="nil"/>
                    <w:tr2bl w:val="nil"/>
                  </w:tcBorders>
                  <w:noWrap w:val="0"/>
                  <w:vAlign w:val="center"/>
                </w:tcPr>
                <w:p w14:paraId="673222A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1,4-</w:t>
                  </w:r>
                  <w:r>
                    <w:rPr>
                      <w:rFonts w:hint="eastAsia" w:ascii="Times New Roman" w:hAnsi="Times New Roman" w:eastAsia="宋体" w:cs="Times New Roman"/>
                      <w:color w:val="auto"/>
                      <w:sz w:val="18"/>
                      <w:szCs w:val="18"/>
                      <w:highlight w:val="none"/>
                      <w:lang w:val="en-US" w:eastAsia="zh-CN"/>
                    </w:rPr>
                    <w:t>丁二醇</w:t>
                  </w:r>
                </w:p>
              </w:tc>
              <w:tc>
                <w:tcPr>
                  <w:tcW w:w="300" w:type="pct"/>
                  <w:tcBorders>
                    <w:tl2br w:val="nil"/>
                    <w:tr2bl w:val="nil"/>
                  </w:tcBorders>
                  <w:noWrap w:val="0"/>
                  <w:vAlign w:val="center"/>
                </w:tcPr>
                <w:p w14:paraId="129BFEB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527DFB2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75</w:t>
                  </w:r>
                </w:p>
              </w:tc>
              <w:tc>
                <w:tcPr>
                  <w:tcW w:w="836" w:type="pct"/>
                  <w:tcBorders>
                    <w:tl2br w:val="nil"/>
                    <w:tr2bl w:val="nil"/>
                  </w:tcBorders>
                  <w:noWrap w:val="0"/>
                  <w:vAlign w:val="center"/>
                </w:tcPr>
                <w:p w14:paraId="49782E7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noWrap w:val="0"/>
                  <w:vAlign w:val="center"/>
                </w:tcPr>
                <w:p w14:paraId="6A129B4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硬脂酸</w:t>
                  </w:r>
                </w:p>
              </w:tc>
              <w:tc>
                <w:tcPr>
                  <w:tcW w:w="330" w:type="pct"/>
                  <w:tcBorders>
                    <w:tl2br w:val="nil"/>
                    <w:tr2bl w:val="nil"/>
                  </w:tcBorders>
                  <w:noWrap w:val="0"/>
                  <w:vAlign w:val="center"/>
                </w:tcPr>
                <w:p w14:paraId="47B0763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新增1</w:t>
                  </w:r>
                </w:p>
              </w:tc>
            </w:tr>
            <w:tr w14:paraId="7BEEEE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59FCE40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34</w:t>
                  </w:r>
                </w:p>
              </w:tc>
              <w:tc>
                <w:tcPr>
                  <w:tcW w:w="1021" w:type="pct"/>
                  <w:tcBorders>
                    <w:tl2br w:val="nil"/>
                    <w:tr2bl w:val="nil"/>
                  </w:tcBorders>
                  <w:noWrap w:val="0"/>
                  <w:vAlign w:val="center"/>
                </w:tcPr>
                <w:p w14:paraId="563E50E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环己酮</w:t>
                  </w:r>
                </w:p>
              </w:tc>
              <w:tc>
                <w:tcPr>
                  <w:tcW w:w="1020" w:type="pct"/>
                  <w:tcBorders>
                    <w:tl2br w:val="nil"/>
                    <w:tr2bl w:val="nil"/>
                  </w:tcBorders>
                  <w:noWrap w:val="0"/>
                  <w:vAlign w:val="center"/>
                </w:tcPr>
                <w:p w14:paraId="51F0324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环己酮</w:t>
                  </w:r>
                </w:p>
              </w:tc>
              <w:tc>
                <w:tcPr>
                  <w:tcW w:w="300" w:type="pct"/>
                  <w:tcBorders>
                    <w:tl2br w:val="nil"/>
                    <w:tr2bl w:val="nil"/>
                  </w:tcBorders>
                  <w:noWrap w:val="0"/>
                  <w:vAlign w:val="center"/>
                </w:tcPr>
                <w:p w14:paraId="2C99062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B8AE51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76</w:t>
                  </w:r>
                </w:p>
              </w:tc>
              <w:tc>
                <w:tcPr>
                  <w:tcW w:w="836" w:type="pct"/>
                  <w:tcBorders>
                    <w:tl2br w:val="nil"/>
                    <w:tr2bl w:val="nil"/>
                  </w:tcBorders>
                  <w:noWrap w:val="0"/>
                  <w:vAlign w:val="center"/>
                </w:tcPr>
                <w:p w14:paraId="1348F92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noWrap w:val="0"/>
                  <w:vAlign w:val="center"/>
                </w:tcPr>
                <w:p w14:paraId="2A186E3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棕榈硬脂</w:t>
                  </w:r>
                </w:p>
              </w:tc>
              <w:tc>
                <w:tcPr>
                  <w:tcW w:w="330" w:type="pct"/>
                  <w:tcBorders>
                    <w:tl2br w:val="nil"/>
                    <w:tr2bl w:val="nil"/>
                  </w:tcBorders>
                  <w:noWrap w:val="0"/>
                  <w:vAlign w:val="center"/>
                </w:tcPr>
                <w:p w14:paraId="44A6304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新增2</w:t>
                  </w:r>
                </w:p>
              </w:tc>
            </w:tr>
            <w:tr w14:paraId="2BC6A5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5038DC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35</w:t>
                  </w:r>
                </w:p>
              </w:tc>
              <w:tc>
                <w:tcPr>
                  <w:tcW w:w="1021" w:type="pct"/>
                  <w:tcBorders>
                    <w:tl2br w:val="nil"/>
                    <w:tr2bl w:val="nil"/>
                  </w:tcBorders>
                  <w:noWrap w:val="0"/>
                  <w:vAlign w:val="center"/>
                </w:tcPr>
                <w:p w14:paraId="4692B78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丁酮</w:t>
                  </w:r>
                </w:p>
              </w:tc>
              <w:tc>
                <w:tcPr>
                  <w:tcW w:w="1020" w:type="pct"/>
                  <w:tcBorders>
                    <w:tl2br w:val="nil"/>
                    <w:tr2bl w:val="nil"/>
                  </w:tcBorders>
                  <w:noWrap w:val="0"/>
                  <w:vAlign w:val="center"/>
                </w:tcPr>
                <w:p w14:paraId="3A15FD9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丁酮</w:t>
                  </w:r>
                </w:p>
              </w:tc>
              <w:tc>
                <w:tcPr>
                  <w:tcW w:w="300" w:type="pct"/>
                  <w:tcBorders>
                    <w:tl2br w:val="nil"/>
                    <w:tr2bl w:val="nil"/>
                  </w:tcBorders>
                  <w:noWrap w:val="0"/>
                  <w:vAlign w:val="center"/>
                </w:tcPr>
                <w:p w14:paraId="4CCECFC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5863409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77</w:t>
                  </w:r>
                </w:p>
              </w:tc>
              <w:tc>
                <w:tcPr>
                  <w:tcW w:w="836" w:type="pct"/>
                  <w:tcBorders>
                    <w:tl2br w:val="nil"/>
                    <w:tr2bl w:val="nil"/>
                  </w:tcBorders>
                  <w:noWrap w:val="0"/>
                  <w:vAlign w:val="center"/>
                </w:tcPr>
                <w:p w14:paraId="646BEBE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shd w:val="clear" w:color="auto" w:fill="auto"/>
                  <w:noWrap w:val="0"/>
                  <w:vAlign w:val="center"/>
                </w:tcPr>
                <w:p w14:paraId="4853163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棕榈油脂肪酸</w:t>
                  </w:r>
                </w:p>
              </w:tc>
              <w:tc>
                <w:tcPr>
                  <w:tcW w:w="330" w:type="pct"/>
                  <w:tcBorders>
                    <w:tl2br w:val="nil"/>
                    <w:tr2bl w:val="nil"/>
                  </w:tcBorders>
                  <w:noWrap w:val="0"/>
                  <w:vAlign w:val="center"/>
                </w:tcPr>
                <w:p w14:paraId="6AE1AD9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新增3</w:t>
                  </w:r>
                </w:p>
              </w:tc>
            </w:tr>
            <w:tr w14:paraId="13B7F9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62" w:type="pct"/>
                  <w:tcBorders>
                    <w:tl2br w:val="nil"/>
                    <w:tr2bl w:val="nil"/>
                  </w:tcBorders>
                  <w:noWrap w:val="0"/>
                  <w:vAlign w:val="center"/>
                </w:tcPr>
                <w:p w14:paraId="774258E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36</w:t>
                  </w:r>
                </w:p>
              </w:tc>
              <w:tc>
                <w:tcPr>
                  <w:tcW w:w="1021" w:type="pct"/>
                  <w:tcBorders>
                    <w:tl2br w:val="nil"/>
                    <w:tr2bl w:val="nil"/>
                  </w:tcBorders>
                  <w:noWrap w:val="0"/>
                  <w:vAlign w:val="center"/>
                </w:tcPr>
                <w:p w14:paraId="1D51AD6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乙酸酐</w:t>
                  </w:r>
                </w:p>
              </w:tc>
              <w:tc>
                <w:tcPr>
                  <w:tcW w:w="1020" w:type="pct"/>
                  <w:tcBorders>
                    <w:tl2br w:val="nil"/>
                    <w:tr2bl w:val="nil"/>
                  </w:tcBorders>
                  <w:noWrap w:val="0"/>
                  <w:vAlign w:val="center"/>
                </w:tcPr>
                <w:p w14:paraId="0E1467A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乙酸酐</w:t>
                  </w:r>
                </w:p>
              </w:tc>
              <w:tc>
                <w:tcPr>
                  <w:tcW w:w="300" w:type="pct"/>
                  <w:tcBorders>
                    <w:tl2br w:val="nil"/>
                    <w:tr2bl w:val="nil"/>
                  </w:tcBorders>
                  <w:noWrap w:val="0"/>
                  <w:vAlign w:val="center"/>
                </w:tcPr>
                <w:p w14:paraId="273D440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495D891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78</w:t>
                  </w:r>
                </w:p>
              </w:tc>
              <w:tc>
                <w:tcPr>
                  <w:tcW w:w="836" w:type="pct"/>
                  <w:tcBorders>
                    <w:tl2br w:val="nil"/>
                    <w:tr2bl w:val="nil"/>
                  </w:tcBorders>
                  <w:noWrap w:val="0"/>
                  <w:vAlign w:val="center"/>
                </w:tcPr>
                <w:p w14:paraId="32749B7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shd w:val="clear" w:color="auto" w:fill="auto"/>
                  <w:noWrap w:val="0"/>
                  <w:vAlign w:val="center"/>
                </w:tcPr>
                <w:p w14:paraId="7F0B649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脂肪酸</w:t>
                  </w:r>
                </w:p>
              </w:tc>
              <w:tc>
                <w:tcPr>
                  <w:tcW w:w="330" w:type="pct"/>
                  <w:tcBorders>
                    <w:tl2br w:val="nil"/>
                    <w:tr2bl w:val="nil"/>
                  </w:tcBorders>
                  <w:noWrap w:val="0"/>
                  <w:vAlign w:val="center"/>
                </w:tcPr>
                <w:p w14:paraId="63F8AF5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新增4</w:t>
                  </w:r>
                </w:p>
              </w:tc>
            </w:tr>
            <w:tr w14:paraId="44C696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168C83A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37</w:t>
                  </w:r>
                </w:p>
              </w:tc>
              <w:tc>
                <w:tcPr>
                  <w:tcW w:w="1021" w:type="pct"/>
                  <w:tcBorders>
                    <w:tl2br w:val="nil"/>
                    <w:tr2bl w:val="nil"/>
                  </w:tcBorders>
                  <w:noWrap w:val="0"/>
                  <w:vAlign w:val="center"/>
                </w:tcPr>
                <w:p w14:paraId="41705E3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基础油</w:t>
                  </w:r>
                </w:p>
              </w:tc>
              <w:tc>
                <w:tcPr>
                  <w:tcW w:w="1020" w:type="pct"/>
                  <w:tcBorders>
                    <w:tl2br w:val="nil"/>
                    <w:tr2bl w:val="nil"/>
                  </w:tcBorders>
                  <w:noWrap w:val="0"/>
                  <w:vAlign w:val="center"/>
                </w:tcPr>
                <w:p w14:paraId="428EBC5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基础油</w:t>
                  </w:r>
                </w:p>
              </w:tc>
              <w:tc>
                <w:tcPr>
                  <w:tcW w:w="300" w:type="pct"/>
                  <w:tcBorders>
                    <w:tl2br w:val="nil"/>
                    <w:tr2bl w:val="nil"/>
                  </w:tcBorders>
                  <w:noWrap w:val="0"/>
                  <w:vAlign w:val="center"/>
                </w:tcPr>
                <w:p w14:paraId="6B7AAD8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EB95E5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79</w:t>
                  </w:r>
                </w:p>
              </w:tc>
              <w:tc>
                <w:tcPr>
                  <w:tcW w:w="836" w:type="pct"/>
                  <w:tcBorders>
                    <w:tl2br w:val="nil"/>
                    <w:tr2bl w:val="nil"/>
                  </w:tcBorders>
                  <w:noWrap w:val="0"/>
                  <w:vAlign w:val="center"/>
                </w:tcPr>
                <w:p w14:paraId="6931F7D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shd w:val="clear" w:color="auto" w:fill="auto"/>
                  <w:noWrap w:val="0"/>
                  <w:vAlign w:val="center"/>
                </w:tcPr>
                <w:p w14:paraId="427FBE5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植物酸化油</w:t>
                  </w:r>
                </w:p>
              </w:tc>
              <w:tc>
                <w:tcPr>
                  <w:tcW w:w="330" w:type="pct"/>
                  <w:tcBorders>
                    <w:tl2br w:val="nil"/>
                    <w:tr2bl w:val="nil"/>
                  </w:tcBorders>
                  <w:noWrap w:val="0"/>
                  <w:vAlign w:val="center"/>
                </w:tcPr>
                <w:p w14:paraId="1DB1529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新增5</w:t>
                  </w:r>
                </w:p>
              </w:tc>
            </w:tr>
            <w:tr w14:paraId="31A06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4B6BBE1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38</w:t>
                  </w:r>
                </w:p>
              </w:tc>
              <w:tc>
                <w:tcPr>
                  <w:tcW w:w="1021" w:type="pct"/>
                  <w:tcBorders>
                    <w:tl2br w:val="nil"/>
                    <w:tr2bl w:val="nil"/>
                  </w:tcBorders>
                  <w:noWrap w:val="0"/>
                  <w:vAlign w:val="center"/>
                </w:tcPr>
                <w:p w14:paraId="3DEB623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丁烯</w:t>
                  </w:r>
                </w:p>
              </w:tc>
              <w:tc>
                <w:tcPr>
                  <w:tcW w:w="1020" w:type="pct"/>
                  <w:tcBorders>
                    <w:tl2br w:val="nil"/>
                    <w:tr2bl w:val="nil"/>
                  </w:tcBorders>
                  <w:noWrap w:val="0"/>
                  <w:vAlign w:val="center"/>
                </w:tcPr>
                <w:p w14:paraId="2734F34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1-</w:t>
                  </w:r>
                  <w:r>
                    <w:rPr>
                      <w:rFonts w:hint="eastAsia" w:ascii="Times New Roman" w:hAnsi="Times New Roman" w:eastAsia="宋体" w:cs="Times New Roman"/>
                      <w:color w:val="auto"/>
                      <w:sz w:val="18"/>
                      <w:szCs w:val="18"/>
                      <w:highlight w:val="none"/>
                      <w:lang w:val="en-US" w:eastAsia="zh-CN"/>
                    </w:rPr>
                    <w:t>丁烯</w:t>
                  </w:r>
                </w:p>
              </w:tc>
              <w:tc>
                <w:tcPr>
                  <w:tcW w:w="300" w:type="pct"/>
                  <w:tcBorders>
                    <w:tl2br w:val="nil"/>
                    <w:tr2bl w:val="nil"/>
                  </w:tcBorders>
                  <w:noWrap w:val="0"/>
                  <w:vAlign w:val="center"/>
                </w:tcPr>
                <w:p w14:paraId="1A1627A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CE6F87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80</w:t>
                  </w:r>
                </w:p>
              </w:tc>
              <w:tc>
                <w:tcPr>
                  <w:tcW w:w="836" w:type="pct"/>
                  <w:tcBorders>
                    <w:tl2br w:val="nil"/>
                    <w:tr2bl w:val="nil"/>
                  </w:tcBorders>
                  <w:noWrap w:val="0"/>
                  <w:vAlign w:val="center"/>
                </w:tcPr>
                <w:p w14:paraId="785B1D9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shd w:val="clear" w:color="auto" w:fill="auto"/>
                  <w:noWrap w:val="0"/>
                  <w:vAlign w:val="center"/>
                </w:tcPr>
                <w:p w14:paraId="40B4C72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棕榈液油</w:t>
                  </w:r>
                </w:p>
              </w:tc>
              <w:tc>
                <w:tcPr>
                  <w:tcW w:w="330" w:type="pct"/>
                  <w:tcBorders>
                    <w:tl2br w:val="nil"/>
                    <w:tr2bl w:val="nil"/>
                  </w:tcBorders>
                  <w:noWrap w:val="0"/>
                  <w:vAlign w:val="center"/>
                </w:tcPr>
                <w:p w14:paraId="3952CE6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新增6</w:t>
                  </w:r>
                </w:p>
              </w:tc>
            </w:tr>
            <w:tr w14:paraId="629B2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D61638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39</w:t>
                  </w:r>
                </w:p>
              </w:tc>
              <w:tc>
                <w:tcPr>
                  <w:tcW w:w="1021" w:type="pct"/>
                  <w:tcBorders>
                    <w:tl2br w:val="nil"/>
                    <w:tr2bl w:val="nil"/>
                  </w:tcBorders>
                  <w:noWrap w:val="0"/>
                  <w:vAlign w:val="center"/>
                </w:tcPr>
                <w:p w14:paraId="562198B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双环戊二烯</w:t>
                  </w:r>
                </w:p>
              </w:tc>
              <w:tc>
                <w:tcPr>
                  <w:tcW w:w="1020" w:type="pct"/>
                  <w:tcBorders>
                    <w:tl2br w:val="nil"/>
                    <w:tr2bl w:val="nil"/>
                  </w:tcBorders>
                  <w:noWrap w:val="0"/>
                  <w:vAlign w:val="center"/>
                </w:tcPr>
                <w:p w14:paraId="14333B7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双环戊二烯</w:t>
                  </w:r>
                </w:p>
              </w:tc>
              <w:tc>
                <w:tcPr>
                  <w:tcW w:w="300" w:type="pct"/>
                  <w:tcBorders>
                    <w:tl2br w:val="nil"/>
                    <w:tr2bl w:val="nil"/>
                  </w:tcBorders>
                  <w:noWrap w:val="0"/>
                  <w:vAlign w:val="center"/>
                </w:tcPr>
                <w:p w14:paraId="2B8CC1C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5B3CA3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81</w:t>
                  </w:r>
                </w:p>
              </w:tc>
              <w:tc>
                <w:tcPr>
                  <w:tcW w:w="836" w:type="pct"/>
                  <w:tcBorders>
                    <w:tl2br w:val="nil"/>
                    <w:tr2bl w:val="nil"/>
                  </w:tcBorders>
                  <w:noWrap w:val="0"/>
                  <w:vAlign w:val="center"/>
                </w:tcPr>
                <w:p w14:paraId="0AC4CA7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shd w:val="clear" w:color="auto" w:fill="auto"/>
                  <w:noWrap w:val="0"/>
                  <w:vAlign w:val="center"/>
                </w:tcPr>
                <w:p w14:paraId="463F8B0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精炼工业级蓖麻油</w:t>
                  </w:r>
                </w:p>
              </w:tc>
              <w:tc>
                <w:tcPr>
                  <w:tcW w:w="330" w:type="pct"/>
                  <w:tcBorders>
                    <w:tl2br w:val="nil"/>
                    <w:tr2bl w:val="nil"/>
                  </w:tcBorders>
                  <w:noWrap w:val="0"/>
                  <w:vAlign w:val="center"/>
                </w:tcPr>
                <w:p w14:paraId="15848A6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新增7</w:t>
                  </w:r>
                </w:p>
              </w:tc>
            </w:tr>
            <w:tr w14:paraId="644B20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5AC5C0A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40</w:t>
                  </w:r>
                </w:p>
              </w:tc>
              <w:tc>
                <w:tcPr>
                  <w:tcW w:w="1021" w:type="pct"/>
                  <w:tcBorders>
                    <w:tl2br w:val="nil"/>
                    <w:tr2bl w:val="nil"/>
                  </w:tcBorders>
                  <w:noWrap w:val="0"/>
                  <w:vAlign w:val="center"/>
                </w:tcPr>
                <w:p w14:paraId="6C4FE5E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乙酸乙烯酯</w:t>
                  </w:r>
                </w:p>
              </w:tc>
              <w:tc>
                <w:tcPr>
                  <w:tcW w:w="1020" w:type="pct"/>
                  <w:tcBorders>
                    <w:tl2br w:val="nil"/>
                    <w:tr2bl w:val="nil"/>
                  </w:tcBorders>
                  <w:noWrap w:val="0"/>
                  <w:vAlign w:val="center"/>
                </w:tcPr>
                <w:p w14:paraId="2BB3C5C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乙酸乙烯酯</w:t>
                  </w:r>
                </w:p>
              </w:tc>
              <w:tc>
                <w:tcPr>
                  <w:tcW w:w="300" w:type="pct"/>
                  <w:tcBorders>
                    <w:tl2br w:val="nil"/>
                    <w:tr2bl w:val="nil"/>
                  </w:tcBorders>
                  <w:noWrap w:val="0"/>
                  <w:vAlign w:val="center"/>
                </w:tcPr>
                <w:p w14:paraId="0DC87BC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6981DC0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82</w:t>
                  </w:r>
                </w:p>
              </w:tc>
              <w:tc>
                <w:tcPr>
                  <w:tcW w:w="836" w:type="pct"/>
                  <w:tcBorders>
                    <w:tl2br w:val="nil"/>
                    <w:tr2bl w:val="nil"/>
                  </w:tcBorders>
                  <w:noWrap w:val="0"/>
                  <w:vAlign w:val="center"/>
                </w:tcPr>
                <w:p w14:paraId="124A3D4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shd w:val="clear" w:color="auto" w:fill="auto"/>
                  <w:noWrap w:val="0"/>
                  <w:vAlign w:val="center"/>
                </w:tcPr>
                <w:p w14:paraId="38DE9EB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生物航煤（可持续航空燃料）</w:t>
                  </w:r>
                </w:p>
              </w:tc>
              <w:tc>
                <w:tcPr>
                  <w:tcW w:w="330" w:type="pct"/>
                  <w:tcBorders>
                    <w:tl2br w:val="nil"/>
                    <w:tr2bl w:val="nil"/>
                  </w:tcBorders>
                  <w:noWrap w:val="0"/>
                  <w:vAlign w:val="center"/>
                </w:tcPr>
                <w:p w14:paraId="6FB1D4E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新增8</w:t>
                  </w:r>
                </w:p>
              </w:tc>
            </w:tr>
            <w:tr w14:paraId="0E45BB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1787CF0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41</w:t>
                  </w:r>
                </w:p>
              </w:tc>
              <w:tc>
                <w:tcPr>
                  <w:tcW w:w="1021" w:type="pct"/>
                  <w:tcBorders>
                    <w:tl2br w:val="nil"/>
                    <w:tr2bl w:val="nil"/>
                  </w:tcBorders>
                  <w:noWrap w:val="0"/>
                  <w:vAlign w:val="center"/>
                </w:tcPr>
                <w:p w14:paraId="6AC8ECB8">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石蜡</w:t>
                  </w:r>
                </w:p>
              </w:tc>
              <w:tc>
                <w:tcPr>
                  <w:tcW w:w="1020" w:type="pct"/>
                  <w:tcBorders>
                    <w:tl2br w:val="nil"/>
                    <w:tr2bl w:val="nil"/>
                  </w:tcBorders>
                  <w:noWrap w:val="0"/>
                  <w:vAlign w:val="center"/>
                </w:tcPr>
                <w:p w14:paraId="6ACCFC6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石蜡</w:t>
                  </w:r>
                </w:p>
              </w:tc>
              <w:tc>
                <w:tcPr>
                  <w:tcW w:w="300" w:type="pct"/>
                  <w:tcBorders>
                    <w:tl2br w:val="nil"/>
                    <w:tr2bl w:val="nil"/>
                  </w:tcBorders>
                  <w:noWrap w:val="0"/>
                  <w:vAlign w:val="center"/>
                </w:tcPr>
                <w:p w14:paraId="58AA59E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32274AC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83</w:t>
                  </w:r>
                </w:p>
              </w:tc>
              <w:tc>
                <w:tcPr>
                  <w:tcW w:w="836" w:type="pct"/>
                  <w:tcBorders>
                    <w:tl2br w:val="nil"/>
                    <w:tr2bl w:val="nil"/>
                  </w:tcBorders>
                  <w:noWrap w:val="0"/>
                  <w:vAlign w:val="center"/>
                </w:tcPr>
                <w:p w14:paraId="5812138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shd w:val="clear" w:color="auto" w:fill="auto"/>
                  <w:noWrap w:val="0"/>
                  <w:vAlign w:val="center"/>
                </w:tcPr>
                <w:p w14:paraId="4796ABC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烃基生物柴油</w:t>
                  </w:r>
                </w:p>
              </w:tc>
              <w:tc>
                <w:tcPr>
                  <w:tcW w:w="330" w:type="pct"/>
                  <w:tcBorders>
                    <w:tl2br w:val="nil"/>
                    <w:tr2bl w:val="nil"/>
                  </w:tcBorders>
                  <w:noWrap w:val="0"/>
                  <w:vAlign w:val="center"/>
                </w:tcPr>
                <w:p w14:paraId="790F34D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新增9</w:t>
                  </w:r>
                </w:p>
              </w:tc>
            </w:tr>
            <w:tr w14:paraId="21034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62" w:type="pct"/>
                  <w:tcBorders>
                    <w:tl2br w:val="nil"/>
                    <w:tr2bl w:val="nil"/>
                  </w:tcBorders>
                  <w:noWrap w:val="0"/>
                  <w:vAlign w:val="center"/>
                </w:tcPr>
                <w:p w14:paraId="0B781FF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42</w:t>
                  </w:r>
                </w:p>
              </w:tc>
              <w:tc>
                <w:tcPr>
                  <w:tcW w:w="1021" w:type="pct"/>
                  <w:tcBorders>
                    <w:tl2br w:val="nil"/>
                    <w:tr2bl w:val="nil"/>
                  </w:tcBorders>
                  <w:noWrap w:val="0"/>
                  <w:vAlign w:val="center"/>
                </w:tcPr>
                <w:p w14:paraId="3E9E016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w:t>
                  </w:r>
                </w:p>
              </w:tc>
              <w:tc>
                <w:tcPr>
                  <w:tcW w:w="1020" w:type="pct"/>
                  <w:tcBorders>
                    <w:tl2br w:val="nil"/>
                    <w:tr2bl w:val="nil"/>
                  </w:tcBorders>
                  <w:noWrap w:val="0"/>
                  <w:vAlign w:val="center"/>
                </w:tcPr>
                <w:p w14:paraId="7D8BB51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丙烯酸</w:t>
                  </w:r>
                </w:p>
              </w:tc>
              <w:tc>
                <w:tcPr>
                  <w:tcW w:w="300" w:type="pct"/>
                  <w:tcBorders>
                    <w:tl2br w:val="nil"/>
                    <w:tr2bl w:val="nil"/>
                  </w:tcBorders>
                  <w:noWrap w:val="0"/>
                  <w:vAlign w:val="center"/>
                </w:tcPr>
                <w:p w14:paraId="546A6BD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c>
                <w:tcPr>
                  <w:tcW w:w="266" w:type="pct"/>
                  <w:tcBorders>
                    <w:tl2br w:val="nil"/>
                    <w:tr2bl w:val="nil"/>
                  </w:tcBorders>
                  <w:noWrap w:val="0"/>
                  <w:vAlign w:val="center"/>
                </w:tcPr>
                <w:p w14:paraId="002C2A9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836" w:type="pct"/>
                  <w:tcBorders>
                    <w:tl2br w:val="nil"/>
                    <w:tr2bl w:val="nil"/>
                  </w:tcBorders>
                  <w:noWrap w:val="0"/>
                  <w:vAlign w:val="center"/>
                </w:tcPr>
                <w:p w14:paraId="35CA51D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60" w:type="pct"/>
                  <w:tcBorders>
                    <w:tl2br w:val="nil"/>
                    <w:tr2bl w:val="nil"/>
                  </w:tcBorders>
                  <w:noWrap w:val="0"/>
                  <w:vAlign w:val="center"/>
                </w:tcPr>
                <w:p w14:paraId="1D3B162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330" w:type="pct"/>
                  <w:tcBorders>
                    <w:tl2br w:val="nil"/>
                    <w:tr2bl w:val="nil"/>
                  </w:tcBorders>
                  <w:noWrap w:val="0"/>
                  <w:vAlign w:val="center"/>
                </w:tcPr>
                <w:p w14:paraId="4B2D1DA1">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bl>
          <w:p w14:paraId="66E0CA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auto"/>
                <w:sz w:val="15"/>
                <w:szCs w:val="15"/>
                <w:highlight w:val="none"/>
                <w:lang w:val="en-US" w:eastAsia="zh-CN"/>
              </w:rPr>
            </w:pPr>
          </w:p>
          <w:p w14:paraId="0628919A">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yellow"/>
                <w:lang w:val="en-US" w:eastAsia="zh-CN"/>
              </w:rPr>
            </w:pPr>
            <w:r>
              <w:rPr>
                <w:rFonts w:hint="eastAsia" w:ascii="Times New Roman" w:hAnsi="Times New Roman" w:eastAsia="宋体" w:cs="Times New Roman"/>
                <w:color w:val="auto"/>
                <w:highlight w:val="none"/>
                <w:lang w:val="en-US" w:eastAsia="zh-CN"/>
              </w:rPr>
              <w:t>对</w:t>
            </w:r>
            <w:r>
              <w:rPr>
                <w:rFonts w:hint="eastAsia" w:cs="Times New Roman"/>
                <w:color w:val="auto"/>
                <w:highlight w:val="none"/>
                <w:lang w:val="en-US" w:eastAsia="zh-CN"/>
              </w:rPr>
              <w:t>二罐区</w:t>
            </w:r>
            <w:r>
              <w:rPr>
                <w:rFonts w:hint="eastAsia" w:ascii="Times New Roman" w:hAnsi="Times New Roman" w:eastAsia="宋体" w:cs="Times New Roman"/>
                <w:color w:val="auto"/>
                <w:highlight w:val="none"/>
                <w:lang w:val="en-US" w:eastAsia="zh-CN"/>
              </w:rPr>
              <w:t>现有2505储罐进行安全改造，去除原有保冷层，重新采用岩棉+不锈钢皮保温；底部增加蒸汽管道，顶部增加循环管道，增加温度计等设备仪表安装口，原循环管引至罐顶循环；装卸泵由屏蔽泵更换为螺杆泵，进出货管线原有保冷材料拆除，增加伴热管并采用岩棉+不锈钢皮保温等</w:t>
            </w:r>
            <w:r>
              <w:rPr>
                <w:rFonts w:hint="eastAsia" w:cs="Times New Roman"/>
                <w:color w:val="auto"/>
                <w:highlight w:val="none"/>
                <w:lang w:val="en-US" w:eastAsia="zh-CN"/>
              </w:rPr>
              <w:t>。</w:t>
            </w:r>
          </w:p>
          <w:p w14:paraId="0C14AAFB">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highlight w:val="none"/>
                <w:lang w:val="en-US" w:eastAsia="zh-CN"/>
              </w:rPr>
            </w:pPr>
            <w:r>
              <w:rPr>
                <w:rFonts w:hint="eastAsia"/>
                <w:color w:val="auto"/>
                <w:highlight w:val="none"/>
                <w:lang w:val="en-US" w:eastAsia="zh-CN"/>
              </w:rPr>
              <w:t>为应对国际形势变化对原有“国内车卸、国际船出”业务模式造成的冲击，积极拓展国内市场，本项目拟在现有煤焦沥青卸车区域增加装车功能，形成国内贸易的公路发运能力。</w:t>
            </w:r>
          </w:p>
        </w:tc>
      </w:tr>
    </w:tbl>
    <w:p w14:paraId="18040EE8">
      <w:pPr>
        <w:pStyle w:val="19"/>
        <w:jc w:val="center"/>
        <w:outlineLvl w:val="0"/>
        <w:rPr>
          <w:rFonts w:eastAsia="仿宋_GB2312"/>
          <w:b/>
          <w:bCs/>
          <w:color w:val="auto"/>
        </w:rPr>
        <w:sectPr>
          <w:pgSz w:w="11906" w:h="16838"/>
          <w:pgMar w:top="1440" w:right="1440" w:bottom="1440"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377"/>
      </w:tblGrid>
      <w:tr w14:paraId="265B9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713" w:type="dxa"/>
            <w:noWrap w:val="0"/>
            <w:vAlign w:val="center"/>
          </w:tcPr>
          <w:p w14:paraId="7ACAAFD7">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项目组成及规模</w:t>
            </w:r>
          </w:p>
        </w:tc>
        <w:tc>
          <w:tcPr>
            <w:tcW w:w="8377" w:type="dxa"/>
            <w:noWrap w:val="0"/>
            <w:vAlign w:val="center"/>
          </w:tcPr>
          <w:p w14:paraId="0BC5DC1E">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本项目新增货种拟储存罐区及储存条件详见表2-</w:t>
            </w:r>
            <w:r>
              <w:rPr>
                <w:rFonts w:hint="eastAsia" w:cs="Times New Roman"/>
                <w:color w:val="auto"/>
                <w:highlight w:val="none"/>
                <w:lang w:val="en-US" w:eastAsia="zh-CN"/>
              </w:rPr>
              <w:t>6</w:t>
            </w:r>
            <w:r>
              <w:rPr>
                <w:rFonts w:hint="eastAsia" w:ascii="Times New Roman" w:hAnsi="Times New Roman" w:eastAsia="宋体" w:cs="Times New Roman"/>
                <w:color w:val="auto"/>
                <w:highlight w:val="none"/>
                <w:lang w:val="en-US" w:eastAsia="zh-CN"/>
              </w:rPr>
              <w:t>。</w:t>
            </w:r>
          </w:p>
          <w:p w14:paraId="658D68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highlight w:val="none"/>
                <w:lang w:val="en-US" w:eastAsia="zh-CN"/>
              </w:rPr>
            </w:pPr>
            <w:r>
              <w:rPr>
                <w:rFonts w:hint="eastAsia"/>
                <w:b/>
                <w:bCs/>
                <w:color w:val="auto"/>
              </w:rPr>
              <w:t>表</w:t>
            </w:r>
            <w:r>
              <w:rPr>
                <w:rFonts w:hint="eastAsia"/>
                <w:b/>
                <w:bCs/>
                <w:color w:val="auto"/>
                <w:highlight w:val="none"/>
              </w:rPr>
              <w:t>2-</w:t>
            </w:r>
            <w:r>
              <w:rPr>
                <w:rFonts w:hint="eastAsia"/>
                <w:b/>
                <w:bCs/>
                <w:color w:val="auto"/>
                <w:highlight w:val="none"/>
                <w:lang w:val="en-US" w:eastAsia="zh-CN"/>
              </w:rPr>
              <w:t xml:space="preserve">6 </w:t>
            </w:r>
            <w:r>
              <w:rPr>
                <w:rFonts w:hint="eastAsia"/>
                <w:b/>
                <w:bCs/>
                <w:color w:val="auto"/>
                <w:lang w:val="en-US" w:eastAsia="zh-CN"/>
              </w:rPr>
              <w:t xml:space="preserve"> </w:t>
            </w:r>
            <w:r>
              <w:rPr>
                <w:rFonts w:hint="eastAsia"/>
                <w:b/>
                <w:bCs/>
                <w:color w:val="auto"/>
                <w:highlight w:val="none"/>
                <w:lang w:val="en-US" w:eastAsia="zh-CN"/>
              </w:rPr>
              <w:t>新增货种拟储存罐区及储存条件情况表</w:t>
            </w:r>
          </w:p>
          <w:tbl>
            <w:tblPr>
              <w:tblStyle w:val="2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368"/>
              <w:gridCol w:w="914"/>
              <w:gridCol w:w="999"/>
              <w:gridCol w:w="795"/>
              <w:gridCol w:w="841"/>
              <w:gridCol w:w="666"/>
              <w:gridCol w:w="589"/>
              <w:gridCol w:w="960"/>
              <w:gridCol w:w="1649"/>
              <w:gridCol w:w="372"/>
            </w:tblGrid>
            <w:tr w14:paraId="261B2E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26" w:type="pct"/>
                  <w:tcBorders>
                    <w:tl2br w:val="nil"/>
                    <w:tr2bl w:val="nil"/>
                  </w:tcBorders>
                  <w:noWrap w:val="0"/>
                  <w:vAlign w:val="center"/>
                </w:tcPr>
                <w:p w14:paraId="11D609A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序号</w:t>
                  </w:r>
                </w:p>
              </w:tc>
              <w:tc>
                <w:tcPr>
                  <w:tcW w:w="560" w:type="pct"/>
                  <w:tcBorders>
                    <w:tl2br w:val="nil"/>
                    <w:tr2bl w:val="nil"/>
                  </w:tcBorders>
                  <w:noWrap w:val="0"/>
                  <w:vAlign w:val="center"/>
                </w:tcPr>
                <w:p w14:paraId="148ED37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货种名称</w:t>
                  </w:r>
                </w:p>
              </w:tc>
              <w:tc>
                <w:tcPr>
                  <w:tcW w:w="612" w:type="pct"/>
                  <w:tcBorders>
                    <w:tl2br w:val="nil"/>
                    <w:tr2bl w:val="nil"/>
                  </w:tcBorders>
                  <w:noWrap w:val="0"/>
                  <w:vAlign w:val="center"/>
                </w:tcPr>
                <w:p w14:paraId="4D716A1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拟储存罐区</w:t>
                  </w:r>
                </w:p>
              </w:tc>
              <w:tc>
                <w:tcPr>
                  <w:tcW w:w="487" w:type="pct"/>
                  <w:tcBorders>
                    <w:tl2br w:val="nil"/>
                    <w:tr2bl w:val="nil"/>
                  </w:tcBorders>
                  <w:noWrap w:val="0"/>
                  <w:vAlign w:val="center"/>
                </w:tcPr>
                <w:p w14:paraId="7DD37ED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储罐要求</w:t>
                  </w:r>
                </w:p>
              </w:tc>
              <w:tc>
                <w:tcPr>
                  <w:tcW w:w="515" w:type="pct"/>
                  <w:tcBorders>
                    <w:tl2br w:val="nil"/>
                    <w:tr2bl w:val="nil"/>
                  </w:tcBorders>
                  <w:noWrap w:val="0"/>
                  <w:vAlign w:val="center"/>
                </w:tcPr>
                <w:p w14:paraId="378734C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储罐类型</w:t>
                  </w:r>
                </w:p>
              </w:tc>
              <w:tc>
                <w:tcPr>
                  <w:tcW w:w="408" w:type="pct"/>
                  <w:tcBorders>
                    <w:tl2br w:val="nil"/>
                    <w:tr2bl w:val="nil"/>
                  </w:tcBorders>
                  <w:noWrap w:val="0"/>
                  <w:vAlign w:val="center"/>
                </w:tcPr>
                <w:p w14:paraId="5122689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储存压力</w:t>
                  </w:r>
                </w:p>
              </w:tc>
              <w:tc>
                <w:tcPr>
                  <w:tcW w:w="361" w:type="pct"/>
                  <w:tcBorders>
                    <w:tl2br w:val="nil"/>
                    <w:tr2bl w:val="nil"/>
                  </w:tcBorders>
                  <w:noWrap w:val="0"/>
                  <w:vAlign w:val="center"/>
                </w:tcPr>
                <w:p w14:paraId="02CE16B7">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储存温度</w:t>
                  </w:r>
                </w:p>
              </w:tc>
              <w:tc>
                <w:tcPr>
                  <w:tcW w:w="588" w:type="pct"/>
                  <w:tcBorders>
                    <w:tl2br w:val="nil"/>
                    <w:tr2bl w:val="nil"/>
                  </w:tcBorders>
                  <w:noWrap w:val="0"/>
                  <w:vAlign w:val="center"/>
                </w:tcPr>
                <w:p w14:paraId="769648D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highlight w:val="none"/>
                      <w:lang w:val="en-US" w:eastAsia="zh-CN"/>
                    </w:rPr>
                    <w:t>控温措施</w:t>
                  </w:r>
                </w:p>
              </w:tc>
              <w:tc>
                <w:tcPr>
                  <w:tcW w:w="1010" w:type="pct"/>
                  <w:tcBorders>
                    <w:tl2br w:val="nil"/>
                    <w:tr2bl w:val="nil"/>
                  </w:tcBorders>
                  <w:noWrap w:val="0"/>
                  <w:vAlign w:val="center"/>
                </w:tcPr>
                <w:p w14:paraId="78E2034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可储存储罐编号</w:t>
                  </w:r>
                </w:p>
              </w:tc>
              <w:tc>
                <w:tcPr>
                  <w:tcW w:w="228" w:type="pct"/>
                  <w:tcBorders>
                    <w:tl2br w:val="nil"/>
                    <w:tr2bl w:val="nil"/>
                  </w:tcBorders>
                  <w:noWrap w:val="0"/>
                  <w:vAlign w:val="center"/>
                </w:tcPr>
                <w:p w14:paraId="5D654AF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备注</w:t>
                  </w:r>
                </w:p>
              </w:tc>
            </w:tr>
            <w:tr w14:paraId="2B9DC8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26" w:type="pct"/>
                  <w:noWrap w:val="0"/>
                  <w:vAlign w:val="center"/>
                </w:tcPr>
                <w:p w14:paraId="34802CA0">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560" w:type="pct"/>
                  <w:noWrap w:val="0"/>
                  <w:vAlign w:val="center"/>
                </w:tcPr>
                <w:p w14:paraId="21386F6C">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硬脂酸</w:t>
                  </w:r>
                </w:p>
              </w:tc>
              <w:tc>
                <w:tcPr>
                  <w:tcW w:w="612" w:type="pct"/>
                  <w:noWrap w:val="0"/>
                  <w:vAlign w:val="center"/>
                </w:tcPr>
                <w:p w14:paraId="65EF766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二、三、四、六罐区</w:t>
                  </w:r>
                </w:p>
              </w:tc>
              <w:tc>
                <w:tcPr>
                  <w:tcW w:w="487" w:type="pct"/>
                  <w:noWrap w:val="0"/>
                  <w:vAlign w:val="center"/>
                </w:tcPr>
                <w:p w14:paraId="7BC175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7CC72D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noWrap w:val="0"/>
                  <w:vAlign w:val="center"/>
                </w:tcPr>
                <w:p w14:paraId="500196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7D49B84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50℃</w:t>
                  </w:r>
                </w:p>
              </w:tc>
              <w:tc>
                <w:tcPr>
                  <w:tcW w:w="588" w:type="pct"/>
                  <w:noWrap w:val="0"/>
                  <w:vAlign w:val="center"/>
                </w:tcPr>
                <w:p w14:paraId="6D59D2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保温+伴热盘管</w:t>
                  </w:r>
                </w:p>
              </w:tc>
              <w:tc>
                <w:tcPr>
                  <w:tcW w:w="1010" w:type="pct"/>
                  <w:vMerge w:val="restart"/>
                  <w:noWrap w:val="0"/>
                  <w:vAlign w:val="center"/>
                </w:tcPr>
                <w:p w14:paraId="23452B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二罐区2505、2506</w:t>
                  </w:r>
                  <w:r>
                    <w:rPr>
                      <w:rFonts w:hint="eastAsia" w:cs="Times New Roman"/>
                      <w:i w:val="0"/>
                      <w:iCs w:val="0"/>
                      <w:color w:val="auto"/>
                      <w:kern w:val="2"/>
                      <w:sz w:val="18"/>
                      <w:szCs w:val="18"/>
                      <w:highlight w:val="none"/>
                      <w:u w:val="none"/>
                      <w:lang w:val="en-US" w:eastAsia="zh-CN" w:bidi="ar-SA"/>
                    </w:rPr>
                    <w:t>、</w:t>
                  </w:r>
                  <w:r>
                    <w:rPr>
                      <w:rFonts w:hint="eastAsia" w:ascii="Times New Roman" w:hAnsi="Times New Roman" w:eastAsia="宋体" w:cs="Times New Roman"/>
                      <w:i w:val="0"/>
                      <w:iCs w:val="0"/>
                      <w:color w:val="auto"/>
                      <w:kern w:val="2"/>
                      <w:sz w:val="18"/>
                      <w:szCs w:val="18"/>
                      <w:highlight w:val="none"/>
                      <w:u w:val="none"/>
                      <w:lang w:val="en-US" w:eastAsia="zh-CN" w:bidi="ar-SA"/>
                    </w:rPr>
                    <w:t>2321</w:t>
                  </w:r>
                  <w:r>
                    <w:rPr>
                      <w:rFonts w:hint="eastAsia" w:cs="Times New Roman"/>
                      <w:i w:val="0"/>
                      <w:iCs w:val="0"/>
                      <w:color w:val="auto"/>
                      <w:kern w:val="2"/>
                      <w:sz w:val="18"/>
                      <w:szCs w:val="18"/>
                      <w:highlight w:val="none"/>
                      <w:u w:val="none"/>
                      <w:lang w:val="en-US" w:eastAsia="zh-CN" w:bidi="ar-SA"/>
                    </w:rPr>
                    <w:t>、</w:t>
                  </w:r>
                  <w:r>
                    <w:rPr>
                      <w:rFonts w:hint="eastAsia" w:ascii="Times New Roman" w:hAnsi="Times New Roman" w:eastAsia="宋体" w:cs="Times New Roman"/>
                      <w:i w:val="0"/>
                      <w:iCs w:val="0"/>
                      <w:color w:val="auto"/>
                      <w:kern w:val="2"/>
                      <w:sz w:val="18"/>
                      <w:szCs w:val="18"/>
                      <w:highlight w:val="none"/>
                      <w:u w:val="none"/>
                      <w:lang w:val="en-US" w:eastAsia="zh-CN" w:bidi="ar-SA"/>
                    </w:rPr>
                    <w:t>2222、2323</w:t>
                  </w:r>
                  <w:r>
                    <w:rPr>
                      <w:rFonts w:hint="eastAsia" w:cs="Times New Roman"/>
                      <w:i w:val="0"/>
                      <w:iCs w:val="0"/>
                      <w:color w:val="auto"/>
                      <w:kern w:val="2"/>
                      <w:sz w:val="18"/>
                      <w:szCs w:val="18"/>
                      <w:highlight w:val="none"/>
                      <w:u w:val="none"/>
                      <w:lang w:val="en-US" w:eastAsia="zh-CN" w:bidi="ar-SA"/>
                    </w:rPr>
                    <w:t>；</w:t>
                  </w:r>
                  <w:r>
                    <w:rPr>
                      <w:rFonts w:hint="eastAsia" w:ascii="Times New Roman" w:hAnsi="Times New Roman" w:eastAsia="宋体" w:cs="Times New Roman"/>
                      <w:i w:val="0"/>
                      <w:iCs w:val="0"/>
                      <w:color w:val="auto"/>
                      <w:kern w:val="2"/>
                      <w:sz w:val="18"/>
                      <w:szCs w:val="18"/>
                      <w:highlight w:val="none"/>
                      <w:u w:val="none"/>
                      <w:lang w:val="en-US" w:eastAsia="zh-CN" w:bidi="ar-SA"/>
                    </w:rPr>
                    <w:t>三罐区储罐均可</w:t>
                  </w:r>
                  <w:r>
                    <w:rPr>
                      <w:rFonts w:hint="eastAsia" w:cs="Times New Roman"/>
                      <w:i w:val="0"/>
                      <w:iCs w:val="0"/>
                      <w:color w:val="auto"/>
                      <w:kern w:val="2"/>
                      <w:sz w:val="18"/>
                      <w:szCs w:val="18"/>
                      <w:highlight w:val="none"/>
                      <w:u w:val="none"/>
                      <w:lang w:val="en-US" w:eastAsia="zh-CN" w:bidi="ar-SA"/>
                    </w:rPr>
                    <w:t>；</w:t>
                  </w:r>
                  <w:r>
                    <w:rPr>
                      <w:rFonts w:hint="eastAsia" w:ascii="Times New Roman" w:hAnsi="Times New Roman" w:eastAsia="宋体" w:cs="Times New Roman"/>
                      <w:i w:val="0"/>
                      <w:iCs w:val="0"/>
                      <w:color w:val="auto"/>
                      <w:kern w:val="2"/>
                      <w:sz w:val="18"/>
                      <w:szCs w:val="18"/>
                      <w:highlight w:val="none"/>
                      <w:u w:val="none"/>
                      <w:lang w:val="en-US" w:eastAsia="zh-CN" w:bidi="ar-SA"/>
                    </w:rPr>
                    <w:t>四罐区4303、4204、4307、4208、4309</w:t>
                  </w:r>
                  <w:r>
                    <w:rPr>
                      <w:rFonts w:hint="eastAsia" w:cs="Times New Roman"/>
                      <w:i w:val="0"/>
                      <w:iCs w:val="0"/>
                      <w:color w:val="auto"/>
                      <w:kern w:val="2"/>
                      <w:sz w:val="18"/>
                      <w:szCs w:val="18"/>
                      <w:highlight w:val="none"/>
                      <w:u w:val="none"/>
                      <w:lang w:val="en-US" w:eastAsia="zh-CN" w:bidi="ar-SA"/>
                    </w:rPr>
                    <w:t>；</w:t>
                  </w:r>
                  <w:r>
                    <w:rPr>
                      <w:rFonts w:hint="eastAsia" w:ascii="Times New Roman" w:hAnsi="Times New Roman" w:eastAsia="宋体" w:cs="Times New Roman"/>
                      <w:i w:val="0"/>
                      <w:iCs w:val="0"/>
                      <w:color w:val="auto"/>
                      <w:kern w:val="2"/>
                      <w:sz w:val="18"/>
                      <w:szCs w:val="18"/>
                      <w:highlight w:val="none"/>
                      <w:u w:val="none"/>
                      <w:lang w:val="en-US" w:eastAsia="zh-CN" w:bidi="ar-SA"/>
                    </w:rPr>
                    <w:t>六罐区6305-63</w:t>
                  </w:r>
                  <w:r>
                    <w:rPr>
                      <w:rFonts w:hint="eastAsia" w:cs="Times New Roman"/>
                      <w:i w:val="0"/>
                      <w:iCs w:val="0"/>
                      <w:color w:val="auto"/>
                      <w:kern w:val="2"/>
                      <w:sz w:val="18"/>
                      <w:szCs w:val="18"/>
                      <w:highlight w:val="none"/>
                      <w:u w:val="none"/>
                      <w:lang w:val="en-US" w:eastAsia="zh-CN" w:bidi="ar-SA"/>
                    </w:rPr>
                    <w:t>09</w:t>
                  </w:r>
                </w:p>
              </w:tc>
              <w:tc>
                <w:tcPr>
                  <w:tcW w:w="228" w:type="pct"/>
                  <w:vMerge w:val="restart"/>
                  <w:noWrap w:val="0"/>
                  <w:vAlign w:val="center"/>
                </w:tcPr>
                <w:p w14:paraId="7E42B1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2"/>
                      <w:sz w:val="18"/>
                      <w:szCs w:val="18"/>
                      <w:highlight w:val="none"/>
                      <w:u w:val="none"/>
                      <w:lang w:val="en-US" w:eastAsia="zh-CN" w:bidi="ar-SA"/>
                    </w:rPr>
                    <w:t>根据业务需求进行调配</w:t>
                  </w:r>
                </w:p>
              </w:tc>
            </w:tr>
            <w:tr w14:paraId="69DAA3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26" w:type="pct"/>
                  <w:noWrap w:val="0"/>
                  <w:vAlign w:val="center"/>
                </w:tcPr>
                <w:p w14:paraId="40FDF1A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w:t>
                  </w:r>
                </w:p>
              </w:tc>
              <w:tc>
                <w:tcPr>
                  <w:tcW w:w="560" w:type="pct"/>
                  <w:noWrap w:val="0"/>
                  <w:vAlign w:val="center"/>
                </w:tcPr>
                <w:p w14:paraId="791D478A">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棕榈硬脂</w:t>
                  </w:r>
                </w:p>
              </w:tc>
              <w:tc>
                <w:tcPr>
                  <w:tcW w:w="612" w:type="pct"/>
                  <w:noWrap w:val="0"/>
                  <w:vAlign w:val="center"/>
                </w:tcPr>
                <w:p w14:paraId="31E4A34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二、三、四、六罐区</w:t>
                  </w:r>
                </w:p>
              </w:tc>
              <w:tc>
                <w:tcPr>
                  <w:tcW w:w="487" w:type="pct"/>
                  <w:noWrap w:val="0"/>
                  <w:vAlign w:val="center"/>
                </w:tcPr>
                <w:p w14:paraId="6509B3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2AA779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shd w:val="clear" w:color="auto" w:fill="auto"/>
                  <w:noWrap w:val="0"/>
                  <w:vAlign w:val="center"/>
                </w:tcPr>
                <w:p w14:paraId="5F139B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667F48D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50℃</w:t>
                  </w:r>
                </w:p>
              </w:tc>
              <w:tc>
                <w:tcPr>
                  <w:tcW w:w="588" w:type="pct"/>
                  <w:noWrap w:val="0"/>
                  <w:vAlign w:val="center"/>
                </w:tcPr>
                <w:p w14:paraId="7DEFFA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保温+伴热盘管</w:t>
                  </w:r>
                </w:p>
              </w:tc>
              <w:tc>
                <w:tcPr>
                  <w:tcW w:w="1010" w:type="pct"/>
                  <w:vMerge w:val="continue"/>
                  <w:noWrap w:val="0"/>
                  <w:vAlign w:val="center"/>
                </w:tcPr>
                <w:p w14:paraId="6C490B0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p>
              </w:tc>
              <w:tc>
                <w:tcPr>
                  <w:tcW w:w="228" w:type="pct"/>
                  <w:vMerge w:val="continue"/>
                  <w:noWrap w:val="0"/>
                  <w:vAlign w:val="center"/>
                </w:tcPr>
                <w:p w14:paraId="3FC352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r w14:paraId="64735E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26" w:type="pct"/>
                  <w:noWrap w:val="0"/>
                  <w:vAlign w:val="center"/>
                </w:tcPr>
                <w:p w14:paraId="6602CE2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3</w:t>
                  </w:r>
                </w:p>
              </w:tc>
              <w:tc>
                <w:tcPr>
                  <w:tcW w:w="560" w:type="pct"/>
                  <w:noWrap w:val="0"/>
                  <w:vAlign w:val="center"/>
                </w:tcPr>
                <w:p w14:paraId="188E507E">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棕榈油脂肪酸</w:t>
                  </w:r>
                </w:p>
              </w:tc>
              <w:tc>
                <w:tcPr>
                  <w:tcW w:w="612" w:type="pct"/>
                  <w:noWrap w:val="0"/>
                  <w:vAlign w:val="center"/>
                </w:tcPr>
                <w:p w14:paraId="1E6EB65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二、三、四、六罐区</w:t>
                  </w:r>
                </w:p>
              </w:tc>
              <w:tc>
                <w:tcPr>
                  <w:tcW w:w="487" w:type="pct"/>
                  <w:noWrap w:val="0"/>
                  <w:vAlign w:val="center"/>
                </w:tcPr>
                <w:p w14:paraId="7BB024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2D5579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shd w:val="clear" w:color="auto" w:fill="auto"/>
                  <w:noWrap w:val="0"/>
                  <w:vAlign w:val="center"/>
                </w:tcPr>
                <w:p w14:paraId="0B29E1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0927C6A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50℃</w:t>
                  </w:r>
                </w:p>
              </w:tc>
              <w:tc>
                <w:tcPr>
                  <w:tcW w:w="588" w:type="pct"/>
                  <w:noWrap w:val="0"/>
                  <w:vAlign w:val="center"/>
                </w:tcPr>
                <w:p w14:paraId="7CD9A8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保温+伴热盘管</w:t>
                  </w:r>
                </w:p>
              </w:tc>
              <w:tc>
                <w:tcPr>
                  <w:tcW w:w="1010" w:type="pct"/>
                  <w:vMerge w:val="continue"/>
                  <w:noWrap w:val="0"/>
                  <w:vAlign w:val="center"/>
                </w:tcPr>
                <w:p w14:paraId="3DF64A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p>
              </w:tc>
              <w:tc>
                <w:tcPr>
                  <w:tcW w:w="228" w:type="pct"/>
                  <w:vMerge w:val="continue"/>
                  <w:noWrap w:val="0"/>
                  <w:vAlign w:val="center"/>
                </w:tcPr>
                <w:p w14:paraId="4EF87D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r w14:paraId="58D8BB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26" w:type="pct"/>
                  <w:noWrap w:val="0"/>
                  <w:vAlign w:val="center"/>
                </w:tcPr>
                <w:p w14:paraId="231EDF79">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4</w:t>
                  </w:r>
                </w:p>
              </w:tc>
              <w:tc>
                <w:tcPr>
                  <w:tcW w:w="560" w:type="pct"/>
                  <w:noWrap w:val="0"/>
                  <w:vAlign w:val="center"/>
                </w:tcPr>
                <w:p w14:paraId="1AD2B45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脂肪酸</w:t>
                  </w:r>
                </w:p>
              </w:tc>
              <w:tc>
                <w:tcPr>
                  <w:tcW w:w="612" w:type="pct"/>
                  <w:noWrap w:val="0"/>
                  <w:vAlign w:val="center"/>
                </w:tcPr>
                <w:p w14:paraId="521072B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二、三、四、六罐区</w:t>
                  </w:r>
                </w:p>
              </w:tc>
              <w:tc>
                <w:tcPr>
                  <w:tcW w:w="487" w:type="pct"/>
                  <w:noWrap w:val="0"/>
                  <w:vAlign w:val="center"/>
                </w:tcPr>
                <w:p w14:paraId="63C11F5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663A1FF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shd w:val="clear" w:color="auto" w:fill="auto"/>
                  <w:noWrap w:val="0"/>
                  <w:vAlign w:val="center"/>
                </w:tcPr>
                <w:p w14:paraId="0C7D8D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3A07CA1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50℃</w:t>
                  </w:r>
                </w:p>
              </w:tc>
              <w:tc>
                <w:tcPr>
                  <w:tcW w:w="588" w:type="pct"/>
                  <w:noWrap w:val="0"/>
                  <w:vAlign w:val="center"/>
                </w:tcPr>
                <w:p w14:paraId="7614BB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保温+伴热盘管</w:t>
                  </w:r>
                </w:p>
              </w:tc>
              <w:tc>
                <w:tcPr>
                  <w:tcW w:w="1010" w:type="pct"/>
                  <w:vMerge w:val="continue"/>
                  <w:noWrap w:val="0"/>
                  <w:vAlign w:val="center"/>
                </w:tcPr>
                <w:p w14:paraId="236F87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p>
              </w:tc>
              <w:tc>
                <w:tcPr>
                  <w:tcW w:w="228" w:type="pct"/>
                  <w:vMerge w:val="continue"/>
                  <w:noWrap w:val="0"/>
                  <w:vAlign w:val="center"/>
                </w:tcPr>
                <w:p w14:paraId="019345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r w14:paraId="4FF239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26" w:type="pct"/>
                  <w:noWrap w:val="0"/>
                  <w:vAlign w:val="center"/>
                </w:tcPr>
                <w:p w14:paraId="4B42589D">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w:t>
                  </w:r>
                </w:p>
              </w:tc>
              <w:tc>
                <w:tcPr>
                  <w:tcW w:w="560" w:type="pct"/>
                  <w:noWrap w:val="0"/>
                  <w:vAlign w:val="center"/>
                </w:tcPr>
                <w:p w14:paraId="61BE869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植物酸化油</w:t>
                  </w:r>
                </w:p>
              </w:tc>
              <w:tc>
                <w:tcPr>
                  <w:tcW w:w="612" w:type="pct"/>
                  <w:noWrap w:val="0"/>
                  <w:vAlign w:val="center"/>
                </w:tcPr>
                <w:p w14:paraId="48D7367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二、三、四、六罐区</w:t>
                  </w:r>
                </w:p>
              </w:tc>
              <w:tc>
                <w:tcPr>
                  <w:tcW w:w="487" w:type="pct"/>
                  <w:noWrap w:val="0"/>
                  <w:vAlign w:val="center"/>
                </w:tcPr>
                <w:p w14:paraId="6A28BCF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3C6B6EE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shd w:val="clear" w:color="auto" w:fill="auto"/>
                  <w:noWrap w:val="0"/>
                  <w:vAlign w:val="center"/>
                </w:tcPr>
                <w:p w14:paraId="2F6504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7B66C0B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35℃</w:t>
                  </w:r>
                </w:p>
              </w:tc>
              <w:tc>
                <w:tcPr>
                  <w:tcW w:w="588" w:type="pct"/>
                  <w:noWrap w:val="0"/>
                  <w:vAlign w:val="center"/>
                </w:tcPr>
                <w:p w14:paraId="616F63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保温+伴热盘管</w:t>
                  </w:r>
                </w:p>
              </w:tc>
              <w:tc>
                <w:tcPr>
                  <w:tcW w:w="1010" w:type="pct"/>
                  <w:vMerge w:val="continue"/>
                  <w:noWrap w:val="0"/>
                  <w:vAlign w:val="center"/>
                </w:tcPr>
                <w:p w14:paraId="77F6328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p>
              </w:tc>
              <w:tc>
                <w:tcPr>
                  <w:tcW w:w="228" w:type="pct"/>
                  <w:vMerge w:val="continue"/>
                  <w:noWrap w:val="0"/>
                  <w:vAlign w:val="center"/>
                </w:tcPr>
                <w:p w14:paraId="542C41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r w14:paraId="1A4BDD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0" w:type="auto"/>
                  <w:noWrap w:val="0"/>
                  <w:vAlign w:val="center"/>
                </w:tcPr>
                <w:p w14:paraId="6696C8E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6</w:t>
                  </w:r>
                </w:p>
              </w:tc>
              <w:tc>
                <w:tcPr>
                  <w:tcW w:w="560" w:type="pct"/>
                  <w:noWrap w:val="0"/>
                  <w:vAlign w:val="center"/>
                </w:tcPr>
                <w:p w14:paraId="695DA635">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棕榈液油</w:t>
                  </w:r>
                </w:p>
              </w:tc>
              <w:tc>
                <w:tcPr>
                  <w:tcW w:w="612" w:type="pct"/>
                  <w:noWrap w:val="0"/>
                  <w:vAlign w:val="center"/>
                </w:tcPr>
                <w:p w14:paraId="4FBC3D5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二、三、四、六罐区</w:t>
                  </w:r>
                </w:p>
              </w:tc>
              <w:tc>
                <w:tcPr>
                  <w:tcW w:w="487" w:type="pct"/>
                  <w:noWrap w:val="0"/>
                  <w:vAlign w:val="center"/>
                </w:tcPr>
                <w:p w14:paraId="597ABD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0128D6C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shd w:val="clear" w:color="auto" w:fill="auto"/>
                  <w:noWrap w:val="0"/>
                  <w:vAlign w:val="center"/>
                </w:tcPr>
                <w:p w14:paraId="2D0D0B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59224E5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35℃</w:t>
                  </w:r>
                </w:p>
              </w:tc>
              <w:tc>
                <w:tcPr>
                  <w:tcW w:w="588" w:type="pct"/>
                  <w:noWrap w:val="0"/>
                  <w:vAlign w:val="center"/>
                </w:tcPr>
                <w:p w14:paraId="100F97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保温+伴热盘管</w:t>
                  </w:r>
                </w:p>
              </w:tc>
              <w:tc>
                <w:tcPr>
                  <w:tcW w:w="1010" w:type="pct"/>
                  <w:vMerge w:val="continue"/>
                  <w:noWrap w:val="0"/>
                  <w:vAlign w:val="center"/>
                </w:tcPr>
                <w:p w14:paraId="040636C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p>
              </w:tc>
              <w:tc>
                <w:tcPr>
                  <w:tcW w:w="228" w:type="pct"/>
                  <w:vMerge w:val="continue"/>
                  <w:noWrap w:val="0"/>
                  <w:vAlign w:val="center"/>
                </w:tcPr>
                <w:p w14:paraId="0F80B5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r w14:paraId="768AEE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0" w:type="auto"/>
                  <w:noWrap w:val="0"/>
                  <w:vAlign w:val="center"/>
                </w:tcPr>
                <w:p w14:paraId="1E80CB63">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w:t>
                  </w:r>
                </w:p>
              </w:tc>
              <w:tc>
                <w:tcPr>
                  <w:tcW w:w="560" w:type="pct"/>
                  <w:noWrap w:val="0"/>
                  <w:vAlign w:val="center"/>
                </w:tcPr>
                <w:p w14:paraId="13CEE524">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精炼工业级蓖麻油</w:t>
                  </w:r>
                </w:p>
              </w:tc>
              <w:tc>
                <w:tcPr>
                  <w:tcW w:w="612" w:type="pct"/>
                  <w:noWrap w:val="0"/>
                  <w:vAlign w:val="center"/>
                </w:tcPr>
                <w:p w14:paraId="380E0BD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二、三、四、六罐区</w:t>
                  </w:r>
                </w:p>
              </w:tc>
              <w:tc>
                <w:tcPr>
                  <w:tcW w:w="487" w:type="pct"/>
                  <w:noWrap w:val="0"/>
                  <w:vAlign w:val="center"/>
                </w:tcPr>
                <w:p w14:paraId="52257C0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6272FCB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shd w:val="clear" w:color="auto" w:fill="auto"/>
                  <w:noWrap w:val="0"/>
                  <w:vAlign w:val="center"/>
                </w:tcPr>
                <w:p w14:paraId="2B8863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5F3F68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35℃</w:t>
                  </w:r>
                </w:p>
              </w:tc>
              <w:tc>
                <w:tcPr>
                  <w:tcW w:w="588" w:type="pct"/>
                  <w:noWrap w:val="0"/>
                  <w:vAlign w:val="center"/>
                </w:tcPr>
                <w:p w14:paraId="002FB53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保温+伴热盘管</w:t>
                  </w:r>
                </w:p>
              </w:tc>
              <w:tc>
                <w:tcPr>
                  <w:tcW w:w="1010" w:type="pct"/>
                  <w:vMerge w:val="continue"/>
                  <w:noWrap w:val="0"/>
                  <w:vAlign w:val="center"/>
                </w:tcPr>
                <w:p w14:paraId="00B60B6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p>
              </w:tc>
              <w:tc>
                <w:tcPr>
                  <w:tcW w:w="228" w:type="pct"/>
                  <w:vMerge w:val="continue"/>
                  <w:noWrap w:val="0"/>
                  <w:vAlign w:val="center"/>
                </w:tcPr>
                <w:p w14:paraId="578137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r w14:paraId="24ED21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0" w:type="auto"/>
                  <w:noWrap w:val="0"/>
                  <w:vAlign w:val="center"/>
                </w:tcPr>
                <w:p w14:paraId="046E35CB">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w:t>
                  </w:r>
                </w:p>
              </w:tc>
              <w:tc>
                <w:tcPr>
                  <w:tcW w:w="560" w:type="pct"/>
                  <w:noWrap w:val="0"/>
                  <w:vAlign w:val="center"/>
                </w:tcPr>
                <w:p w14:paraId="4D7BCA86">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生物航煤（可持续航空燃料）</w:t>
                  </w:r>
                </w:p>
              </w:tc>
              <w:tc>
                <w:tcPr>
                  <w:tcW w:w="612" w:type="pct"/>
                  <w:noWrap w:val="0"/>
                  <w:vAlign w:val="center"/>
                </w:tcPr>
                <w:p w14:paraId="2559CAD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cs="Times New Roman"/>
                      <w:i w:val="0"/>
                      <w:iCs w:val="0"/>
                      <w:color w:val="auto"/>
                      <w:kern w:val="2"/>
                      <w:sz w:val="18"/>
                      <w:szCs w:val="18"/>
                      <w:highlight w:val="none"/>
                      <w:u w:val="none"/>
                      <w:lang w:val="en-US" w:eastAsia="zh-CN" w:bidi="ar-SA"/>
                    </w:rPr>
                    <w:t>二</w:t>
                  </w:r>
                  <w:r>
                    <w:rPr>
                      <w:rFonts w:hint="eastAsia" w:ascii="Times New Roman" w:hAnsi="Times New Roman" w:eastAsia="宋体" w:cs="Times New Roman"/>
                      <w:i w:val="0"/>
                      <w:iCs w:val="0"/>
                      <w:color w:val="auto"/>
                      <w:kern w:val="2"/>
                      <w:sz w:val="18"/>
                      <w:szCs w:val="18"/>
                      <w:highlight w:val="none"/>
                      <w:u w:val="none"/>
                      <w:lang w:val="en-US" w:eastAsia="zh-CN" w:bidi="ar-SA"/>
                    </w:rPr>
                    <w:t>、</w:t>
                  </w:r>
                  <w:r>
                    <w:rPr>
                      <w:rFonts w:hint="eastAsia" w:cs="Times New Roman"/>
                      <w:i w:val="0"/>
                      <w:iCs w:val="0"/>
                      <w:color w:val="auto"/>
                      <w:kern w:val="2"/>
                      <w:sz w:val="18"/>
                      <w:szCs w:val="18"/>
                      <w:highlight w:val="none"/>
                      <w:u w:val="none"/>
                      <w:lang w:val="en-US" w:eastAsia="zh-CN" w:bidi="ar-SA"/>
                    </w:rPr>
                    <w:t>五</w:t>
                  </w:r>
                  <w:r>
                    <w:rPr>
                      <w:rFonts w:hint="eastAsia" w:ascii="Times New Roman" w:hAnsi="Times New Roman" w:eastAsia="宋体" w:cs="Times New Roman"/>
                      <w:i w:val="0"/>
                      <w:iCs w:val="0"/>
                      <w:color w:val="auto"/>
                      <w:kern w:val="2"/>
                      <w:sz w:val="18"/>
                      <w:szCs w:val="18"/>
                      <w:highlight w:val="none"/>
                      <w:u w:val="none"/>
                      <w:lang w:val="en-US" w:eastAsia="zh-CN" w:bidi="ar-SA"/>
                    </w:rPr>
                    <w:t>、六罐区</w:t>
                  </w:r>
                </w:p>
              </w:tc>
              <w:tc>
                <w:tcPr>
                  <w:tcW w:w="487" w:type="pct"/>
                  <w:noWrap w:val="0"/>
                  <w:vAlign w:val="center"/>
                </w:tcPr>
                <w:p w14:paraId="1DB606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浮顶罐</w:t>
                  </w:r>
                </w:p>
              </w:tc>
              <w:tc>
                <w:tcPr>
                  <w:tcW w:w="515" w:type="pct"/>
                  <w:noWrap w:val="0"/>
                  <w:vAlign w:val="center"/>
                </w:tcPr>
                <w:p w14:paraId="718F7F1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浮顶罐</w:t>
                  </w:r>
                </w:p>
              </w:tc>
              <w:tc>
                <w:tcPr>
                  <w:tcW w:w="408" w:type="pct"/>
                  <w:noWrap w:val="0"/>
                  <w:vAlign w:val="center"/>
                </w:tcPr>
                <w:p w14:paraId="5BDAE2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 w:val="18"/>
                      <w:szCs w:val="18"/>
                      <w:highlight w:val="none"/>
                    </w:rPr>
                  </w:pPr>
                  <w:r>
                    <w:rPr>
                      <w:rFonts w:hint="eastAsia" w:ascii="Times New Roman" w:hAnsi="Times New Roman" w:eastAsia="宋体" w:cs="Times New Roman"/>
                      <w:b/>
                      <w:bCs/>
                      <w:i w:val="0"/>
                      <w:iCs w:val="0"/>
                      <w:color w:val="auto"/>
                      <w:kern w:val="2"/>
                      <w:sz w:val="18"/>
                      <w:szCs w:val="18"/>
                      <w:highlight w:val="none"/>
                      <w:u w:val="none"/>
                      <w:lang w:val="en-US" w:eastAsia="zh-CN" w:bidi="ar-SA"/>
                    </w:rPr>
                    <w:t>/</w:t>
                  </w:r>
                </w:p>
              </w:tc>
              <w:tc>
                <w:tcPr>
                  <w:tcW w:w="361" w:type="pct"/>
                  <w:noWrap w:val="0"/>
                  <w:vAlign w:val="center"/>
                </w:tcPr>
                <w:p w14:paraId="2B27E25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常温</w:t>
                  </w:r>
                </w:p>
              </w:tc>
              <w:tc>
                <w:tcPr>
                  <w:tcW w:w="588" w:type="pct"/>
                  <w:noWrap w:val="0"/>
                  <w:vAlign w:val="center"/>
                </w:tcPr>
                <w:p w14:paraId="4B088E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1010" w:type="pct"/>
                  <w:noWrap w:val="0"/>
                  <w:vAlign w:val="center"/>
                </w:tcPr>
                <w:p w14:paraId="1EA3420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cs="Times New Roman"/>
                      <w:i w:val="0"/>
                      <w:iCs w:val="0"/>
                      <w:color w:val="auto"/>
                      <w:kern w:val="2"/>
                      <w:sz w:val="18"/>
                      <w:szCs w:val="18"/>
                      <w:highlight w:val="none"/>
                      <w:u w:val="none"/>
                      <w:lang w:val="en-US" w:eastAsia="zh-CN" w:bidi="ar-SA"/>
                    </w:rPr>
                    <w:t>二</w:t>
                  </w:r>
                  <w:r>
                    <w:rPr>
                      <w:rFonts w:hint="eastAsia" w:ascii="Times New Roman" w:hAnsi="Times New Roman" w:eastAsia="宋体" w:cs="Times New Roman"/>
                      <w:i w:val="0"/>
                      <w:iCs w:val="0"/>
                      <w:color w:val="auto"/>
                      <w:kern w:val="2"/>
                      <w:sz w:val="18"/>
                      <w:szCs w:val="18"/>
                      <w:highlight w:val="none"/>
                      <w:u w:val="none"/>
                      <w:lang w:val="en-US" w:eastAsia="zh-CN" w:bidi="ar-SA"/>
                    </w:rPr>
                    <w:t>罐区</w:t>
                  </w:r>
                  <w:r>
                    <w:rPr>
                      <w:rFonts w:hint="eastAsia" w:cs="Times New Roman"/>
                      <w:i w:val="0"/>
                      <w:iCs w:val="0"/>
                      <w:color w:val="auto"/>
                      <w:kern w:val="2"/>
                      <w:sz w:val="18"/>
                      <w:szCs w:val="18"/>
                      <w:highlight w:val="none"/>
                      <w:u w:val="none"/>
                      <w:lang w:val="en-US" w:eastAsia="zh-CN" w:bidi="ar-SA"/>
                    </w:rPr>
                    <w:t>2309；</w:t>
                  </w:r>
                  <w:r>
                    <w:rPr>
                      <w:rFonts w:hint="eastAsia" w:ascii="Times New Roman" w:hAnsi="Times New Roman" w:eastAsia="宋体" w:cs="Times New Roman"/>
                      <w:i w:val="0"/>
                      <w:iCs w:val="0"/>
                      <w:color w:val="auto"/>
                      <w:kern w:val="2"/>
                      <w:sz w:val="18"/>
                      <w:szCs w:val="18"/>
                      <w:highlight w:val="none"/>
                      <w:u w:val="none"/>
                      <w:lang w:val="en-US" w:eastAsia="zh-CN" w:bidi="ar-SA"/>
                    </w:rPr>
                    <w:t>五罐区5001-5004、5506</w:t>
                  </w:r>
                  <w:r>
                    <w:rPr>
                      <w:rFonts w:hint="eastAsia" w:cs="Times New Roman"/>
                      <w:i w:val="0"/>
                      <w:iCs w:val="0"/>
                      <w:color w:val="auto"/>
                      <w:kern w:val="2"/>
                      <w:sz w:val="18"/>
                      <w:szCs w:val="18"/>
                      <w:highlight w:val="none"/>
                      <w:u w:val="none"/>
                      <w:lang w:val="en-US" w:eastAsia="zh-CN" w:bidi="ar-SA"/>
                    </w:rPr>
                    <w:t>；</w:t>
                  </w:r>
                  <w:r>
                    <w:rPr>
                      <w:rFonts w:hint="eastAsia" w:ascii="Times New Roman" w:hAnsi="Times New Roman" w:eastAsia="宋体" w:cs="Times New Roman"/>
                      <w:i w:val="0"/>
                      <w:iCs w:val="0"/>
                      <w:color w:val="auto"/>
                      <w:kern w:val="2"/>
                      <w:sz w:val="18"/>
                      <w:szCs w:val="18"/>
                      <w:highlight w:val="none"/>
                      <w:u w:val="none"/>
                      <w:lang w:val="en-US" w:eastAsia="zh-CN" w:bidi="ar-SA"/>
                    </w:rPr>
                    <w:t>六罐区6301-6310</w:t>
                  </w:r>
                </w:p>
              </w:tc>
              <w:tc>
                <w:tcPr>
                  <w:tcW w:w="228" w:type="pct"/>
                  <w:vMerge w:val="continue"/>
                  <w:noWrap w:val="0"/>
                  <w:vAlign w:val="center"/>
                </w:tcPr>
                <w:p w14:paraId="77386D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r w14:paraId="28BAEE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0" w:type="auto"/>
                  <w:noWrap w:val="0"/>
                  <w:vAlign w:val="center"/>
                </w:tcPr>
                <w:p w14:paraId="5FF3EDCF">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w:t>
                  </w:r>
                </w:p>
              </w:tc>
              <w:tc>
                <w:tcPr>
                  <w:tcW w:w="560" w:type="pct"/>
                  <w:noWrap w:val="0"/>
                  <w:vAlign w:val="center"/>
                </w:tcPr>
                <w:p w14:paraId="13B66162">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烃基生物柴油</w:t>
                  </w:r>
                </w:p>
              </w:tc>
              <w:tc>
                <w:tcPr>
                  <w:tcW w:w="612" w:type="pct"/>
                  <w:noWrap w:val="0"/>
                  <w:vAlign w:val="center"/>
                </w:tcPr>
                <w:p w14:paraId="2F30C7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三、四罐区</w:t>
                  </w:r>
                </w:p>
              </w:tc>
              <w:tc>
                <w:tcPr>
                  <w:tcW w:w="487" w:type="pct"/>
                  <w:noWrap w:val="0"/>
                  <w:vAlign w:val="center"/>
                </w:tcPr>
                <w:p w14:paraId="6829AEC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515" w:type="pct"/>
                  <w:noWrap w:val="0"/>
                  <w:vAlign w:val="center"/>
                </w:tcPr>
                <w:p w14:paraId="534640B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固定</w:t>
                  </w:r>
                  <w:r>
                    <w:rPr>
                      <w:rFonts w:hint="default" w:ascii="Times New Roman" w:hAnsi="Times New Roman" w:eastAsia="宋体" w:cs="Times New Roman"/>
                      <w:b w:val="0"/>
                      <w:bCs w:val="0"/>
                      <w:i w:val="0"/>
                      <w:iCs w:val="0"/>
                      <w:color w:val="auto"/>
                      <w:kern w:val="2"/>
                      <w:sz w:val="18"/>
                      <w:szCs w:val="18"/>
                      <w:highlight w:val="none"/>
                      <w:u w:val="none"/>
                      <w:lang w:val="en-US" w:eastAsia="zh-CN" w:bidi="ar-SA"/>
                    </w:rPr>
                    <w:t>顶</w:t>
                  </w: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罐</w:t>
                  </w:r>
                </w:p>
              </w:tc>
              <w:tc>
                <w:tcPr>
                  <w:tcW w:w="408" w:type="pct"/>
                  <w:shd w:val="clear" w:color="auto" w:fill="auto"/>
                  <w:noWrap w:val="0"/>
                  <w:vAlign w:val="center"/>
                </w:tcPr>
                <w:p w14:paraId="0009E4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kern w:val="2"/>
                      <w:sz w:val="18"/>
                      <w:szCs w:val="18"/>
                      <w:highlight w:val="none"/>
                      <w:lang w:val="en-US" w:eastAsia="zh-CN" w:bidi="ar-SA"/>
                    </w:rPr>
                  </w:pPr>
                  <w:r>
                    <w:rPr>
                      <w:rFonts w:hint="default" w:ascii="Times New Roman" w:hAnsi="Times New Roman" w:eastAsia="宋体" w:cs="Times New Roman"/>
                      <w:bCs/>
                      <w:color w:val="auto"/>
                      <w:sz w:val="18"/>
                      <w:szCs w:val="18"/>
                      <w:highlight w:val="none"/>
                    </w:rPr>
                    <w:t>0.35</w:t>
                  </w:r>
                  <w:r>
                    <w:rPr>
                      <w:rFonts w:hint="default" w:ascii="Times New Roman" w:hAnsi="Times New Roman" w:eastAsia="宋体" w:cs="Times New Roman"/>
                      <w:bCs/>
                      <w:color w:val="auto"/>
                      <w:sz w:val="18"/>
                      <w:szCs w:val="18"/>
                      <w:highlight w:val="none"/>
                      <w:lang w:eastAsia="zh-CN"/>
                    </w:rPr>
                    <w:t>kPa</w:t>
                  </w:r>
                </w:p>
              </w:tc>
              <w:tc>
                <w:tcPr>
                  <w:tcW w:w="361" w:type="pct"/>
                  <w:noWrap w:val="0"/>
                  <w:vAlign w:val="center"/>
                </w:tcPr>
                <w:p w14:paraId="3B15632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i w:val="0"/>
                      <w:iCs w:val="0"/>
                      <w:color w:val="auto"/>
                      <w:kern w:val="2"/>
                      <w:sz w:val="18"/>
                      <w:szCs w:val="18"/>
                      <w:highlight w:val="none"/>
                      <w:u w:val="none"/>
                      <w:lang w:val="en-US" w:eastAsia="zh-CN" w:bidi="ar-SA"/>
                    </w:rPr>
                  </w:pPr>
                  <w:r>
                    <w:rPr>
                      <w:rFonts w:hint="eastAsia" w:ascii="Times New Roman" w:hAnsi="Times New Roman" w:eastAsia="宋体" w:cs="Times New Roman"/>
                      <w:b w:val="0"/>
                      <w:bCs w:val="0"/>
                      <w:i w:val="0"/>
                      <w:iCs w:val="0"/>
                      <w:color w:val="auto"/>
                      <w:kern w:val="2"/>
                      <w:sz w:val="18"/>
                      <w:szCs w:val="18"/>
                      <w:highlight w:val="none"/>
                      <w:u w:val="none"/>
                      <w:lang w:val="en-US" w:eastAsia="zh-CN" w:bidi="ar-SA"/>
                    </w:rPr>
                    <w:t>常温</w:t>
                  </w:r>
                </w:p>
              </w:tc>
              <w:tc>
                <w:tcPr>
                  <w:tcW w:w="588" w:type="pct"/>
                  <w:noWrap w:val="0"/>
                  <w:vAlign w:val="center"/>
                </w:tcPr>
                <w:p w14:paraId="6358C2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w:t>
                  </w:r>
                </w:p>
              </w:tc>
              <w:tc>
                <w:tcPr>
                  <w:tcW w:w="1010" w:type="pct"/>
                  <w:noWrap w:val="0"/>
                  <w:vAlign w:val="center"/>
                </w:tcPr>
                <w:p w14:paraId="7F2A5EB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三罐区储罐均可</w:t>
                  </w:r>
                  <w:r>
                    <w:rPr>
                      <w:rFonts w:hint="eastAsia" w:cs="Times New Roman"/>
                      <w:i w:val="0"/>
                      <w:iCs w:val="0"/>
                      <w:color w:val="auto"/>
                      <w:kern w:val="2"/>
                      <w:sz w:val="18"/>
                      <w:szCs w:val="18"/>
                      <w:highlight w:val="none"/>
                      <w:u w:val="none"/>
                      <w:lang w:val="en-US" w:eastAsia="zh-CN" w:bidi="ar-SA"/>
                    </w:rPr>
                    <w:t>；</w:t>
                  </w:r>
                  <w:r>
                    <w:rPr>
                      <w:rFonts w:hint="eastAsia" w:ascii="Times New Roman" w:hAnsi="Times New Roman" w:eastAsia="宋体" w:cs="Times New Roman"/>
                      <w:i w:val="0"/>
                      <w:iCs w:val="0"/>
                      <w:color w:val="auto"/>
                      <w:kern w:val="2"/>
                      <w:sz w:val="18"/>
                      <w:szCs w:val="18"/>
                      <w:highlight w:val="none"/>
                      <w:u w:val="none"/>
                      <w:lang w:val="en-US" w:eastAsia="zh-CN" w:bidi="ar-SA"/>
                    </w:rPr>
                    <w:t>四罐区4303、4204、4307、4208、4309</w:t>
                  </w:r>
                </w:p>
              </w:tc>
              <w:tc>
                <w:tcPr>
                  <w:tcW w:w="228" w:type="pct"/>
                  <w:vMerge w:val="continue"/>
                  <w:noWrap w:val="0"/>
                  <w:vAlign w:val="center"/>
                </w:tcPr>
                <w:p w14:paraId="0EACEA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u w:val="none"/>
                      <w:lang w:val="en-US" w:eastAsia="zh-CN" w:bidi="ar"/>
                    </w:rPr>
                  </w:pPr>
                </w:p>
              </w:tc>
            </w:tr>
          </w:tbl>
          <w:p w14:paraId="5E6E09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color w:val="auto"/>
                <w:sz w:val="15"/>
                <w:szCs w:val="15"/>
                <w:highlight w:val="none"/>
                <w:lang w:val="en-US" w:eastAsia="zh-CN"/>
              </w:rPr>
            </w:pPr>
          </w:p>
          <w:p w14:paraId="1A765636">
            <w:pPr>
              <w:keepNext w:val="0"/>
              <w:keepLines w:val="0"/>
              <w:suppressLineNumbers w:val="0"/>
              <w:adjustRightInd w:val="0"/>
              <w:snapToGrid w:val="0"/>
              <w:spacing w:before="0" w:beforeAutospacing="0" w:after="0" w:afterAutospacing="0" w:line="360" w:lineRule="auto"/>
              <w:ind w:left="0" w:right="0" w:firstLine="422" w:firstLineChars="200"/>
              <w:rPr>
                <w:rFonts w:hint="default"/>
                <w:b/>
                <w:bCs/>
                <w:color w:val="auto"/>
                <w:highlight w:val="none"/>
                <w:lang w:val="en-US" w:eastAsia="zh-CN"/>
              </w:rPr>
            </w:pPr>
            <w:r>
              <w:rPr>
                <w:rFonts w:hint="eastAsia"/>
                <w:b/>
                <w:bCs/>
                <w:color w:val="auto"/>
                <w:szCs w:val="21"/>
                <w:highlight w:val="none"/>
                <w:lang w:val="en-US" w:eastAsia="zh-CN"/>
              </w:rPr>
              <w:t>（4）</w:t>
            </w:r>
            <w:r>
              <w:rPr>
                <w:rFonts w:hint="eastAsia"/>
                <w:b/>
                <w:bCs/>
                <w:color w:val="auto"/>
                <w:highlight w:val="none"/>
                <w:lang w:val="en-US" w:eastAsia="zh-CN"/>
              </w:rPr>
              <w:t>服务方案</w:t>
            </w:r>
          </w:p>
          <w:p w14:paraId="3AE3C3FA">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w:t>
            </w:r>
            <w:r>
              <w:rPr>
                <w:rFonts w:hint="eastAsia"/>
                <w:color w:val="auto"/>
                <w:highlight w:val="none"/>
                <w:lang w:val="en-US" w:eastAsia="zh-CN"/>
              </w:rPr>
              <w:t>改建</w:t>
            </w:r>
            <w:r>
              <w:rPr>
                <w:rFonts w:hint="eastAsia" w:ascii="Times New Roman" w:hAnsi="Times New Roman" w:eastAsia="宋体" w:cs="Times New Roman"/>
                <w:color w:val="auto"/>
                <w:highlight w:val="none"/>
                <w:lang w:val="en-US" w:eastAsia="zh-CN"/>
              </w:rPr>
              <w:t>项目实施前丽天公司提供液体化工码头相关的配套服务（限在港区内从事货物装卸、仓储服务），</w:t>
            </w:r>
            <w:r>
              <w:rPr>
                <w:rFonts w:hint="eastAsia"/>
                <w:color w:val="auto"/>
                <w:highlight w:val="none"/>
                <w:lang w:val="en-US" w:eastAsia="zh-CN"/>
              </w:rPr>
              <w:t>改建</w:t>
            </w:r>
            <w:r>
              <w:rPr>
                <w:rFonts w:hint="eastAsia" w:ascii="Times New Roman" w:hAnsi="Times New Roman" w:eastAsia="宋体" w:cs="Times New Roman"/>
                <w:color w:val="auto"/>
                <w:highlight w:val="none"/>
                <w:lang w:val="en-US" w:eastAsia="zh-CN"/>
              </w:rPr>
              <w:t>项目实施后不改变原有仓储容量及码头停靠泊位，</w:t>
            </w:r>
            <w:r>
              <w:rPr>
                <w:rFonts w:hint="eastAsia"/>
                <w:color w:val="auto"/>
                <w:szCs w:val="21"/>
                <w:highlight w:val="none"/>
                <w:lang w:val="en-US" w:eastAsia="zh-CN"/>
              </w:rPr>
              <w:t>不涉及储罐扩容、周转总量不突破原环评批复总量</w:t>
            </w:r>
            <w:r>
              <w:rPr>
                <w:rFonts w:hint="eastAsia" w:ascii="Times New Roman" w:hAnsi="Times New Roman" w:eastAsia="宋体" w:cs="Times New Roman"/>
                <w:color w:val="auto"/>
                <w:highlight w:val="none"/>
                <w:lang w:val="en-US" w:eastAsia="zh-CN"/>
              </w:rPr>
              <w:t>。丽天公司服务方案详见表2-</w:t>
            </w:r>
            <w:r>
              <w:rPr>
                <w:rFonts w:hint="eastAsia" w:cs="Times New Roman"/>
                <w:color w:val="auto"/>
                <w:highlight w:val="none"/>
                <w:lang w:val="en-US" w:eastAsia="zh-CN"/>
              </w:rPr>
              <w:t>7</w:t>
            </w:r>
            <w:r>
              <w:rPr>
                <w:rFonts w:hint="eastAsia" w:ascii="Times New Roman" w:hAnsi="Times New Roman" w:eastAsia="宋体" w:cs="Times New Roman"/>
                <w:color w:val="auto"/>
                <w:highlight w:val="none"/>
                <w:lang w:val="en-US" w:eastAsia="zh-CN"/>
              </w:rPr>
              <w:t>。</w:t>
            </w:r>
          </w:p>
          <w:p w14:paraId="3BE85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b/>
                <w:bCs/>
                <w:color w:val="auto"/>
                <w:lang w:val="en-US" w:eastAsia="zh-CN"/>
              </w:rPr>
            </w:pPr>
            <w:r>
              <w:rPr>
                <w:rFonts w:hint="eastAsia"/>
                <w:b/>
                <w:bCs/>
                <w:color w:val="auto"/>
              </w:rPr>
              <w:t>表2-</w:t>
            </w:r>
            <w:r>
              <w:rPr>
                <w:rFonts w:hint="eastAsia"/>
                <w:b/>
                <w:bCs/>
                <w:color w:val="auto"/>
                <w:shd w:val="clear" w:color="auto" w:fill="auto"/>
                <w:lang w:val="en-US" w:eastAsia="zh-CN"/>
              </w:rPr>
              <w:t>7</w:t>
            </w:r>
            <w:r>
              <w:rPr>
                <w:rFonts w:hint="eastAsia"/>
                <w:b/>
                <w:bCs/>
                <w:color w:val="auto"/>
                <w:lang w:val="en-US" w:eastAsia="zh-CN"/>
              </w:rPr>
              <w:t xml:space="preserve">  改建项目实施前后丽天公司服务方案一览表</w:t>
            </w:r>
          </w:p>
          <w:tbl>
            <w:tblPr>
              <w:tblStyle w:val="21"/>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353"/>
              <w:gridCol w:w="1062"/>
              <w:gridCol w:w="1589"/>
              <w:gridCol w:w="1007"/>
              <w:gridCol w:w="1012"/>
              <w:gridCol w:w="736"/>
              <w:gridCol w:w="2394"/>
            </w:tblGrid>
            <w:tr w14:paraId="658D54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17" w:type="pct"/>
                  <w:vMerge w:val="restart"/>
                  <w:tcBorders>
                    <w:tl2br w:val="nil"/>
                    <w:tr2bl w:val="nil"/>
                  </w:tcBorders>
                  <w:noWrap w:val="0"/>
                  <w:vAlign w:val="center"/>
                </w:tcPr>
                <w:p w14:paraId="3C0D2609">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序号</w:t>
                  </w:r>
                </w:p>
              </w:tc>
              <w:tc>
                <w:tcPr>
                  <w:tcW w:w="651" w:type="pct"/>
                  <w:vMerge w:val="restart"/>
                  <w:tcBorders>
                    <w:tl2br w:val="nil"/>
                    <w:tr2bl w:val="nil"/>
                  </w:tcBorders>
                  <w:noWrap w:val="0"/>
                  <w:vAlign w:val="center"/>
                </w:tcPr>
                <w:p w14:paraId="69A85D2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工程名称（车间、生产装置或生产线）</w:t>
                  </w:r>
                </w:p>
              </w:tc>
              <w:tc>
                <w:tcPr>
                  <w:tcW w:w="974" w:type="pct"/>
                  <w:vMerge w:val="restart"/>
                  <w:tcBorders>
                    <w:tl2br w:val="nil"/>
                    <w:tr2bl w:val="nil"/>
                  </w:tcBorders>
                  <w:noWrap w:val="0"/>
                  <w:vAlign w:val="center"/>
                </w:tcPr>
                <w:p w14:paraId="240DB31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服务名称</w:t>
                  </w:r>
                </w:p>
              </w:tc>
              <w:tc>
                <w:tcPr>
                  <w:tcW w:w="1237" w:type="pct"/>
                  <w:gridSpan w:val="2"/>
                  <w:tcBorders>
                    <w:tl2br w:val="nil"/>
                    <w:tr2bl w:val="nil"/>
                  </w:tcBorders>
                  <w:noWrap w:val="0"/>
                  <w:vAlign w:val="center"/>
                </w:tcPr>
                <w:p w14:paraId="62B4D509">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能力</w:t>
                  </w:r>
                </w:p>
              </w:tc>
              <w:tc>
                <w:tcPr>
                  <w:tcW w:w="451" w:type="pct"/>
                  <w:vMerge w:val="restart"/>
                  <w:tcBorders>
                    <w:tl2br w:val="nil"/>
                    <w:tr2bl w:val="nil"/>
                  </w:tcBorders>
                  <w:noWrap w:val="0"/>
                  <w:vAlign w:val="center"/>
                </w:tcPr>
                <w:p w14:paraId="26C44E68">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年运行时数（h）</w:t>
                  </w:r>
                </w:p>
              </w:tc>
              <w:tc>
                <w:tcPr>
                  <w:tcW w:w="1467" w:type="pct"/>
                  <w:vMerge w:val="restart"/>
                  <w:tcBorders>
                    <w:tl2br w:val="nil"/>
                    <w:tr2bl w:val="nil"/>
                  </w:tcBorders>
                  <w:noWrap w:val="0"/>
                  <w:vAlign w:val="center"/>
                </w:tcPr>
                <w:p w14:paraId="7316B72F">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备注</w:t>
                  </w:r>
                </w:p>
              </w:tc>
            </w:tr>
            <w:tr w14:paraId="0E13FF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17" w:type="pct"/>
                  <w:vMerge w:val="continue"/>
                  <w:tcBorders>
                    <w:tl2br w:val="nil"/>
                    <w:tr2bl w:val="nil"/>
                  </w:tcBorders>
                  <w:noWrap w:val="0"/>
                  <w:vAlign w:val="center"/>
                </w:tcPr>
                <w:p w14:paraId="2FCA199D">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p>
              </w:tc>
              <w:tc>
                <w:tcPr>
                  <w:tcW w:w="651" w:type="pct"/>
                  <w:vMerge w:val="continue"/>
                  <w:tcBorders>
                    <w:tl2br w:val="nil"/>
                    <w:tr2bl w:val="nil"/>
                  </w:tcBorders>
                  <w:noWrap w:val="0"/>
                  <w:vAlign w:val="center"/>
                </w:tcPr>
                <w:p w14:paraId="6944CB57">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p>
              </w:tc>
              <w:tc>
                <w:tcPr>
                  <w:tcW w:w="974" w:type="pct"/>
                  <w:vMerge w:val="continue"/>
                  <w:tcBorders>
                    <w:tl2br w:val="nil"/>
                    <w:tr2bl w:val="nil"/>
                  </w:tcBorders>
                  <w:noWrap w:val="0"/>
                  <w:vAlign w:val="center"/>
                </w:tcPr>
                <w:p w14:paraId="16A96C7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p>
              </w:tc>
              <w:tc>
                <w:tcPr>
                  <w:tcW w:w="617" w:type="pct"/>
                  <w:tcBorders>
                    <w:tl2br w:val="nil"/>
                    <w:tr2bl w:val="nil"/>
                  </w:tcBorders>
                  <w:noWrap w:val="0"/>
                  <w:vAlign w:val="center"/>
                </w:tcPr>
                <w:p w14:paraId="6430762C">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改建前</w:t>
                  </w:r>
                </w:p>
              </w:tc>
              <w:tc>
                <w:tcPr>
                  <w:tcW w:w="620" w:type="pct"/>
                  <w:tcBorders>
                    <w:tl2br w:val="nil"/>
                    <w:tr2bl w:val="nil"/>
                  </w:tcBorders>
                  <w:noWrap w:val="0"/>
                  <w:vAlign w:val="center"/>
                </w:tcPr>
                <w:p w14:paraId="2ED62486">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改建后</w:t>
                  </w:r>
                </w:p>
              </w:tc>
              <w:tc>
                <w:tcPr>
                  <w:tcW w:w="451" w:type="pct"/>
                  <w:vMerge w:val="continue"/>
                  <w:tcBorders>
                    <w:tl2br w:val="nil"/>
                    <w:tr2bl w:val="nil"/>
                  </w:tcBorders>
                  <w:noWrap w:val="0"/>
                  <w:vAlign w:val="center"/>
                </w:tcPr>
                <w:p w14:paraId="52DC6CA0">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p>
              </w:tc>
              <w:tc>
                <w:tcPr>
                  <w:tcW w:w="1467" w:type="pct"/>
                  <w:vMerge w:val="continue"/>
                  <w:tcBorders>
                    <w:tl2br w:val="nil"/>
                    <w:tr2bl w:val="nil"/>
                  </w:tcBorders>
                  <w:noWrap w:val="0"/>
                  <w:vAlign w:val="center"/>
                </w:tcPr>
                <w:p w14:paraId="5366414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sz w:val="18"/>
                      <w:szCs w:val="18"/>
                      <w:lang w:val="en-US" w:eastAsia="zh-CN"/>
                    </w:rPr>
                  </w:pPr>
                </w:p>
              </w:tc>
            </w:tr>
            <w:tr w14:paraId="32DF45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17" w:type="pct"/>
                  <w:tcBorders>
                    <w:tl2br w:val="nil"/>
                    <w:tr2bl w:val="nil"/>
                  </w:tcBorders>
                  <w:noWrap w:val="0"/>
                  <w:vAlign w:val="center"/>
                </w:tcPr>
                <w:p w14:paraId="66C5CB24">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651" w:type="pct"/>
                  <w:vMerge w:val="restart"/>
                  <w:tcBorders>
                    <w:tl2br w:val="nil"/>
                    <w:tr2bl w:val="nil"/>
                  </w:tcBorders>
                  <w:noWrap w:val="0"/>
                  <w:vAlign w:val="center"/>
                </w:tcPr>
                <w:p w14:paraId="513FFB18">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丽天公司码头</w:t>
                  </w:r>
                </w:p>
              </w:tc>
              <w:tc>
                <w:tcPr>
                  <w:tcW w:w="974" w:type="pct"/>
                  <w:tcBorders>
                    <w:tl2br w:val="nil"/>
                    <w:tr2bl w:val="nil"/>
                  </w:tcBorders>
                  <w:noWrap w:val="0"/>
                  <w:vAlign w:val="center"/>
                </w:tcPr>
                <w:p w14:paraId="0FEB37CB">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2万吨级液体化工泊位</w:t>
                  </w:r>
                </w:p>
              </w:tc>
              <w:tc>
                <w:tcPr>
                  <w:tcW w:w="617" w:type="pct"/>
                  <w:tcBorders>
                    <w:tl2br w:val="nil"/>
                    <w:tr2bl w:val="nil"/>
                  </w:tcBorders>
                  <w:noWrap w:val="0"/>
                  <w:vAlign w:val="center"/>
                </w:tcPr>
                <w:p w14:paraId="468AB2B6">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1个</w:t>
                  </w:r>
                </w:p>
              </w:tc>
              <w:tc>
                <w:tcPr>
                  <w:tcW w:w="620" w:type="pct"/>
                  <w:tcBorders>
                    <w:tl2br w:val="nil"/>
                    <w:tr2bl w:val="nil"/>
                  </w:tcBorders>
                  <w:noWrap w:val="0"/>
                  <w:vAlign w:val="center"/>
                </w:tcPr>
                <w:p w14:paraId="4AB9B561">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1个</w:t>
                  </w:r>
                </w:p>
              </w:tc>
              <w:tc>
                <w:tcPr>
                  <w:tcW w:w="451" w:type="pct"/>
                  <w:tcBorders>
                    <w:tl2br w:val="nil"/>
                    <w:tr2bl w:val="nil"/>
                  </w:tcBorders>
                  <w:noWrap w:val="0"/>
                  <w:vAlign w:val="center"/>
                </w:tcPr>
                <w:p w14:paraId="757F9D0C">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8400</w:t>
                  </w:r>
                </w:p>
              </w:tc>
              <w:tc>
                <w:tcPr>
                  <w:tcW w:w="1467" w:type="pct"/>
                  <w:vMerge w:val="restart"/>
                  <w:tcBorders>
                    <w:tl2br w:val="nil"/>
                    <w:tr2bl w:val="nil"/>
                  </w:tcBorders>
                  <w:noWrap w:val="0"/>
                  <w:vAlign w:val="center"/>
                </w:tcPr>
                <w:p w14:paraId="2933A4B1">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外档；上下游泊位均为5万吨级靠泊能力，泊位长度可满足1艘5万吨级化学品船和1艘2万吨级化学品船同时靠泊</w:t>
                  </w:r>
                </w:p>
              </w:tc>
            </w:tr>
            <w:tr w14:paraId="4C3A8E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17" w:type="pct"/>
                  <w:tcBorders>
                    <w:tl2br w:val="nil"/>
                    <w:tr2bl w:val="nil"/>
                  </w:tcBorders>
                  <w:noWrap w:val="0"/>
                  <w:vAlign w:val="center"/>
                </w:tcPr>
                <w:p w14:paraId="446A3A58">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651" w:type="pct"/>
                  <w:vMerge w:val="continue"/>
                  <w:tcBorders>
                    <w:tl2br w:val="nil"/>
                    <w:tr2bl w:val="nil"/>
                  </w:tcBorders>
                  <w:noWrap w:val="0"/>
                  <w:vAlign w:val="center"/>
                </w:tcPr>
                <w:p w14:paraId="00CBB5C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3FE4D63C">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5万吨级液体化工泊位</w:t>
                  </w:r>
                </w:p>
              </w:tc>
              <w:tc>
                <w:tcPr>
                  <w:tcW w:w="617" w:type="pct"/>
                  <w:tcBorders>
                    <w:tl2br w:val="nil"/>
                    <w:tr2bl w:val="nil"/>
                  </w:tcBorders>
                  <w:noWrap w:val="0"/>
                  <w:vAlign w:val="center"/>
                </w:tcPr>
                <w:p w14:paraId="4F96871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1个</w:t>
                  </w:r>
                </w:p>
              </w:tc>
              <w:tc>
                <w:tcPr>
                  <w:tcW w:w="620" w:type="pct"/>
                  <w:tcBorders>
                    <w:tl2br w:val="nil"/>
                    <w:tr2bl w:val="nil"/>
                  </w:tcBorders>
                  <w:noWrap w:val="0"/>
                  <w:vAlign w:val="center"/>
                </w:tcPr>
                <w:p w14:paraId="5F29917A">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1个</w:t>
                  </w:r>
                </w:p>
              </w:tc>
              <w:tc>
                <w:tcPr>
                  <w:tcW w:w="451" w:type="pct"/>
                  <w:tcBorders>
                    <w:tl2br w:val="nil"/>
                    <w:tr2bl w:val="nil"/>
                  </w:tcBorders>
                  <w:noWrap w:val="0"/>
                  <w:vAlign w:val="center"/>
                </w:tcPr>
                <w:p w14:paraId="6C93FE6C">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8400</w:t>
                  </w:r>
                </w:p>
              </w:tc>
              <w:tc>
                <w:tcPr>
                  <w:tcW w:w="1467" w:type="pct"/>
                  <w:vMerge w:val="continue"/>
                  <w:tcBorders>
                    <w:tl2br w:val="nil"/>
                    <w:tr2bl w:val="nil"/>
                  </w:tcBorders>
                  <w:noWrap w:val="0"/>
                  <w:vAlign w:val="center"/>
                </w:tcPr>
                <w:p w14:paraId="4E8A03FE">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p>
              </w:tc>
            </w:tr>
            <w:tr w14:paraId="5E0C94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17" w:type="pct"/>
                  <w:tcBorders>
                    <w:tl2br w:val="nil"/>
                    <w:tr2bl w:val="nil"/>
                  </w:tcBorders>
                  <w:noWrap w:val="0"/>
                  <w:vAlign w:val="center"/>
                </w:tcPr>
                <w:p w14:paraId="3A966803">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651" w:type="pct"/>
                  <w:vMerge w:val="continue"/>
                  <w:tcBorders>
                    <w:tl2br w:val="nil"/>
                    <w:tr2bl w:val="nil"/>
                  </w:tcBorders>
                  <w:noWrap w:val="0"/>
                  <w:vAlign w:val="center"/>
                </w:tcPr>
                <w:p w14:paraId="52EC86BE">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051D7B7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500吨级泊位</w:t>
                  </w:r>
                </w:p>
              </w:tc>
              <w:tc>
                <w:tcPr>
                  <w:tcW w:w="617" w:type="pct"/>
                  <w:tcBorders>
                    <w:tl2br w:val="nil"/>
                    <w:tr2bl w:val="nil"/>
                  </w:tcBorders>
                  <w:noWrap w:val="0"/>
                  <w:vAlign w:val="center"/>
                </w:tcPr>
                <w:p w14:paraId="1E70E0B1">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3个</w:t>
                  </w:r>
                </w:p>
              </w:tc>
              <w:tc>
                <w:tcPr>
                  <w:tcW w:w="620" w:type="pct"/>
                  <w:tcBorders>
                    <w:tl2br w:val="nil"/>
                    <w:tr2bl w:val="nil"/>
                  </w:tcBorders>
                  <w:noWrap w:val="0"/>
                  <w:vAlign w:val="center"/>
                </w:tcPr>
                <w:p w14:paraId="68BB27B2">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3个</w:t>
                  </w:r>
                </w:p>
              </w:tc>
              <w:tc>
                <w:tcPr>
                  <w:tcW w:w="451" w:type="pct"/>
                  <w:tcBorders>
                    <w:tl2br w:val="nil"/>
                    <w:tr2bl w:val="nil"/>
                  </w:tcBorders>
                  <w:noWrap w:val="0"/>
                  <w:vAlign w:val="center"/>
                </w:tcPr>
                <w:p w14:paraId="47625A7F">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8400</w:t>
                  </w:r>
                </w:p>
              </w:tc>
              <w:tc>
                <w:tcPr>
                  <w:tcW w:w="1467" w:type="pct"/>
                  <w:tcBorders>
                    <w:tl2br w:val="nil"/>
                    <w:tr2bl w:val="nil"/>
                  </w:tcBorders>
                  <w:noWrap w:val="0"/>
                  <w:vAlign w:val="center"/>
                </w:tcPr>
                <w:p w14:paraId="2B4BB30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内档</w:t>
                  </w:r>
                </w:p>
              </w:tc>
            </w:tr>
            <w:tr w14:paraId="25027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17" w:type="pct"/>
                  <w:tcBorders>
                    <w:tl2br w:val="nil"/>
                    <w:tr2bl w:val="nil"/>
                  </w:tcBorders>
                  <w:noWrap w:val="0"/>
                  <w:vAlign w:val="center"/>
                </w:tcPr>
                <w:p w14:paraId="7383FE68">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w:t>
                  </w:r>
                </w:p>
              </w:tc>
              <w:tc>
                <w:tcPr>
                  <w:tcW w:w="651" w:type="pct"/>
                  <w:vMerge w:val="continue"/>
                  <w:tcBorders>
                    <w:tl2br w:val="nil"/>
                    <w:tr2bl w:val="nil"/>
                  </w:tcBorders>
                  <w:noWrap w:val="0"/>
                  <w:vAlign w:val="center"/>
                </w:tcPr>
                <w:p w14:paraId="35E0B12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0D4CB25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highlight w:val="none"/>
                      <w:lang w:val="en-US" w:eastAsia="zh-CN"/>
                    </w:rPr>
                    <w:t>设计通过能力</w:t>
                  </w:r>
                </w:p>
              </w:tc>
              <w:tc>
                <w:tcPr>
                  <w:tcW w:w="617" w:type="pct"/>
                  <w:tcBorders>
                    <w:tl2br w:val="nil"/>
                    <w:tr2bl w:val="nil"/>
                  </w:tcBorders>
                  <w:noWrap w:val="0"/>
                  <w:vAlign w:val="center"/>
                </w:tcPr>
                <w:p w14:paraId="1CFF139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highlight w:val="none"/>
                      <w:lang w:val="en-US" w:eastAsia="zh-CN"/>
                    </w:rPr>
                    <w:t>276</w:t>
                  </w:r>
                  <w:r>
                    <w:rPr>
                      <w:rFonts w:hint="default" w:ascii="Times New Roman" w:hAnsi="Times New Roman" w:eastAsia="宋体" w:cs="Times New Roman"/>
                      <w:color w:val="auto"/>
                      <w:sz w:val="18"/>
                      <w:szCs w:val="18"/>
                      <w:highlight w:val="none"/>
                    </w:rPr>
                    <w:t>万吨/年</w:t>
                  </w:r>
                </w:p>
              </w:tc>
              <w:tc>
                <w:tcPr>
                  <w:tcW w:w="620" w:type="pct"/>
                  <w:tcBorders>
                    <w:tl2br w:val="nil"/>
                    <w:tr2bl w:val="nil"/>
                  </w:tcBorders>
                  <w:noWrap w:val="0"/>
                  <w:vAlign w:val="center"/>
                </w:tcPr>
                <w:p w14:paraId="587B40D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highlight w:val="none"/>
                      <w:lang w:val="en-US" w:eastAsia="zh-CN"/>
                    </w:rPr>
                    <w:t>276</w:t>
                  </w:r>
                  <w:r>
                    <w:rPr>
                      <w:rFonts w:hint="default" w:ascii="Times New Roman" w:hAnsi="Times New Roman" w:eastAsia="宋体" w:cs="Times New Roman"/>
                      <w:color w:val="auto"/>
                      <w:sz w:val="18"/>
                      <w:szCs w:val="18"/>
                      <w:highlight w:val="none"/>
                    </w:rPr>
                    <w:t>万吨/年</w:t>
                  </w:r>
                </w:p>
              </w:tc>
              <w:tc>
                <w:tcPr>
                  <w:tcW w:w="451" w:type="pct"/>
                  <w:tcBorders>
                    <w:tl2br w:val="nil"/>
                    <w:tr2bl w:val="nil"/>
                  </w:tcBorders>
                  <w:noWrap w:val="0"/>
                  <w:vAlign w:val="center"/>
                </w:tcPr>
                <w:p w14:paraId="022F733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8400</w:t>
                  </w:r>
                </w:p>
              </w:tc>
              <w:tc>
                <w:tcPr>
                  <w:tcW w:w="1467" w:type="pct"/>
                  <w:tcBorders>
                    <w:tl2br w:val="nil"/>
                    <w:tr2bl w:val="nil"/>
                  </w:tcBorders>
                  <w:noWrap w:val="0"/>
                  <w:vAlign w:val="center"/>
                </w:tcPr>
                <w:p w14:paraId="0DCD52BE">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highlight w:val="none"/>
                      <w:lang w:val="en-US" w:eastAsia="zh-CN"/>
                    </w:rPr>
                    <w:t>不变</w:t>
                  </w:r>
                </w:p>
              </w:tc>
            </w:tr>
            <w:tr w14:paraId="55E485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160" w:hRule="atLeast"/>
              </w:trPr>
              <w:tc>
                <w:tcPr>
                  <w:tcW w:w="217" w:type="pct"/>
                  <w:tcBorders>
                    <w:tl2br w:val="nil"/>
                    <w:tr2bl w:val="nil"/>
                  </w:tcBorders>
                  <w:noWrap w:val="0"/>
                  <w:vAlign w:val="center"/>
                </w:tcPr>
                <w:p w14:paraId="75020F66">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651" w:type="pct"/>
                  <w:vMerge w:val="continue"/>
                  <w:tcBorders>
                    <w:tl2br w:val="nil"/>
                    <w:tr2bl w:val="nil"/>
                  </w:tcBorders>
                  <w:noWrap w:val="0"/>
                  <w:vAlign w:val="center"/>
                </w:tcPr>
                <w:p w14:paraId="50E402C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466B25EF">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可作业货种</w:t>
                  </w:r>
                </w:p>
              </w:tc>
              <w:tc>
                <w:tcPr>
                  <w:tcW w:w="617" w:type="pct"/>
                  <w:tcBorders>
                    <w:tl2br w:val="nil"/>
                    <w:tr2bl w:val="nil"/>
                  </w:tcBorders>
                  <w:noWrap w:val="0"/>
                  <w:vAlign w:val="center"/>
                </w:tcPr>
                <w:p w14:paraId="56C00EE9">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74种</w:t>
                  </w:r>
                </w:p>
              </w:tc>
              <w:tc>
                <w:tcPr>
                  <w:tcW w:w="620" w:type="pct"/>
                  <w:tcBorders>
                    <w:tl2br w:val="nil"/>
                    <w:tr2bl w:val="nil"/>
                  </w:tcBorders>
                  <w:noWrap w:val="0"/>
                  <w:vAlign w:val="center"/>
                </w:tcPr>
                <w:p w14:paraId="246CE585">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74种</w:t>
                  </w:r>
                </w:p>
              </w:tc>
              <w:tc>
                <w:tcPr>
                  <w:tcW w:w="451" w:type="pct"/>
                  <w:tcBorders>
                    <w:tl2br w:val="nil"/>
                    <w:tr2bl w:val="nil"/>
                  </w:tcBorders>
                  <w:noWrap w:val="0"/>
                  <w:vAlign w:val="center"/>
                </w:tcPr>
                <w:p w14:paraId="46A09F6A">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467" w:type="pct"/>
                  <w:tcBorders>
                    <w:tl2br w:val="nil"/>
                    <w:tr2bl w:val="nil"/>
                  </w:tcBorders>
                  <w:noWrap w:val="0"/>
                  <w:vAlign w:val="center"/>
                </w:tcPr>
                <w:p w14:paraId="6CB810FD">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不新增</w:t>
                  </w:r>
                </w:p>
              </w:tc>
            </w:tr>
            <w:tr w14:paraId="7996F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17" w:type="pct"/>
                  <w:tcBorders>
                    <w:tl2br w:val="nil"/>
                    <w:tr2bl w:val="nil"/>
                  </w:tcBorders>
                  <w:noWrap w:val="0"/>
                  <w:vAlign w:val="center"/>
                </w:tcPr>
                <w:p w14:paraId="36A27221">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651" w:type="pct"/>
                  <w:vMerge w:val="restart"/>
                  <w:tcBorders>
                    <w:tl2br w:val="nil"/>
                    <w:tr2bl w:val="nil"/>
                  </w:tcBorders>
                  <w:noWrap w:val="0"/>
                  <w:vAlign w:val="center"/>
                </w:tcPr>
                <w:p w14:paraId="44470DD2">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丽天公司后方库区</w:t>
                  </w:r>
                </w:p>
              </w:tc>
              <w:tc>
                <w:tcPr>
                  <w:tcW w:w="974" w:type="pct"/>
                  <w:tcBorders>
                    <w:tl2br w:val="nil"/>
                    <w:tr2bl w:val="nil"/>
                  </w:tcBorders>
                  <w:noWrap w:val="0"/>
                  <w:vAlign w:val="center"/>
                </w:tcPr>
                <w:p w14:paraId="6D2FEE2B">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液体化工品储罐</w:t>
                  </w:r>
                </w:p>
              </w:tc>
              <w:tc>
                <w:tcPr>
                  <w:tcW w:w="617" w:type="pct"/>
                  <w:tcBorders>
                    <w:tl2br w:val="nil"/>
                    <w:tr2bl w:val="nil"/>
                  </w:tcBorders>
                  <w:noWrap w:val="0"/>
                  <w:vAlign w:val="center"/>
                </w:tcPr>
                <w:p w14:paraId="2A179ADF">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55座</w:t>
                  </w:r>
                </w:p>
              </w:tc>
              <w:tc>
                <w:tcPr>
                  <w:tcW w:w="620" w:type="pct"/>
                  <w:tcBorders>
                    <w:tl2br w:val="nil"/>
                    <w:tr2bl w:val="nil"/>
                  </w:tcBorders>
                  <w:noWrap w:val="0"/>
                  <w:vAlign w:val="center"/>
                </w:tcPr>
                <w:p w14:paraId="2C6B8C07">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55座</w:t>
                  </w:r>
                </w:p>
              </w:tc>
              <w:tc>
                <w:tcPr>
                  <w:tcW w:w="451" w:type="pct"/>
                  <w:tcBorders>
                    <w:tl2br w:val="nil"/>
                    <w:tr2bl w:val="nil"/>
                  </w:tcBorders>
                  <w:noWrap w:val="0"/>
                  <w:vAlign w:val="center"/>
                </w:tcPr>
                <w:p w14:paraId="555BBBC1">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8400</w:t>
                  </w:r>
                </w:p>
              </w:tc>
              <w:tc>
                <w:tcPr>
                  <w:tcW w:w="1467" w:type="pct"/>
                  <w:tcBorders>
                    <w:tl2br w:val="nil"/>
                    <w:tr2bl w:val="nil"/>
                  </w:tcBorders>
                  <w:noWrap w:val="0"/>
                  <w:vAlign w:val="center"/>
                </w:tcPr>
                <w:p w14:paraId="399693BE">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0A283A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17" w:type="pct"/>
                  <w:tcBorders>
                    <w:tl2br w:val="nil"/>
                    <w:tr2bl w:val="nil"/>
                  </w:tcBorders>
                  <w:noWrap w:val="0"/>
                  <w:vAlign w:val="center"/>
                </w:tcPr>
                <w:p w14:paraId="4DC58772">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w:t>
                  </w:r>
                </w:p>
              </w:tc>
              <w:tc>
                <w:tcPr>
                  <w:tcW w:w="651" w:type="pct"/>
                  <w:vMerge w:val="continue"/>
                  <w:tcBorders>
                    <w:tl2br w:val="nil"/>
                    <w:tr2bl w:val="nil"/>
                  </w:tcBorders>
                  <w:noWrap w:val="0"/>
                  <w:vAlign w:val="center"/>
                </w:tcPr>
                <w:p w14:paraId="7776ABE6">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3BD97D0D">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库区库容</w:t>
                  </w:r>
                </w:p>
              </w:tc>
              <w:tc>
                <w:tcPr>
                  <w:tcW w:w="617" w:type="pct"/>
                  <w:tcBorders>
                    <w:tl2br w:val="nil"/>
                    <w:tr2bl w:val="nil"/>
                  </w:tcBorders>
                  <w:noWrap w:val="0"/>
                  <w:vAlign w:val="center"/>
                </w:tcPr>
                <w:p w14:paraId="57F83A2B">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22万立方米</w:t>
                  </w:r>
                </w:p>
              </w:tc>
              <w:tc>
                <w:tcPr>
                  <w:tcW w:w="620" w:type="pct"/>
                  <w:tcBorders>
                    <w:tl2br w:val="nil"/>
                    <w:tr2bl w:val="nil"/>
                  </w:tcBorders>
                  <w:noWrap w:val="0"/>
                  <w:vAlign w:val="center"/>
                </w:tcPr>
                <w:p w14:paraId="7F5B231F">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22万立方米</w:t>
                  </w:r>
                </w:p>
              </w:tc>
              <w:tc>
                <w:tcPr>
                  <w:tcW w:w="451" w:type="pct"/>
                  <w:tcBorders>
                    <w:tl2br w:val="nil"/>
                    <w:tr2bl w:val="nil"/>
                  </w:tcBorders>
                  <w:noWrap w:val="0"/>
                  <w:vAlign w:val="center"/>
                </w:tcPr>
                <w:p w14:paraId="1B665F29">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8400</w:t>
                  </w:r>
                </w:p>
              </w:tc>
              <w:tc>
                <w:tcPr>
                  <w:tcW w:w="1467" w:type="pct"/>
                  <w:tcBorders>
                    <w:tl2br w:val="nil"/>
                    <w:tr2bl w:val="nil"/>
                  </w:tcBorders>
                  <w:noWrap w:val="0"/>
                  <w:vAlign w:val="center"/>
                </w:tcPr>
                <w:p w14:paraId="7D33670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highlight w:val="none"/>
                      <w:lang w:val="en-US" w:eastAsia="zh-CN"/>
                    </w:rPr>
                    <w:t>不变</w:t>
                  </w:r>
                </w:p>
              </w:tc>
            </w:tr>
            <w:tr w14:paraId="328D90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17" w:type="pct"/>
                  <w:tcBorders>
                    <w:tl2br w:val="nil"/>
                    <w:tr2bl w:val="nil"/>
                  </w:tcBorders>
                  <w:noWrap w:val="0"/>
                  <w:vAlign w:val="center"/>
                </w:tcPr>
                <w:p w14:paraId="28F86617">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8</w:t>
                  </w:r>
                </w:p>
              </w:tc>
              <w:tc>
                <w:tcPr>
                  <w:tcW w:w="651" w:type="pct"/>
                  <w:vMerge w:val="continue"/>
                  <w:tcBorders>
                    <w:tl2br w:val="nil"/>
                    <w:tr2bl w:val="nil"/>
                  </w:tcBorders>
                  <w:noWrap w:val="0"/>
                  <w:vAlign w:val="center"/>
                </w:tcPr>
                <w:p w14:paraId="1BA80237">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2610F26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周转量</w:t>
                  </w:r>
                </w:p>
              </w:tc>
              <w:tc>
                <w:tcPr>
                  <w:tcW w:w="617" w:type="pct"/>
                  <w:tcBorders>
                    <w:tl2br w:val="nil"/>
                    <w:tr2bl w:val="nil"/>
                  </w:tcBorders>
                  <w:shd w:val="clear" w:color="auto" w:fill="auto"/>
                  <w:noWrap w:val="0"/>
                  <w:vAlign w:val="center"/>
                </w:tcPr>
                <w:p w14:paraId="5307BEB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272</w:t>
                  </w:r>
                  <w:r>
                    <w:rPr>
                      <w:rFonts w:hint="eastAsia" w:ascii="Times New Roman" w:hAnsi="Times New Roman" w:eastAsia="宋体" w:cs="Times New Roman"/>
                      <w:color w:val="auto"/>
                      <w:sz w:val="18"/>
                      <w:szCs w:val="18"/>
                      <w:highlight w:val="none"/>
                      <w:lang w:val="en-US" w:eastAsia="zh-CN"/>
                    </w:rPr>
                    <w:t>万吨/年</w:t>
                  </w:r>
                </w:p>
              </w:tc>
              <w:tc>
                <w:tcPr>
                  <w:tcW w:w="620" w:type="pct"/>
                  <w:tcBorders>
                    <w:tl2br w:val="nil"/>
                    <w:tr2bl w:val="nil"/>
                  </w:tcBorders>
                  <w:shd w:val="clear" w:color="auto" w:fill="auto"/>
                  <w:noWrap w:val="0"/>
                  <w:vAlign w:val="center"/>
                </w:tcPr>
                <w:p w14:paraId="7456F3A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272</w:t>
                  </w:r>
                  <w:r>
                    <w:rPr>
                      <w:rFonts w:hint="eastAsia" w:ascii="Times New Roman" w:hAnsi="Times New Roman" w:eastAsia="宋体" w:cs="Times New Roman"/>
                      <w:color w:val="auto"/>
                      <w:sz w:val="18"/>
                      <w:szCs w:val="18"/>
                      <w:highlight w:val="none"/>
                      <w:lang w:val="en-US" w:eastAsia="zh-CN"/>
                    </w:rPr>
                    <w:t>万吨/年</w:t>
                  </w:r>
                </w:p>
              </w:tc>
              <w:tc>
                <w:tcPr>
                  <w:tcW w:w="451" w:type="pct"/>
                  <w:tcBorders>
                    <w:tl2br w:val="nil"/>
                    <w:tr2bl w:val="nil"/>
                  </w:tcBorders>
                  <w:shd w:val="clear" w:color="auto" w:fill="auto"/>
                  <w:noWrap w:val="0"/>
                  <w:vAlign w:val="center"/>
                </w:tcPr>
                <w:p w14:paraId="3E179AF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lang w:val="en-US" w:eastAsia="zh-CN"/>
                    </w:rPr>
                    <w:t>8400</w:t>
                  </w:r>
                </w:p>
              </w:tc>
              <w:tc>
                <w:tcPr>
                  <w:tcW w:w="1467" w:type="pct"/>
                  <w:tcBorders>
                    <w:tl2br w:val="nil"/>
                    <w:tr2bl w:val="nil"/>
                  </w:tcBorders>
                  <w:shd w:val="clear" w:color="auto" w:fill="auto"/>
                  <w:noWrap w:val="0"/>
                  <w:vAlign w:val="center"/>
                </w:tcPr>
                <w:p w14:paraId="273FE545">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4C2F57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17" w:type="pct"/>
                  <w:tcBorders>
                    <w:tl2br w:val="nil"/>
                    <w:tr2bl w:val="nil"/>
                  </w:tcBorders>
                  <w:noWrap w:val="0"/>
                  <w:vAlign w:val="center"/>
                </w:tcPr>
                <w:p w14:paraId="70893B4D">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9</w:t>
                  </w:r>
                </w:p>
              </w:tc>
              <w:tc>
                <w:tcPr>
                  <w:tcW w:w="651" w:type="pct"/>
                  <w:vMerge w:val="continue"/>
                  <w:tcBorders>
                    <w:tl2br w:val="nil"/>
                    <w:tr2bl w:val="nil"/>
                  </w:tcBorders>
                  <w:noWrap w:val="0"/>
                  <w:vAlign w:val="center"/>
                </w:tcPr>
                <w:p w14:paraId="28F7ACAF">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35A5B37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可周转货种</w:t>
                  </w:r>
                </w:p>
              </w:tc>
              <w:tc>
                <w:tcPr>
                  <w:tcW w:w="617" w:type="pct"/>
                  <w:tcBorders>
                    <w:tl2br w:val="nil"/>
                    <w:tr2bl w:val="nil"/>
                  </w:tcBorders>
                  <w:noWrap w:val="0"/>
                  <w:vAlign w:val="center"/>
                </w:tcPr>
                <w:p w14:paraId="3A2264C7">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74种</w:t>
                  </w:r>
                </w:p>
              </w:tc>
              <w:tc>
                <w:tcPr>
                  <w:tcW w:w="620" w:type="pct"/>
                  <w:tcBorders>
                    <w:tl2br w:val="nil"/>
                    <w:tr2bl w:val="nil"/>
                  </w:tcBorders>
                  <w:noWrap w:val="0"/>
                  <w:vAlign w:val="center"/>
                </w:tcPr>
                <w:p w14:paraId="06E5D7E7">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74种</w:t>
                  </w:r>
                </w:p>
              </w:tc>
              <w:tc>
                <w:tcPr>
                  <w:tcW w:w="451" w:type="pct"/>
                  <w:tcBorders>
                    <w:tl2br w:val="nil"/>
                    <w:tr2bl w:val="nil"/>
                  </w:tcBorders>
                  <w:noWrap w:val="0"/>
                  <w:vAlign w:val="center"/>
                </w:tcPr>
                <w:p w14:paraId="2B49E0D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w:t>
                  </w:r>
                </w:p>
              </w:tc>
              <w:tc>
                <w:tcPr>
                  <w:tcW w:w="1467" w:type="pct"/>
                  <w:tcBorders>
                    <w:tl2br w:val="nil"/>
                    <w:tr2bl w:val="nil"/>
                  </w:tcBorders>
                  <w:noWrap w:val="0"/>
                  <w:vAlign w:val="center"/>
                </w:tcPr>
                <w:p w14:paraId="49E25700">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不新增</w:t>
                  </w:r>
                </w:p>
              </w:tc>
            </w:tr>
            <w:tr w14:paraId="783BD8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17" w:type="pct"/>
                  <w:tcBorders>
                    <w:tl2br w:val="nil"/>
                    <w:tr2bl w:val="nil"/>
                  </w:tcBorders>
                  <w:noWrap w:val="0"/>
                  <w:vAlign w:val="center"/>
                </w:tcPr>
                <w:p w14:paraId="6909D381">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10</w:t>
                  </w:r>
                </w:p>
              </w:tc>
              <w:tc>
                <w:tcPr>
                  <w:tcW w:w="651" w:type="pct"/>
                  <w:vMerge w:val="continue"/>
                  <w:tcBorders>
                    <w:tl2br w:val="nil"/>
                    <w:tr2bl w:val="nil"/>
                  </w:tcBorders>
                  <w:noWrap w:val="0"/>
                  <w:vAlign w:val="center"/>
                </w:tcPr>
                <w:p w14:paraId="1D187D9A">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tcBorders>
                    <w:tl2br w:val="nil"/>
                    <w:tr2bl w:val="nil"/>
                  </w:tcBorders>
                  <w:noWrap w:val="0"/>
                  <w:vAlign w:val="center"/>
                </w:tcPr>
                <w:p w14:paraId="2EFD7D5C">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江阴港洗舱站</w:t>
                  </w:r>
                </w:p>
              </w:tc>
              <w:tc>
                <w:tcPr>
                  <w:tcW w:w="617" w:type="pct"/>
                  <w:tcBorders>
                    <w:tl2br w:val="nil"/>
                    <w:tr2bl w:val="nil"/>
                  </w:tcBorders>
                  <w:noWrap w:val="0"/>
                  <w:vAlign w:val="center"/>
                </w:tcPr>
                <w:p w14:paraId="7BE1F170">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600艘次/年</w:t>
                  </w:r>
                </w:p>
              </w:tc>
              <w:tc>
                <w:tcPr>
                  <w:tcW w:w="620" w:type="pct"/>
                  <w:tcBorders>
                    <w:tl2br w:val="nil"/>
                    <w:tr2bl w:val="nil"/>
                  </w:tcBorders>
                  <w:noWrap w:val="0"/>
                  <w:vAlign w:val="center"/>
                </w:tcPr>
                <w:p w14:paraId="593496F1">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600艘次/年</w:t>
                  </w:r>
                </w:p>
              </w:tc>
              <w:tc>
                <w:tcPr>
                  <w:tcW w:w="451" w:type="pct"/>
                  <w:tcBorders>
                    <w:tl2br w:val="nil"/>
                    <w:tr2bl w:val="nil"/>
                  </w:tcBorders>
                  <w:noWrap w:val="0"/>
                  <w:vAlign w:val="center"/>
                </w:tcPr>
                <w:p w14:paraId="15B66308">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7200</w:t>
                  </w:r>
                </w:p>
              </w:tc>
              <w:tc>
                <w:tcPr>
                  <w:tcW w:w="1467" w:type="pct"/>
                  <w:tcBorders>
                    <w:tl2br w:val="nil"/>
                    <w:tr2bl w:val="nil"/>
                  </w:tcBorders>
                  <w:noWrap w:val="0"/>
                  <w:vAlign w:val="center"/>
                </w:tcPr>
                <w:p w14:paraId="189204A5">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w:t>
                  </w:r>
                </w:p>
              </w:tc>
            </w:tr>
            <w:tr w14:paraId="508459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17" w:type="pct"/>
                  <w:noWrap w:val="0"/>
                  <w:vAlign w:val="center"/>
                </w:tcPr>
                <w:p w14:paraId="35807997">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11</w:t>
                  </w:r>
                </w:p>
              </w:tc>
              <w:tc>
                <w:tcPr>
                  <w:tcW w:w="651" w:type="pct"/>
                  <w:vMerge w:val="continue"/>
                  <w:noWrap w:val="0"/>
                  <w:vAlign w:val="center"/>
                </w:tcPr>
                <w:p w14:paraId="161A255A">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noWrap w:val="0"/>
                  <w:vAlign w:val="center"/>
                </w:tcPr>
                <w:p w14:paraId="27D1480B">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槽车蒸洗站</w:t>
                  </w:r>
                </w:p>
              </w:tc>
              <w:tc>
                <w:tcPr>
                  <w:tcW w:w="0" w:type="auto"/>
                  <w:noWrap w:val="0"/>
                  <w:vAlign w:val="center"/>
                </w:tcPr>
                <w:p w14:paraId="13805EC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highlight w:val="none"/>
                      <w:lang w:val="en-US" w:eastAsia="zh-CN" w:bidi="ar-SA"/>
                    </w:rPr>
                    <w:t>6000辆</w:t>
                  </w:r>
                  <w:r>
                    <w:rPr>
                      <w:rFonts w:hint="eastAsia" w:ascii="Times New Roman" w:hAnsi="Times New Roman" w:eastAsia="宋体" w:cs="Times New Roman"/>
                      <w:color w:val="auto"/>
                      <w:sz w:val="18"/>
                      <w:szCs w:val="18"/>
                      <w:highlight w:val="none"/>
                      <w:lang w:val="en-US" w:eastAsia="zh-CN"/>
                    </w:rPr>
                    <w:t>/年</w:t>
                  </w:r>
                </w:p>
              </w:tc>
              <w:tc>
                <w:tcPr>
                  <w:tcW w:w="620" w:type="pct"/>
                  <w:noWrap w:val="0"/>
                  <w:vAlign w:val="center"/>
                </w:tcPr>
                <w:p w14:paraId="37C1741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highlight w:val="none"/>
                      <w:lang w:val="en-US" w:eastAsia="zh-CN" w:bidi="ar-SA"/>
                    </w:rPr>
                    <w:t>6000辆</w:t>
                  </w:r>
                  <w:r>
                    <w:rPr>
                      <w:rFonts w:hint="eastAsia" w:ascii="Times New Roman" w:hAnsi="Times New Roman" w:eastAsia="宋体" w:cs="Times New Roman"/>
                      <w:color w:val="auto"/>
                      <w:sz w:val="18"/>
                      <w:szCs w:val="18"/>
                      <w:highlight w:val="none"/>
                      <w:lang w:val="en-US" w:eastAsia="zh-CN"/>
                    </w:rPr>
                    <w:t>/年</w:t>
                  </w:r>
                </w:p>
              </w:tc>
              <w:tc>
                <w:tcPr>
                  <w:tcW w:w="451" w:type="pct"/>
                  <w:noWrap w:val="0"/>
                  <w:vAlign w:val="center"/>
                </w:tcPr>
                <w:p w14:paraId="306019F2">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3000</w:t>
                  </w:r>
                </w:p>
              </w:tc>
              <w:tc>
                <w:tcPr>
                  <w:tcW w:w="0" w:type="auto"/>
                  <w:noWrap w:val="0"/>
                  <w:vAlign w:val="center"/>
                </w:tcPr>
                <w:p w14:paraId="38DD6459">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在建</w:t>
                  </w:r>
                </w:p>
              </w:tc>
            </w:tr>
            <w:tr w14:paraId="00F820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90" w:hRule="atLeast"/>
              </w:trPr>
              <w:tc>
                <w:tcPr>
                  <w:tcW w:w="217" w:type="pct"/>
                  <w:noWrap w:val="0"/>
                  <w:vAlign w:val="center"/>
                </w:tcPr>
                <w:p w14:paraId="276D3F27">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12</w:t>
                  </w:r>
                </w:p>
              </w:tc>
              <w:tc>
                <w:tcPr>
                  <w:tcW w:w="651" w:type="pct"/>
                  <w:vMerge w:val="continue"/>
                  <w:noWrap w:val="0"/>
                  <w:vAlign w:val="center"/>
                </w:tcPr>
                <w:p w14:paraId="0E671885">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noWrap w:val="0"/>
                  <w:vAlign w:val="center"/>
                </w:tcPr>
                <w:p w14:paraId="309A1CC1">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工业油脂加工</w:t>
                  </w:r>
                </w:p>
              </w:tc>
              <w:tc>
                <w:tcPr>
                  <w:tcW w:w="0" w:type="auto"/>
                  <w:noWrap w:val="0"/>
                  <w:vAlign w:val="center"/>
                </w:tcPr>
                <w:p w14:paraId="44A00F6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30万吨</w:t>
                  </w:r>
                  <w:r>
                    <w:rPr>
                      <w:rFonts w:hint="eastAsia" w:ascii="Times New Roman" w:hAnsi="Times New Roman" w:eastAsia="宋体" w:cs="Times New Roman"/>
                      <w:color w:val="auto"/>
                      <w:kern w:val="2"/>
                      <w:sz w:val="18"/>
                      <w:szCs w:val="18"/>
                      <w:highlight w:val="none"/>
                      <w:lang w:val="en-US" w:eastAsia="zh-CN" w:bidi="ar-SA"/>
                    </w:rPr>
                    <w:t>/年</w:t>
                  </w:r>
                </w:p>
              </w:tc>
              <w:tc>
                <w:tcPr>
                  <w:tcW w:w="620" w:type="pct"/>
                  <w:noWrap w:val="0"/>
                  <w:vAlign w:val="center"/>
                </w:tcPr>
                <w:p w14:paraId="2827267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30万吨</w:t>
                  </w:r>
                  <w:r>
                    <w:rPr>
                      <w:rFonts w:hint="eastAsia" w:ascii="Times New Roman" w:hAnsi="Times New Roman" w:eastAsia="宋体" w:cs="Times New Roman"/>
                      <w:color w:val="auto"/>
                      <w:kern w:val="2"/>
                      <w:sz w:val="18"/>
                      <w:szCs w:val="18"/>
                      <w:highlight w:val="none"/>
                      <w:lang w:val="en-US" w:eastAsia="zh-CN" w:bidi="ar-SA"/>
                    </w:rPr>
                    <w:t>/年</w:t>
                  </w:r>
                </w:p>
              </w:tc>
              <w:tc>
                <w:tcPr>
                  <w:tcW w:w="451" w:type="pct"/>
                  <w:noWrap w:val="0"/>
                  <w:vAlign w:val="center"/>
                </w:tcPr>
                <w:p w14:paraId="3A868467">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8160</w:t>
                  </w:r>
                </w:p>
              </w:tc>
              <w:tc>
                <w:tcPr>
                  <w:tcW w:w="0" w:type="auto"/>
                  <w:noWrap w:val="0"/>
                  <w:vAlign w:val="center"/>
                </w:tcPr>
                <w:p w14:paraId="500B3501">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在建</w:t>
                  </w:r>
                </w:p>
              </w:tc>
            </w:tr>
            <w:tr w14:paraId="24D4F2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217" w:type="pct"/>
                  <w:noWrap w:val="0"/>
                  <w:vAlign w:val="center"/>
                </w:tcPr>
                <w:p w14:paraId="64F0FFD0">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13</w:t>
                  </w:r>
                </w:p>
              </w:tc>
              <w:tc>
                <w:tcPr>
                  <w:tcW w:w="651" w:type="pct"/>
                  <w:vMerge w:val="continue"/>
                  <w:noWrap w:val="0"/>
                  <w:vAlign w:val="center"/>
                </w:tcPr>
                <w:p w14:paraId="6B9E4EB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p>
              </w:tc>
              <w:tc>
                <w:tcPr>
                  <w:tcW w:w="974" w:type="pct"/>
                  <w:noWrap w:val="0"/>
                  <w:vAlign w:val="center"/>
                </w:tcPr>
                <w:p w14:paraId="2456C05A">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废矿物油收集</w:t>
                  </w:r>
                </w:p>
              </w:tc>
              <w:tc>
                <w:tcPr>
                  <w:tcW w:w="0" w:type="auto"/>
                  <w:noWrap w:val="0"/>
                  <w:vAlign w:val="center"/>
                </w:tcPr>
                <w:p w14:paraId="1673083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8000吨/年</w:t>
                  </w:r>
                </w:p>
              </w:tc>
              <w:tc>
                <w:tcPr>
                  <w:tcW w:w="620" w:type="pct"/>
                  <w:noWrap w:val="0"/>
                  <w:vAlign w:val="center"/>
                </w:tcPr>
                <w:p w14:paraId="63DD51F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8000吨/年</w:t>
                  </w:r>
                </w:p>
              </w:tc>
              <w:tc>
                <w:tcPr>
                  <w:tcW w:w="451" w:type="pct"/>
                  <w:noWrap w:val="0"/>
                  <w:vAlign w:val="center"/>
                </w:tcPr>
                <w:p w14:paraId="6B9B558F">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8400</w:t>
                  </w:r>
                </w:p>
              </w:tc>
              <w:tc>
                <w:tcPr>
                  <w:tcW w:w="0" w:type="auto"/>
                  <w:noWrap w:val="0"/>
                  <w:vAlign w:val="center"/>
                </w:tcPr>
                <w:p w14:paraId="75E13FF1">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在建</w:t>
                  </w:r>
                </w:p>
              </w:tc>
            </w:tr>
          </w:tbl>
          <w:p w14:paraId="30DF9B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auto"/>
                <w:sz w:val="15"/>
                <w:szCs w:val="15"/>
                <w:highlight w:val="none"/>
                <w:lang w:val="en-US" w:eastAsia="zh-CN"/>
              </w:rPr>
            </w:pPr>
          </w:p>
          <w:p w14:paraId="6F2D1000">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rPr>
            </w:pPr>
            <w:r>
              <w:rPr>
                <w:rFonts w:hint="eastAsia"/>
                <w:color w:val="auto"/>
                <w:szCs w:val="21"/>
                <w:lang w:val="en-US" w:eastAsia="zh-CN"/>
              </w:rPr>
              <w:t>本</w:t>
            </w:r>
            <w:r>
              <w:rPr>
                <w:rFonts w:hint="eastAsia" w:ascii="Times New Roman" w:hAnsi="Times New Roman" w:eastAsia="宋体" w:cs="Times New Roman"/>
                <w:color w:val="auto"/>
              </w:rPr>
              <w:t>项目</w:t>
            </w:r>
            <w:r>
              <w:rPr>
                <w:rFonts w:hint="eastAsia" w:ascii="Times New Roman" w:hAnsi="Times New Roman" w:eastAsia="宋体" w:cs="Times New Roman"/>
                <w:color w:val="auto"/>
                <w:lang w:val="en-US" w:eastAsia="zh-CN"/>
              </w:rPr>
              <w:t>工程组成情况详</w:t>
            </w:r>
            <w:r>
              <w:rPr>
                <w:rFonts w:hint="eastAsia" w:ascii="Times New Roman" w:hAnsi="Times New Roman" w:eastAsia="宋体" w:cs="Times New Roman"/>
                <w:color w:val="auto"/>
              </w:rPr>
              <w:t>见表2-</w:t>
            </w:r>
            <w:r>
              <w:rPr>
                <w:rFonts w:hint="eastAsia" w:cs="Times New Roman"/>
                <w:color w:val="auto"/>
                <w:lang w:val="en-US" w:eastAsia="zh-CN"/>
              </w:rPr>
              <w:t>8</w:t>
            </w:r>
            <w:r>
              <w:rPr>
                <w:rFonts w:hint="eastAsia" w:ascii="Times New Roman" w:hAnsi="Times New Roman" w:eastAsia="宋体" w:cs="Times New Roman"/>
                <w:color w:val="auto"/>
              </w:rPr>
              <w:t>。</w:t>
            </w:r>
          </w:p>
          <w:p w14:paraId="12B026CE">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rPr>
              <w:t>-</w:t>
            </w:r>
            <w:r>
              <w:rPr>
                <w:rFonts w:hint="eastAsia" w:cs="Times New Roman"/>
                <w:b/>
                <w:bCs/>
                <w:color w:val="auto"/>
                <w:lang w:val="en-US" w:eastAsia="zh-CN"/>
              </w:rPr>
              <w:t>8</w:t>
            </w:r>
            <w:r>
              <w:rPr>
                <w:rFonts w:hint="eastAsia" w:ascii="Times New Roman" w:hAnsi="Times New Roman" w:eastAsia="宋体" w:cs="Times New Roman"/>
                <w:b/>
                <w:bCs/>
                <w:color w:val="auto"/>
                <w:lang w:val="en-US" w:eastAsia="zh-CN"/>
              </w:rPr>
              <w:t xml:space="preserve"> </w:t>
            </w:r>
            <w:r>
              <w:rPr>
                <w:rFonts w:hint="eastAsia" w:ascii="Times New Roman" w:hAnsi="Times New Roman" w:eastAsia="宋体" w:cs="Times New Roman"/>
                <w:b/>
                <w:bCs/>
                <w:color w:val="auto"/>
              </w:rPr>
              <w:t xml:space="preserve"> 本项目</w:t>
            </w:r>
            <w:r>
              <w:rPr>
                <w:rFonts w:hint="eastAsia" w:ascii="Times New Roman" w:hAnsi="Times New Roman" w:eastAsia="宋体" w:cs="Times New Roman"/>
                <w:b/>
                <w:bCs/>
                <w:color w:val="auto"/>
                <w:lang w:val="en-US" w:eastAsia="zh-CN"/>
              </w:rPr>
              <w:t>工程组成情况一览表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25"/>
              <w:gridCol w:w="665"/>
              <w:gridCol w:w="548"/>
              <w:gridCol w:w="1334"/>
              <w:gridCol w:w="1166"/>
              <w:gridCol w:w="1166"/>
              <w:gridCol w:w="676"/>
              <w:gridCol w:w="2078"/>
            </w:tblGrid>
            <w:tr w14:paraId="66898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322" w:type="pct"/>
                  <w:vMerge w:val="restart"/>
                  <w:tcBorders>
                    <w:tl2br w:val="nil"/>
                    <w:tr2bl w:val="nil"/>
                  </w:tcBorders>
                  <w:noWrap w:val="0"/>
                  <w:vAlign w:val="center"/>
                </w:tcPr>
                <w:p w14:paraId="03E2F7C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工程名称</w:t>
                  </w:r>
                </w:p>
              </w:tc>
              <w:tc>
                <w:tcPr>
                  <w:tcW w:w="1561" w:type="pct"/>
                  <w:gridSpan w:val="3"/>
                  <w:vMerge w:val="restart"/>
                  <w:tcBorders>
                    <w:tl2br w:val="nil"/>
                    <w:tr2bl w:val="nil"/>
                  </w:tcBorders>
                  <w:noWrap w:val="0"/>
                  <w:vAlign w:val="center"/>
                </w:tcPr>
                <w:p w14:paraId="1489EF9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建设名称</w:t>
                  </w:r>
                </w:p>
              </w:tc>
              <w:tc>
                <w:tcPr>
                  <w:tcW w:w="1842" w:type="pct"/>
                  <w:gridSpan w:val="3"/>
                  <w:tcBorders>
                    <w:tl2br w:val="nil"/>
                    <w:tr2bl w:val="nil"/>
                  </w:tcBorders>
                  <w:noWrap w:val="0"/>
                  <w:vAlign w:val="center"/>
                </w:tcPr>
                <w:p w14:paraId="6444B92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设计能力</w:t>
                  </w:r>
                </w:p>
              </w:tc>
              <w:tc>
                <w:tcPr>
                  <w:tcW w:w="1273" w:type="pct"/>
                  <w:vMerge w:val="restart"/>
                  <w:tcBorders>
                    <w:tl2br w:val="nil"/>
                    <w:tr2bl w:val="nil"/>
                  </w:tcBorders>
                  <w:noWrap w:val="0"/>
                  <w:vAlign w:val="center"/>
                </w:tcPr>
                <w:p w14:paraId="369144B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yellow"/>
                    </w:rPr>
                  </w:pPr>
                  <w:r>
                    <w:rPr>
                      <w:rFonts w:hint="default" w:ascii="Times New Roman" w:hAnsi="Times New Roman" w:eastAsia="宋体" w:cs="Times New Roman"/>
                      <w:b/>
                      <w:color w:val="auto"/>
                      <w:sz w:val="18"/>
                      <w:szCs w:val="18"/>
                      <w:highlight w:val="none"/>
                    </w:rPr>
                    <w:t>备注</w:t>
                  </w:r>
                </w:p>
              </w:tc>
            </w:tr>
            <w:tr w14:paraId="03D48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322" w:type="pct"/>
                  <w:vMerge w:val="continue"/>
                  <w:tcBorders>
                    <w:tl2br w:val="nil"/>
                    <w:tr2bl w:val="nil"/>
                  </w:tcBorders>
                  <w:noWrap w:val="0"/>
                  <w:vAlign w:val="center"/>
                </w:tcPr>
                <w:p w14:paraId="6FAFC37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p>
              </w:tc>
              <w:tc>
                <w:tcPr>
                  <w:tcW w:w="1561" w:type="pct"/>
                  <w:gridSpan w:val="3"/>
                  <w:vMerge w:val="continue"/>
                  <w:tcBorders>
                    <w:tl2br w:val="nil"/>
                    <w:tr2bl w:val="nil"/>
                  </w:tcBorders>
                  <w:noWrap w:val="0"/>
                  <w:vAlign w:val="center"/>
                </w:tcPr>
                <w:p w14:paraId="74B9C95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p>
              </w:tc>
              <w:tc>
                <w:tcPr>
                  <w:tcW w:w="714" w:type="pct"/>
                  <w:tcBorders>
                    <w:tl2br w:val="nil"/>
                    <w:tr2bl w:val="nil"/>
                  </w:tcBorders>
                  <w:noWrap w:val="0"/>
                  <w:vAlign w:val="center"/>
                </w:tcPr>
                <w:p w14:paraId="3957EA0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eastAsia" w:ascii="Times New Roman" w:hAnsi="Times New Roman" w:eastAsia="宋体" w:cs="Times New Roman"/>
                      <w:b/>
                      <w:color w:val="auto"/>
                      <w:kern w:val="0"/>
                      <w:sz w:val="18"/>
                      <w:szCs w:val="18"/>
                      <w:highlight w:val="none"/>
                      <w:lang w:val="en-US" w:eastAsia="zh-CN"/>
                    </w:rPr>
                    <w:t>改</w:t>
                  </w:r>
                  <w:r>
                    <w:rPr>
                      <w:rFonts w:hint="default" w:ascii="Times New Roman" w:hAnsi="Times New Roman" w:eastAsia="宋体" w:cs="Times New Roman"/>
                      <w:b/>
                      <w:color w:val="auto"/>
                      <w:kern w:val="0"/>
                      <w:sz w:val="18"/>
                      <w:szCs w:val="18"/>
                      <w:highlight w:val="none"/>
                    </w:rPr>
                    <w:t>建</w:t>
                  </w:r>
                  <w:r>
                    <w:rPr>
                      <w:rFonts w:hint="default" w:ascii="Times New Roman" w:hAnsi="Times New Roman" w:eastAsia="宋体" w:cs="Times New Roman"/>
                      <w:b/>
                      <w:color w:val="auto"/>
                      <w:sz w:val="18"/>
                      <w:szCs w:val="18"/>
                      <w:highlight w:val="none"/>
                    </w:rPr>
                    <w:t>前</w:t>
                  </w:r>
                </w:p>
              </w:tc>
              <w:tc>
                <w:tcPr>
                  <w:tcW w:w="714" w:type="pct"/>
                  <w:tcBorders>
                    <w:tl2br w:val="nil"/>
                    <w:tr2bl w:val="nil"/>
                  </w:tcBorders>
                  <w:noWrap w:val="0"/>
                  <w:vAlign w:val="center"/>
                </w:tcPr>
                <w:p w14:paraId="6FF4CBA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eastAsia" w:ascii="Times New Roman" w:hAnsi="Times New Roman" w:eastAsia="宋体" w:cs="Times New Roman"/>
                      <w:b/>
                      <w:color w:val="auto"/>
                      <w:kern w:val="0"/>
                      <w:sz w:val="18"/>
                      <w:szCs w:val="18"/>
                      <w:highlight w:val="none"/>
                      <w:lang w:val="en-US" w:eastAsia="zh-CN"/>
                    </w:rPr>
                    <w:t>改</w:t>
                  </w:r>
                  <w:r>
                    <w:rPr>
                      <w:rFonts w:hint="default" w:ascii="Times New Roman" w:hAnsi="Times New Roman" w:eastAsia="宋体" w:cs="Times New Roman"/>
                      <w:b/>
                      <w:color w:val="auto"/>
                      <w:kern w:val="0"/>
                      <w:sz w:val="18"/>
                      <w:szCs w:val="18"/>
                      <w:highlight w:val="none"/>
                    </w:rPr>
                    <w:t>建</w:t>
                  </w:r>
                  <w:r>
                    <w:rPr>
                      <w:rFonts w:hint="default" w:ascii="Times New Roman" w:hAnsi="Times New Roman" w:eastAsia="宋体" w:cs="Times New Roman"/>
                      <w:b/>
                      <w:color w:val="auto"/>
                      <w:sz w:val="18"/>
                      <w:szCs w:val="18"/>
                      <w:highlight w:val="none"/>
                    </w:rPr>
                    <w:t>后</w:t>
                  </w:r>
                </w:p>
              </w:tc>
              <w:tc>
                <w:tcPr>
                  <w:tcW w:w="413" w:type="pct"/>
                  <w:tcBorders>
                    <w:tl2br w:val="nil"/>
                    <w:tr2bl w:val="nil"/>
                  </w:tcBorders>
                  <w:noWrap w:val="0"/>
                  <w:vAlign w:val="center"/>
                </w:tcPr>
                <w:p w14:paraId="251AAE9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增减量</w:t>
                  </w:r>
                </w:p>
              </w:tc>
              <w:tc>
                <w:tcPr>
                  <w:tcW w:w="1273" w:type="pct"/>
                  <w:vMerge w:val="continue"/>
                  <w:tcBorders>
                    <w:tl2br w:val="nil"/>
                    <w:tr2bl w:val="nil"/>
                  </w:tcBorders>
                  <w:noWrap w:val="0"/>
                  <w:vAlign w:val="center"/>
                </w:tcPr>
                <w:p w14:paraId="777D630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auto"/>
                      <w:sz w:val="18"/>
                      <w:szCs w:val="18"/>
                      <w:highlight w:val="yellow"/>
                    </w:rPr>
                  </w:pPr>
                </w:p>
              </w:tc>
            </w:tr>
            <w:tr w14:paraId="7F913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8" w:hRule="atLeast"/>
                <w:jc w:val="center"/>
              </w:trPr>
              <w:tc>
                <w:tcPr>
                  <w:tcW w:w="322" w:type="pct"/>
                  <w:vMerge w:val="restart"/>
                  <w:tcBorders>
                    <w:tl2br w:val="nil"/>
                    <w:tr2bl w:val="nil"/>
                  </w:tcBorders>
                  <w:noWrap w:val="0"/>
                  <w:vAlign w:val="center"/>
                </w:tcPr>
                <w:p w14:paraId="32DDF55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主体工程（</w:t>
                  </w:r>
                  <w:r>
                    <w:rPr>
                      <w:rFonts w:hint="default" w:ascii="Times New Roman" w:hAnsi="Times New Roman" w:eastAsia="宋体" w:cs="Times New Roman"/>
                      <w:color w:val="auto"/>
                      <w:sz w:val="18"/>
                      <w:szCs w:val="18"/>
                      <w:highlight w:val="none"/>
                    </w:rPr>
                    <w:t>贮运工程</w:t>
                  </w:r>
                  <w:r>
                    <w:rPr>
                      <w:rFonts w:hint="eastAsia" w:ascii="Times New Roman" w:hAnsi="Times New Roman" w:eastAsia="宋体" w:cs="Times New Roman"/>
                      <w:color w:val="auto"/>
                      <w:sz w:val="18"/>
                      <w:szCs w:val="18"/>
                      <w:highlight w:val="none"/>
                      <w:lang w:val="en-US" w:eastAsia="zh-CN"/>
                    </w:rPr>
                    <w:t>）</w:t>
                  </w:r>
                </w:p>
              </w:tc>
              <w:tc>
                <w:tcPr>
                  <w:tcW w:w="408" w:type="pct"/>
                  <w:vMerge w:val="restart"/>
                  <w:tcBorders>
                    <w:tl2br w:val="nil"/>
                    <w:tr2bl w:val="nil"/>
                  </w:tcBorders>
                  <w:noWrap w:val="0"/>
                  <w:vAlign w:val="center"/>
                </w:tcPr>
                <w:p w14:paraId="17EFBB0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库区</w:t>
                  </w:r>
                </w:p>
              </w:tc>
              <w:tc>
                <w:tcPr>
                  <w:tcW w:w="1153" w:type="pct"/>
                  <w:gridSpan w:val="2"/>
                  <w:tcBorders>
                    <w:tl2br w:val="nil"/>
                    <w:tr2bl w:val="nil"/>
                  </w:tcBorders>
                  <w:noWrap w:val="0"/>
                  <w:vAlign w:val="center"/>
                </w:tcPr>
                <w:p w14:paraId="625BFB9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一罐区</w:t>
                  </w:r>
                </w:p>
              </w:tc>
              <w:tc>
                <w:tcPr>
                  <w:tcW w:w="714" w:type="pct"/>
                  <w:tcBorders>
                    <w:tl2br w:val="nil"/>
                    <w:tr2bl w:val="nil"/>
                  </w:tcBorders>
                  <w:noWrap w:val="0"/>
                  <w:vAlign w:val="center"/>
                </w:tcPr>
                <w:p w14:paraId="6873323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kern w:val="44"/>
                      <w:sz w:val="18"/>
                      <w:szCs w:val="18"/>
                      <w:highlight w:val="none"/>
                      <w:lang w:val="en-US" w:eastAsia="zh-CN"/>
                    </w:rPr>
                    <w:t>球罐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8</w:t>
                  </w:r>
                </w:p>
              </w:tc>
              <w:tc>
                <w:tcPr>
                  <w:tcW w:w="714" w:type="pct"/>
                  <w:tcBorders>
                    <w:tl2br w:val="nil"/>
                    <w:tr2bl w:val="nil"/>
                  </w:tcBorders>
                  <w:noWrap w:val="0"/>
                  <w:vAlign w:val="center"/>
                </w:tcPr>
                <w:p w14:paraId="3B27A0D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kern w:val="44"/>
                      <w:sz w:val="18"/>
                      <w:szCs w:val="18"/>
                      <w:highlight w:val="none"/>
                      <w:lang w:val="en-US" w:eastAsia="zh-CN"/>
                    </w:rPr>
                    <w:t>球罐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8</w:t>
                  </w:r>
                </w:p>
              </w:tc>
              <w:tc>
                <w:tcPr>
                  <w:tcW w:w="413" w:type="pct"/>
                  <w:tcBorders>
                    <w:tl2br w:val="nil"/>
                    <w:tr2bl w:val="nil"/>
                  </w:tcBorders>
                  <w:noWrap w:val="0"/>
                  <w:vAlign w:val="center"/>
                </w:tcPr>
                <w:p w14:paraId="4B1C2B2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395887D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不变，依托现有</w:t>
                  </w:r>
                </w:p>
              </w:tc>
            </w:tr>
            <w:tr w14:paraId="58B4C6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5C665C6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107FBD4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14373A3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二罐区</w:t>
                  </w:r>
                </w:p>
              </w:tc>
              <w:tc>
                <w:tcPr>
                  <w:tcW w:w="714" w:type="pct"/>
                  <w:tcBorders>
                    <w:tl2br w:val="nil"/>
                    <w:tr2bl w:val="nil"/>
                  </w:tcBorders>
                  <w:noWrap w:val="0"/>
                  <w:vAlign w:val="center"/>
                </w:tcPr>
                <w:p w14:paraId="121B9AD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拱顶罐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11</w:t>
                  </w:r>
                </w:p>
                <w:p w14:paraId="3C9C4E1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内浮顶罐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w:t>
                  </w:r>
                </w:p>
              </w:tc>
              <w:tc>
                <w:tcPr>
                  <w:tcW w:w="714" w:type="pct"/>
                  <w:tcBorders>
                    <w:tl2br w:val="nil"/>
                    <w:tr2bl w:val="nil"/>
                  </w:tcBorders>
                  <w:noWrap w:val="0"/>
                  <w:vAlign w:val="center"/>
                </w:tcPr>
                <w:p w14:paraId="68328E6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拱顶罐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11</w:t>
                  </w:r>
                </w:p>
                <w:p w14:paraId="5B37354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内浮顶罐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w:t>
                  </w:r>
                </w:p>
              </w:tc>
              <w:tc>
                <w:tcPr>
                  <w:tcW w:w="413" w:type="pct"/>
                  <w:tcBorders>
                    <w:tl2br w:val="nil"/>
                    <w:tr2bl w:val="nil"/>
                  </w:tcBorders>
                  <w:noWrap w:val="0"/>
                  <w:vAlign w:val="center"/>
                </w:tcPr>
                <w:p w14:paraId="2BBB55D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7E18BBD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不变，依托现有</w:t>
                  </w:r>
                </w:p>
              </w:tc>
            </w:tr>
            <w:tr w14:paraId="5FF151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69470E2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47DFFE7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2EF6EB1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三罐区</w:t>
                  </w:r>
                </w:p>
              </w:tc>
              <w:tc>
                <w:tcPr>
                  <w:tcW w:w="714" w:type="pct"/>
                  <w:tcBorders>
                    <w:tl2br w:val="nil"/>
                    <w:tr2bl w:val="nil"/>
                  </w:tcBorders>
                  <w:noWrap w:val="0"/>
                  <w:vAlign w:val="center"/>
                </w:tcPr>
                <w:p w14:paraId="704F35A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拱顶罐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10</w:t>
                  </w:r>
                </w:p>
              </w:tc>
              <w:tc>
                <w:tcPr>
                  <w:tcW w:w="714" w:type="pct"/>
                  <w:tcBorders>
                    <w:tl2br w:val="nil"/>
                    <w:tr2bl w:val="nil"/>
                  </w:tcBorders>
                  <w:noWrap w:val="0"/>
                  <w:vAlign w:val="center"/>
                </w:tcPr>
                <w:p w14:paraId="5551AE0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拱顶罐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10</w:t>
                  </w:r>
                </w:p>
              </w:tc>
              <w:tc>
                <w:tcPr>
                  <w:tcW w:w="413" w:type="pct"/>
                  <w:tcBorders>
                    <w:tl2br w:val="nil"/>
                    <w:tr2bl w:val="nil"/>
                  </w:tcBorders>
                  <w:noWrap w:val="0"/>
                  <w:vAlign w:val="center"/>
                </w:tcPr>
                <w:p w14:paraId="6C1C4CF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138FE81A">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不变，依托现有</w:t>
                  </w:r>
                </w:p>
              </w:tc>
            </w:tr>
            <w:tr w14:paraId="4DC54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313673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5604B49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0C2EE7D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四罐区</w:t>
                  </w:r>
                </w:p>
              </w:tc>
              <w:tc>
                <w:tcPr>
                  <w:tcW w:w="714" w:type="pct"/>
                  <w:tcBorders>
                    <w:tl2br w:val="nil"/>
                    <w:tr2bl w:val="nil"/>
                  </w:tcBorders>
                  <w:noWrap w:val="0"/>
                  <w:vAlign w:val="center"/>
                </w:tcPr>
                <w:p w14:paraId="02B540D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拱顶罐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9</w:t>
                  </w:r>
                </w:p>
              </w:tc>
              <w:tc>
                <w:tcPr>
                  <w:tcW w:w="714" w:type="pct"/>
                  <w:tcBorders>
                    <w:tl2br w:val="nil"/>
                    <w:tr2bl w:val="nil"/>
                  </w:tcBorders>
                  <w:noWrap w:val="0"/>
                  <w:vAlign w:val="center"/>
                </w:tcPr>
                <w:p w14:paraId="36CBD47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拱顶罐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9</w:t>
                  </w:r>
                </w:p>
              </w:tc>
              <w:tc>
                <w:tcPr>
                  <w:tcW w:w="413" w:type="pct"/>
                  <w:tcBorders>
                    <w:tl2br w:val="nil"/>
                    <w:tr2bl w:val="nil"/>
                  </w:tcBorders>
                  <w:noWrap w:val="0"/>
                  <w:vAlign w:val="center"/>
                </w:tcPr>
                <w:p w14:paraId="3C9ADCE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02758C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不变，依托现有</w:t>
                  </w:r>
                </w:p>
              </w:tc>
            </w:tr>
            <w:tr w14:paraId="622A0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E80509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CDC790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209634A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五罐区</w:t>
                  </w:r>
                </w:p>
              </w:tc>
              <w:tc>
                <w:tcPr>
                  <w:tcW w:w="714" w:type="pct"/>
                  <w:tcBorders>
                    <w:tl2br w:val="nil"/>
                    <w:tr2bl w:val="nil"/>
                  </w:tcBorders>
                  <w:noWrap w:val="0"/>
                  <w:vAlign w:val="center"/>
                </w:tcPr>
                <w:p w14:paraId="4153C28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内浮顶罐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6</w:t>
                  </w:r>
                </w:p>
              </w:tc>
              <w:tc>
                <w:tcPr>
                  <w:tcW w:w="714" w:type="pct"/>
                  <w:tcBorders>
                    <w:tl2br w:val="nil"/>
                    <w:tr2bl w:val="nil"/>
                  </w:tcBorders>
                  <w:noWrap w:val="0"/>
                  <w:vAlign w:val="center"/>
                </w:tcPr>
                <w:p w14:paraId="42A6EF8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内浮顶罐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6</w:t>
                  </w:r>
                </w:p>
              </w:tc>
              <w:tc>
                <w:tcPr>
                  <w:tcW w:w="413" w:type="pct"/>
                  <w:tcBorders>
                    <w:tl2br w:val="nil"/>
                    <w:tr2bl w:val="nil"/>
                  </w:tcBorders>
                  <w:noWrap w:val="0"/>
                  <w:vAlign w:val="center"/>
                </w:tcPr>
                <w:p w14:paraId="41C81BB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0BA0070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不变，依托现有</w:t>
                  </w:r>
                </w:p>
              </w:tc>
            </w:tr>
            <w:tr w14:paraId="5047E5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664EC0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150A57F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288EA41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六罐区</w:t>
                  </w:r>
                </w:p>
              </w:tc>
              <w:tc>
                <w:tcPr>
                  <w:tcW w:w="714" w:type="pct"/>
                  <w:tcBorders>
                    <w:tl2br w:val="nil"/>
                    <w:tr2bl w:val="nil"/>
                  </w:tcBorders>
                  <w:noWrap w:val="0"/>
                  <w:vAlign w:val="center"/>
                </w:tcPr>
                <w:p w14:paraId="2D03B27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lang w:val="en-US"/>
                    </w:rPr>
                  </w:pPr>
                  <w:r>
                    <w:rPr>
                      <w:rFonts w:hint="eastAsia" w:ascii="Times New Roman" w:hAnsi="Times New Roman" w:eastAsia="宋体" w:cs="Times New Roman"/>
                      <w:color w:val="auto"/>
                      <w:sz w:val="18"/>
                      <w:szCs w:val="18"/>
                      <w:highlight w:val="none"/>
                      <w:lang w:val="en-US" w:eastAsia="zh-CN"/>
                    </w:rPr>
                    <w:t>内浮顶罐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10</w:t>
                  </w:r>
                </w:p>
              </w:tc>
              <w:tc>
                <w:tcPr>
                  <w:tcW w:w="714" w:type="pct"/>
                  <w:tcBorders>
                    <w:tl2br w:val="nil"/>
                    <w:tr2bl w:val="nil"/>
                  </w:tcBorders>
                  <w:noWrap w:val="0"/>
                  <w:vAlign w:val="center"/>
                </w:tcPr>
                <w:p w14:paraId="49A641D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内浮顶罐</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10</w:t>
                  </w:r>
                </w:p>
              </w:tc>
              <w:tc>
                <w:tcPr>
                  <w:tcW w:w="413" w:type="pct"/>
                  <w:tcBorders>
                    <w:tl2br w:val="nil"/>
                    <w:tr2bl w:val="nil"/>
                  </w:tcBorders>
                  <w:noWrap w:val="0"/>
                  <w:vAlign w:val="center"/>
                </w:tcPr>
                <w:p w14:paraId="0955C1C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0B5EE3E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eastAsia" w:ascii="Times New Roman" w:hAnsi="Times New Roman" w:eastAsia="宋体" w:cs="Times New Roman"/>
                      <w:color w:val="auto"/>
                      <w:sz w:val="18"/>
                      <w:szCs w:val="18"/>
                      <w:highlight w:val="none"/>
                      <w:lang w:val="en-US" w:eastAsia="zh-CN"/>
                    </w:rPr>
                    <w:t>不变，依托现有</w:t>
                  </w:r>
                </w:p>
              </w:tc>
            </w:tr>
            <w:tr w14:paraId="6EC2DB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02CF785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4FBF828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2DEC168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库区库容</w:t>
                  </w:r>
                </w:p>
              </w:tc>
              <w:tc>
                <w:tcPr>
                  <w:tcW w:w="714" w:type="pct"/>
                  <w:tcBorders>
                    <w:tl2br w:val="nil"/>
                    <w:tr2bl w:val="nil"/>
                  </w:tcBorders>
                  <w:noWrap w:val="0"/>
                  <w:vAlign w:val="center"/>
                </w:tcPr>
                <w:p w14:paraId="25C8A91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lang w:val="en-US" w:eastAsia="zh-CN"/>
                    </w:rPr>
                    <w:t>22万立方米</w:t>
                  </w:r>
                </w:p>
              </w:tc>
              <w:tc>
                <w:tcPr>
                  <w:tcW w:w="714" w:type="pct"/>
                  <w:tcBorders>
                    <w:tl2br w:val="nil"/>
                    <w:tr2bl w:val="nil"/>
                  </w:tcBorders>
                  <w:noWrap w:val="0"/>
                  <w:vAlign w:val="center"/>
                </w:tcPr>
                <w:p w14:paraId="31287CB3">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lang w:val="en-US" w:eastAsia="zh-CN"/>
                    </w:rPr>
                    <w:t>22万立方米</w:t>
                  </w:r>
                </w:p>
              </w:tc>
              <w:tc>
                <w:tcPr>
                  <w:tcW w:w="413" w:type="pct"/>
                  <w:tcBorders>
                    <w:tl2br w:val="nil"/>
                    <w:tr2bl w:val="nil"/>
                  </w:tcBorders>
                  <w:noWrap w:val="0"/>
                  <w:vAlign w:val="center"/>
                </w:tcPr>
                <w:p w14:paraId="4058378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34B5DB7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不变</w:t>
                  </w:r>
                </w:p>
              </w:tc>
            </w:tr>
            <w:tr w14:paraId="7FF5C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4" w:hRule="atLeast"/>
                <w:jc w:val="center"/>
              </w:trPr>
              <w:tc>
                <w:tcPr>
                  <w:tcW w:w="322" w:type="pct"/>
                  <w:vMerge w:val="continue"/>
                  <w:tcBorders>
                    <w:tl2br w:val="nil"/>
                    <w:tr2bl w:val="nil"/>
                  </w:tcBorders>
                  <w:noWrap w:val="0"/>
                  <w:vAlign w:val="center"/>
                </w:tcPr>
                <w:p w14:paraId="049C703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6D7E87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shd w:val="clear" w:color="auto" w:fill="auto"/>
                  <w:noWrap w:val="0"/>
                  <w:vAlign w:val="center"/>
                </w:tcPr>
                <w:p w14:paraId="008E5A6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周转量</w:t>
                  </w:r>
                </w:p>
              </w:tc>
              <w:tc>
                <w:tcPr>
                  <w:tcW w:w="714" w:type="pct"/>
                  <w:tcBorders>
                    <w:tl2br w:val="nil"/>
                    <w:tr2bl w:val="nil"/>
                  </w:tcBorders>
                  <w:shd w:val="clear" w:color="auto" w:fill="auto"/>
                  <w:noWrap w:val="0"/>
                  <w:vAlign w:val="center"/>
                </w:tcPr>
                <w:p w14:paraId="2DBE632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272</w:t>
                  </w:r>
                  <w:r>
                    <w:rPr>
                      <w:rFonts w:hint="eastAsia" w:ascii="Times New Roman" w:hAnsi="Times New Roman" w:eastAsia="宋体" w:cs="Times New Roman"/>
                      <w:color w:val="auto"/>
                      <w:sz w:val="18"/>
                      <w:szCs w:val="18"/>
                      <w:highlight w:val="none"/>
                      <w:lang w:val="en-US" w:eastAsia="zh-CN"/>
                    </w:rPr>
                    <w:t>万吨/年</w:t>
                  </w:r>
                </w:p>
              </w:tc>
              <w:tc>
                <w:tcPr>
                  <w:tcW w:w="714" w:type="pct"/>
                  <w:tcBorders>
                    <w:tl2br w:val="nil"/>
                    <w:tr2bl w:val="nil"/>
                  </w:tcBorders>
                  <w:shd w:val="clear" w:color="auto" w:fill="auto"/>
                  <w:noWrap w:val="0"/>
                  <w:vAlign w:val="center"/>
                </w:tcPr>
                <w:p w14:paraId="60491C4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272</w:t>
                  </w:r>
                  <w:r>
                    <w:rPr>
                      <w:rFonts w:hint="eastAsia" w:ascii="Times New Roman" w:hAnsi="Times New Roman" w:eastAsia="宋体" w:cs="Times New Roman"/>
                      <w:color w:val="auto"/>
                      <w:sz w:val="18"/>
                      <w:szCs w:val="18"/>
                      <w:highlight w:val="none"/>
                      <w:lang w:val="en-US" w:eastAsia="zh-CN"/>
                    </w:rPr>
                    <w:t>万吨/年</w:t>
                  </w:r>
                </w:p>
              </w:tc>
              <w:tc>
                <w:tcPr>
                  <w:tcW w:w="413" w:type="pct"/>
                  <w:tcBorders>
                    <w:tl2br w:val="nil"/>
                    <w:tr2bl w:val="nil"/>
                  </w:tcBorders>
                  <w:noWrap w:val="0"/>
                  <w:vAlign w:val="center"/>
                </w:tcPr>
                <w:p w14:paraId="6FE23C0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0181BE0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不变</w:t>
                  </w:r>
                </w:p>
              </w:tc>
            </w:tr>
            <w:tr w14:paraId="1A4AB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42C9B3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restart"/>
                  <w:tcBorders>
                    <w:tl2br w:val="nil"/>
                    <w:tr2bl w:val="nil"/>
                  </w:tcBorders>
                  <w:noWrap w:val="0"/>
                  <w:vAlign w:val="center"/>
                </w:tcPr>
                <w:p w14:paraId="0A4EF53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码头</w:t>
                  </w:r>
                </w:p>
              </w:tc>
              <w:tc>
                <w:tcPr>
                  <w:tcW w:w="1153" w:type="pct"/>
                  <w:gridSpan w:val="2"/>
                  <w:tcBorders>
                    <w:tl2br w:val="nil"/>
                    <w:tr2bl w:val="nil"/>
                  </w:tcBorders>
                  <w:noWrap w:val="0"/>
                  <w:vAlign w:val="center"/>
                </w:tcPr>
                <w:p w14:paraId="0B502FD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2万吨级液体化工泊位</w:t>
                  </w:r>
                </w:p>
              </w:tc>
              <w:tc>
                <w:tcPr>
                  <w:tcW w:w="714" w:type="pct"/>
                  <w:tcBorders>
                    <w:tl2br w:val="nil"/>
                    <w:tr2bl w:val="nil"/>
                  </w:tcBorders>
                  <w:noWrap w:val="0"/>
                  <w:vAlign w:val="center"/>
                </w:tcPr>
                <w:p w14:paraId="4C3F791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1个</w:t>
                  </w:r>
                </w:p>
              </w:tc>
              <w:tc>
                <w:tcPr>
                  <w:tcW w:w="714" w:type="pct"/>
                  <w:tcBorders>
                    <w:tl2br w:val="nil"/>
                    <w:tr2bl w:val="nil"/>
                  </w:tcBorders>
                  <w:noWrap w:val="0"/>
                  <w:vAlign w:val="center"/>
                </w:tcPr>
                <w:p w14:paraId="42EFB0C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1个</w:t>
                  </w:r>
                </w:p>
              </w:tc>
              <w:tc>
                <w:tcPr>
                  <w:tcW w:w="413" w:type="pct"/>
                  <w:tcBorders>
                    <w:tl2br w:val="nil"/>
                    <w:tr2bl w:val="nil"/>
                  </w:tcBorders>
                  <w:noWrap w:val="0"/>
                  <w:vAlign w:val="center"/>
                </w:tcPr>
                <w:p w14:paraId="6858B18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75C78AA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不变，依托现有</w:t>
                  </w:r>
                </w:p>
              </w:tc>
            </w:tr>
            <w:tr w14:paraId="0DACF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7404815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E60B96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39AD7C9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5万吨级液体化工泊位</w:t>
                  </w:r>
                </w:p>
              </w:tc>
              <w:tc>
                <w:tcPr>
                  <w:tcW w:w="714" w:type="pct"/>
                  <w:tcBorders>
                    <w:tl2br w:val="nil"/>
                    <w:tr2bl w:val="nil"/>
                  </w:tcBorders>
                  <w:noWrap w:val="0"/>
                  <w:vAlign w:val="center"/>
                </w:tcPr>
                <w:p w14:paraId="7150EA3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1个</w:t>
                  </w:r>
                </w:p>
              </w:tc>
              <w:tc>
                <w:tcPr>
                  <w:tcW w:w="714" w:type="pct"/>
                  <w:tcBorders>
                    <w:tl2br w:val="nil"/>
                    <w:tr2bl w:val="nil"/>
                  </w:tcBorders>
                  <w:noWrap w:val="0"/>
                  <w:vAlign w:val="center"/>
                </w:tcPr>
                <w:p w14:paraId="149B4A8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1个</w:t>
                  </w:r>
                </w:p>
              </w:tc>
              <w:tc>
                <w:tcPr>
                  <w:tcW w:w="413" w:type="pct"/>
                  <w:tcBorders>
                    <w:tl2br w:val="nil"/>
                    <w:tr2bl w:val="nil"/>
                  </w:tcBorders>
                  <w:noWrap w:val="0"/>
                  <w:vAlign w:val="center"/>
                </w:tcPr>
                <w:p w14:paraId="40B5ACD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51A9B70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不变，依托现有</w:t>
                  </w:r>
                </w:p>
              </w:tc>
            </w:tr>
            <w:tr w14:paraId="3C099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585852A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0826E00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7962D99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500吨级泊位</w:t>
                  </w:r>
                </w:p>
              </w:tc>
              <w:tc>
                <w:tcPr>
                  <w:tcW w:w="714" w:type="pct"/>
                  <w:tcBorders>
                    <w:tl2br w:val="nil"/>
                    <w:tr2bl w:val="nil"/>
                  </w:tcBorders>
                  <w:noWrap w:val="0"/>
                  <w:vAlign w:val="center"/>
                </w:tcPr>
                <w:p w14:paraId="2CCAB83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3个</w:t>
                  </w:r>
                </w:p>
              </w:tc>
              <w:tc>
                <w:tcPr>
                  <w:tcW w:w="714" w:type="pct"/>
                  <w:tcBorders>
                    <w:tl2br w:val="nil"/>
                    <w:tr2bl w:val="nil"/>
                  </w:tcBorders>
                  <w:noWrap w:val="0"/>
                  <w:vAlign w:val="center"/>
                </w:tcPr>
                <w:p w14:paraId="2AAA3E4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3个</w:t>
                  </w:r>
                </w:p>
              </w:tc>
              <w:tc>
                <w:tcPr>
                  <w:tcW w:w="413" w:type="pct"/>
                  <w:tcBorders>
                    <w:tl2br w:val="nil"/>
                    <w:tr2bl w:val="nil"/>
                  </w:tcBorders>
                  <w:noWrap w:val="0"/>
                  <w:vAlign w:val="center"/>
                </w:tcPr>
                <w:p w14:paraId="2D2B074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1B32557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不变，依托现有</w:t>
                  </w:r>
                </w:p>
              </w:tc>
            </w:tr>
            <w:tr w14:paraId="6A4B2D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78" w:hRule="atLeast"/>
                <w:jc w:val="center"/>
              </w:trPr>
              <w:tc>
                <w:tcPr>
                  <w:tcW w:w="322" w:type="pct"/>
                  <w:vMerge w:val="continue"/>
                  <w:tcBorders>
                    <w:tl2br w:val="nil"/>
                    <w:tr2bl w:val="nil"/>
                  </w:tcBorders>
                  <w:noWrap w:val="0"/>
                  <w:vAlign w:val="center"/>
                </w:tcPr>
                <w:p w14:paraId="5C87454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1FC94C0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1E07BDD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通过能力</w:t>
                  </w:r>
                </w:p>
              </w:tc>
              <w:tc>
                <w:tcPr>
                  <w:tcW w:w="714" w:type="pct"/>
                  <w:tcBorders>
                    <w:tl2br w:val="nil"/>
                    <w:tr2bl w:val="nil"/>
                  </w:tcBorders>
                  <w:noWrap w:val="0"/>
                  <w:vAlign w:val="center"/>
                </w:tcPr>
                <w:p w14:paraId="1B8B0CA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276</w:t>
                  </w:r>
                  <w:r>
                    <w:rPr>
                      <w:rFonts w:hint="default" w:ascii="Times New Roman" w:hAnsi="Times New Roman" w:eastAsia="宋体" w:cs="Times New Roman"/>
                      <w:color w:val="auto"/>
                      <w:sz w:val="18"/>
                      <w:szCs w:val="18"/>
                      <w:highlight w:val="none"/>
                    </w:rPr>
                    <w:t>万吨/年</w:t>
                  </w:r>
                </w:p>
              </w:tc>
              <w:tc>
                <w:tcPr>
                  <w:tcW w:w="714" w:type="pct"/>
                  <w:tcBorders>
                    <w:tl2br w:val="nil"/>
                    <w:tr2bl w:val="nil"/>
                  </w:tcBorders>
                  <w:noWrap w:val="0"/>
                  <w:vAlign w:val="center"/>
                </w:tcPr>
                <w:p w14:paraId="4EE6E35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276</w:t>
                  </w:r>
                  <w:r>
                    <w:rPr>
                      <w:rFonts w:hint="default" w:ascii="Times New Roman" w:hAnsi="Times New Roman" w:eastAsia="宋体" w:cs="Times New Roman"/>
                      <w:color w:val="auto"/>
                      <w:sz w:val="18"/>
                      <w:szCs w:val="18"/>
                      <w:highlight w:val="none"/>
                    </w:rPr>
                    <w:t>万吨/年</w:t>
                  </w:r>
                </w:p>
              </w:tc>
              <w:tc>
                <w:tcPr>
                  <w:tcW w:w="413" w:type="pct"/>
                  <w:tcBorders>
                    <w:tl2br w:val="nil"/>
                    <w:tr2bl w:val="nil"/>
                  </w:tcBorders>
                  <w:noWrap w:val="0"/>
                  <w:vAlign w:val="center"/>
                </w:tcPr>
                <w:p w14:paraId="0EFEAE5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0EA4BB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w:t>
                  </w:r>
                </w:p>
              </w:tc>
            </w:tr>
            <w:tr w14:paraId="30625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246BCB4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tcBorders>
                    <w:tl2br w:val="nil"/>
                    <w:tr2bl w:val="nil"/>
                  </w:tcBorders>
                  <w:noWrap w:val="0"/>
                  <w:vAlign w:val="center"/>
                </w:tcPr>
                <w:p w14:paraId="425F291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装车站</w:t>
                  </w:r>
                </w:p>
              </w:tc>
              <w:tc>
                <w:tcPr>
                  <w:tcW w:w="1153" w:type="pct"/>
                  <w:gridSpan w:val="2"/>
                  <w:tcBorders>
                    <w:tl2br w:val="nil"/>
                    <w:tr2bl w:val="nil"/>
                  </w:tcBorders>
                  <w:noWrap w:val="0"/>
                  <w:vAlign w:val="center"/>
                </w:tcPr>
                <w:p w14:paraId="35545FA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装卸车台位</w:t>
                  </w:r>
                </w:p>
              </w:tc>
              <w:tc>
                <w:tcPr>
                  <w:tcW w:w="714" w:type="pct"/>
                  <w:tcBorders>
                    <w:tl2br w:val="nil"/>
                    <w:tr2bl w:val="nil"/>
                  </w:tcBorders>
                  <w:noWrap w:val="0"/>
                  <w:vAlign w:val="center"/>
                </w:tcPr>
                <w:p w14:paraId="469BDC1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15组（60个）</w:t>
                  </w:r>
                </w:p>
              </w:tc>
              <w:tc>
                <w:tcPr>
                  <w:tcW w:w="714" w:type="pct"/>
                  <w:tcBorders>
                    <w:tl2br w:val="nil"/>
                    <w:tr2bl w:val="nil"/>
                  </w:tcBorders>
                  <w:noWrap w:val="0"/>
                  <w:vAlign w:val="center"/>
                </w:tcPr>
                <w:p w14:paraId="3ABF574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15组（60个）</w:t>
                  </w:r>
                </w:p>
              </w:tc>
              <w:tc>
                <w:tcPr>
                  <w:tcW w:w="413" w:type="pct"/>
                  <w:tcBorders>
                    <w:tl2br w:val="nil"/>
                    <w:tr2bl w:val="nil"/>
                  </w:tcBorders>
                  <w:noWrap w:val="0"/>
                  <w:vAlign w:val="center"/>
                </w:tcPr>
                <w:p w14:paraId="1C2AC34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65A3C0D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不变，依托现有</w:t>
                  </w:r>
                </w:p>
              </w:tc>
            </w:tr>
            <w:tr w14:paraId="68DA7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6FB6FB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tcBorders>
                    <w:tl2br w:val="nil"/>
                    <w:tr2bl w:val="nil"/>
                  </w:tcBorders>
                  <w:noWrap w:val="0"/>
                  <w:vAlign w:val="center"/>
                </w:tcPr>
                <w:p w14:paraId="0540BD8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洗舱站</w:t>
                  </w:r>
                </w:p>
              </w:tc>
              <w:tc>
                <w:tcPr>
                  <w:tcW w:w="1153" w:type="pct"/>
                  <w:gridSpan w:val="2"/>
                  <w:tcBorders>
                    <w:tl2br w:val="nil"/>
                    <w:tr2bl w:val="nil"/>
                  </w:tcBorders>
                  <w:noWrap w:val="0"/>
                  <w:vAlign w:val="center"/>
                </w:tcPr>
                <w:p w14:paraId="39938B8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洗舱能力</w:t>
                  </w:r>
                </w:p>
              </w:tc>
              <w:tc>
                <w:tcPr>
                  <w:tcW w:w="714" w:type="pct"/>
                  <w:tcBorders>
                    <w:tl2br w:val="nil"/>
                    <w:tr2bl w:val="nil"/>
                  </w:tcBorders>
                  <w:noWrap w:val="0"/>
                  <w:vAlign w:val="center"/>
                </w:tcPr>
                <w:p w14:paraId="53DD714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600艘次/年</w:t>
                  </w:r>
                </w:p>
              </w:tc>
              <w:tc>
                <w:tcPr>
                  <w:tcW w:w="714" w:type="pct"/>
                  <w:tcBorders>
                    <w:tl2br w:val="nil"/>
                    <w:tr2bl w:val="nil"/>
                  </w:tcBorders>
                  <w:noWrap w:val="0"/>
                  <w:vAlign w:val="center"/>
                </w:tcPr>
                <w:p w14:paraId="1C8E039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600艘次/年</w:t>
                  </w:r>
                </w:p>
              </w:tc>
              <w:tc>
                <w:tcPr>
                  <w:tcW w:w="413" w:type="pct"/>
                  <w:tcBorders>
                    <w:tl2br w:val="nil"/>
                    <w:tr2bl w:val="nil"/>
                  </w:tcBorders>
                  <w:noWrap w:val="0"/>
                  <w:vAlign w:val="center"/>
                </w:tcPr>
                <w:p w14:paraId="56A3AF7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38E0294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不变，本项目不涉及</w:t>
                  </w:r>
                </w:p>
              </w:tc>
            </w:tr>
            <w:tr w14:paraId="56B6C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66A1A4B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tcBorders>
                    <w:tl2br w:val="nil"/>
                    <w:tr2bl w:val="nil"/>
                  </w:tcBorders>
                  <w:noWrap w:val="0"/>
                  <w:vAlign w:val="center"/>
                </w:tcPr>
                <w:p w14:paraId="78334ED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槽车蒸洗站</w:t>
                  </w:r>
                </w:p>
              </w:tc>
              <w:tc>
                <w:tcPr>
                  <w:tcW w:w="1153" w:type="pct"/>
                  <w:gridSpan w:val="2"/>
                  <w:tcBorders>
                    <w:tl2br w:val="nil"/>
                    <w:tr2bl w:val="nil"/>
                  </w:tcBorders>
                  <w:noWrap w:val="0"/>
                  <w:vAlign w:val="center"/>
                </w:tcPr>
                <w:p w14:paraId="7C4CFF1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槽车蒸洗能力</w:t>
                  </w:r>
                </w:p>
              </w:tc>
              <w:tc>
                <w:tcPr>
                  <w:tcW w:w="714" w:type="pct"/>
                  <w:tcBorders>
                    <w:tl2br w:val="nil"/>
                    <w:tr2bl w:val="nil"/>
                  </w:tcBorders>
                  <w:noWrap w:val="0"/>
                  <w:vAlign w:val="center"/>
                </w:tcPr>
                <w:p w14:paraId="0D6B260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6000辆</w:t>
                  </w:r>
                  <w:r>
                    <w:rPr>
                      <w:rFonts w:hint="eastAsia" w:ascii="Times New Roman" w:hAnsi="Times New Roman" w:eastAsia="宋体" w:cs="Times New Roman"/>
                      <w:color w:val="auto"/>
                      <w:sz w:val="18"/>
                      <w:szCs w:val="18"/>
                      <w:highlight w:val="none"/>
                      <w:lang w:val="en-US" w:eastAsia="zh-CN"/>
                    </w:rPr>
                    <w:t>/年</w:t>
                  </w:r>
                </w:p>
              </w:tc>
              <w:tc>
                <w:tcPr>
                  <w:tcW w:w="714" w:type="pct"/>
                  <w:tcBorders>
                    <w:tl2br w:val="nil"/>
                    <w:tr2bl w:val="nil"/>
                  </w:tcBorders>
                  <w:noWrap w:val="0"/>
                  <w:vAlign w:val="center"/>
                </w:tcPr>
                <w:p w14:paraId="35918E1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6000辆</w:t>
                  </w:r>
                  <w:r>
                    <w:rPr>
                      <w:rFonts w:hint="eastAsia" w:ascii="Times New Roman" w:hAnsi="Times New Roman" w:eastAsia="宋体" w:cs="Times New Roman"/>
                      <w:color w:val="auto"/>
                      <w:sz w:val="18"/>
                      <w:szCs w:val="18"/>
                      <w:highlight w:val="none"/>
                      <w:lang w:val="en-US" w:eastAsia="zh-CN"/>
                    </w:rPr>
                    <w:t>/年</w:t>
                  </w:r>
                </w:p>
              </w:tc>
              <w:tc>
                <w:tcPr>
                  <w:tcW w:w="413" w:type="pct"/>
                  <w:tcBorders>
                    <w:tl2br w:val="nil"/>
                    <w:tr2bl w:val="nil"/>
                  </w:tcBorders>
                  <w:noWrap w:val="0"/>
                  <w:vAlign w:val="center"/>
                </w:tcPr>
                <w:p w14:paraId="5B095CD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p>
              </w:tc>
              <w:tc>
                <w:tcPr>
                  <w:tcW w:w="1273" w:type="pct"/>
                  <w:tcBorders>
                    <w:tl2br w:val="nil"/>
                    <w:tr2bl w:val="nil"/>
                  </w:tcBorders>
                  <w:noWrap w:val="0"/>
                  <w:vAlign w:val="center"/>
                </w:tcPr>
                <w:p w14:paraId="34A0EC1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在建，本项目不涉及</w:t>
                  </w:r>
                </w:p>
              </w:tc>
            </w:tr>
            <w:tr w14:paraId="4F466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2FDBBFC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tcBorders>
                    <w:tl2br w:val="nil"/>
                    <w:tr2bl w:val="nil"/>
                  </w:tcBorders>
                  <w:noWrap w:val="0"/>
                  <w:vAlign w:val="center"/>
                </w:tcPr>
                <w:p w14:paraId="5683DB72">
                  <w:pPr>
                    <w:keepNext/>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lang w:val="en-US" w:eastAsia="zh-CN"/>
                    </w:rPr>
                    <w:t>工业油脂加工</w:t>
                  </w:r>
                </w:p>
              </w:tc>
              <w:tc>
                <w:tcPr>
                  <w:tcW w:w="1153" w:type="pct"/>
                  <w:gridSpan w:val="2"/>
                  <w:tcBorders>
                    <w:tl2br w:val="nil"/>
                    <w:tr2bl w:val="nil"/>
                  </w:tcBorders>
                  <w:noWrap w:val="0"/>
                  <w:vAlign w:val="center"/>
                </w:tcPr>
                <w:p w14:paraId="7F0AC804">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lang w:val="en-US" w:eastAsia="zh-CN"/>
                    </w:rPr>
                    <w:t>工业油脂加工能力</w:t>
                  </w:r>
                </w:p>
              </w:tc>
              <w:tc>
                <w:tcPr>
                  <w:tcW w:w="714" w:type="pct"/>
                  <w:tcBorders>
                    <w:tl2br w:val="nil"/>
                    <w:tr2bl w:val="nil"/>
                  </w:tcBorders>
                  <w:noWrap w:val="0"/>
                  <w:vAlign w:val="center"/>
                </w:tcPr>
                <w:p w14:paraId="4C0DF80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30万吨</w:t>
                  </w:r>
                  <w:r>
                    <w:rPr>
                      <w:rFonts w:hint="eastAsia" w:ascii="Times New Roman" w:hAnsi="Times New Roman" w:eastAsia="宋体" w:cs="Times New Roman"/>
                      <w:color w:val="auto"/>
                      <w:kern w:val="2"/>
                      <w:sz w:val="18"/>
                      <w:szCs w:val="18"/>
                      <w:highlight w:val="none"/>
                      <w:lang w:val="en-US" w:eastAsia="zh-CN" w:bidi="ar-SA"/>
                    </w:rPr>
                    <w:t>/年</w:t>
                  </w:r>
                </w:p>
              </w:tc>
              <w:tc>
                <w:tcPr>
                  <w:tcW w:w="714" w:type="pct"/>
                  <w:tcBorders>
                    <w:tl2br w:val="nil"/>
                    <w:tr2bl w:val="nil"/>
                  </w:tcBorders>
                  <w:noWrap w:val="0"/>
                  <w:vAlign w:val="center"/>
                </w:tcPr>
                <w:p w14:paraId="347B944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2"/>
                      <w:sz w:val="18"/>
                      <w:szCs w:val="18"/>
                      <w:highlight w:val="none"/>
                      <w:lang w:val="en-US" w:eastAsia="zh-CN" w:bidi="ar-SA"/>
                    </w:rPr>
                    <w:t>30万吨</w:t>
                  </w:r>
                  <w:r>
                    <w:rPr>
                      <w:rFonts w:hint="eastAsia" w:ascii="Times New Roman" w:hAnsi="Times New Roman" w:eastAsia="宋体" w:cs="Times New Roman"/>
                      <w:color w:val="auto"/>
                      <w:kern w:val="2"/>
                      <w:sz w:val="18"/>
                      <w:szCs w:val="18"/>
                      <w:highlight w:val="none"/>
                      <w:lang w:val="en-US" w:eastAsia="zh-CN" w:bidi="ar-SA"/>
                    </w:rPr>
                    <w:t>/年</w:t>
                  </w:r>
                </w:p>
              </w:tc>
              <w:tc>
                <w:tcPr>
                  <w:tcW w:w="413" w:type="pct"/>
                  <w:tcBorders>
                    <w:tl2br w:val="nil"/>
                    <w:tr2bl w:val="nil"/>
                  </w:tcBorders>
                  <w:noWrap w:val="0"/>
                  <w:vAlign w:val="center"/>
                </w:tcPr>
                <w:p w14:paraId="0A7368C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3744439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在建，本项目不涉及</w:t>
                  </w:r>
                </w:p>
              </w:tc>
            </w:tr>
            <w:tr w14:paraId="6DF11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05F2B7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tcBorders>
                    <w:tl2br w:val="nil"/>
                    <w:tr2bl w:val="nil"/>
                  </w:tcBorders>
                  <w:noWrap w:val="0"/>
                  <w:vAlign w:val="center"/>
                </w:tcPr>
                <w:p w14:paraId="3CFE96EA">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lang w:val="en-US" w:eastAsia="zh-CN"/>
                    </w:rPr>
                    <w:t>废矿物油收集</w:t>
                  </w:r>
                </w:p>
              </w:tc>
              <w:tc>
                <w:tcPr>
                  <w:tcW w:w="1153" w:type="pct"/>
                  <w:gridSpan w:val="2"/>
                  <w:tcBorders>
                    <w:tl2br w:val="nil"/>
                    <w:tr2bl w:val="nil"/>
                  </w:tcBorders>
                  <w:noWrap w:val="0"/>
                  <w:vAlign w:val="center"/>
                </w:tcPr>
                <w:p w14:paraId="2B918DA7">
                  <w:pPr>
                    <w:keepNext/>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lang w:val="en-US" w:eastAsia="zh-CN"/>
                    </w:rPr>
                    <w:t>废矿物油收集能力</w:t>
                  </w:r>
                </w:p>
              </w:tc>
              <w:tc>
                <w:tcPr>
                  <w:tcW w:w="714" w:type="pct"/>
                  <w:tcBorders>
                    <w:tl2br w:val="nil"/>
                    <w:tr2bl w:val="nil"/>
                  </w:tcBorders>
                  <w:noWrap w:val="0"/>
                  <w:vAlign w:val="center"/>
                </w:tcPr>
                <w:p w14:paraId="62CF477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8000吨/年</w:t>
                  </w:r>
                </w:p>
              </w:tc>
              <w:tc>
                <w:tcPr>
                  <w:tcW w:w="714" w:type="pct"/>
                  <w:tcBorders>
                    <w:tl2br w:val="nil"/>
                    <w:tr2bl w:val="nil"/>
                  </w:tcBorders>
                  <w:noWrap w:val="0"/>
                  <w:vAlign w:val="center"/>
                </w:tcPr>
                <w:p w14:paraId="44FC94B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8000吨/年</w:t>
                  </w:r>
                </w:p>
              </w:tc>
              <w:tc>
                <w:tcPr>
                  <w:tcW w:w="413" w:type="pct"/>
                  <w:tcBorders>
                    <w:tl2br w:val="nil"/>
                    <w:tr2bl w:val="nil"/>
                  </w:tcBorders>
                  <w:noWrap w:val="0"/>
                  <w:vAlign w:val="center"/>
                </w:tcPr>
                <w:p w14:paraId="1C85FDC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p>
              </w:tc>
              <w:tc>
                <w:tcPr>
                  <w:tcW w:w="1273" w:type="pct"/>
                  <w:tcBorders>
                    <w:tl2br w:val="nil"/>
                    <w:tr2bl w:val="nil"/>
                  </w:tcBorders>
                  <w:noWrap w:val="0"/>
                  <w:vAlign w:val="center"/>
                </w:tcPr>
                <w:p w14:paraId="26AB76B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在建，本项目不涉及</w:t>
                  </w:r>
                </w:p>
              </w:tc>
            </w:tr>
            <w:tr w14:paraId="3D9A95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restart"/>
                  <w:tcBorders>
                    <w:tl2br w:val="nil"/>
                    <w:tr2bl w:val="nil"/>
                  </w:tcBorders>
                  <w:noWrap w:val="0"/>
                  <w:vAlign w:val="center"/>
                </w:tcPr>
                <w:p w14:paraId="78E9BA4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公用工程</w:t>
                  </w:r>
                </w:p>
              </w:tc>
              <w:tc>
                <w:tcPr>
                  <w:tcW w:w="1561" w:type="pct"/>
                  <w:gridSpan w:val="3"/>
                  <w:tcBorders>
                    <w:tl2br w:val="nil"/>
                    <w:tr2bl w:val="nil"/>
                  </w:tcBorders>
                  <w:noWrap w:val="0"/>
                  <w:vAlign w:val="center"/>
                </w:tcPr>
                <w:p w14:paraId="067F1AE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给水系统</w:t>
                  </w:r>
                </w:p>
              </w:tc>
              <w:tc>
                <w:tcPr>
                  <w:tcW w:w="714" w:type="pct"/>
                  <w:tcBorders>
                    <w:tl2br w:val="nil"/>
                    <w:tr2bl w:val="nil"/>
                  </w:tcBorders>
                  <w:noWrap w:val="0"/>
                  <w:vAlign w:val="center"/>
                </w:tcPr>
                <w:p w14:paraId="5CD388A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200t/h</w:t>
                  </w:r>
                </w:p>
              </w:tc>
              <w:tc>
                <w:tcPr>
                  <w:tcW w:w="714" w:type="pct"/>
                  <w:tcBorders>
                    <w:tl2br w:val="nil"/>
                    <w:tr2bl w:val="nil"/>
                  </w:tcBorders>
                  <w:noWrap w:val="0"/>
                  <w:vAlign w:val="center"/>
                </w:tcPr>
                <w:p w14:paraId="3F07F5C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200t/h</w:t>
                  </w:r>
                </w:p>
              </w:tc>
              <w:tc>
                <w:tcPr>
                  <w:tcW w:w="413" w:type="pct"/>
                  <w:tcBorders>
                    <w:tl2br w:val="nil"/>
                    <w:tr2bl w:val="nil"/>
                  </w:tcBorders>
                  <w:noWrap w:val="0"/>
                  <w:vAlign w:val="center"/>
                </w:tcPr>
                <w:p w14:paraId="05F09F7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66EA7DB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自来水管网提供，依托现有</w:t>
                  </w:r>
                </w:p>
              </w:tc>
            </w:tr>
            <w:tr w14:paraId="4BD96D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1414FB9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restart"/>
                  <w:tcBorders>
                    <w:tl2br w:val="nil"/>
                    <w:tr2bl w:val="nil"/>
                  </w:tcBorders>
                  <w:noWrap w:val="0"/>
                  <w:vAlign w:val="center"/>
                </w:tcPr>
                <w:p w14:paraId="3A642A5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排水系统</w:t>
                  </w:r>
                </w:p>
              </w:tc>
              <w:tc>
                <w:tcPr>
                  <w:tcW w:w="1153" w:type="pct"/>
                  <w:gridSpan w:val="2"/>
                  <w:tcBorders>
                    <w:tl2br w:val="nil"/>
                    <w:tr2bl w:val="nil"/>
                  </w:tcBorders>
                  <w:noWrap w:val="0"/>
                  <w:vAlign w:val="center"/>
                </w:tcPr>
                <w:p w14:paraId="1D15F80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雨水管网</w:t>
                  </w:r>
                </w:p>
              </w:tc>
              <w:tc>
                <w:tcPr>
                  <w:tcW w:w="714" w:type="pct"/>
                  <w:tcBorders>
                    <w:tl2br w:val="nil"/>
                    <w:tr2bl w:val="nil"/>
                  </w:tcBorders>
                  <w:noWrap w:val="0"/>
                  <w:vAlign w:val="center"/>
                </w:tcPr>
                <w:p w14:paraId="2E00EE0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200t/h</w:t>
                  </w:r>
                </w:p>
              </w:tc>
              <w:tc>
                <w:tcPr>
                  <w:tcW w:w="714" w:type="pct"/>
                  <w:tcBorders>
                    <w:tl2br w:val="nil"/>
                    <w:tr2bl w:val="nil"/>
                  </w:tcBorders>
                  <w:noWrap w:val="0"/>
                  <w:vAlign w:val="center"/>
                </w:tcPr>
                <w:p w14:paraId="7B4527A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200t/h</w:t>
                  </w:r>
                </w:p>
              </w:tc>
              <w:tc>
                <w:tcPr>
                  <w:tcW w:w="413" w:type="pct"/>
                  <w:tcBorders>
                    <w:tl2br w:val="nil"/>
                    <w:tr2bl w:val="nil"/>
                  </w:tcBorders>
                  <w:noWrap w:val="0"/>
                  <w:vAlign w:val="center"/>
                </w:tcPr>
                <w:p w14:paraId="162F14D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F66C16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排入雨水管网，依托现有</w:t>
                  </w:r>
                </w:p>
              </w:tc>
            </w:tr>
            <w:tr w14:paraId="54B40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04F4E2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5E04BA0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0CD9611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污水管网</w:t>
                  </w:r>
                </w:p>
              </w:tc>
              <w:tc>
                <w:tcPr>
                  <w:tcW w:w="714" w:type="pct"/>
                  <w:tcBorders>
                    <w:tl2br w:val="nil"/>
                    <w:tr2bl w:val="nil"/>
                  </w:tcBorders>
                  <w:noWrap w:val="0"/>
                  <w:vAlign w:val="center"/>
                </w:tcPr>
                <w:p w14:paraId="0D33849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100t/h</w:t>
                  </w:r>
                </w:p>
              </w:tc>
              <w:tc>
                <w:tcPr>
                  <w:tcW w:w="714" w:type="pct"/>
                  <w:tcBorders>
                    <w:tl2br w:val="nil"/>
                    <w:tr2bl w:val="nil"/>
                  </w:tcBorders>
                  <w:noWrap w:val="0"/>
                  <w:vAlign w:val="center"/>
                </w:tcPr>
                <w:p w14:paraId="5BFC415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100t/h</w:t>
                  </w:r>
                </w:p>
              </w:tc>
              <w:tc>
                <w:tcPr>
                  <w:tcW w:w="413" w:type="pct"/>
                  <w:tcBorders>
                    <w:tl2br w:val="nil"/>
                    <w:tr2bl w:val="nil"/>
                  </w:tcBorders>
                  <w:noWrap w:val="0"/>
                  <w:vAlign w:val="center"/>
                </w:tcPr>
                <w:p w14:paraId="23393A5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620E887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接管至江阴市利港污水处理有限公司集中处理，依托现有</w:t>
                  </w:r>
                </w:p>
              </w:tc>
            </w:tr>
            <w:tr w14:paraId="63D84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64F8084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2D683A3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柴油机备用消防泵房</w:t>
                  </w:r>
                </w:p>
              </w:tc>
              <w:tc>
                <w:tcPr>
                  <w:tcW w:w="714" w:type="pct"/>
                  <w:tcBorders>
                    <w:tl2br w:val="nil"/>
                    <w:tr2bl w:val="nil"/>
                  </w:tcBorders>
                  <w:noWrap w:val="0"/>
                  <w:vAlign w:val="center"/>
                </w:tcPr>
                <w:p w14:paraId="5ED94DE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172.14m</w:t>
                  </w:r>
                  <w:r>
                    <w:rPr>
                      <w:rFonts w:hint="default" w:ascii="Times New Roman" w:hAnsi="Times New Roman" w:eastAsia="宋体" w:cs="Times New Roman"/>
                      <w:color w:val="auto"/>
                      <w:sz w:val="18"/>
                      <w:szCs w:val="18"/>
                      <w:highlight w:val="none"/>
                      <w:vertAlign w:val="superscript"/>
                    </w:rPr>
                    <w:t>2</w:t>
                  </w:r>
                </w:p>
              </w:tc>
              <w:tc>
                <w:tcPr>
                  <w:tcW w:w="714" w:type="pct"/>
                  <w:tcBorders>
                    <w:tl2br w:val="nil"/>
                    <w:tr2bl w:val="nil"/>
                  </w:tcBorders>
                  <w:noWrap w:val="0"/>
                  <w:vAlign w:val="center"/>
                </w:tcPr>
                <w:p w14:paraId="7F1A983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172.14m</w:t>
                  </w:r>
                  <w:r>
                    <w:rPr>
                      <w:rFonts w:hint="default" w:ascii="Times New Roman" w:hAnsi="Times New Roman" w:eastAsia="宋体" w:cs="Times New Roman"/>
                      <w:color w:val="auto"/>
                      <w:sz w:val="18"/>
                      <w:szCs w:val="18"/>
                      <w:highlight w:val="none"/>
                      <w:vertAlign w:val="superscript"/>
                    </w:rPr>
                    <w:t>2</w:t>
                  </w:r>
                </w:p>
              </w:tc>
              <w:tc>
                <w:tcPr>
                  <w:tcW w:w="413" w:type="pct"/>
                  <w:tcBorders>
                    <w:tl2br w:val="nil"/>
                    <w:tr2bl w:val="nil"/>
                  </w:tcBorders>
                  <w:noWrap w:val="0"/>
                  <w:vAlign w:val="center"/>
                </w:tcPr>
                <w:p w14:paraId="0B14978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227B43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库区内停电时备用机组，现有，本项目不涉及</w:t>
                  </w:r>
                </w:p>
              </w:tc>
            </w:tr>
            <w:tr w14:paraId="58467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D87A06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27DF7C0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天然气</w:t>
                  </w:r>
                </w:p>
              </w:tc>
              <w:tc>
                <w:tcPr>
                  <w:tcW w:w="714" w:type="pct"/>
                  <w:tcBorders>
                    <w:tl2br w:val="nil"/>
                    <w:tr2bl w:val="nil"/>
                  </w:tcBorders>
                  <w:noWrap w:val="0"/>
                  <w:vAlign w:val="center"/>
                </w:tcPr>
                <w:p w14:paraId="035A87C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319.0973万m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w:t>
                  </w:r>
                </w:p>
              </w:tc>
              <w:tc>
                <w:tcPr>
                  <w:tcW w:w="714" w:type="pct"/>
                  <w:tcBorders>
                    <w:tl2br w:val="nil"/>
                    <w:tr2bl w:val="nil"/>
                  </w:tcBorders>
                  <w:noWrap w:val="0"/>
                  <w:vAlign w:val="center"/>
                </w:tcPr>
                <w:p w14:paraId="3DBA2E8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319.0973万m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/a</w:t>
                  </w:r>
                </w:p>
              </w:tc>
              <w:tc>
                <w:tcPr>
                  <w:tcW w:w="413" w:type="pct"/>
                  <w:tcBorders>
                    <w:tl2br w:val="nil"/>
                    <w:tr2bl w:val="nil"/>
                  </w:tcBorders>
                  <w:noWrap w:val="0"/>
                  <w:vAlign w:val="center"/>
                </w:tcPr>
                <w:p w14:paraId="30DB64F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C7144D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依托市政现有天然气管网，依托现有</w:t>
                  </w:r>
                </w:p>
              </w:tc>
            </w:tr>
            <w:tr w14:paraId="09832A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5FE6A92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7E2EC4D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氮气</w:t>
                  </w:r>
                </w:p>
              </w:tc>
              <w:tc>
                <w:tcPr>
                  <w:tcW w:w="714" w:type="pct"/>
                  <w:tcBorders>
                    <w:tl2br w:val="nil"/>
                    <w:tr2bl w:val="nil"/>
                  </w:tcBorders>
                  <w:noWrap w:val="0"/>
                  <w:vAlign w:val="center"/>
                </w:tcPr>
                <w:p w14:paraId="102B0B0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w:t>
                  </w:r>
                </w:p>
              </w:tc>
              <w:tc>
                <w:tcPr>
                  <w:tcW w:w="714" w:type="pct"/>
                  <w:tcBorders>
                    <w:tl2br w:val="nil"/>
                    <w:tr2bl w:val="nil"/>
                  </w:tcBorders>
                  <w:noWrap w:val="0"/>
                  <w:vAlign w:val="center"/>
                </w:tcPr>
                <w:p w14:paraId="2572F46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w:t>
                  </w:r>
                </w:p>
              </w:tc>
              <w:tc>
                <w:tcPr>
                  <w:tcW w:w="413" w:type="pct"/>
                  <w:tcBorders>
                    <w:tl2br w:val="nil"/>
                    <w:tr2bl w:val="nil"/>
                  </w:tcBorders>
                  <w:noWrap w:val="0"/>
                  <w:vAlign w:val="center"/>
                </w:tcPr>
                <w:p w14:paraId="3322485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15E1D0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库区内氮气站提供，依托现有</w:t>
                  </w:r>
                </w:p>
              </w:tc>
            </w:tr>
            <w:tr w14:paraId="0D5C10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467AB6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6A7FA3B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蒸汽</w:t>
                  </w:r>
                </w:p>
              </w:tc>
              <w:tc>
                <w:tcPr>
                  <w:tcW w:w="714" w:type="pct"/>
                  <w:tcBorders>
                    <w:tl2br w:val="nil"/>
                    <w:tr2bl w:val="nil"/>
                  </w:tcBorders>
                  <w:noWrap w:val="0"/>
                  <w:vAlign w:val="center"/>
                </w:tcPr>
                <w:p w14:paraId="0612CC3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DN150</w:t>
                  </w:r>
                </w:p>
              </w:tc>
              <w:tc>
                <w:tcPr>
                  <w:tcW w:w="714" w:type="pct"/>
                  <w:tcBorders>
                    <w:tl2br w:val="nil"/>
                    <w:tr2bl w:val="nil"/>
                  </w:tcBorders>
                  <w:noWrap w:val="0"/>
                  <w:vAlign w:val="center"/>
                </w:tcPr>
                <w:p w14:paraId="49817A6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DN150</w:t>
                  </w:r>
                </w:p>
              </w:tc>
              <w:tc>
                <w:tcPr>
                  <w:tcW w:w="413" w:type="pct"/>
                  <w:tcBorders>
                    <w:tl2br w:val="nil"/>
                    <w:tr2bl w:val="nil"/>
                  </w:tcBorders>
                  <w:noWrap w:val="0"/>
                  <w:vAlign w:val="center"/>
                </w:tcPr>
                <w:p w14:paraId="3CD75B3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D016BE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双良利士德供热站管网，依托现有</w:t>
                  </w:r>
                </w:p>
              </w:tc>
            </w:tr>
            <w:tr w14:paraId="32F81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4F909C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16B7C4C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供电系统</w:t>
                  </w:r>
                </w:p>
              </w:tc>
              <w:tc>
                <w:tcPr>
                  <w:tcW w:w="714" w:type="pct"/>
                  <w:tcBorders>
                    <w:tl2br w:val="nil"/>
                    <w:tr2bl w:val="nil"/>
                  </w:tcBorders>
                  <w:noWrap w:val="0"/>
                  <w:vAlign w:val="center"/>
                </w:tcPr>
                <w:p w14:paraId="62A16F6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4500KVA×1</w:t>
                  </w:r>
                </w:p>
              </w:tc>
              <w:tc>
                <w:tcPr>
                  <w:tcW w:w="714" w:type="pct"/>
                  <w:tcBorders>
                    <w:tl2br w:val="nil"/>
                    <w:tr2bl w:val="nil"/>
                  </w:tcBorders>
                  <w:noWrap w:val="0"/>
                  <w:vAlign w:val="center"/>
                </w:tcPr>
                <w:p w14:paraId="62880DE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4500KVA×1</w:t>
                  </w:r>
                </w:p>
              </w:tc>
              <w:tc>
                <w:tcPr>
                  <w:tcW w:w="413" w:type="pct"/>
                  <w:tcBorders>
                    <w:tl2br w:val="nil"/>
                    <w:tr2bl w:val="nil"/>
                  </w:tcBorders>
                  <w:noWrap w:val="0"/>
                  <w:vAlign w:val="center"/>
                </w:tcPr>
                <w:p w14:paraId="437CC01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0E31B3C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自备变压器，依托现有</w:t>
                  </w:r>
                </w:p>
              </w:tc>
            </w:tr>
            <w:tr w14:paraId="159FB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8E3B8C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508F01A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冷却塔</w:t>
                  </w:r>
                </w:p>
              </w:tc>
              <w:tc>
                <w:tcPr>
                  <w:tcW w:w="714" w:type="pct"/>
                  <w:tcBorders>
                    <w:tl2br w:val="nil"/>
                    <w:tr2bl w:val="nil"/>
                  </w:tcBorders>
                  <w:noWrap w:val="0"/>
                  <w:vAlign w:val="center"/>
                </w:tcPr>
                <w:p w14:paraId="7FA26D8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200t/h×2、</w:t>
                  </w:r>
                </w:p>
                <w:p w14:paraId="72CED42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89t/h×1、</w:t>
                  </w:r>
                </w:p>
                <w:p w14:paraId="3EDAAFA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125t/h×1、350t/h×1、</w:t>
                  </w:r>
                </w:p>
                <w:p w14:paraId="3EFCEB1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600t/h×1</w:t>
                  </w:r>
                </w:p>
              </w:tc>
              <w:tc>
                <w:tcPr>
                  <w:tcW w:w="714" w:type="pct"/>
                  <w:tcBorders>
                    <w:tl2br w:val="nil"/>
                    <w:tr2bl w:val="nil"/>
                  </w:tcBorders>
                  <w:noWrap w:val="0"/>
                  <w:vAlign w:val="center"/>
                </w:tcPr>
                <w:p w14:paraId="4B4B09B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200t/h×2、</w:t>
                  </w:r>
                </w:p>
                <w:p w14:paraId="33F91F2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89t/h×1、</w:t>
                  </w:r>
                </w:p>
                <w:p w14:paraId="05076EC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125t/h×1、350t/h×1、</w:t>
                  </w:r>
                </w:p>
                <w:p w14:paraId="2F1BD9C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600t/h×1</w:t>
                  </w:r>
                </w:p>
              </w:tc>
              <w:tc>
                <w:tcPr>
                  <w:tcW w:w="413" w:type="pct"/>
                  <w:tcBorders>
                    <w:tl2br w:val="nil"/>
                    <w:tr2bl w:val="nil"/>
                  </w:tcBorders>
                  <w:noWrap w:val="0"/>
                  <w:vAlign w:val="center"/>
                </w:tcPr>
                <w:p w14:paraId="7242625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F314AB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依托现有</w:t>
                  </w:r>
                </w:p>
              </w:tc>
            </w:tr>
            <w:tr w14:paraId="0D2C9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37F7D2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5F0F3E6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冷水机组</w:t>
                  </w:r>
                </w:p>
              </w:tc>
              <w:tc>
                <w:tcPr>
                  <w:tcW w:w="714" w:type="pct"/>
                  <w:tcBorders>
                    <w:tl2br w:val="nil"/>
                    <w:tr2bl w:val="nil"/>
                  </w:tcBorders>
                  <w:noWrap w:val="0"/>
                  <w:vAlign w:val="center"/>
                </w:tcPr>
                <w:p w14:paraId="426DB78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180万大卡/h</w:t>
                  </w:r>
                </w:p>
              </w:tc>
              <w:tc>
                <w:tcPr>
                  <w:tcW w:w="714" w:type="pct"/>
                  <w:tcBorders>
                    <w:tl2br w:val="nil"/>
                    <w:tr2bl w:val="nil"/>
                  </w:tcBorders>
                  <w:noWrap w:val="0"/>
                  <w:vAlign w:val="center"/>
                </w:tcPr>
                <w:p w14:paraId="2A7F6EA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180万大卡/h</w:t>
                  </w:r>
                </w:p>
              </w:tc>
              <w:tc>
                <w:tcPr>
                  <w:tcW w:w="413" w:type="pct"/>
                  <w:tcBorders>
                    <w:tl2br w:val="nil"/>
                    <w:tr2bl w:val="nil"/>
                  </w:tcBorders>
                  <w:noWrap w:val="0"/>
                  <w:vAlign w:val="center"/>
                </w:tcPr>
                <w:p w14:paraId="05407A7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0C6C3F0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依托现有</w:t>
                  </w:r>
                </w:p>
              </w:tc>
            </w:tr>
            <w:tr w14:paraId="59D73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restart"/>
                  <w:tcBorders>
                    <w:tl2br w:val="nil"/>
                    <w:tr2bl w:val="nil"/>
                  </w:tcBorders>
                  <w:noWrap w:val="0"/>
                  <w:vAlign w:val="center"/>
                </w:tcPr>
                <w:p w14:paraId="0ECDF57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环保工程</w:t>
                  </w:r>
                </w:p>
              </w:tc>
              <w:tc>
                <w:tcPr>
                  <w:tcW w:w="408" w:type="pct"/>
                  <w:vMerge w:val="restart"/>
                  <w:tcBorders>
                    <w:tl2br w:val="nil"/>
                    <w:tr2bl w:val="nil"/>
                  </w:tcBorders>
                  <w:noWrap w:val="0"/>
                  <w:vAlign w:val="center"/>
                </w:tcPr>
                <w:p w14:paraId="038F50A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废气处理</w:t>
                  </w:r>
                </w:p>
              </w:tc>
              <w:tc>
                <w:tcPr>
                  <w:tcW w:w="1153" w:type="pct"/>
                  <w:gridSpan w:val="2"/>
                  <w:tcBorders>
                    <w:tl2br w:val="nil"/>
                    <w:tr2bl w:val="nil"/>
                  </w:tcBorders>
                  <w:noWrap w:val="0"/>
                  <w:vAlign w:val="center"/>
                </w:tcPr>
                <w:p w14:paraId="4D81CD4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临氧裂解装置</w:t>
                  </w:r>
                </w:p>
              </w:tc>
              <w:tc>
                <w:tcPr>
                  <w:tcW w:w="714" w:type="pct"/>
                  <w:tcBorders>
                    <w:tl2br w:val="nil"/>
                    <w:tr2bl w:val="nil"/>
                  </w:tcBorders>
                  <w:noWrap w:val="0"/>
                  <w:vAlign w:val="center"/>
                </w:tcPr>
                <w:p w14:paraId="1699C3F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32CFF68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73EC4EC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0F247B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用于处理现有罐区、装车台、洗舱站船舱惰化、槽罐车清洗废气，尾气通过1根20米的排气筒DA001排放，备用</w:t>
                  </w:r>
                </w:p>
              </w:tc>
            </w:tr>
            <w:tr w14:paraId="2DF41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7107D15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431DC38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2ECF647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水洗塔</w:t>
                  </w:r>
                </w:p>
              </w:tc>
              <w:tc>
                <w:tcPr>
                  <w:tcW w:w="714" w:type="pct"/>
                  <w:tcBorders>
                    <w:tl2br w:val="nil"/>
                    <w:tr2bl w:val="nil"/>
                  </w:tcBorders>
                  <w:noWrap w:val="0"/>
                  <w:vAlign w:val="center"/>
                </w:tcPr>
                <w:p w14:paraId="1328956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7A1AAC6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1DEEC4D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867924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用于沥青废气的预处理，现有，本项目不涉及</w:t>
                  </w:r>
                </w:p>
              </w:tc>
            </w:tr>
            <w:tr w14:paraId="782EA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9C5F87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FD782B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08D2ACD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乙醇胺水洗装置</w:t>
                  </w:r>
                </w:p>
              </w:tc>
              <w:tc>
                <w:tcPr>
                  <w:tcW w:w="714" w:type="pct"/>
                  <w:tcBorders>
                    <w:tl2br w:val="nil"/>
                    <w:tr2bl w:val="nil"/>
                  </w:tcBorders>
                  <w:noWrap w:val="0"/>
                  <w:vAlign w:val="center"/>
                </w:tcPr>
                <w:p w14:paraId="60CD8E2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48EC07A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160m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11ED301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F4DB33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用于丙酸、丙烯酸甲酯废气的预处理，现有，本项目不涉及</w:t>
                  </w:r>
                </w:p>
              </w:tc>
            </w:tr>
            <w:tr w14:paraId="1459F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558160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3926B34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4F1C154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-5℃冷凝装置</w:t>
                  </w:r>
                </w:p>
              </w:tc>
              <w:tc>
                <w:tcPr>
                  <w:tcW w:w="714" w:type="pct"/>
                  <w:tcBorders>
                    <w:tl2br w:val="nil"/>
                    <w:tr2bl w:val="nil"/>
                  </w:tcBorders>
                  <w:noWrap w:val="0"/>
                  <w:vAlign w:val="center"/>
                </w:tcPr>
                <w:p w14:paraId="695B605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23832B8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29E382E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7734F63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用于环氧丙烷球罐、丙酸、丙烯酸甲酯、苯乙烯、柴油、工业油脂、高芳烃油、洗舱站船舱惰化废气的预处理，现有，本项目</w:t>
                  </w:r>
                  <w:r>
                    <w:rPr>
                      <w:rFonts w:hint="eastAsia" w:ascii="Times New Roman" w:hAnsi="Times New Roman" w:eastAsia="宋体" w:cs="Times New Roman"/>
                      <w:color w:val="auto"/>
                      <w:sz w:val="18"/>
                      <w:szCs w:val="18"/>
                      <w:highlight w:val="none"/>
                      <w:lang w:val="en-US" w:eastAsia="zh-CN"/>
                    </w:rPr>
                    <w:t>依托</w:t>
                  </w:r>
                </w:p>
              </w:tc>
            </w:tr>
            <w:tr w14:paraId="213E5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1DFD83C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455278E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508D698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碱喷淋</w:t>
                  </w:r>
                </w:p>
              </w:tc>
              <w:tc>
                <w:tcPr>
                  <w:tcW w:w="714" w:type="pct"/>
                  <w:tcBorders>
                    <w:tl2br w:val="nil"/>
                    <w:tr2bl w:val="nil"/>
                  </w:tcBorders>
                  <w:noWrap w:val="0"/>
                  <w:vAlign w:val="center"/>
                </w:tcPr>
                <w:p w14:paraId="22D9679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59D47E0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5B90313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3CD477A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用于处理污水站废气，尾气通过1根15米的排气筒DA003排放，现有，本项目不涉及</w:t>
                  </w:r>
                </w:p>
              </w:tc>
            </w:tr>
            <w:tr w14:paraId="45A10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0F7A1A0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7EC0EA3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7C0F105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深冷装置</w:t>
                  </w:r>
                </w:p>
              </w:tc>
              <w:tc>
                <w:tcPr>
                  <w:tcW w:w="714" w:type="pct"/>
                  <w:tcBorders>
                    <w:tl2br w:val="nil"/>
                    <w:tr2bl w:val="nil"/>
                  </w:tcBorders>
                  <w:noWrap w:val="0"/>
                  <w:vAlign w:val="center"/>
                </w:tcPr>
                <w:p w14:paraId="6E05557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2E4BF86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1E5348D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7D7669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用于环氧丙烷球罐、洗舱站船舱惰化废气的预处理，现有，本项目不涉及</w:t>
                  </w:r>
                </w:p>
              </w:tc>
            </w:tr>
            <w:tr w14:paraId="7EB69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184E4C3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3251FC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3C20017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催化氧化装置</w:t>
                  </w:r>
                </w:p>
              </w:tc>
              <w:tc>
                <w:tcPr>
                  <w:tcW w:w="714" w:type="pct"/>
                  <w:tcBorders>
                    <w:tl2br w:val="nil"/>
                    <w:tr2bl w:val="nil"/>
                  </w:tcBorders>
                  <w:noWrap w:val="0"/>
                  <w:vAlign w:val="center"/>
                </w:tcPr>
                <w:p w14:paraId="6E493FE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7518B22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208FA0A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11314B5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用于处理全厂废气（罐区、装车台、洗舱站船舱惰化、槽罐车清洗、危废仓库废气），尾气通过1根20米的排气筒DA001排放，依托现有</w:t>
                  </w:r>
                </w:p>
              </w:tc>
            </w:tr>
            <w:tr w14:paraId="5EDFC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6CBD43E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A57BEB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302F45A6">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714" w:type="pct"/>
                  <w:tcBorders>
                    <w:tl2br w:val="nil"/>
                    <w:tr2bl w:val="nil"/>
                  </w:tcBorders>
                  <w:noWrap w:val="0"/>
                  <w:vAlign w:val="center"/>
                </w:tcPr>
                <w:p w14:paraId="0BDECA8C">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43C7BF2A">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64F83170">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62C962B4">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锅炉天然气燃烧废气经15米高排气筒DA002排放，现有</w:t>
                  </w:r>
                </w:p>
              </w:tc>
            </w:tr>
            <w:tr w14:paraId="52B27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201C977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74E8287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72F771D2">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喷淋塔+除雾装置+RTO蓄热式焚烧炉</w:t>
                  </w:r>
                </w:p>
              </w:tc>
              <w:tc>
                <w:tcPr>
                  <w:tcW w:w="714" w:type="pct"/>
                  <w:tcBorders>
                    <w:tl2br w:val="nil"/>
                    <w:tr2bl w:val="nil"/>
                  </w:tcBorders>
                  <w:noWrap w:val="0"/>
                  <w:vAlign w:val="center"/>
                </w:tcPr>
                <w:p w14:paraId="5D7EF6F1">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714" w:type="pct"/>
                  <w:tcBorders>
                    <w:tl2br w:val="nil"/>
                    <w:tr2bl w:val="nil"/>
                  </w:tcBorders>
                  <w:noWrap w:val="0"/>
                  <w:vAlign w:val="center"/>
                </w:tcPr>
                <w:p w14:paraId="50E1F0B0">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25000m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/h×1</w:t>
                  </w:r>
                </w:p>
              </w:tc>
              <w:tc>
                <w:tcPr>
                  <w:tcW w:w="413" w:type="pct"/>
                  <w:tcBorders>
                    <w:tl2br w:val="nil"/>
                    <w:tr2bl w:val="nil"/>
                  </w:tcBorders>
                  <w:noWrap w:val="0"/>
                  <w:vAlign w:val="center"/>
                </w:tcPr>
                <w:p w14:paraId="6C99D850">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B515486">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油脂项目废气经喷淋塔+除雾装置+RTO蓄热式焚烧炉处理后，经一根15m高排气筒（DA004）排放</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现有，本项目不涉及</w:t>
                  </w:r>
                </w:p>
              </w:tc>
            </w:tr>
            <w:tr w14:paraId="72763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E3D460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0994604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0C54EAB1">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低氮燃烧</w:t>
                  </w:r>
                </w:p>
              </w:tc>
              <w:tc>
                <w:tcPr>
                  <w:tcW w:w="714" w:type="pct"/>
                  <w:tcBorders>
                    <w:tl2br w:val="nil"/>
                    <w:tr2bl w:val="nil"/>
                  </w:tcBorders>
                  <w:noWrap w:val="0"/>
                  <w:vAlign w:val="center"/>
                </w:tcPr>
                <w:p w14:paraId="16869860">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714" w:type="pct"/>
                  <w:tcBorders>
                    <w:tl2br w:val="nil"/>
                    <w:tr2bl w:val="nil"/>
                  </w:tcBorders>
                  <w:noWrap w:val="0"/>
                  <w:vAlign w:val="center"/>
                </w:tcPr>
                <w:p w14:paraId="4C0A3044">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413" w:type="pct"/>
                  <w:tcBorders>
                    <w:tl2br w:val="nil"/>
                    <w:tr2bl w:val="nil"/>
                  </w:tcBorders>
                  <w:noWrap w:val="0"/>
                  <w:vAlign w:val="center"/>
                </w:tcPr>
                <w:p w14:paraId="40A4C508">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7CFA2697">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燃气导热油炉废气经低氮燃烧后，分别经3根15高排气筒（DA005、DA006、DA007）排放</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现有，本项目不涉及</w:t>
                  </w:r>
                </w:p>
              </w:tc>
            </w:tr>
            <w:tr w14:paraId="4B21C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28CBB0C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59811FE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32E26D37">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除雾器</w:t>
                  </w:r>
                </w:p>
              </w:tc>
              <w:tc>
                <w:tcPr>
                  <w:tcW w:w="714" w:type="pct"/>
                  <w:tcBorders>
                    <w:tl2br w:val="nil"/>
                    <w:tr2bl w:val="nil"/>
                  </w:tcBorders>
                  <w:noWrap w:val="0"/>
                  <w:vAlign w:val="center"/>
                </w:tcPr>
                <w:p w14:paraId="65336060">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714" w:type="pct"/>
                  <w:tcBorders>
                    <w:tl2br w:val="nil"/>
                    <w:tr2bl w:val="nil"/>
                  </w:tcBorders>
                  <w:noWrap w:val="0"/>
                  <w:vAlign w:val="center"/>
                </w:tcPr>
                <w:p w14:paraId="4E218C0E">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413" w:type="pct"/>
                  <w:tcBorders>
                    <w:tl2br w:val="nil"/>
                    <w:tr2bl w:val="nil"/>
                  </w:tcBorders>
                  <w:noWrap w:val="0"/>
                  <w:vAlign w:val="center"/>
                </w:tcPr>
                <w:p w14:paraId="7087B522">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25EA5DE">
                  <w:pPr>
                    <w:pStyle w:val="43"/>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用于去除收集的废气中的蒸汽以及水汽</w:t>
                  </w:r>
                </w:p>
              </w:tc>
            </w:tr>
            <w:tr w14:paraId="564D0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FC2A64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tcBorders>
                    <w:tl2br w:val="nil"/>
                    <w:tr2bl w:val="nil"/>
                  </w:tcBorders>
                  <w:noWrap w:val="0"/>
                  <w:vAlign w:val="center"/>
                </w:tcPr>
                <w:p w14:paraId="400CB1E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w:t>
                  </w:r>
                </w:p>
              </w:tc>
              <w:tc>
                <w:tcPr>
                  <w:tcW w:w="1153" w:type="pct"/>
                  <w:gridSpan w:val="2"/>
                  <w:tcBorders>
                    <w:tl2br w:val="nil"/>
                    <w:tr2bl w:val="nil"/>
                  </w:tcBorders>
                  <w:noWrap w:val="0"/>
                  <w:vAlign w:val="center"/>
                </w:tcPr>
                <w:p w14:paraId="55B0BD9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噪声治理工程</w:t>
                  </w:r>
                </w:p>
              </w:tc>
              <w:tc>
                <w:tcPr>
                  <w:tcW w:w="714" w:type="pct"/>
                  <w:tcBorders>
                    <w:tl2br w:val="nil"/>
                    <w:tr2bl w:val="nil"/>
                  </w:tcBorders>
                  <w:noWrap w:val="0"/>
                  <w:vAlign w:val="center"/>
                </w:tcPr>
                <w:p w14:paraId="7CB234C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厂房隔声</w:t>
                  </w:r>
                </w:p>
              </w:tc>
              <w:tc>
                <w:tcPr>
                  <w:tcW w:w="714" w:type="pct"/>
                  <w:tcBorders>
                    <w:tl2br w:val="nil"/>
                    <w:tr2bl w:val="nil"/>
                  </w:tcBorders>
                  <w:noWrap w:val="0"/>
                  <w:vAlign w:val="center"/>
                </w:tcPr>
                <w:p w14:paraId="25A982C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厂房隔声</w:t>
                  </w:r>
                </w:p>
              </w:tc>
              <w:tc>
                <w:tcPr>
                  <w:tcW w:w="413" w:type="pct"/>
                  <w:tcBorders>
                    <w:tl2br w:val="nil"/>
                    <w:tr2bl w:val="nil"/>
                  </w:tcBorders>
                  <w:noWrap w:val="0"/>
                  <w:vAlign w:val="center"/>
                </w:tcPr>
                <w:p w14:paraId="42AA510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0B9B0E2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厂界达标</w:t>
                  </w:r>
                </w:p>
              </w:tc>
            </w:tr>
            <w:tr w14:paraId="192F6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27612A0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restart"/>
                  <w:tcBorders>
                    <w:tl2br w:val="nil"/>
                    <w:tr2bl w:val="nil"/>
                  </w:tcBorders>
                  <w:noWrap w:val="0"/>
                  <w:vAlign w:val="center"/>
                </w:tcPr>
                <w:p w14:paraId="78621EB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废水处理</w:t>
                  </w:r>
                </w:p>
              </w:tc>
              <w:tc>
                <w:tcPr>
                  <w:tcW w:w="1153" w:type="pct"/>
                  <w:gridSpan w:val="2"/>
                  <w:tcBorders>
                    <w:tl2br w:val="nil"/>
                    <w:tr2bl w:val="nil"/>
                  </w:tcBorders>
                  <w:noWrap w:val="0"/>
                  <w:vAlign w:val="center"/>
                </w:tcPr>
                <w:p w14:paraId="6AE4A5B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化粪池</w:t>
                  </w:r>
                </w:p>
              </w:tc>
              <w:tc>
                <w:tcPr>
                  <w:tcW w:w="714" w:type="pct"/>
                  <w:tcBorders>
                    <w:tl2br w:val="nil"/>
                    <w:tr2bl w:val="nil"/>
                  </w:tcBorders>
                  <w:noWrap w:val="0"/>
                  <w:vAlign w:val="center"/>
                </w:tcPr>
                <w:p w14:paraId="1AEFDC6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10m</w:t>
                  </w:r>
                  <w:r>
                    <w:rPr>
                      <w:rFonts w:hint="default" w:ascii="Times New Roman" w:hAnsi="Times New Roman" w:eastAsia="宋体" w:cs="Times New Roman"/>
                      <w:color w:val="auto"/>
                      <w:sz w:val="18"/>
                      <w:szCs w:val="18"/>
                      <w:highlight w:val="none"/>
                      <w:vertAlign w:val="superscript"/>
                    </w:rPr>
                    <w:t>3</w:t>
                  </w:r>
                </w:p>
              </w:tc>
              <w:tc>
                <w:tcPr>
                  <w:tcW w:w="714" w:type="pct"/>
                  <w:tcBorders>
                    <w:tl2br w:val="nil"/>
                    <w:tr2bl w:val="nil"/>
                  </w:tcBorders>
                  <w:noWrap w:val="0"/>
                  <w:vAlign w:val="center"/>
                </w:tcPr>
                <w:p w14:paraId="78F7808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10m</w:t>
                  </w:r>
                  <w:r>
                    <w:rPr>
                      <w:rFonts w:hint="default" w:ascii="Times New Roman" w:hAnsi="Times New Roman" w:eastAsia="宋体" w:cs="Times New Roman"/>
                      <w:color w:val="auto"/>
                      <w:sz w:val="18"/>
                      <w:szCs w:val="18"/>
                      <w:highlight w:val="none"/>
                      <w:vertAlign w:val="superscript"/>
                    </w:rPr>
                    <w:t>3</w:t>
                  </w:r>
                </w:p>
              </w:tc>
              <w:tc>
                <w:tcPr>
                  <w:tcW w:w="413" w:type="pct"/>
                  <w:tcBorders>
                    <w:tl2br w:val="nil"/>
                    <w:tr2bl w:val="nil"/>
                  </w:tcBorders>
                  <w:noWrap w:val="0"/>
                  <w:vAlign w:val="center"/>
                </w:tcPr>
                <w:p w14:paraId="30317AC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1B052AF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简单生化处理，污水接管至江阴利港污水处理有限公司，依托现有</w:t>
                  </w:r>
                </w:p>
              </w:tc>
            </w:tr>
            <w:tr w14:paraId="7787A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1ABA47F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7E36F7C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336" w:type="pct"/>
                  <w:tcBorders>
                    <w:tl2br w:val="nil"/>
                    <w:tr2bl w:val="nil"/>
                  </w:tcBorders>
                  <w:noWrap w:val="0"/>
                  <w:vAlign w:val="center"/>
                </w:tcPr>
                <w:p w14:paraId="6DBF93C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废水处理站1</w:t>
                  </w:r>
                </w:p>
              </w:tc>
              <w:tc>
                <w:tcPr>
                  <w:tcW w:w="817" w:type="pct"/>
                  <w:tcBorders>
                    <w:tl2br w:val="nil"/>
                    <w:tr2bl w:val="nil"/>
                  </w:tcBorders>
                  <w:noWrap w:val="0"/>
                  <w:vAlign w:val="center"/>
                </w:tcPr>
                <w:p w14:paraId="73017FC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调节池-预曝气-微电解-絮凝沉淀-一级氧化-二级氧化-斜管沉淀池-生物滤池</w:t>
                  </w:r>
                </w:p>
              </w:tc>
              <w:tc>
                <w:tcPr>
                  <w:tcW w:w="714" w:type="pct"/>
                  <w:tcBorders>
                    <w:tl2br w:val="nil"/>
                    <w:tr2bl w:val="nil"/>
                  </w:tcBorders>
                  <w:noWrap w:val="0"/>
                  <w:vAlign w:val="center"/>
                </w:tcPr>
                <w:p w14:paraId="74645F7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240t/d×1</w:t>
                  </w:r>
                </w:p>
              </w:tc>
              <w:tc>
                <w:tcPr>
                  <w:tcW w:w="714" w:type="pct"/>
                  <w:tcBorders>
                    <w:tl2br w:val="nil"/>
                    <w:tr2bl w:val="nil"/>
                  </w:tcBorders>
                  <w:noWrap w:val="0"/>
                  <w:vAlign w:val="center"/>
                </w:tcPr>
                <w:p w14:paraId="438C4B4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240t/d×1</w:t>
                  </w:r>
                </w:p>
              </w:tc>
              <w:tc>
                <w:tcPr>
                  <w:tcW w:w="413" w:type="pct"/>
                  <w:tcBorders>
                    <w:tl2br w:val="nil"/>
                    <w:tr2bl w:val="nil"/>
                  </w:tcBorders>
                  <w:noWrap w:val="0"/>
                  <w:vAlign w:val="center"/>
                </w:tcPr>
                <w:p w14:paraId="36F1D61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E48030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yellow"/>
                      <w:lang w:eastAsia="zh-CN"/>
                    </w:rPr>
                  </w:pPr>
                  <w:r>
                    <w:rPr>
                      <w:rFonts w:hint="default" w:ascii="Times New Roman" w:hAnsi="Times New Roman" w:eastAsia="宋体" w:cs="Times New Roman"/>
                      <w:color w:val="auto"/>
                      <w:sz w:val="18"/>
                      <w:szCs w:val="18"/>
                      <w:highlight w:val="none"/>
                    </w:rPr>
                    <w:t>用于处理初期雨水、罐区及码头冲洗水、洗罐废水、机修废水、槽罐车清洗废水、沥青废气处理喷淋废水，依托现有</w:t>
                  </w:r>
                </w:p>
              </w:tc>
            </w:tr>
            <w:tr w14:paraId="65AA4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F950A6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7CBA749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336" w:type="pct"/>
                  <w:tcBorders>
                    <w:tl2br w:val="nil"/>
                    <w:tr2bl w:val="nil"/>
                  </w:tcBorders>
                  <w:noWrap w:val="0"/>
                  <w:vAlign w:val="center"/>
                </w:tcPr>
                <w:p w14:paraId="639CAE9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废水处理站2</w:t>
                  </w:r>
                </w:p>
              </w:tc>
              <w:tc>
                <w:tcPr>
                  <w:tcW w:w="817" w:type="pct"/>
                  <w:tcBorders>
                    <w:tl2br w:val="nil"/>
                    <w:tr2bl w:val="nil"/>
                  </w:tcBorders>
                  <w:noWrap w:val="0"/>
                  <w:vAlign w:val="center"/>
                </w:tcPr>
                <w:p w14:paraId="72092C3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调节池-预处理-AOM生物膜-MBR池-精密过滤-RO装置-三效蒸发</w:t>
                  </w:r>
                </w:p>
              </w:tc>
              <w:tc>
                <w:tcPr>
                  <w:tcW w:w="714" w:type="pct"/>
                  <w:tcBorders>
                    <w:tl2br w:val="nil"/>
                    <w:tr2bl w:val="nil"/>
                  </w:tcBorders>
                  <w:noWrap w:val="0"/>
                  <w:vAlign w:val="center"/>
                </w:tcPr>
                <w:p w14:paraId="13977AB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r>
                    <w:rPr>
                      <w:rFonts w:hint="eastAsia" w:ascii="Times New Roman" w:hAnsi="Times New Roman" w:eastAsia="宋体" w:cs="Times New Roman"/>
                      <w:color w:val="auto"/>
                      <w:sz w:val="18"/>
                      <w:szCs w:val="18"/>
                      <w:highlight w:val="none"/>
                      <w:lang w:val="en-US" w:eastAsia="zh-CN"/>
                    </w:rPr>
                    <w:t>5</w:t>
                  </w:r>
                  <w:r>
                    <w:rPr>
                      <w:rFonts w:hint="default" w:ascii="Times New Roman" w:hAnsi="Times New Roman" w:eastAsia="宋体" w:cs="Times New Roman"/>
                      <w:color w:val="auto"/>
                      <w:sz w:val="18"/>
                      <w:szCs w:val="18"/>
                      <w:highlight w:val="none"/>
                    </w:rPr>
                    <w:t>0t/d×1</w:t>
                  </w:r>
                </w:p>
              </w:tc>
              <w:tc>
                <w:tcPr>
                  <w:tcW w:w="714" w:type="pct"/>
                  <w:tcBorders>
                    <w:tl2br w:val="nil"/>
                    <w:tr2bl w:val="nil"/>
                  </w:tcBorders>
                  <w:noWrap w:val="0"/>
                  <w:vAlign w:val="center"/>
                </w:tcPr>
                <w:p w14:paraId="0543B90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15</w:t>
                  </w:r>
                  <w:r>
                    <w:rPr>
                      <w:rFonts w:hint="default" w:ascii="Times New Roman" w:hAnsi="Times New Roman" w:eastAsia="宋体" w:cs="Times New Roman"/>
                      <w:color w:val="auto"/>
                      <w:sz w:val="18"/>
                      <w:szCs w:val="18"/>
                      <w:highlight w:val="none"/>
                    </w:rPr>
                    <w:t>0t/d×1</w:t>
                  </w:r>
                </w:p>
              </w:tc>
              <w:tc>
                <w:tcPr>
                  <w:tcW w:w="413" w:type="pct"/>
                  <w:tcBorders>
                    <w:tl2br w:val="nil"/>
                    <w:tr2bl w:val="nil"/>
                  </w:tcBorders>
                  <w:noWrap w:val="0"/>
                  <w:vAlign w:val="center"/>
                </w:tcPr>
                <w:p w14:paraId="135CED3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4662CB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rPr>
                    <w:t>用于处理洗舱站（油船蒸舱、化工品船蒸舱、油船洗舱、化工品船洗舱）废水，现有，本项目不涉及</w:t>
                  </w:r>
                </w:p>
              </w:tc>
            </w:tr>
            <w:tr w14:paraId="2C20A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E3DFC3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53785B8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3C94953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Y型过滤器</w:t>
                  </w:r>
                </w:p>
              </w:tc>
              <w:tc>
                <w:tcPr>
                  <w:tcW w:w="714" w:type="pct"/>
                  <w:tcBorders>
                    <w:tl2br w:val="nil"/>
                    <w:tr2bl w:val="nil"/>
                  </w:tcBorders>
                  <w:noWrap w:val="0"/>
                  <w:vAlign w:val="center"/>
                </w:tcPr>
                <w:p w14:paraId="45C23C8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30目×2</w:t>
                  </w:r>
                </w:p>
              </w:tc>
              <w:tc>
                <w:tcPr>
                  <w:tcW w:w="714" w:type="pct"/>
                  <w:tcBorders>
                    <w:tl2br w:val="nil"/>
                    <w:tr2bl w:val="nil"/>
                  </w:tcBorders>
                  <w:noWrap w:val="0"/>
                  <w:vAlign w:val="center"/>
                </w:tcPr>
                <w:p w14:paraId="006D7F7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30目×2</w:t>
                  </w:r>
                </w:p>
              </w:tc>
              <w:tc>
                <w:tcPr>
                  <w:tcW w:w="413" w:type="pct"/>
                  <w:tcBorders>
                    <w:tl2br w:val="nil"/>
                    <w:tr2bl w:val="nil"/>
                  </w:tcBorders>
                  <w:noWrap w:val="0"/>
                  <w:vAlign w:val="center"/>
                </w:tcPr>
                <w:p w14:paraId="5E26E98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769653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用于处理油脂项目初期雨水和地面冲洗水，现有，本项目不涉及</w:t>
                  </w:r>
                </w:p>
              </w:tc>
            </w:tr>
            <w:tr w14:paraId="44180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18" w:hRule="atLeast"/>
                <w:jc w:val="center"/>
              </w:trPr>
              <w:tc>
                <w:tcPr>
                  <w:tcW w:w="322" w:type="pct"/>
                  <w:vMerge w:val="continue"/>
                  <w:tcBorders>
                    <w:tl2br w:val="nil"/>
                    <w:tr2bl w:val="nil"/>
                  </w:tcBorders>
                  <w:noWrap w:val="0"/>
                  <w:vAlign w:val="center"/>
                </w:tcPr>
                <w:p w14:paraId="48791A1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7C55618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tcBorders>
                    <w:tl2br w:val="nil"/>
                    <w:tr2bl w:val="nil"/>
                  </w:tcBorders>
                  <w:noWrap w:val="0"/>
                  <w:vAlign w:val="center"/>
                </w:tcPr>
                <w:p w14:paraId="56FF9D7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二级RO反渗透装置</w:t>
                  </w:r>
                </w:p>
              </w:tc>
              <w:tc>
                <w:tcPr>
                  <w:tcW w:w="714" w:type="pct"/>
                  <w:tcBorders>
                    <w:tl2br w:val="nil"/>
                    <w:tr2bl w:val="nil"/>
                  </w:tcBorders>
                  <w:noWrap w:val="0"/>
                  <w:vAlign w:val="center"/>
                </w:tcPr>
                <w:p w14:paraId="6B6FBCE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1.5t/h×1，2t/h×1</w:t>
                  </w:r>
                </w:p>
              </w:tc>
              <w:tc>
                <w:tcPr>
                  <w:tcW w:w="714" w:type="pct"/>
                  <w:tcBorders>
                    <w:tl2br w:val="nil"/>
                    <w:tr2bl w:val="nil"/>
                  </w:tcBorders>
                  <w:noWrap w:val="0"/>
                  <w:vAlign w:val="center"/>
                </w:tcPr>
                <w:p w14:paraId="1809BAD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1.5t/h×1，2t/h×1</w:t>
                  </w:r>
                </w:p>
              </w:tc>
              <w:tc>
                <w:tcPr>
                  <w:tcW w:w="413" w:type="pct"/>
                  <w:tcBorders>
                    <w:tl2br w:val="nil"/>
                    <w:tr2bl w:val="nil"/>
                  </w:tcBorders>
                  <w:noWrap w:val="0"/>
                  <w:vAlign w:val="center"/>
                </w:tcPr>
                <w:p w14:paraId="54E5E50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B714F9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用于处理油脂项目冷却塔定期排水，经处理后用于冷却塔补水，现有，本项目不涉及</w:t>
                  </w:r>
                </w:p>
              </w:tc>
            </w:tr>
            <w:tr w14:paraId="5D7068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D8571C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75BBEE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336" w:type="pct"/>
                  <w:vMerge w:val="restart"/>
                  <w:tcBorders>
                    <w:tl2br w:val="nil"/>
                    <w:tr2bl w:val="nil"/>
                  </w:tcBorders>
                  <w:noWrap w:val="0"/>
                  <w:vAlign w:val="center"/>
                </w:tcPr>
                <w:p w14:paraId="16FF298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油污水上岸集中处理</w:t>
                  </w:r>
                </w:p>
              </w:tc>
              <w:tc>
                <w:tcPr>
                  <w:tcW w:w="817" w:type="pct"/>
                  <w:tcBorders>
                    <w:tl2br w:val="nil"/>
                    <w:tr2bl w:val="nil"/>
                  </w:tcBorders>
                  <w:noWrap w:val="0"/>
                  <w:vAlign w:val="center"/>
                </w:tcPr>
                <w:p w14:paraId="01F0336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油污水收集罐</w:t>
                  </w:r>
                </w:p>
              </w:tc>
              <w:tc>
                <w:tcPr>
                  <w:tcW w:w="714" w:type="pct"/>
                  <w:tcBorders>
                    <w:tl2br w:val="nil"/>
                    <w:tr2bl w:val="nil"/>
                  </w:tcBorders>
                  <w:noWrap w:val="0"/>
                  <w:vAlign w:val="center"/>
                </w:tcPr>
                <w:p w14:paraId="38E00B6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714" w:type="pct"/>
                  <w:tcBorders>
                    <w:tl2br w:val="nil"/>
                    <w:tr2bl w:val="nil"/>
                  </w:tcBorders>
                  <w:noWrap w:val="0"/>
                  <w:vAlign w:val="center"/>
                </w:tcPr>
                <w:p w14:paraId="6A316B8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413" w:type="pct"/>
                  <w:tcBorders>
                    <w:tl2br w:val="nil"/>
                    <w:tr2bl w:val="nil"/>
                  </w:tcBorders>
                  <w:noWrap w:val="0"/>
                  <w:vAlign w:val="center"/>
                </w:tcPr>
                <w:p w14:paraId="2BAF677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3E8ECE0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用于油污水收集，现有，本项目不涉及</w:t>
                  </w:r>
                </w:p>
              </w:tc>
            </w:tr>
            <w:tr w14:paraId="0917D8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DC7BD6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169BF17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336" w:type="pct"/>
                  <w:vMerge w:val="continue"/>
                  <w:tcBorders>
                    <w:tl2br w:val="nil"/>
                    <w:tr2bl w:val="nil"/>
                  </w:tcBorders>
                  <w:noWrap w:val="0"/>
                  <w:vAlign w:val="center"/>
                </w:tcPr>
                <w:p w14:paraId="2556DA82">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817" w:type="pct"/>
                  <w:tcBorders>
                    <w:tl2br w:val="nil"/>
                    <w:tr2bl w:val="nil"/>
                  </w:tcBorders>
                  <w:noWrap w:val="0"/>
                  <w:vAlign w:val="center"/>
                </w:tcPr>
                <w:p w14:paraId="41A46D2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油污水预分离罐</w:t>
                  </w:r>
                </w:p>
              </w:tc>
              <w:tc>
                <w:tcPr>
                  <w:tcW w:w="714" w:type="pct"/>
                  <w:tcBorders>
                    <w:tl2br w:val="nil"/>
                    <w:tr2bl w:val="nil"/>
                  </w:tcBorders>
                  <w:noWrap w:val="0"/>
                  <w:vAlign w:val="center"/>
                </w:tcPr>
                <w:p w14:paraId="1D87E6F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714" w:type="pct"/>
                  <w:tcBorders>
                    <w:tl2br w:val="nil"/>
                    <w:tr2bl w:val="nil"/>
                  </w:tcBorders>
                  <w:noWrap w:val="0"/>
                  <w:vAlign w:val="center"/>
                </w:tcPr>
                <w:p w14:paraId="61B148B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413" w:type="pct"/>
                  <w:tcBorders>
                    <w:tl2br w:val="nil"/>
                    <w:tr2bl w:val="nil"/>
                  </w:tcBorders>
                  <w:noWrap w:val="0"/>
                  <w:vAlign w:val="center"/>
                </w:tcPr>
                <w:p w14:paraId="03588BB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BD1068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用于油污水预分离，现有，本项目不涉及</w:t>
                  </w:r>
                </w:p>
              </w:tc>
            </w:tr>
            <w:tr w14:paraId="1F56F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023F75A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180E870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336" w:type="pct"/>
                  <w:vMerge w:val="continue"/>
                  <w:tcBorders>
                    <w:tl2br w:val="nil"/>
                    <w:tr2bl w:val="nil"/>
                  </w:tcBorders>
                  <w:noWrap w:val="0"/>
                  <w:vAlign w:val="center"/>
                </w:tcPr>
                <w:p w14:paraId="74FB0C7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817" w:type="pct"/>
                  <w:tcBorders>
                    <w:tl2br w:val="nil"/>
                    <w:tr2bl w:val="nil"/>
                  </w:tcBorders>
                  <w:noWrap w:val="0"/>
                  <w:vAlign w:val="center"/>
                </w:tcPr>
                <w:p w14:paraId="276816B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待处理污水收集罐</w:t>
                  </w:r>
                </w:p>
              </w:tc>
              <w:tc>
                <w:tcPr>
                  <w:tcW w:w="714" w:type="pct"/>
                  <w:tcBorders>
                    <w:tl2br w:val="nil"/>
                    <w:tr2bl w:val="nil"/>
                  </w:tcBorders>
                  <w:noWrap w:val="0"/>
                  <w:vAlign w:val="center"/>
                </w:tcPr>
                <w:p w14:paraId="6991409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×4</w:t>
                  </w:r>
                </w:p>
              </w:tc>
              <w:tc>
                <w:tcPr>
                  <w:tcW w:w="714" w:type="pct"/>
                  <w:tcBorders>
                    <w:tl2br w:val="nil"/>
                    <w:tr2bl w:val="nil"/>
                  </w:tcBorders>
                  <w:noWrap w:val="0"/>
                  <w:vAlign w:val="center"/>
                </w:tcPr>
                <w:p w14:paraId="14E3B7C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×4</w:t>
                  </w:r>
                </w:p>
              </w:tc>
              <w:tc>
                <w:tcPr>
                  <w:tcW w:w="413" w:type="pct"/>
                  <w:tcBorders>
                    <w:tl2br w:val="nil"/>
                    <w:tr2bl w:val="nil"/>
                  </w:tcBorders>
                  <w:noWrap w:val="0"/>
                  <w:vAlign w:val="center"/>
                </w:tcPr>
                <w:p w14:paraId="2C91808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F4A8EF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用于待处理污水收集，现有，本项目不涉及</w:t>
                  </w:r>
                </w:p>
              </w:tc>
            </w:tr>
            <w:tr w14:paraId="62A8D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0C26904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0199765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vMerge w:val="restart"/>
                  <w:tcBorders>
                    <w:tl2br w:val="nil"/>
                    <w:tr2bl w:val="nil"/>
                  </w:tcBorders>
                  <w:noWrap w:val="0"/>
                  <w:vAlign w:val="center"/>
                </w:tcPr>
                <w:p w14:paraId="7D379B3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槽罐车蒸洗站废水收集罐</w:t>
                  </w:r>
                </w:p>
              </w:tc>
              <w:tc>
                <w:tcPr>
                  <w:tcW w:w="714" w:type="pct"/>
                  <w:tcBorders>
                    <w:tl2br w:val="nil"/>
                    <w:tr2bl w:val="nil"/>
                  </w:tcBorders>
                  <w:noWrap w:val="0"/>
                  <w:vAlign w:val="center"/>
                </w:tcPr>
                <w:p w14:paraId="3B0BF01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6.5m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714" w:type="pct"/>
                  <w:tcBorders>
                    <w:tl2br w:val="nil"/>
                    <w:tr2bl w:val="nil"/>
                  </w:tcBorders>
                  <w:noWrap w:val="0"/>
                  <w:vAlign w:val="center"/>
                </w:tcPr>
                <w:p w14:paraId="695F581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6.5m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413" w:type="pct"/>
                  <w:tcBorders>
                    <w:tl2br w:val="nil"/>
                    <w:tr2bl w:val="nil"/>
                  </w:tcBorders>
                  <w:noWrap w:val="0"/>
                  <w:vAlign w:val="center"/>
                </w:tcPr>
                <w:p w14:paraId="4F64B2D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71DD4BD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用于收集本项目汽油、柴油、燃料油、煤油槽罐车熏蒸废水、工业油脂、汽油、柴油、燃料油、基础油、煤油、硝酸、液氨槽罐车内部冲洗废水、地面冲洗产生的废水，</w:t>
                  </w:r>
                  <w:r>
                    <w:rPr>
                      <w:rFonts w:hint="eastAsia" w:ascii="Times New Roman" w:hAnsi="Times New Roman" w:eastAsia="宋体" w:cs="Times New Roman"/>
                      <w:color w:val="auto"/>
                      <w:sz w:val="18"/>
                      <w:szCs w:val="18"/>
                      <w:highlight w:val="none"/>
                      <w:lang w:val="en-US" w:eastAsia="zh-CN"/>
                    </w:rPr>
                    <w:t>在建</w:t>
                  </w:r>
                  <w:r>
                    <w:rPr>
                      <w:rFonts w:hint="default" w:ascii="Times New Roman" w:hAnsi="Times New Roman" w:eastAsia="宋体" w:cs="Times New Roman"/>
                      <w:color w:val="auto"/>
                      <w:sz w:val="18"/>
                      <w:szCs w:val="18"/>
                      <w:highlight w:val="none"/>
                    </w:rPr>
                    <w:t>，本项目不涉及</w:t>
                  </w:r>
                </w:p>
              </w:tc>
            </w:tr>
            <w:tr w14:paraId="777A5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E83839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6842B02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153" w:type="pct"/>
                  <w:gridSpan w:val="2"/>
                  <w:vMerge w:val="continue"/>
                  <w:tcBorders>
                    <w:tl2br w:val="nil"/>
                    <w:tr2bl w:val="nil"/>
                  </w:tcBorders>
                  <w:noWrap w:val="0"/>
                  <w:vAlign w:val="center"/>
                </w:tcPr>
                <w:p w14:paraId="09884BB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714" w:type="pct"/>
                  <w:tcBorders>
                    <w:tl2br w:val="nil"/>
                    <w:tr2bl w:val="nil"/>
                  </w:tcBorders>
                  <w:noWrap w:val="0"/>
                  <w:vAlign w:val="center"/>
                </w:tcPr>
                <w:p w14:paraId="3BD2924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42m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714" w:type="pct"/>
                  <w:tcBorders>
                    <w:tl2br w:val="nil"/>
                    <w:tr2bl w:val="nil"/>
                  </w:tcBorders>
                  <w:noWrap w:val="0"/>
                  <w:vAlign w:val="center"/>
                </w:tcPr>
                <w:p w14:paraId="078F5E9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42m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×1</w:t>
                  </w:r>
                </w:p>
              </w:tc>
              <w:tc>
                <w:tcPr>
                  <w:tcW w:w="413" w:type="pct"/>
                  <w:tcBorders>
                    <w:tl2br w:val="nil"/>
                    <w:tr2bl w:val="nil"/>
                  </w:tcBorders>
                  <w:noWrap w:val="0"/>
                  <w:vAlign w:val="center"/>
                </w:tcPr>
                <w:p w14:paraId="1E16949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3AA19E4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用于收集本项目其余槽罐车熏蒸产生的废水和其余槽罐车内部冲洗产生的废水，现有，本项目不涉及</w:t>
                  </w:r>
                </w:p>
              </w:tc>
            </w:tr>
            <w:tr w14:paraId="21936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DC2766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4CE7932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336" w:type="pct"/>
                  <w:tcBorders>
                    <w:tl2br w:val="nil"/>
                    <w:tr2bl w:val="nil"/>
                  </w:tcBorders>
                  <w:noWrap w:val="0"/>
                  <w:vAlign w:val="center"/>
                </w:tcPr>
                <w:p w14:paraId="5E254F96">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废水处理站3</w:t>
                  </w:r>
                </w:p>
              </w:tc>
              <w:tc>
                <w:tcPr>
                  <w:tcW w:w="817" w:type="pct"/>
                  <w:tcBorders>
                    <w:tl2br w:val="nil"/>
                    <w:tr2bl w:val="nil"/>
                  </w:tcBorders>
                  <w:noWrap w:val="0"/>
                  <w:vAlign w:val="center"/>
                </w:tcPr>
                <w:p w14:paraId="3FBC7CF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隔油池-调节池-芬顿催化氧化-缓冲水池-厌氧反应器--A</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O生化系统-混凝沉淀-中间水池-蒸发结晶系统</w:t>
                  </w:r>
                </w:p>
              </w:tc>
              <w:tc>
                <w:tcPr>
                  <w:tcW w:w="714" w:type="pct"/>
                  <w:tcBorders>
                    <w:tl2br w:val="nil"/>
                    <w:tr2bl w:val="nil"/>
                  </w:tcBorders>
                  <w:noWrap w:val="0"/>
                  <w:vAlign w:val="center"/>
                </w:tcPr>
                <w:p w14:paraId="36B2823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6t/d×1</w:t>
                  </w:r>
                </w:p>
              </w:tc>
              <w:tc>
                <w:tcPr>
                  <w:tcW w:w="714" w:type="pct"/>
                  <w:tcBorders>
                    <w:tl2br w:val="nil"/>
                    <w:tr2bl w:val="nil"/>
                  </w:tcBorders>
                  <w:noWrap w:val="0"/>
                  <w:vAlign w:val="center"/>
                </w:tcPr>
                <w:p w14:paraId="56C984D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+6t/d×1</w:t>
                  </w:r>
                </w:p>
              </w:tc>
              <w:tc>
                <w:tcPr>
                  <w:tcW w:w="413" w:type="pct"/>
                  <w:tcBorders>
                    <w:tl2br w:val="nil"/>
                    <w:tr2bl w:val="nil"/>
                  </w:tcBorders>
                  <w:noWrap w:val="0"/>
                  <w:vAlign w:val="center"/>
                </w:tcPr>
                <w:p w14:paraId="79D94A3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6BCBF00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用于处理</w:t>
                  </w:r>
                  <w:r>
                    <w:rPr>
                      <w:rFonts w:hint="eastAsia" w:ascii="Times New Roman" w:hAnsi="Times New Roman" w:eastAsia="宋体" w:cs="Times New Roman"/>
                      <w:color w:val="auto"/>
                      <w:sz w:val="18"/>
                      <w:szCs w:val="18"/>
                      <w:highlight w:val="none"/>
                      <w:lang w:val="en-US" w:eastAsia="zh-CN"/>
                    </w:rPr>
                    <w:t>废矿物油收集</w:t>
                  </w:r>
                  <w:r>
                    <w:rPr>
                      <w:rFonts w:hint="default" w:ascii="Times New Roman" w:hAnsi="Times New Roman" w:eastAsia="宋体" w:cs="Times New Roman"/>
                      <w:color w:val="auto"/>
                      <w:sz w:val="18"/>
                      <w:szCs w:val="18"/>
                      <w:highlight w:val="none"/>
                    </w:rPr>
                    <w:t>项目油水分离废水，</w:t>
                  </w:r>
                  <w:r>
                    <w:rPr>
                      <w:rFonts w:hint="eastAsia" w:ascii="Times New Roman" w:hAnsi="Times New Roman" w:eastAsia="宋体" w:cs="Times New Roman"/>
                      <w:color w:val="auto"/>
                      <w:sz w:val="18"/>
                      <w:szCs w:val="18"/>
                      <w:highlight w:val="none"/>
                      <w:lang w:val="en-US" w:eastAsia="zh-CN"/>
                    </w:rPr>
                    <w:t>在建，本项目不涉及</w:t>
                  </w:r>
                </w:p>
              </w:tc>
            </w:tr>
            <w:tr w14:paraId="37559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03E464C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restart"/>
                  <w:tcBorders>
                    <w:tl2br w:val="nil"/>
                    <w:tr2bl w:val="nil"/>
                  </w:tcBorders>
                  <w:noWrap w:val="0"/>
                  <w:vAlign w:val="center"/>
                </w:tcPr>
                <w:p w14:paraId="390B7A2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固废处置</w:t>
                  </w:r>
                </w:p>
              </w:tc>
              <w:tc>
                <w:tcPr>
                  <w:tcW w:w="1153" w:type="pct"/>
                  <w:gridSpan w:val="2"/>
                  <w:tcBorders>
                    <w:tl2br w:val="nil"/>
                    <w:tr2bl w:val="nil"/>
                  </w:tcBorders>
                  <w:noWrap w:val="0"/>
                  <w:vAlign w:val="center"/>
                </w:tcPr>
                <w:p w14:paraId="0DE575F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一般固废堆场</w:t>
                  </w:r>
                </w:p>
              </w:tc>
              <w:tc>
                <w:tcPr>
                  <w:tcW w:w="714" w:type="pct"/>
                  <w:tcBorders>
                    <w:tl2br w:val="nil"/>
                    <w:tr2bl w:val="nil"/>
                  </w:tcBorders>
                  <w:noWrap w:val="0"/>
                  <w:vAlign w:val="center"/>
                </w:tcPr>
                <w:p w14:paraId="66844EBB">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×1，84m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×1</w:t>
                  </w:r>
                </w:p>
              </w:tc>
              <w:tc>
                <w:tcPr>
                  <w:tcW w:w="714" w:type="pct"/>
                  <w:tcBorders>
                    <w:tl2br w:val="nil"/>
                    <w:tr2bl w:val="nil"/>
                  </w:tcBorders>
                  <w:noWrap w:val="0"/>
                  <w:vAlign w:val="center"/>
                </w:tcPr>
                <w:p w14:paraId="39B1BB7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×1，84m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×1</w:t>
                  </w:r>
                </w:p>
              </w:tc>
              <w:tc>
                <w:tcPr>
                  <w:tcW w:w="413" w:type="pct"/>
                  <w:tcBorders>
                    <w:tl2br w:val="nil"/>
                    <w:tr2bl w:val="nil"/>
                  </w:tcBorders>
                  <w:noWrap w:val="0"/>
                  <w:vAlign w:val="center"/>
                </w:tcPr>
                <w:p w14:paraId="40E57C3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76D8C02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一般固废暂存，现有</w:t>
                  </w:r>
                </w:p>
              </w:tc>
            </w:tr>
            <w:tr w14:paraId="57E90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6CAC5C1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459A415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5FFE0D4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危废仓库</w:t>
                  </w:r>
                </w:p>
              </w:tc>
              <w:tc>
                <w:tcPr>
                  <w:tcW w:w="714" w:type="pct"/>
                  <w:tcBorders>
                    <w:tl2br w:val="nil"/>
                    <w:tr2bl w:val="nil"/>
                  </w:tcBorders>
                  <w:noWrap w:val="0"/>
                  <w:vAlign w:val="center"/>
                </w:tcPr>
                <w:p w14:paraId="3D17612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360m</w:t>
                  </w:r>
                  <w:r>
                    <w:rPr>
                      <w:rFonts w:hint="default" w:ascii="Times New Roman" w:hAnsi="Times New Roman" w:eastAsia="宋体" w:cs="Times New Roman"/>
                      <w:color w:val="auto"/>
                      <w:sz w:val="18"/>
                      <w:szCs w:val="18"/>
                      <w:highlight w:val="none"/>
                      <w:vertAlign w:val="superscript"/>
                    </w:rPr>
                    <w:t>2</w:t>
                  </w:r>
                </w:p>
              </w:tc>
              <w:tc>
                <w:tcPr>
                  <w:tcW w:w="714" w:type="pct"/>
                  <w:tcBorders>
                    <w:tl2br w:val="nil"/>
                    <w:tr2bl w:val="nil"/>
                  </w:tcBorders>
                  <w:noWrap w:val="0"/>
                  <w:vAlign w:val="center"/>
                </w:tcPr>
                <w:p w14:paraId="6517FA5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360m</w:t>
                  </w:r>
                  <w:r>
                    <w:rPr>
                      <w:rFonts w:hint="default" w:ascii="Times New Roman" w:hAnsi="Times New Roman" w:eastAsia="宋体" w:cs="Times New Roman"/>
                      <w:color w:val="auto"/>
                      <w:sz w:val="18"/>
                      <w:szCs w:val="18"/>
                      <w:highlight w:val="none"/>
                      <w:vertAlign w:val="superscript"/>
                    </w:rPr>
                    <w:t>2</w:t>
                  </w:r>
                </w:p>
              </w:tc>
              <w:tc>
                <w:tcPr>
                  <w:tcW w:w="413" w:type="pct"/>
                  <w:tcBorders>
                    <w:tl2br w:val="nil"/>
                    <w:tr2bl w:val="nil"/>
                  </w:tcBorders>
                  <w:noWrap w:val="0"/>
                  <w:vAlign w:val="center"/>
                </w:tcPr>
                <w:p w14:paraId="114D155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43BFA69">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危废暂存，依托现有</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已建成，</w:t>
                  </w:r>
                  <w:r>
                    <w:rPr>
                      <w:rFonts w:hint="eastAsia" w:ascii="Times New Roman" w:hAnsi="Times New Roman" w:eastAsia="宋体" w:cs="Times New Roman"/>
                      <w:color w:val="auto"/>
                      <w:sz w:val="18"/>
                      <w:szCs w:val="18"/>
                      <w:highlight w:val="none"/>
                      <w:lang w:eastAsia="zh-CN"/>
                    </w:rPr>
                    <w:t>正在进行</w:t>
                  </w:r>
                  <w:r>
                    <w:rPr>
                      <w:rFonts w:hint="eastAsia" w:ascii="Times New Roman" w:hAnsi="Times New Roman" w:eastAsia="宋体" w:cs="Times New Roman"/>
                      <w:color w:val="auto"/>
                      <w:sz w:val="18"/>
                      <w:szCs w:val="18"/>
                      <w:highlight w:val="none"/>
                      <w:lang w:val="en-US" w:eastAsia="zh-CN"/>
                    </w:rPr>
                    <w:t>竣工环保验收</w:t>
                  </w:r>
                  <w:r>
                    <w:rPr>
                      <w:rFonts w:hint="eastAsia" w:ascii="Times New Roman" w:hAnsi="Times New Roman" w:eastAsia="宋体" w:cs="Times New Roman"/>
                      <w:color w:val="auto"/>
                      <w:sz w:val="18"/>
                      <w:szCs w:val="18"/>
                      <w:highlight w:val="none"/>
                      <w:lang w:eastAsia="zh-CN"/>
                    </w:rPr>
                    <w:t>）</w:t>
                  </w:r>
                </w:p>
              </w:tc>
            </w:tr>
            <w:tr w14:paraId="7C934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64492CE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0544EAA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336" w:type="pct"/>
                  <w:tcBorders>
                    <w:tl2br w:val="nil"/>
                    <w:tr2bl w:val="nil"/>
                  </w:tcBorders>
                  <w:noWrap w:val="0"/>
                  <w:vAlign w:val="center"/>
                </w:tcPr>
                <w:p w14:paraId="677DB24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油污水上岸集中处理</w:t>
                  </w:r>
                </w:p>
              </w:tc>
              <w:tc>
                <w:tcPr>
                  <w:tcW w:w="817" w:type="pct"/>
                  <w:tcBorders>
                    <w:tl2br w:val="nil"/>
                    <w:tr2bl w:val="nil"/>
                  </w:tcBorders>
                  <w:noWrap w:val="0"/>
                  <w:vAlign w:val="center"/>
                </w:tcPr>
                <w:p w14:paraId="0824309E">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废油收集罐</w:t>
                  </w:r>
                </w:p>
              </w:tc>
              <w:tc>
                <w:tcPr>
                  <w:tcW w:w="714" w:type="pct"/>
                  <w:tcBorders>
                    <w:tl2br w:val="nil"/>
                    <w:tr2bl w:val="nil"/>
                  </w:tcBorders>
                  <w:noWrap w:val="0"/>
                  <w:vAlign w:val="center"/>
                </w:tcPr>
                <w:p w14:paraId="72F71D1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×2</w:t>
                  </w:r>
                </w:p>
              </w:tc>
              <w:tc>
                <w:tcPr>
                  <w:tcW w:w="714" w:type="pct"/>
                  <w:tcBorders>
                    <w:tl2br w:val="nil"/>
                    <w:tr2bl w:val="nil"/>
                  </w:tcBorders>
                  <w:noWrap w:val="0"/>
                  <w:vAlign w:val="center"/>
                </w:tcPr>
                <w:p w14:paraId="0C56C7EF">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×2</w:t>
                  </w:r>
                </w:p>
              </w:tc>
              <w:tc>
                <w:tcPr>
                  <w:tcW w:w="413" w:type="pct"/>
                  <w:tcBorders>
                    <w:tl2br w:val="nil"/>
                    <w:tr2bl w:val="nil"/>
                  </w:tcBorders>
                  <w:noWrap w:val="0"/>
                  <w:vAlign w:val="center"/>
                </w:tcPr>
                <w:p w14:paraId="406254D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E7D918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油污水分离废油暂存，现有，本项目不涉及</w:t>
                  </w:r>
                </w:p>
              </w:tc>
            </w:tr>
            <w:tr w14:paraId="5D051D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5F12DD85">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408" w:type="pct"/>
                  <w:vMerge w:val="continue"/>
                  <w:tcBorders>
                    <w:tl2br w:val="nil"/>
                    <w:tr2bl w:val="nil"/>
                  </w:tcBorders>
                  <w:noWrap w:val="0"/>
                  <w:vAlign w:val="center"/>
                </w:tcPr>
                <w:p w14:paraId="3881933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p>
              </w:tc>
              <w:tc>
                <w:tcPr>
                  <w:tcW w:w="1153" w:type="pct"/>
                  <w:gridSpan w:val="2"/>
                  <w:tcBorders>
                    <w:tl2br w:val="nil"/>
                    <w:tr2bl w:val="nil"/>
                  </w:tcBorders>
                  <w:noWrap w:val="0"/>
                  <w:vAlign w:val="center"/>
                </w:tcPr>
                <w:p w14:paraId="35D5543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废矿物油罐</w:t>
                  </w:r>
                </w:p>
              </w:tc>
              <w:tc>
                <w:tcPr>
                  <w:tcW w:w="714" w:type="pct"/>
                  <w:tcBorders>
                    <w:tl2br w:val="nil"/>
                    <w:tr2bl w:val="nil"/>
                  </w:tcBorders>
                  <w:noWrap w:val="0"/>
                  <w:vAlign w:val="center"/>
                </w:tcPr>
                <w:p w14:paraId="0D03BF4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×2</w:t>
                  </w:r>
                </w:p>
              </w:tc>
              <w:tc>
                <w:tcPr>
                  <w:tcW w:w="714" w:type="pct"/>
                  <w:tcBorders>
                    <w:tl2br w:val="nil"/>
                    <w:tr2bl w:val="nil"/>
                  </w:tcBorders>
                  <w:noWrap w:val="0"/>
                  <w:vAlign w:val="center"/>
                </w:tcPr>
                <w:p w14:paraId="4FA2A43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+1000m</w:t>
                  </w:r>
                  <w:r>
                    <w:rPr>
                      <w:rFonts w:hint="default" w:ascii="Times New Roman" w:hAnsi="Times New Roman" w:eastAsia="宋体" w:cs="Times New Roman"/>
                      <w:color w:val="auto"/>
                      <w:sz w:val="18"/>
                      <w:szCs w:val="18"/>
                      <w:highlight w:val="none"/>
                      <w:vertAlign w:val="superscript"/>
                    </w:rPr>
                    <w:t>2</w:t>
                  </w:r>
                  <w:r>
                    <w:rPr>
                      <w:rFonts w:hint="default" w:ascii="Times New Roman" w:hAnsi="Times New Roman" w:eastAsia="宋体" w:cs="Times New Roman"/>
                      <w:color w:val="auto"/>
                      <w:sz w:val="18"/>
                      <w:szCs w:val="18"/>
                      <w:highlight w:val="none"/>
                    </w:rPr>
                    <w:t>×2</w:t>
                  </w:r>
                </w:p>
              </w:tc>
              <w:tc>
                <w:tcPr>
                  <w:tcW w:w="413" w:type="pct"/>
                  <w:tcBorders>
                    <w:tl2br w:val="nil"/>
                    <w:tr2bl w:val="nil"/>
                  </w:tcBorders>
                  <w:noWrap w:val="0"/>
                  <w:vAlign w:val="center"/>
                </w:tcPr>
                <w:p w14:paraId="0D9D4B0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w:t>
                  </w:r>
                </w:p>
              </w:tc>
              <w:tc>
                <w:tcPr>
                  <w:tcW w:w="1273" w:type="pct"/>
                  <w:tcBorders>
                    <w:tl2br w:val="nil"/>
                    <w:tr2bl w:val="nil"/>
                  </w:tcBorders>
                  <w:noWrap w:val="0"/>
                  <w:vAlign w:val="center"/>
                </w:tcPr>
                <w:p w14:paraId="1F657A53">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废矿物油收集</w:t>
                  </w:r>
                  <w:r>
                    <w:rPr>
                      <w:rFonts w:hint="default" w:ascii="Times New Roman" w:hAnsi="Times New Roman" w:eastAsia="宋体" w:cs="Times New Roman"/>
                      <w:color w:val="auto"/>
                      <w:sz w:val="18"/>
                      <w:szCs w:val="18"/>
                      <w:highlight w:val="none"/>
                    </w:rPr>
                    <w:t>项目，</w:t>
                  </w:r>
                  <w:r>
                    <w:rPr>
                      <w:rFonts w:hint="eastAsia" w:ascii="Times New Roman" w:hAnsi="Times New Roman" w:eastAsia="宋体" w:cs="Times New Roman"/>
                      <w:color w:val="auto"/>
                      <w:sz w:val="18"/>
                      <w:szCs w:val="18"/>
                      <w:highlight w:val="none"/>
                      <w:lang w:val="en-US" w:eastAsia="zh-CN"/>
                    </w:rPr>
                    <w:t>在建，本项目不涉及</w:t>
                  </w:r>
                </w:p>
              </w:tc>
            </w:tr>
            <w:tr w14:paraId="609EA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3043068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73B83C4D">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事故应急池</w:t>
                  </w:r>
                </w:p>
              </w:tc>
              <w:tc>
                <w:tcPr>
                  <w:tcW w:w="714" w:type="pct"/>
                  <w:tcBorders>
                    <w:tl2br w:val="nil"/>
                    <w:tr2bl w:val="nil"/>
                  </w:tcBorders>
                  <w:noWrap w:val="0"/>
                  <w:vAlign w:val="center"/>
                </w:tcPr>
                <w:p w14:paraId="4DC6F34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3990m</w:t>
                  </w:r>
                  <w:r>
                    <w:rPr>
                      <w:rFonts w:hint="default"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133</w:t>
                  </w:r>
                  <w:r>
                    <w:rPr>
                      <w:rFonts w:hint="default" w:ascii="Times New Roman" w:hAnsi="Times New Roman" w:eastAsia="宋体" w:cs="Times New Roman"/>
                      <w:color w:val="auto"/>
                      <w:sz w:val="18"/>
                      <w:szCs w:val="18"/>
                      <w:highlight w:val="none"/>
                    </w:rPr>
                    <w:t>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eastAsia="zh-CN"/>
                    </w:rPr>
                    <w:t>）</w:t>
                  </w:r>
                </w:p>
              </w:tc>
              <w:tc>
                <w:tcPr>
                  <w:tcW w:w="714" w:type="pct"/>
                  <w:tcBorders>
                    <w:tl2br w:val="nil"/>
                    <w:tr2bl w:val="nil"/>
                  </w:tcBorders>
                  <w:noWrap w:val="0"/>
                  <w:vAlign w:val="center"/>
                </w:tcPr>
                <w:p w14:paraId="541BAA9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3990m</w:t>
                  </w:r>
                  <w:r>
                    <w:rPr>
                      <w:rFonts w:hint="default"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133</w:t>
                  </w:r>
                  <w:r>
                    <w:rPr>
                      <w:rFonts w:hint="default" w:ascii="Times New Roman" w:hAnsi="Times New Roman" w:eastAsia="宋体" w:cs="Times New Roman"/>
                      <w:color w:val="auto"/>
                      <w:sz w:val="18"/>
                      <w:szCs w:val="18"/>
                      <w:highlight w:val="none"/>
                    </w:rPr>
                    <w:t>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3</w:t>
                  </w:r>
                  <w:r>
                    <w:rPr>
                      <w:rFonts w:hint="eastAsia" w:ascii="Times New Roman" w:hAnsi="Times New Roman" w:eastAsia="宋体" w:cs="Times New Roman"/>
                      <w:color w:val="auto"/>
                      <w:sz w:val="18"/>
                      <w:szCs w:val="18"/>
                      <w:highlight w:val="none"/>
                      <w:lang w:eastAsia="zh-CN"/>
                    </w:rPr>
                    <w:t>）</w:t>
                  </w:r>
                </w:p>
              </w:tc>
              <w:tc>
                <w:tcPr>
                  <w:tcW w:w="413" w:type="pct"/>
                  <w:tcBorders>
                    <w:tl2br w:val="nil"/>
                    <w:tr2bl w:val="nil"/>
                  </w:tcBorders>
                  <w:noWrap w:val="0"/>
                  <w:vAlign w:val="center"/>
                </w:tcPr>
                <w:p w14:paraId="7E68B2FB">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21FD6A07">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用于全厂事故废水收集，依托现有</w:t>
                  </w:r>
                </w:p>
              </w:tc>
            </w:tr>
            <w:tr w14:paraId="20A8C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42BD8B70">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1933C21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消防水池</w:t>
                  </w:r>
                </w:p>
              </w:tc>
              <w:tc>
                <w:tcPr>
                  <w:tcW w:w="714" w:type="pct"/>
                  <w:tcBorders>
                    <w:tl2br w:val="nil"/>
                    <w:tr2bl w:val="nil"/>
                  </w:tcBorders>
                  <w:noWrap w:val="0"/>
                  <w:vAlign w:val="center"/>
                </w:tcPr>
                <w:p w14:paraId="5BA5703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12000m</w:t>
                  </w:r>
                  <w:r>
                    <w:rPr>
                      <w:rFonts w:hint="default" w:ascii="Times New Roman" w:hAnsi="Times New Roman" w:eastAsia="宋体" w:cs="Times New Roman"/>
                      <w:color w:val="auto"/>
                      <w:sz w:val="18"/>
                      <w:szCs w:val="18"/>
                      <w:highlight w:val="none"/>
                      <w:vertAlign w:val="superscript"/>
                    </w:rPr>
                    <w:t>3</w:t>
                  </w:r>
                </w:p>
              </w:tc>
              <w:tc>
                <w:tcPr>
                  <w:tcW w:w="714" w:type="pct"/>
                  <w:tcBorders>
                    <w:tl2br w:val="nil"/>
                    <w:tr2bl w:val="nil"/>
                  </w:tcBorders>
                  <w:noWrap w:val="0"/>
                  <w:vAlign w:val="center"/>
                </w:tcPr>
                <w:p w14:paraId="7CF814D8">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12000m</w:t>
                  </w:r>
                  <w:r>
                    <w:rPr>
                      <w:rFonts w:hint="default" w:ascii="Times New Roman" w:hAnsi="Times New Roman" w:eastAsia="宋体" w:cs="Times New Roman"/>
                      <w:color w:val="auto"/>
                      <w:sz w:val="18"/>
                      <w:szCs w:val="18"/>
                      <w:highlight w:val="none"/>
                      <w:vertAlign w:val="superscript"/>
                    </w:rPr>
                    <w:t>3</w:t>
                  </w:r>
                </w:p>
              </w:tc>
              <w:tc>
                <w:tcPr>
                  <w:tcW w:w="413" w:type="pct"/>
                  <w:tcBorders>
                    <w:tl2br w:val="nil"/>
                    <w:tr2bl w:val="nil"/>
                  </w:tcBorders>
                  <w:noWrap w:val="0"/>
                  <w:vAlign w:val="center"/>
                </w:tcPr>
                <w:p w14:paraId="44D403E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49889E7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用于全厂消防尾水收集，依托现有</w:t>
                  </w:r>
                </w:p>
              </w:tc>
            </w:tr>
            <w:tr w14:paraId="1AB87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2" w:type="pct"/>
                  <w:vMerge w:val="continue"/>
                  <w:tcBorders>
                    <w:tl2br w:val="nil"/>
                    <w:tr2bl w:val="nil"/>
                  </w:tcBorders>
                  <w:noWrap w:val="0"/>
                  <w:vAlign w:val="center"/>
                </w:tcPr>
                <w:p w14:paraId="756E5C64">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yellow"/>
                    </w:rPr>
                  </w:pPr>
                </w:p>
              </w:tc>
              <w:tc>
                <w:tcPr>
                  <w:tcW w:w="1561" w:type="pct"/>
                  <w:gridSpan w:val="3"/>
                  <w:tcBorders>
                    <w:tl2br w:val="nil"/>
                    <w:tr2bl w:val="nil"/>
                  </w:tcBorders>
                  <w:noWrap w:val="0"/>
                  <w:vAlign w:val="center"/>
                </w:tcPr>
                <w:p w14:paraId="655E5CBC">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初期雨水池</w:t>
                  </w:r>
                </w:p>
              </w:tc>
              <w:tc>
                <w:tcPr>
                  <w:tcW w:w="714" w:type="pct"/>
                  <w:tcBorders>
                    <w:tl2br w:val="nil"/>
                    <w:tr2bl w:val="nil"/>
                  </w:tcBorders>
                  <w:noWrap w:val="0"/>
                  <w:vAlign w:val="center"/>
                </w:tcPr>
                <w:p w14:paraId="04033D98">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1700</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850m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×2</w:t>
                  </w:r>
                  <w:r>
                    <w:rPr>
                      <w:rFonts w:hint="eastAsia" w:ascii="Times New Roman" w:hAnsi="Times New Roman" w:eastAsia="宋体" w:cs="Times New Roman"/>
                      <w:color w:val="auto"/>
                      <w:sz w:val="18"/>
                      <w:szCs w:val="18"/>
                      <w:highlight w:val="none"/>
                      <w:lang w:eastAsia="zh-CN"/>
                    </w:rPr>
                    <w:t>）</w:t>
                  </w:r>
                </w:p>
              </w:tc>
              <w:tc>
                <w:tcPr>
                  <w:tcW w:w="714" w:type="pct"/>
                  <w:tcBorders>
                    <w:tl2br w:val="nil"/>
                    <w:tr2bl w:val="nil"/>
                  </w:tcBorders>
                  <w:noWrap w:val="0"/>
                  <w:vAlign w:val="center"/>
                </w:tcPr>
                <w:p w14:paraId="46C7EE23">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1700</w:t>
                  </w:r>
                  <w:r>
                    <w:rPr>
                      <w:rFonts w:hint="default" w:ascii="Times New Roman" w:hAnsi="Times New Roman" w:eastAsia="宋体" w:cs="Times New Roman"/>
                      <w:color w:val="auto"/>
                      <w:sz w:val="18"/>
                      <w:szCs w:val="18"/>
                      <w:highlight w:val="none"/>
                    </w:rPr>
                    <w:t>m</w:t>
                  </w:r>
                  <w:r>
                    <w:rPr>
                      <w:rFonts w:hint="default" w:ascii="Times New Roman" w:hAnsi="Times New Roman" w:eastAsia="宋体" w:cs="Times New Roman"/>
                      <w:color w:val="auto"/>
                      <w:sz w:val="18"/>
                      <w:szCs w:val="18"/>
                      <w:highlight w:val="none"/>
                      <w:vertAlign w:val="superscript"/>
                    </w:rPr>
                    <w:t>3</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850m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×2</w:t>
                  </w:r>
                  <w:r>
                    <w:rPr>
                      <w:rFonts w:hint="eastAsia" w:ascii="Times New Roman" w:hAnsi="Times New Roman" w:eastAsia="宋体" w:cs="Times New Roman"/>
                      <w:color w:val="auto"/>
                      <w:sz w:val="18"/>
                      <w:szCs w:val="18"/>
                      <w:highlight w:val="none"/>
                      <w:lang w:eastAsia="zh-CN"/>
                    </w:rPr>
                    <w:t>）</w:t>
                  </w:r>
                </w:p>
              </w:tc>
              <w:tc>
                <w:tcPr>
                  <w:tcW w:w="413" w:type="pct"/>
                  <w:tcBorders>
                    <w:tl2br w:val="nil"/>
                    <w:tr2bl w:val="nil"/>
                  </w:tcBorders>
                  <w:noWrap w:val="0"/>
                  <w:vAlign w:val="center"/>
                </w:tcPr>
                <w:p w14:paraId="67B550EA">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1273" w:type="pct"/>
                  <w:tcBorders>
                    <w:tl2br w:val="nil"/>
                    <w:tr2bl w:val="nil"/>
                  </w:tcBorders>
                  <w:noWrap w:val="0"/>
                  <w:vAlign w:val="center"/>
                </w:tcPr>
                <w:p w14:paraId="5AF64FB1">
                  <w:pPr>
                    <w:pStyle w:val="54"/>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收集厂区内初期雨水，并安装截止阀，依托现有</w:t>
                  </w:r>
                </w:p>
              </w:tc>
            </w:tr>
          </w:tbl>
          <w:p w14:paraId="2128DA53">
            <w:pPr>
              <w:keepNext w:val="0"/>
              <w:keepLines w:val="0"/>
              <w:suppressLineNumbers w:val="0"/>
              <w:adjustRightInd w:val="0"/>
              <w:snapToGrid w:val="0"/>
              <w:spacing w:before="0" w:beforeAutospacing="0" w:after="0" w:afterAutospacing="0" w:line="360" w:lineRule="auto"/>
              <w:ind w:left="0" w:right="0"/>
              <w:rPr>
                <w:rFonts w:hint="default"/>
                <w:b/>
                <w:bCs/>
                <w:color w:val="auto"/>
                <w:sz w:val="15"/>
                <w:szCs w:val="15"/>
              </w:rPr>
            </w:pPr>
          </w:p>
          <w:p w14:paraId="3DCB4385">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Cs w:val="21"/>
                <w:lang w:val="en-US" w:eastAsia="zh-CN"/>
              </w:rPr>
            </w:pPr>
          </w:p>
          <w:p w14:paraId="22DB08EF">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Cs w:val="21"/>
                <w:lang w:val="en-US" w:eastAsia="zh-CN"/>
              </w:rPr>
            </w:pPr>
          </w:p>
          <w:p w14:paraId="0074D83C">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Cs w:val="21"/>
                <w:lang w:val="en-US" w:eastAsia="zh-CN"/>
              </w:rPr>
            </w:pPr>
          </w:p>
          <w:p w14:paraId="71EAFDE3">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Cs w:val="21"/>
                <w:lang w:val="en-US" w:eastAsia="zh-CN"/>
              </w:rPr>
            </w:pPr>
          </w:p>
          <w:p w14:paraId="78C6DE06">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Cs w:val="21"/>
                <w:lang w:val="en-US" w:eastAsia="zh-CN"/>
              </w:rPr>
            </w:pPr>
          </w:p>
          <w:p w14:paraId="109BBCA3">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Cs w:val="21"/>
                <w:lang w:val="en-US" w:eastAsia="zh-CN"/>
              </w:rPr>
            </w:pPr>
          </w:p>
          <w:p w14:paraId="645702B3">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Cs w:val="21"/>
                <w:lang w:val="en-US" w:eastAsia="zh-CN"/>
              </w:rPr>
            </w:pPr>
          </w:p>
          <w:p w14:paraId="0B01F8AE">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宋体" w:hAnsi="宋体" w:cs="宋体"/>
                <w:color w:val="auto"/>
                <w:kern w:val="0"/>
                <w:szCs w:val="21"/>
                <w:highlight w:val="yellow"/>
              </w:rPr>
            </w:pPr>
          </w:p>
        </w:tc>
      </w:tr>
    </w:tbl>
    <w:p w14:paraId="286C74A8">
      <w:pPr>
        <w:pStyle w:val="19"/>
        <w:keepNext w:val="0"/>
        <w:keepLines w:val="0"/>
        <w:pageBreakBefore w:val="0"/>
        <w:widowControl/>
        <w:kinsoku/>
        <w:wordWrap/>
        <w:overflowPunct/>
        <w:topLinePunct w:val="0"/>
        <w:autoSpaceDE/>
        <w:autoSpaceDN/>
        <w:bidi w:val="0"/>
        <w:adjustRightInd w:val="0"/>
        <w:snapToGrid w:val="0"/>
        <w:jc w:val="both"/>
        <w:textAlignment w:val="auto"/>
        <w:outlineLvl w:val="9"/>
        <w:rPr>
          <w:rFonts w:eastAsia="仿宋_GB2312"/>
          <w:b/>
          <w:bCs/>
          <w:color w:val="auto"/>
          <w:sz w:val="15"/>
          <w:szCs w:val="15"/>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3521"/>
      </w:tblGrid>
      <w:tr w14:paraId="29338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noWrap w:val="0"/>
            <w:vAlign w:val="center"/>
          </w:tcPr>
          <w:p w14:paraId="768D3E27">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highlight w:val="none"/>
              </w:rPr>
            </w:pPr>
            <w:r>
              <w:rPr>
                <w:rFonts w:hint="eastAsia" w:ascii="宋体" w:hAnsi="宋体" w:eastAsia="宋体" w:cs="宋体"/>
                <w:color w:val="auto"/>
                <w:kern w:val="0"/>
                <w:szCs w:val="21"/>
              </w:rPr>
              <w:t>项目组成及规模</w:t>
            </w:r>
          </w:p>
        </w:tc>
        <w:tc>
          <w:tcPr>
            <w:tcW w:w="4772" w:type="pct"/>
            <w:noWrap w:val="0"/>
            <w:vAlign w:val="top"/>
          </w:tcPr>
          <w:p w14:paraId="7DF80E48">
            <w:pPr>
              <w:keepNext w:val="0"/>
              <w:keepLines w:val="0"/>
              <w:suppressLineNumbers w:val="0"/>
              <w:adjustRightInd w:val="0"/>
              <w:snapToGrid w:val="0"/>
              <w:spacing w:before="0" w:beforeAutospacing="0" w:after="0" w:afterAutospacing="0" w:line="360" w:lineRule="auto"/>
              <w:ind w:left="0" w:right="0" w:firstLine="422" w:firstLineChars="200"/>
              <w:rPr>
                <w:rFonts w:hint="default" w:eastAsia="宋体"/>
                <w:color w:val="auto"/>
                <w:szCs w:val="21"/>
                <w:lang w:val="en-US" w:eastAsia="zh-CN"/>
              </w:rPr>
            </w:pPr>
            <w:r>
              <w:rPr>
                <w:rFonts w:hint="eastAsia"/>
                <w:b/>
                <w:bCs/>
                <w:color w:val="auto"/>
                <w:szCs w:val="21"/>
                <w:lang w:val="en-US" w:eastAsia="zh-CN"/>
              </w:rPr>
              <w:t>6</w:t>
            </w:r>
            <w:r>
              <w:rPr>
                <w:rFonts w:hint="default"/>
                <w:b/>
                <w:bCs/>
                <w:color w:val="auto"/>
                <w:szCs w:val="21"/>
              </w:rPr>
              <w:t>、</w:t>
            </w:r>
            <w:r>
              <w:rPr>
                <w:rFonts w:hint="eastAsia" w:eastAsia="宋体"/>
                <w:b/>
                <w:bCs/>
                <w:color w:val="auto"/>
                <w:szCs w:val="21"/>
                <w:lang w:val="en-US" w:eastAsia="zh-CN"/>
              </w:rPr>
              <w:t>作业</w:t>
            </w:r>
            <w:r>
              <w:rPr>
                <w:rFonts w:hint="eastAsia"/>
                <w:b/>
                <w:bCs/>
                <w:color w:val="auto"/>
                <w:szCs w:val="21"/>
              </w:rPr>
              <w:t>货种</w:t>
            </w:r>
            <w:r>
              <w:rPr>
                <w:rFonts w:hint="eastAsia"/>
                <w:b/>
                <w:bCs/>
                <w:color w:val="auto"/>
                <w:szCs w:val="21"/>
                <w:lang w:val="en-US" w:eastAsia="zh-CN"/>
              </w:rPr>
              <w:t>及其理化性质</w:t>
            </w:r>
          </w:p>
          <w:p w14:paraId="1BDEE2EA">
            <w:pPr>
              <w:keepNext w:val="0"/>
              <w:keepLines w:val="0"/>
              <w:suppressLineNumbers w:val="0"/>
              <w:adjustRightInd w:val="0"/>
              <w:snapToGrid w:val="0"/>
              <w:spacing w:before="0" w:beforeAutospacing="0" w:after="0" w:afterAutospacing="0" w:line="360" w:lineRule="auto"/>
              <w:ind w:left="0" w:right="0" w:firstLine="420" w:firstLineChars="200"/>
              <w:rPr>
                <w:rFonts w:hint="default"/>
                <w:b/>
                <w:bCs/>
                <w:color w:val="auto"/>
                <w:szCs w:val="21"/>
              </w:rPr>
            </w:pPr>
            <w:r>
              <w:rPr>
                <w:rFonts w:hint="eastAsia"/>
                <w:color w:val="auto"/>
                <w:szCs w:val="21"/>
                <w:lang w:val="en-US" w:eastAsia="zh-CN"/>
              </w:rPr>
              <w:t>改建前后丽天公司全厂作业</w:t>
            </w:r>
            <w:r>
              <w:rPr>
                <w:rFonts w:hint="eastAsia"/>
                <w:color w:val="auto"/>
                <w:szCs w:val="21"/>
              </w:rPr>
              <w:t>货种</w:t>
            </w:r>
            <w:r>
              <w:rPr>
                <w:rFonts w:hint="eastAsia"/>
                <w:color w:val="auto"/>
                <w:szCs w:val="21"/>
                <w:lang w:val="en-US" w:eastAsia="zh-CN"/>
              </w:rPr>
              <w:t>及其理化性质</w:t>
            </w:r>
            <w:r>
              <w:rPr>
                <w:rFonts w:hint="default"/>
                <w:color w:val="auto"/>
                <w:szCs w:val="21"/>
              </w:rPr>
              <w:t>见表2-</w:t>
            </w:r>
            <w:r>
              <w:rPr>
                <w:rFonts w:hint="eastAsia"/>
                <w:color w:val="auto"/>
                <w:szCs w:val="21"/>
                <w:lang w:val="en-US" w:eastAsia="zh-CN"/>
              </w:rPr>
              <w:t>13</w:t>
            </w:r>
            <w:r>
              <w:rPr>
                <w:rFonts w:hint="default"/>
                <w:color w:val="auto"/>
                <w:szCs w:val="21"/>
              </w:rPr>
              <w:t>。</w:t>
            </w:r>
          </w:p>
          <w:p w14:paraId="7F86362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rPr>
              <w:t>表2-</w:t>
            </w:r>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3</w:t>
            </w:r>
            <w:r>
              <w:rPr>
                <w:rFonts w:hint="eastAsia" w:ascii="Times New Roman" w:hAnsi="Times New Roman" w:eastAsia="宋体" w:cs="Times New Roman"/>
                <w:b/>
                <w:bCs/>
                <w:color w:val="auto"/>
                <w:lang w:val="en-US" w:eastAsia="zh-CN"/>
              </w:rPr>
              <w:t xml:space="preserve">  改建前后全厂作业货种及其理化性质一览表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89"/>
              <w:gridCol w:w="945"/>
              <w:gridCol w:w="1036"/>
              <w:gridCol w:w="1089"/>
              <w:gridCol w:w="836"/>
              <w:gridCol w:w="2821"/>
              <w:gridCol w:w="2821"/>
              <w:gridCol w:w="2733"/>
              <w:gridCol w:w="530"/>
            </w:tblGrid>
            <w:tr w14:paraId="7AB5F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83" w:type="pct"/>
                  <w:tcBorders>
                    <w:tl2br w:val="nil"/>
                    <w:tr2bl w:val="nil"/>
                  </w:tcBorders>
                  <w:noWrap w:val="0"/>
                  <w:vAlign w:val="center"/>
                </w:tcPr>
                <w:p w14:paraId="5FAFA0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序号</w:t>
                  </w:r>
                </w:p>
              </w:tc>
              <w:tc>
                <w:tcPr>
                  <w:tcW w:w="355" w:type="pct"/>
                  <w:tcBorders>
                    <w:tl2br w:val="nil"/>
                    <w:tr2bl w:val="nil"/>
                  </w:tcBorders>
                  <w:noWrap w:val="0"/>
                  <w:vAlign w:val="center"/>
                </w:tcPr>
                <w:p w14:paraId="761C6E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lang w:val="en-US" w:eastAsia="zh-CN"/>
                    </w:rPr>
                    <w:t>化学品名称</w:t>
                  </w:r>
                </w:p>
              </w:tc>
              <w:tc>
                <w:tcPr>
                  <w:tcW w:w="389" w:type="pct"/>
                  <w:tcBorders>
                    <w:tl2br w:val="nil"/>
                    <w:tr2bl w:val="nil"/>
                  </w:tcBorders>
                  <w:noWrap w:val="0"/>
                  <w:vAlign w:val="center"/>
                </w:tcPr>
                <w:p w14:paraId="1CB98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sz w:val="18"/>
                      <w:szCs w:val="18"/>
                      <w:highlight w:val="none"/>
                      <w:lang w:val="en-US" w:eastAsia="zh-CN"/>
                    </w:rPr>
                    <w:t>CAS号</w:t>
                  </w:r>
                </w:p>
              </w:tc>
              <w:tc>
                <w:tcPr>
                  <w:tcW w:w="409" w:type="pct"/>
                  <w:tcBorders>
                    <w:tl2br w:val="nil"/>
                    <w:tr2bl w:val="nil"/>
                  </w:tcBorders>
                  <w:noWrap w:val="0"/>
                  <w:vAlign w:val="center"/>
                </w:tcPr>
                <w:p w14:paraId="0427F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分子式</w:t>
                  </w:r>
                </w:p>
              </w:tc>
              <w:tc>
                <w:tcPr>
                  <w:tcW w:w="314" w:type="pct"/>
                  <w:tcBorders>
                    <w:tl2br w:val="nil"/>
                    <w:tr2bl w:val="nil"/>
                  </w:tcBorders>
                  <w:noWrap w:val="0"/>
                  <w:vAlign w:val="center"/>
                </w:tcPr>
                <w:p w14:paraId="494E92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分子量</w:t>
                  </w:r>
                </w:p>
              </w:tc>
              <w:tc>
                <w:tcPr>
                  <w:tcW w:w="1060" w:type="pct"/>
                  <w:tcBorders>
                    <w:tl2br w:val="nil"/>
                    <w:tr2bl w:val="nil"/>
                  </w:tcBorders>
                  <w:noWrap w:val="0"/>
                  <w:vAlign w:val="center"/>
                </w:tcPr>
                <w:p w14:paraId="5F091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理化性质</w:t>
                  </w:r>
                </w:p>
              </w:tc>
              <w:tc>
                <w:tcPr>
                  <w:tcW w:w="1060" w:type="pct"/>
                  <w:tcBorders>
                    <w:tl2br w:val="nil"/>
                    <w:tr2bl w:val="nil"/>
                  </w:tcBorders>
                  <w:noWrap w:val="0"/>
                  <w:vAlign w:val="center"/>
                </w:tcPr>
                <w:p w14:paraId="379F06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燃烧爆炸性</w:t>
                  </w:r>
                </w:p>
              </w:tc>
              <w:tc>
                <w:tcPr>
                  <w:tcW w:w="1027" w:type="pct"/>
                  <w:tcBorders>
                    <w:tl2br w:val="nil"/>
                    <w:tr2bl w:val="nil"/>
                  </w:tcBorders>
                  <w:noWrap w:val="0"/>
                  <w:vAlign w:val="center"/>
                </w:tcPr>
                <w:p w14:paraId="39D064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毒理毒性</w:t>
                  </w:r>
                </w:p>
              </w:tc>
              <w:tc>
                <w:tcPr>
                  <w:tcW w:w="199" w:type="pct"/>
                  <w:tcBorders>
                    <w:tl2br w:val="nil"/>
                    <w:tr2bl w:val="nil"/>
                  </w:tcBorders>
                  <w:noWrap w:val="0"/>
                  <w:vAlign w:val="center"/>
                </w:tcPr>
                <w:p w14:paraId="5257C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Chars="0"/>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备注</w:t>
                  </w:r>
                </w:p>
              </w:tc>
            </w:tr>
            <w:tr w14:paraId="347A9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49BC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w:t>
                  </w:r>
                </w:p>
              </w:tc>
              <w:tc>
                <w:tcPr>
                  <w:tcW w:w="355" w:type="pct"/>
                  <w:tcBorders>
                    <w:tl2br w:val="nil"/>
                    <w:tr2bl w:val="nil"/>
                  </w:tcBorders>
                  <w:noWrap w:val="0"/>
                  <w:vAlign w:val="center"/>
                </w:tcPr>
                <w:p w14:paraId="028067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苯</w:t>
                  </w:r>
                </w:p>
              </w:tc>
              <w:tc>
                <w:tcPr>
                  <w:tcW w:w="389" w:type="pct"/>
                  <w:tcBorders>
                    <w:tl2br w:val="nil"/>
                    <w:tr2bl w:val="nil"/>
                  </w:tcBorders>
                  <w:noWrap w:val="0"/>
                  <w:vAlign w:val="center"/>
                </w:tcPr>
                <w:p w14:paraId="09017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71-43-2</w:t>
                  </w:r>
                </w:p>
              </w:tc>
              <w:tc>
                <w:tcPr>
                  <w:tcW w:w="409" w:type="pct"/>
                  <w:tcBorders>
                    <w:tl2br w:val="nil"/>
                    <w:tr2bl w:val="nil"/>
                  </w:tcBorders>
                  <w:noWrap w:val="0"/>
                  <w:vAlign w:val="center"/>
                </w:tcPr>
                <w:p w14:paraId="357A5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C₆H₆</w:t>
                  </w:r>
                </w:p>
              </w:tc>
              <w:tc>
                <w:tcPr>
                  <w:tcW w:w="314" w:type="pct"/>
                  <w:tcBorders>
                    <w:tl2br w:val="nil"/>
                    <w:tr2bl w:val="nil"/>
                  </w:tcBorders>
                  <w:noWrap w:val="0"/>
                  <w:vAlign w:val="center"/>
                </w:tcPr>
                <w:p w14:paraId="1BAA06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78.11</w:t>
                  </w:r>
                </w:p>
              </w:tc>
              <w:tc>
                <w:tcPr>
                  <w:tcW w:w="1060" w:type="pct"/>
                  <w:tcBorders>
                    <w:tl2br w:val="nil"/>
                    <w:tr2bl w:val="nil"/>
                  </w:tcBorders>
                  <w:noWrap w:val="0"/>
                  <w:vAlign w:val="center"/>
                </w:tcPr>
                <w:p w14:paraId="359593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无色透明液体，有特殊芳香气味，不溶于水，易溶于乙醇、乙醚等，沸点80.1℃，熔点5.5℃，相对密度0.879（20℃），易挥发，化学性质稳定。</w:t>
                  </w:r>
                </w:p>
              </w:tc>
              <w:tc>
                <w:tcPr>
                  <w:tcW w:w="1060" w:type="pct"/>
                  <w:tcBorders>
                    <w:tl2br w:val="nil"/>
                    <w:tr2bl w:val="nil"/>
                  </w:tcBorders>
                  <w:noWrap w:val="0"/>
                  <w:vAlign w:val="center"/>
                </w:tcPr>
                <w:p w14:paraId="0DDCF15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极易燃，闪点-11℃，爆炸极限1.2%-8.0%（体积分数），遇明火、高热或氧化剂立即燃烧爆炸，蒸汽比空气重，易积聚形成爆炸性混合物，燃烧时产生浓烟。</w:t>
                  </w:r>
                </w:p>
              </w:tc>
              <w:tc>
                <w:tcPr>
                  <w:tcW w:w="1027" w:type="pct"/>
                  <w:tcBorders>
                    <w:tl2br w:val="nil"/>
                    <w:tr2bl w:val="nil"/>
                  </w:tcBorders>
                  <w:noWrap w:val="0"/>
                  <w:vAlign w:val="center"/>
                </w:tcPr>
                <w:p w14:paraId="4F1A8B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高毒性，IARC列为1类致癌物，急性毒性：大鼠经口LD₅₀为3306mg/kg；长期接触可引起白血病，吸入高浓度蒸汽可导致中枢神经系统抑制，出现头痛、昏迷，皮肤接触可吸收中毒。</w:t>
                  </w:r>
                </w:p>
              </w:tc>
              <w:tc>
                <w:tcPr>
                  <w:tcW w:w="199" w:type="pct"/>
                  <w:tcBorders>
                    <w:tl2br w:val="nil"/>
                    <w:tr2bl w:val="nil"/>
                  </w:tcBorders>
                  <w:noWrap w:val="0"/>
                  <w:vAlign w:val="center"/>
                </w:tcPr>
                <w:p w14:paraId="2962B2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241D2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63133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w:t>
                  </w:r>
                </w:p>
              </w:tc>
              <w:tc>
                <w:tcPr>
                  <w:tcW w:w="355" w:type="pct"/>
                  <w:tcBorders>
                    <w:tl2br w:val="nil"/>
                    <w:tr2bl w:val="nil"/>
                  </w:tcBorders>
                  <w:noWrap w:val="0"/>
                  <w:vAlign w:val="center"/>
                </w:tcPr>
                <w:p w14:paraId="4CDAB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苯乙烯</w:t>
                  </w:r>
                </w:p>
              </w:tc>
              <w:tc>
                <w:tcPr>
                  <w:tcW w:w="389" w:type="pct"/>
                  <w:tcBorders>
                    <w:tl2br w:val="nil"/>
                    <w:tr2bl w:val="nil"/>
                  </w:tcBorders>
                  <w:noWrap w:val="0"/>
                  <w:vAlign w:val="center"/>
                </w:tcPr>
                <w:p w14:paraId="16AF3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100-42-5</w:t>
                  </w:r>
                </w:p>
              </w:tc>
              <w:tc>
                <w:tcPr>
                  <w:tcW w:w="409" w:type="pct"/>
                  <w:tcBorders>
                    <w:tl2br w:val="nil"/>
                    <w:tr2bl w:val="nil"/>
                  </w:tcBorders>
                  <w:noWrap w:val="0"/>
                  <w:vAlign w:val="center"/>
                </w:tcPr>
                <w:p w14:paraId="214A319A">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C₈H₈</w:t>
                  </w:r>
                </w:p>
              </w:tc>
              <w:tc>
                <w:tcPr>
                  <w:tcW w:w="314" w:type="pct"/>
                  <w:tcBorders>
                    <w:tl2br w:val="nil"/>
                    <w:tr2bl w:val="nil"/>
                  </w:tcBorders>
                  <w:noWrap w:val="0"/>
                  <w:vAlign w:val="center"/>
                </w:tcPr>
                <w:p w14:paraId="33E0FD1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104.15</w:t>
                  </w:r>
                </w:p>
              </w:tc>
              <w:tc>
                <w:tcPr>
                  <w:tcW w:w="1060" w:type="pct"/>
                  <w:tcBorders>
                    <w:tl2br w:val="nil"/>
                    <w:tr2bl w:val="nil"/>
                  </w:tcBorders>
                  <w:noWrap w:val="0"/>
                  <w:vAlign w:val="center"/>
                </w:tcPr>
                <w:p w14:paraId="18828DF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无色透明液体，有特殊芳香气味，不溶于水，易溶于乙醇、苯等；密度0.906g/cm³（20℃），沸点145.2℃，熔点-30.6℃，闪点31℃（闭杯），易聚合需加阻聚剂。</w:t>
                  </w:r>
                </w:p>
              </w:tc>
              <w:tc>
                <w:tcPr>
                  <w:tcW w:w="1060" w:type="pct"/>
                  <w:tcBorders>
                    <w:tl2br w:val="nil"/>
                    <w:tr2bl w:val="nil"/>
                  </w:tcBorders>
                  <w:noWrap w:val="0"/>
                  <w:vAlign w:val="center"/>
                </w:tcPr>
                <w:p w14:paraId="726539C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易燃，蒸汽与空气爆炸极限1.1%-6.1%；遇明火、高热易燃烧爆炸，与氧化剂反应，蒸汽比空气重易扩散回燃。</w:t>
                  </w:r>
                </w:p>
              </w:tc>
              <w:tc>
                <w:tcPr>
                  <w:tcW w:w="1027" w:type="pct"/>
                  <w:tcBorders>
                    <w:tl2br w:val="nil"/>
                    <w:tr2bl w:val="nil"/>
                  </w:tcBorders>
                  <w:noWrap w:val="0"/>
                  <w:vAlign w:val="center"/>
                </w:tcPr>
                <w:p w14:paraId="54BBC18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低毒至中等毒性，I类致癌物；吸入高浓度蒸汽致头痛、恶心，皮肤接触引发刺激，长期接触可能致淋巴癌等。</w:t>
                  </w:r>
                </w:p>
              </w:tc>
              <w:tc>
                <w:tcPr>
                  <w:tcW w:w="199" w:type="pct"/>
                  <w:tcBorders>
                    <w:tl2br w:val="nil"/>
                    <w:tr2bl w:val="nil"/>
                  </w:tcBorders>
                  <w:noWrap w:val="0"/>
                  <w:vAlign w:val="center"/>
                </w:tcPr>
                <w:p w14:paraId="0778C0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55FB1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A4F4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3</w:t>
                  </w:r>
                </w:p>
              </w:tc>
              <w:tc>
                <w:tcPr>
                  <w:tcW w:w="355" w:type="pct"/>
                  <w:tcBorders>
                    <w:tl2br w:val="nil"/>
                    <w:tr2bl w:val="nil"/>
                  </w:tcBorders>
                  <w:noWrap w:val="0"/>
                  <w:vAlign w:val="center"/>
                </w:tcPr>
                <w:p w14:paraId="474192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甲苯</w:t>
                  </w:r>
                </w:p>
              </w:tc>
              <w:tc>
                <w:tcPr>
                  <w:tcW w:w="389" w:type="pct"/>
                  <w:tcBorders>
                    <w:tl2br w:val="nil"/>
                    <w:tr2bl w:val="nil"/>
                  </w:tcBorders>
                  <w:noWrap w:val="0"/>
                  <w:vAlign w:val="center"/>
                </w:tcPr>
                <w:p w14:paraId="770FC3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108-88-3</w:t>
                  </w:r>
                </w:p>
              </w:tc>
              <w:tc>
                <w:tcPr>
                  <w:tcW w:w="409" w:type="pct"/>
                  <w:tcBorders>
                    <w:tl2br w:val="nil"/>
                    <w:tr2bl w:val="nil"/>
                  </w:tcBorders>
                  <w:noWrap w:val="0"/>
                  <w:vAlign w:val="center"/>
                </w:tcPr>
                <w:p w14:paraId="0ACFA29D">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C₇H₈</w:t>
                  </w:r>
                </w:p>
              </w:tc>
              <w:tc>
                <w:tcPr>
                  <w:tcW w:w="314" w:type="pct"/>
                  <w:tcBorders>
                    <w:tl2br w:val="nil"/>
                    <w:tr2bl w:val="nil"/>
                  </w:tcBorders>
                  <w:noWrap w:val="0"/>
                  <w:vAlign w:val="center"/>
                </w:tcPr>
                <w:p w14:paraId="22A24A5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92.14</w:t>
                  </w:r>
                </w:p>
              </w:tc>
              <w:tc>
                <w:tcPr>
                  <w:tcW w:w="1060" w:type="pct"/>
                  <w:tcBorders>
                    <w:tl2br w:val="nil"/>
                    <w:tr2bl w:val="nil"/>
                  </w:tcBorders>
                  <w:noWrap w:val="0"/>
                  <w:vAlign w:val="center"/>
                </w:tcPr>
                <w:p w14:paraId="246F3FA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无色透明液体，有芳香气味，不溶于水，易溶于乙醇、苯；密度0.867g/cm³（20℃），沸点110.6℃，熔点-95℃，闪点4℃（闭杯）。</w:t>
                  </w:r>
                </w:p>
              </w:tc>
              <w:tc>
                <w:tcPr>
                  <w:tcW w:w="1060" w:type="pct"/>
                  <w:tcBorders>
                    <w:tl2br w:val="nil"/>
                    <w:tr2bl w:val="nil"/>
                  </w:tcBorders>
                  <w:noWrap w:val="0"/>
                  <w:vAlign w:val="center"/>
                </w:tcPr>
                <w:p w14:paraId="6C98D6A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高度易燃，蒸汽与空气爆炸极限1.2%-7.0%；遇明火、高热极易燃烧爆炸，与氧化剂反应剧烈，蒸汽比空气重易扩散回燃。</w:t>
                  </w:r>
                </w:p>
              </w:tc>
              <w:tc>
                <w:tcPr>
                  <w:tcW w:w="1027" w:type="pct"/>
                  <w:tcBorders>
                    <w:tl2br w:val="nil"/>
                    <w:tr2bl w:val="nil"/>
                  </w:tcBorders>
                  <w:noWrap w:val="0"/>
                  <w:vAlign w:val="center"/>
                </w:tcPr>
                <w:p w14:paraId="37D09FC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低毒，I类致癌物；吸入高浓度蒸汽致头痛、头晕、恶心，皮肤接触可吸收，长期接触致神经系统损伤及白血病。</w:t>
                  </w:r>
                </w:p>
              </w:tc>
              <w:tc>
                <w:tcPr>
                  <w:tcW w:w="199" w:type="pct"/>
                  <w:tcBorders>
                    <w:tl2br w:val="nil"/>
                    <w:tr2bl w:val="nil"/>
                  </w:tcBorders>
                  <w:noWrap w:val="0"/>
                  <w:vAlign w:val="center"/>
                </w:tcPr>
                <w:p w14:paraId="194E3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EAED0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14705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4</w:t>
                  </w:r>
                </w:p>
              </w:tc>
              <w:tc>
                <w:tcPr>
                  <w:tcW w:w="355" w:type="pct"/>
                  <w:tcBorders>
                    <w:tl2br w:val="nil"/>
                    <w:tr2bl w:val="nil"/>
                  </w:tcBorders>
                  <w:noWrap w:val="0"/>
                  <w:vAlign w:val="center"/>
                </w:tcPr>
                <w:p w14:paraId="09EA02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对二甲苯</w:t>
                  </w:r>
                </w:p>
              </w:tc>
              <w:tc>
                <w:tcPr>
                  <w:tcW w:w="389" w:type="pct"/>
                  <w:tcBorders>
                    <w:tl2br w:val="nil"/>
                    <w:tr2bl w:val="nil"/>
                  </w:tcBorders>
                  <w:noWrap w:val="0"/>
                  <w:vAlign w:val="center"/>
                </w:tcPr>
                <w:p w14:paraId="57F220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106-42-3</w:t>
                  </w:r>
                </w:p>
              </w:tc>
              <w:tc>
                <w:tcPr>
                  <w:tcW w:w="409" w:type="pct"/>
                  <w:tcBorders>
                    <w:tl2br w:val="nil"/>
                    <w:tr2bl w:val="nil"/>
                  </w:tcBorders>
                  <w:noWrap w:val="0"/>
                  <w:vAlign w:val="center"/>
                </w:tcPr>
                <w:p w14:paraId="7C6574A3">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C₈H₁₀</w:t>
                  </w:r>
                </w:p>
              </w:tc>
              <w:tc>
                <w:tcPr>
                  <w:tcW w:w="314" w:type="pct"/>
                  <w:tcBorders>
                    <w:tl2br w:val="nil"/>
                    <w:tr2bl w:val="nil"/>
                  </w:tcBorders>
                  <w:noWrap w:val="0"/>
                  <w:vAlign w:val="center"/>
                </w:tcPr>
                <w:p w14:paraId="278E79A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106.17</w:t>
                  </w:r>
                </w:p>
              </w:tc>
              <w:tc>
                <w:tcPr>
                  <w:tcW w:w="1060" w:type="pct"/>
                  <w:tcBorders>
                    <w:tl2br w:val="nil"/>
                    <w:tr2bl w:val="nil"/>
                  </w:tcBorders>
                  <w:noWrap w:val="0"/>
                  <w:vAlign w:val="center"/>
                </w:tcPr>
                <w:p w14:paraId="0D296C3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无色透明液体，有芳香气味，不溶于水，易溶于乙醇、苯；密度0.861g/cm³（20℃），沸点138.4℃，熔点13.2℃，闪点25℃（闭杯）。</w:t>
                  </w:r>
                </w:p>
              </w:tc>
              <w:tc>
                <w:tcPr>
                  <w:tcW w:w="1060" w:type="pct"/>
                  <w:tcBorders>
                    <w:tl2br w:val="nil"/>
                    <w:tr2bl w:val="nil"/>
                  </w:tcBorders>
                  <w:noWrap w:val="0"/>
                  <w:vAlign w:val="center"/>
                </w:tcPr>
                <w:p w14:paraId="6D8D14F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易燃，蒸汽与空气爆炸极限1.1%-7.0%；遇明火、高热易燃烧爆炸，与氧化剂反应，蒸汽比空气重易扩散回燃。</w:t>
                  </w:r>
                </w:p>
              </w:tc>
              <w:tc>
                <w:tcPr>
                  <w:tcW w:w="1027" w:type="pct"/>
                  <w:tcBorders>
                    <w:tl2br w:val="nil"/>
                    <w:tr2bl w:val="nil"/>
                  </w:tcBorders>
                  <w:noWrap w:val="0"/>
                  <w:vAlign w:val="center"/>
                </w:tcPr>
                <w:p w14:paraId="183D11B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低毒；吸入高浓度蒸汽致头痛、头晕，皮肤接触有刺激作用，长期接触可能影响神经系统，I类致癌物。</w:t>
                  </w:r>
                </w:p>
              </w:tc>
              <w:tc>
                <w:tcPr>
                  <w:tcW w:w="199" w:type="pct"/>
                  <w:tcBorders>
                    <w:tl2br w:val="nil"/>
                    <w:tr2bl w:val="nil"/>
                  </w:tcBorders>
                  <w:noWrap w:val="0"/>
                  <w:vAlign w:val="center"/>
                </w:tcPr>
                <w:p w14:paraId="2A343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9407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7EDEB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5</w:t>
                  </w:r>
                </w:p>
              </w:tc>
              <w:tc>
                <w:tcPr>
                  <w:tcW w:w="355" w:type="pct"/>
                  <w:tcBorders>
                    <w:tl2br w:val="nil"/>
                    <w:tr2bl w:val="nil"/>
                  </w:tcBorders>
                  <w:noWrap w:val="0"/>
                  <w:vAlign w:val="center"/>
                </w:tcPr>
                <w:p w14:paraId="08DA05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混</w:t>
                  </w:r>
                  <w:r>
                    <w:rPr>
                      <w:rFonts w:hint="default" w:ascii="Times New Roman" w:hAnsi="Times New Roman" w:eastAsia="宋体" w:cs="Times New Roman"/>
                      <w:i w:val="0"/>
                      <w:iCs w:val="0"/>
                      <w:color w:val="auto"/>
                      <w:kern w:val="0"/>
                      <w:sz w:val="18"/>
                      <w:szCs w:val="18"/>
                      <w:u w:val="none"/>
                      <w:lang w:val="en-US" w:eastAsia="zh-CN" w:bidi="ar"/>
                    </w:rPr>
                    <w:t>二甲苯</w:t>
                  </w:r>
                </w:p>
              </w:tc>
              <w:tc>
                <w:tcPr>
                  <w:tcW w:w="389" w:type="pct"/>
                  <w:tcBorders>
                    <w:tl2br w:val="nil"/>
                    <w:tr2bl w:val="nil"/>
                  </w:tcBorders>
                  <w:noWrap w:val="0"/>
                  <w:vAlign w:val="center"/>
                </w:tcPr>
                <w:p w14:paraId="0B081A9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1330-20-7（混合异构体）</w:t>
                  </w:r>
                </w:p>
              </w:tc>
              <w:tc>
                <w:tcPr>
                  <w:tcW w:w="409" w:type="pct"/>
                  <w:tcBorders>
                    <w:tl2br w:val="nil"/>
                    <w:tr2bl w:val="nil"/>
                  </w:tcBorders>
                  <w:noWrap w:val="0"/>
                  <w:vAlign w:val="center"/>
                </w:tcPr>
                <w:p w14:paraId="4FD86CA2">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C₈H₁₀</w:t>
                  </w:r>
                </w:p>
              </w:tc>
              <w:tc>
                <w:tcPr>
                  <w:tcW w:w="314" w:type="pct"/>
                  <w:tcBorders>
                    <w:tl2br w:val="nil"/>
                    <w:tr2bl w:val="nil"/>
                  </w:tcBorders>
                  <w:noWrap w:val="0"/>
                  <w:vAlign w:val="center"/>
                </w:tcPr>
                <w:p w14:paraId="0B8404E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106.17</w:t>
                  </w:r>
                </w:p>
              </w:tc>
              <w:tc>
                <w:tcPr>
                  <w:tcW w:w="1060" w:type="pct"/>
                  <w:tcBorders>
                    <w:tl2br w:val="nil"/>
                    <w:tr2bl w:val="nil"/>
                  </w:tcBorders>
                  <w:noWrap w:val="0"/>
                  <w:vAlign w:val="center"/>
                </w:tcPr>
                <w:p w14:paraId="1FA6B9B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无色透明液体，有芳香气味，不溶于水，易溶于乙醇、苯；密度0.86-0.88g/cm³（20℃），沸点137-140℃，熔点-47.9℃，闪点25℃（闭杯）。</w:t>
                  </w:r>
                </w:p>
              </w:tc>
              <w:tc>
                <w:tcPr>
                  <w:tcW w:w="1060" w:type="pct"/>
                  <w:tcBorders>
                    <w:tl2br w:val="nil"/>
                    <w:tr2bl w:val="nil"/>
                  </w:tcBorders>
                  <w:noWrap w:val="0"/>
                  <w:vAlign w:val="center"/>
                </w:tcPr>
                <w:p w14:paraId="35905C1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易燃，蒸汽与空气爆炸极限1.0%-7.0%；遇明火、高热易燃烧爆炸，与氧化剂反应，蒸汽比空气重易扩散回燃。</w:t>
                  </w:r>
                </w:p>
              </w:tc>
              <w:tc>
                <w:tcPr>
                  <w:tcW w:w="1027" w:type="pct"/>
                  <w:tcBorders>
                    <w:tl2br w:val="nil"/>
                    <w:tr2bl w:val="nil"/>
                  </w:tcBorders>
                  <w:noWrap w:val="0"/>
                  <w:vAlign w:val="center"/>
                </w:tcPr>
                <w:p w14:paraId="1072840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低毒；吸入高浓度蒸汽致头痛、头晕、恶心，皮肤接触有刺激作用，长期接触可能影响神经系统，I类致癌物。</w:t>
                  </w:r>
                </w:p>
              </w:tc>
              <w:tc>
                <w:tcPr>
                  <w:tcW w:w="199" w:type="pct"/>
                  <w:tcBorders>
                    <w:tl2br w:val="nil"/>
                    <w:tr2bl w:val="nil"/>
                  </w:tcBorders>
                  <w:noWrap w:val="0"/>
                  <w:vAlign w:val="center"/>
                </w:tcPr>
                <w:p w14:paraId="1C7188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72FD4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1B769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6</w:t>
                  </w:r>
                </w:p>
              </w:tc>
              <w:tc>
                <w:tcPr>
                  <w:tcW w:w="355" w:type="pct"/>
                  <w:tcBorders>
                    <w:tl2br w:val="nil"/>
                    <w:tr2bl w:val="nil"/>
                  </w:tcBorders>
                  <w:noWrap w:val="0"/>
                  <w:vAlign w:val="center"/>
                </w:tcPr>
                <w:p w14:paraId="44120F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丙酮</w:t>
                  </w:r>
                </w:p>
              </w:tc>
              <w:tc>
                <w:tcPr>
                  <w:tcW w:w="389" w:type="pct"/>
                  <w:tcBorders>
                    <w:tl2br w:val="nil"/>
                    <w:tr2bl w:val="nil"/>
                  </w:tcBorders>
                  <w:noWrap w:val="0"/>
                  <w:vAlign w:val="center"/>
                </w:tcPr>
                <w:p w14:paraId="050CB9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67-64-1</w:t>
                  </w:r>
                </w:p>
              </w:tc>
              <w:tc>
                <w:tcPr>
                  <w:tcW w:w="409" w:type="pct"/>
                  <w:tcBorders>
                    <w:tl2br w:val="nil"/>
                    <w:tr2bl w:val="nil"/>
                  </w:tcBorders>
                  <w:noWrap w:val="0"/>
                  <w:vAlign w:val="center"/>
                </w:tcPr>
                <w:p w14:paraId="39CA7082">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C₃H₆O</w:t>
                  </w:r>
                </w:p>
              </w:tc>
              <w:tc>
                <w:tcPr>
                  <w:tcW w:w="314" w:type="pct"/>
                  <w:tcBorders>
                    <w:tl2br w:val="nil"/>
                    <w:tr2bl w:val="nil"/>
                  </w:tcBorders>
                  <w:noWrap w:val="0"/>
                  <w:vAlign w:val="center"/>
                </w:tcPr>
                <w:p w14:paraId="3FA5677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58.08</w:t>
                  </w:r>
                </w:p>
              </w:tc>
              <w:tc>
                <w:tcPr>
                  <w:tcW w:w="1060" w:type="pct"/>
                  <w:tcBorders>
                    <w:tl2br w:val="nil"/>
                    <w:tr2bl w:val="nil"/>
                  </w:tcBorders>
                  <w:noWrap w:val="0"/>
                  <w:vAlign w:val="center"/>
                </w:tcPr>
                <w:p w14:paraId="5EFFFA2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无色透明液体，有特殊香味，易溶于水及多数有机溶剂；密度0.789g/cm³（20℃），沸点56.5℃，熔点-94.7℃，闪点-20℃（闭杯）。</w:t>
                  </w:r>
                </w:p>
              </w:tc>
              <w:tc>
                <w:tcPr>
                  <w:tcW w:w="1060" w:type="pct"/>
                  <w:tcBorders>
                    <w:tl2br w:val="nil"/>
                    <w:tr2bl w:val="nil"/>
                  </w:tcBorders>
                  <w:noWrap w:val="0"/>
                  <w:vAlign w:val="center"/>
                </w:tcPr>
                <w:p w14:paraId="2CC313F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极度易燃，蒸汽与空气爆炸极限2.5%-13.0%；遇明火、高热极易燃烧爆炸，与氧化剂反应剧烈，蒸汽比空气重易扩散回燃。</w:t>
                  </w:r>
                </w:p>
              </w:tc>
              <w:tc>
                <w:tcPr>
                  <w:tcW w:w="1027" w:type="pct"/>
                  <w:tcBorders>
                    <w:tl2br w:val="nil"/>
                    <w:tr2bl w:val="nil"/>
                  </w:tcBorders>
                  <w:noWrap w:val="0"/>
                  <w:vAlign w:val="center"/>
                </w:tcPr>
                <w:p w14:paraId="3A000E9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低毒；吸入高浓度蒸汽致头痛、头晕、恶心，皮肤接触易脱脂，口服少量无严重危害，大量致中枢神经抑制。</w:t>
                  </w:r>
                </w:p>
              </w:tc>
              <w:tc>
                <w:tcPr>
                  <w:tcW w:w="199" w:type="pct"/>
                  <w:tcBorders>
                    <w:tl2br w:val="nil"/>
                    <w:tr2bl w:val="nil"/>
                  </w:tcBorders>
                  <w:noWrap w:val="0"/>
                  <w:vAlign w:val="center"/>
                </w:tcPr>
                <w:p w14:paraId="09E36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7D91A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51CB8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7</w:t>
                  </w:r>
                </w:p>
              </w:tc>
              <w:tc>
                <w:tcPr>
                  <w:tcW w:w="355" w:type="pct"/>
                  <w:tcBorders>
                    <w:tl2br w:val="nil"/>
                    <w:tr2bl w:val="nil"/>
                  </w:tcBorders>
                  <w:noWrap w:val="0"/>
                  <w:vAlign w:val="center"/>
                </w:tcPr>
                <w:p w14:paraId="61ECF4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1,3-</w:t>
                  </w:r>
                  <w:r>
                    <w:rPr>
                      <w:rFonts w:hint="default" w:ascii="Times New Roman" w:hAnsi="Times New Roman" w:eastAsia="宋体" w:cs="Times New Roman"/>
                      <w:i w:val="0"/>
                      <w:iCs w:val="0"/>
                      <w:color w:val="auto"/>
                      <w:kern w:val="0"/>
                      <w:sz w:val="18"/>
                      <w:szCs w:val="18"/>
                      <w:u w:val="none"/>
                      <w:lang w:val="en-US" w:eastAsia="zh-CN" w:bidi="ar"/>
                    </w:rPr>
                    <w:t>丁二烯</w:t>
                  </w:r>
                </w:p>
              </w:tc>
              <w:tc>
                <w:tcPr>
                  <w:tcW w:w="389" w:type="pct"/>
                  <w:tcBorders>
                    <w:tl2br w:val="nil"/>
                    <w:tr2bl w:val="nil"/>
                  </w:tcBorders>
                  <w:noWrap w:val="0"/>
                  <w:vAlign w:val="center"/>
                </w:tcPr>
                <w:p w14:paraId="24A849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106-99-0</w:t>
                  </w:r>
                </w:p>
              </w:tc>
              <w:tc>
                <w:tcPr>
                  <w:tcW w:w="409" w:type="pct"/>
                  <w:tcBorders>
                    <w:tl2br w:val="nil"/>
                    <w:tr2bl w:val="nil"/>
                  </w:tcBorders>
                  <w:noWrap w:val="0"/>
                  <w:vAlign w:val="center"/>
                </w:tcPr>
                <w:p w14:paraId="33E5D39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C₄H₆</w:t>
                  </w:r>
                </w:p>
              </w:tc>
              <w:tc>
                <w:tcPr>
                  <w:tcW w:w="314" w:type="pct"/>
                  <w:tcBorders>
                    <w:tl2br w:val="nil"/>
                    <w:tr2bl w:val="nil"/>
                  </w:tcBorders>
                  <w:noWrap w:val="0"/>
                  <w:vAlign w:val="center"/>
                </w:tcPr>
                <w:p w14:paraId="0DD99E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54.09</w:t>
                  </w:r>
                </w:p>
              </w:tc>
              <w:tc>
                <w:tcPr>
                  <w:tcW w:w="1060" w:type="pct"/>
                  <w:tcBorders>
                    <w:tl2br w:val="nil"/>
                    <w:tr2bl w:val="nil"/>
                  </w:tcBorders>
                  <w:noWrap w:val="0"/>
                  <w:vAlign w:val="center"/>
                </w:tcPr>
                <w:p w14:paraId="04843B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无色气体，有轻微甜味，微溶于水，易溶于乙醇、乙醚等，沸点-4.4℃，熔点-108.9℃，相对密度0.621（液体，-6℃），易聚合，通常加阻聚剂储存。</w:t>
                  </w:r>
                </w:p>
              </w:tc>
              <w:tc>
                <w:tcPr>
                  <w:tcW w:w="1060" w:type="pct"/>
                  <w:tcBorders>
                    <w:tl2br w:val="nil"/>
                    <w:tr2bl w:val="nil"/>
                  </w:tcBorders>
                  <w:noWrap w:val="0"/>
                  <w:vAlign w:val="center"/>
                </w:tcPr>
                <w:p w14:paraId="5CF25E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极度易燃，闪点-76℃，爆炸极限2.0%-11.5%（体积分数），遇明火、高热或氧化剂立即燃烧爆炸，与空气混合可形成爆炸性混合物，受热或震动可能引发聚合爆炸。</w:t>
                  </w:r>
                </w:p>
              </w:tc>
              <w:tc>
                <w:tcPr>
                  <w:tcW w:w="1027" w:type="pct"/>
                  <w:tcBorders>
                    <w:tl2br w:val="nil"/>
                    <w:tr2bl w:val="nil"/>
                  </w:tcBorders>
                  <w:noWrap w:val="0"/>
                  <w:vAlign w:val="center"/>
                </w:tcPr>
                <w:p w14:paraId="272EAB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中等毒性，急性毒性：大鼠吸入LC₅₀为28000ppm（4h）；具有致癌性（IARC列为1类致癌物），长期接触可引起白血病，吸入高浓度可导致头痛、头晕、意识障碍。</w:t>
                  </w:r>
                </w:p>
              </w:tc>
              <w:tc>
                <w:tcPr>
                  <w:tcW w:w="199" w:type="pct"/>
                  <w:tcBorders>
                    <w:tl2br w:val="nil"/>
                    <w:tr2bl w:val="nil"/>
                  </w:tcBorders>
                  <w:noWrap w:val="0"/>
                  <w:vAlign w:val="center"/>
                </w:tcPr>
                <w:p w14:paraId="70F5D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0090B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66055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8</w:t>
                  </w:r>
                </w:p>
              </w:tc>
              <w:tc>
                <w:tcPr>
                  <w:tcW w:w="355" w:type="pct"/>
                  <w:tcBorders>
                    <w:tl2br w:val="nil"/>
                    <w:tr2bl w:val="nil"/>
                  </w:tcBorders>
                  <w:noWrap w:val="0"/>
                  <w:vAlign w:val="center"/>
                </w:tcPr>
                <w:p w14:paraId="0FB2C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苯酚</w:t>
                  </w:r>
                </w:p>
              </w:tc>
              <w:tc>
                <w:tcPr>
                  <w:tcW w:w="389" w:type="pct"/>
                  <w:tcBorders>
                    <w:tl2br w:val="nil"/>
                    <w:tr2bl w:val="nil"/>
                  </w:tcBorders>
                  <w:noWrap w:val="0"/>
                  <w:vAlign w:val="center"/>
                </w:tcPr>
                <w:p w14:paraId="0E0C2B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108-95-2</w:t>
                  </w:r>
                </w:p>
              </w:tc>
              <w:tc>
                <w:tcPr>
                  <w:tcW w:w="409" w:type="pct"/>
                  <w:tcBorders>
                    <w:tl2br w:val="nil"/>
                    <w:tr2bl w:val="nil"/>
                  </w:tcBorders>
                  <w:noWrap w:val="0"/>
                  <w:vAlign w:val="center"/>
                </w:tcPr>
                <w:p w14:paraId="69FE4E7C">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C₆H₆O</w:t>
                  </w:r>
                </w:p>
              </w:tc>
              <w:tc>
                <w:tcPr>
                  <w:tcW w:w="314" w:type="pct"/>
                  <w:tcBorders>
                    <w:tl2br w:val="nil"/>
                    <w:tr2bl w:val="nil"/>
                  </w:tcBorders>
                  <w:noWrap w:val="0"/>
                  <w:vAlign w:val="center"/>
                </w:tcPr>
                <w:p w14:paraId="72D2554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94.11</w:t>
                  </w:r>
                </w:p>
              </w:tc>
              <w:tc>
                <w:tcPr>
                  <w:tcW w:w="1060" w:type="pct"/>
                  <w:tcBorders>
                    <w:tl2br w:val="nil"/>
                    <w:tr2bl w:val="nil"/>
                  </w:tcBorders>
                  <w:noWrap w:val="0"/>
                  <w:vAlign w:val="center"/>
                </w:tcPr>
                <w:p w14:paraId="34D4644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常温下为无色晶体，遇光或空气变为粉红色，有特殊气味，微溶于水（20℃溶解度8.3g/100mL），易溶于乙醇、乙醚等；密度1.071g/cm³（25℃），沸点181.7℃，熔点40.6℃，闪点79℃（闭杯）。</w:t>
                  </w:r>
                </w:p>
              </w:tc>
              <w:tc>
                <w:tcPr>
                  <w:tcW w:w="1060" w:type="pct"/>
                  <w:tcBorders>
                    <w:tl2br w:val="nil"/>
                    <w:tr2bl w:val="nil"/>
                  </w:tcBorders>
                  <w:noWrap w:val="0"/>
                  <w:vAlign w:val="center"/>
                </w:tcPr>
                <w:p w14:paraId="3A54D16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可燃，蒸汽与空气可形成爆炸性混合物（爆炸极限1.7%-8.6%）；遇明火、高热可燃，与氧化剂反应剧烈，受热分解释放有毒气体。</w:t>
                  </w:r>
                </w:p>
              </w:tc>
              <w:tc>
                <w:tcPr>
                  <w:tcW w:w="1027" w:type="pct"/>
                  <w:tcBorders>
                    <w:tl2br w:val="nil"/>
                    <w:tr2bl w:val="nil"/>
                  </w:tcBorders>
                  <w:noWrap w:val="0"/>
                  <w:vAlign w:val="center"/>
                </w:tcPr>
                <w:p w14:paraId="679C4D8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高毒，具腐蚀性；皮肤、眼睛接触可致灼伤，吸入高浓度蒸汽引发头痛、肺水肿，口服致消化道灼伤及肝肾功能衰竭，长期接触可能致癌。</w:t>
                  </w:r>
                </w:p>
              </w:tc>
              <w:tc>
                <w:tcPr>
                  <w:tcW w:w="199" w:type="pct"/>
                  <w:tcBorders>
                    <w:tl2br w:val="nil"/>
                    <w:tr2bl w:val="nil"/>
                  </w:tcBorders>
                  <w:noWrap w:val="0"/>
                  <w:vAlign w:val="center"/>
                </w:tcPr>
                <w:p w14:paraId="03A832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C0BA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E4EAA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9</w:t>
                  </w:r>
                </w:p>
              </w:tc>
              <w:tc>
                <w:tcPr>
                  <w:tcW w:w="355" w:type="pct"/>
                  <w:tcBorders>
                    <w:tl2br w:val="nil"/>
                    <w:tr2bl w:val="nil"/>
                  </w:tcBorders>
                  <w:noWrap w:val="0"/>
                  <w:vAlign w:val="center"/>
                </w:tcPr>
                <w:p w14:paraId="5B923E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乙酸</w:t>
                  </w:r>
                </w:p>
              </w:tc>
              <w:tc>
                <w:tcPr>
                  <w:tcW w:w="389" w:type="pct"/>
                  <w:tcBorders>
                    <w:tl2br w:val="nil"/>
                    <w:tr2bl w:val="nil"/>
                  </w:tcBorders>
                  <w:noWrap w:val="0"/>
                  <w:vAlign w:val="center"/>
                </w:tcPr>
                <w:p w14:paraId="6DFB41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64-19-7</w:t>
                  </w:r>
                </w:p>
              </w:tc>
              <w:tc>
                <w:tcPr>
                  <w:tcW w:w="409" w:type="pct"/>
                  <w:tcBorders>
                    <w:tl2br w:val="nil"/>
                    <w:tr2bl w:val="nil"/>
                  </w:tcBorders>
                  <w:noWrap w:val="0"/>
                  <w:vAlign w:val="center"/>
                </w:tcPr>
                <w:p w14:paraId="5273FDDA">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C₂H₄O₂</w:t>
                  </w:r>
                </w:p>
              </w:tc>
              <w:tc>
                <w:tcPr>
                  <w:tcW w:w="314" w:type="pct"/>
                  <w:tcBorders>
                    <w:tl2br w:val="nil"/>
                    <w:tr2bl w:val="nil"/>
                  </w:tcBorders>
                  <w:noWrap w:val="0"/>
                  <w:vAlign w:val="center"/>
                </w:tcPr>
                <w:p w14:paraId="4AEFE0A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60.05</w:t>
                  </w:r>
                </w:p>
              </w:tc>
              <w:tc>
                <w:tcPr>
                  <w:tcW w:w="1060" w:type="pct"/>
                  <w:tcBorders>
                    <w:tl2br w:val="nil"/>
                    <w:tr2bl w:val="nil"/>
                  </w:tcBorders>
                  <w:noWrap w:val="0"/>
                  <w:vAlign w:val="center"/>
                </w:tcPr>
                <w:p w14:paraId="36BD38F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无色透明液体，有强烈刺激性酸味；相对密度1.049（水=1，20℃），相对蒸气密度2.07（空气=1）；与水、乙醇、乙醚等混溶；沸点117.9℃，熔点16.6℃，低于16.6℃时呈冰状结晶，故称冰醋酸。</w:t>
                  </w:r>
                </w:p>
              </w:tc>
              <w:tc>
                <w:tcPr>
                  <w:tcW w:w="1060" w:type="pct"/>
                  <w:tcBorders>
                    <w:tl2br w:val="nil"/>
                    <w:tr2bl w:val="nil"/>
                  </w:tcBorders>
                  <w:noWrap w:val="0"/>
                  <w:vAlign w:val="center"/>
                </w:tcPr>
                <w:p w14:paraId="294D655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可燃，闪点39℃（闭杯），爆炸极限4.0%-17.0%（体积分数）；遇明火、高热有燃烧爆炸危险；与铬酸、过氧化钠、硝酸或其他氧化剂接触，有爆炸危险；具有腐蚀性。</w:t>
                  </w:r>
                </w:p>
              </w:tc>
              <w:tc>
                <w:tcPr>
                  <w:tcW w:w="1027" w:type="pct"/>
                  <w:tcBorders>
                    <w:tl2br w:val="nil"/>
                    <w:tr2bl w:val="nil"/>
                  </w:tcBorders>
                  <w:noWrap w:val="0"/>
                  <w:vAlign w:val="center"/>
                </w:tcPr>
                <w:p w14:paraId="4F68F3B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低毒，急性毒性：大鼠经口LD₅₀为3530mg/kg；对皮肤、黏膜有强烈刺激作用，接触后可引起灼伤；吸入高浓度蒸气可引起呼吸道刺激症状，严重者导致化学性肺炎。</w:t>
                  </w:r>
                </w:p>
              </w:tc>
              <w:tc>
                <w:tcPr>
                  <w:tcW w:w="199" w:type="pct"/>
                  <w:tcBorders>
                    <w:tl2br w:val="nil"/>
                    <w:tr2bl w:val="nil"/>
                  </w:tcBorders>
                  <w:noWrap w:val="0"/>
                  <w:vAlign w:val="center"/>
                </w:tcPr>
                <w:p w14:paraId="181288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BC1B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D5CA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10</w:t>
                  </w:r>
                </w:p>
              </w:tc>
              <w:tc>
                <w:tcPr>
                  <w:tcW w:w="355" w:type="pct"/>
                  <w:tcBorders>
                    <w:tl2br w:val="nil"/>
                    <w:tr2bl w:val="nil"/>
                  </w:tcBorders>
                  <w:noWrap w:val="0"/>
                  <w:vAlign w:val="center"/>
                </w:tcPr>
                <w:p w14:paraId="79E7FE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甲醇</w:t>
                  </w:r>
                </w:p>
              </w:tc>
              <w:tc>
                <w:tcPr>
                  <w:tcW w:w="389" w:type="pct"/>
                  <w:tcBorders>
                    <w:tl2br w:val="nil"/>
                    <w:tr2bl w:val="nil"/>
                  </w:tcBorders>
                  <w:noWrap w:val="0"/>
                  <w:vAlign w:val="center"/>
                </w:tcPr>
                <w:p w14:paraId="0A9BC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67-56-1</w:t>
                  </w:r>
                </w:p>
              </w:tc>
              <w:tc>
                <w:tcPr>
                  <w:tcW w:w="409" w:type="pct"/>
                  <w:tcBorders>
                    <w:tl2br w:val="nil"/>
                    <w:tr2bl w:val="nil"/>
                  </w:tcBorders>
                  <w:noWrap w:val="0"/>
                  <w:vAlign w:val="center"/>
                </w:tcPr>
                <w:p w14:paraId="2AB78739">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CH₄O</w:t>
                  </w:r>
                </w:p>
              </w:tc>
              <w:tc>
                <w:tcPr>
                  <w:tcW w:w="314" w:type="pct"/>
                  <w:tcBorders>
                    <w:tl2br w:val="nil"/>
                    <w:tr2bl w:val="nil"/>
                  </w:tcBorders>
                  <w:noWrap w:val="0"/>
                  <w:vAlign w:val="center"/>
                </w:tcPr>
                <w:p w14:paraId="54F2D16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32.04</w:t>
                  </w:r>
                </w:p>
              </w:tc>
              <w:tc>
                <w:tcPr>
                  <w:tcW w:w="1060" w:type="pct"/>
                  <w:tcBorders>
                    <w:tl2br w:val="nil"/>
                    <w:tr2bl w:val="nil"/>
                  </w:tcBorders>
                  <w:noWrap w:val="0"/>
                  <w:vAlign w:val="center"/>
                </w:tcPr>
                <w:p w14:paraId="66E8D05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无色透明液体，有刺激性气味，易溶于水及多数有机溶剂；密度0.791g/cm³（20℃），沸点64.7℃，熔点-97.8℃，闪点12℃（闭杯）。</w:t>
                  </w:r>
                </w:p>
              </w:tc>
              <w:tc>
                <w:tcPr>
                  <w:tcW w:w="1060" w:type="pct"/>
                  <w:tcBorders>
                    <w:tl2br w:val="nil"/>
                    <w:tr2bl w:val="nil"/>
                  </w:tcBorders>
                  <w:noWrap w:val="0"/>
                  <w:vAlign w:val="center"/>
                </w:tcPr>
                <w:p w14:paraId="7C7549E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易燃，蒸汽与空气爆炸极限6.0%-36.5%；遇明火、高热易燃烧爆炸，与氧化剂反应剧烈，蒸汽比空气重易扩散回燃。</w:t>
                  </w:r>
                </w:p>
              </w:tc>
              <w:tc>
                <w:tcPr>
                  <w:tcW w:w="1027" w:type="pct"/>
                  <w:tcBorders>
                    <w:tl2br w:val="nil"/>
                    <w:tr2bl w:val="nil"/>
                  </w:tcBorders>
                  <w:noWrap w:val="0"/>
                  <w:vAlign w:val="center"/>
                </w:tcPr>
                <w:p w14:paraId="6F6F58B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中等毒性；吸入高浓度蒸汽致头痛、视力模糊，口服致失明、肝肾功能衰竭甚至死亡，皮肤接触有轻微刺激。</w:t>
                  </w:r>
                </w:p>
              </w:tc>
              <w:tc>
                <w:tcPr>
                  <w:tcW w:w="199" w:type="pct"/>
                  <w:tcBorders>
                    <w:tl2br w:val="nil"/>
                    <w:tr2bl w:val="nil"/>
                  </w:tcBorders>
                  <w:noWrap w:val="0"/>
                  <w:vAlign w:val="center"/>
                </w:tcPr>
                <w:p w14:paraId="5C8E91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6011C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E4A62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11</w:t>
                  </w:r>
                </w:p>
              </w:tc>
              <w:tc>
                <w:tcPr>
                  <w:tcW w:w="355" w:type="pct"/>
                  <w:tcBorders>
                    <w:tl2br w:val="nil"/>
                    <w:tr2bl w:val="nil"/>
                  </w:tcBorders>
                  <w:noWrap w:val="0"/>
                  <w:vAlign w:val="center"/>
                </w:tcPr>
                <w:p w14:paraId="6078C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乙二醇</w:t>
                  </w:r>
                </w:p>
              </w:tc>
              <w:tc>
                <w:tcPr>
                  <w:tcW w:w="389" w:type="pct"/>
                  <w:tcBorders>
                    <w:tl2br w:val="nil"/>
                    <w:tr2bl w:val="nil"/>
                  </w:tcBorders>
                  <w:noWrap w:val="0"/>
                  <w:vAlign w:val="center"/>
                </w:tcPr>
                <w:p w14:paraId="5E87C3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107-21-1</w:t>
                  </w:r>
                </w:p>
              </w:tc>
              <w:tc>
                <w:tcPr>
                  <w:tcW w:w="409" w:type="pct"/>
                  <w:tcBorders>
                    <w:tl2br w:val="nil"/>
                    <w:tr2bl w:val="nil"/>
                  </w:tcBorders>
                  <w:noWrap w:val="0"/>
                  <w:vAlign w:val="center"/>
                </w:tcPr>
                <w:p w14:paraId="15E5D4B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C₂H₆O₂</w:t>
                  </w:r>
                </w:p>
              </w:tc>
              <w:tc>
                <w:tcPr>
                  <w:tcW w:w="314" w:type="pct"/>
                  <w:tcBorders>
                    <w:tl2br w:val="nil"/>
                    <w:tr2bl w:val="nil"/>
                  </w:tcBorders>
                  <w:noWrap w:val="0"/>
                  <w:vAlign w:val="center"/>
                </w:tcPr>
                <w:p w14:paraId="4D9365E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62.07</w:t>
                  </w:r>
                </w:p>
              </w:tc>
              <w:tc>
                <w:tcPr>
                  <w:tcW w:w="1060" w:type="pct"/>
                  <w:tcBorders>
                    <w:tl2br w:val="nil"/>
                    <w:tr2bl w:val="nil"/>
                  </w:tcBorders>
                  <w:noWrap w:val="0"/>
                  <w:vAlign w:val="center"/>
                </w:tcPr>
                <w:p w14:paraId="2A13082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无色、无臭、有甜味的黏稠液体；相对密度1.113（水=1，20℃），相对蒸气密度2.14（空气=1）；与水、乙醇、丙酮等混溶，不溶于乙醚；沸点197.3℃，熔点-12.9℃。</w:t>
                  </w:r>
                </w:p>
              </w:tc>
              <w:tc>
                <w:tcPr>
                  <w:tcW w:w="1060" w:type="pct"/>
                  <w:tcBorders>
                    <w:tl2br w:val="nil"/>
                    <w:tr2bl w:val="nil"/>
                  </w:tcBorders>
                  <w:noWrap w:val="0"/>
                  <w:vAlign w:val="center"/>
                </w:tcPr>
                <w:p w14:paraId="6D99408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可燃，闪点111.1℃（闭杯），爆炸极限3.2%-15.3%（体积分数）；遇明火、高热可燃；与氧化剂接触能引起燃烧和爆炸；若遇高热，容器内压增大，有开裂和爆炸的危险。</w:t>
                  </w:r>
                </w:p>
              </w:tc>
              <w:tc>
                <w:tcPr>
                  <w:tcW w:w="1027" w:type="pct"/>
                  <w:tcBorders>
                    <w:tl2br w:val="nil"/>
                    <w:tr2bl w:val="nil"/>
                  </w:tcBorders>
                  <w:noWrap w:val="0"/>
                  <w:vAlign w:val="center"/>
                </w:tcPr>
                <w:p w14:paraId="28A5744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低毒，急性毒性：大鼠经口LD₅₀为5.5-5.8g/kg；摄入后主要损害中枢神经系统、肾脏和肝脏，初期症状为恶心、呕吐、腹痛，严重者可致昏迷、肾衰竭。</w:t>
                  </w:r>
                </w:p>
              </w:tc>
              <w:tc>
                <w:tcPr>
                  <w:tcW w:w="199" w:type="pct"/>
                  <w:tcBorders>
                    <w:tl2br w:val="nil"/>
                    <w:tr2bl w:val="nil"/>
                  </w:tcBorders>
                  <w:noWrap w:val="0"/>
                  <w:vAlign w:val="center"/>
                </w:tcPr>
                <w:p w14:paraId="3D6A1E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69CC67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4DF77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12</w:t>
                  </w:r>
                </w:p>
              </w:tc>
              <w:tc>
                <w:tcPr>
                  <w:tcW w:w="355" w:type="pct"/>
                  <w:tcBorders>
                    <w:tl2br w:val="nil"/>
                    <w:tr2bl w:val="nil"/>
                  </w:tcBorders>
                  <w:noWrap w:val="0"/>
                  <w:vAlign w:val="center"/>
                </w:tcPr>
                <w:p w14:paraId="4963D8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二甘醇</w:t>
                  </w:r>
                </w:p>
              </w:tc>
              <w:tc>
                <w:tcPr>
                  <w:tcW w:w="389" w:type="pct"/>
                  <w:tcBorders>
                    <w:tl2br w:val="nil"/>
                    <w:tr2bl w:val="nil"/>
                  </w:tcBorders>
                  <w:noWrap w:val="0"/>
                  <w:vAlign w:val="center"/>
                </w:tcPr>
                <w:p w14:paraId="68DEA5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111-46-6</w:t>
                  </w:r>
                </w:p>
              </w:tc>
              <w:tc>
                <w:tcPr>
                  <w:tcW w:w="409" w:type="pct"/>
                  <w:tcBorders>
                    <w:tl2br w:val="nil"/>
                    <w:tr2bl w:val="nil"/>
                  </w:tcBorders>
                  <w:noWrap w:val="0"/>
                  <w:vAlign w:val="center"/>
                </w:tcPr>
                <w:p w14:paraId="44F0FE7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C₄H₁₀O₃</w:t>
                  </w:r>
                </w:p>
              </w:tc>
              <w:tc>
                <w:tcPr>
                  <w:tcW w:w="314" w:type="pct"/>
                  <w:tcBorders>
                    <w:tl2br w:val="nil"/>
                    <w:tr2bl w:val="nil"/>
                  </w:tcBorders>
                  <w:noWrap w:val="0"/>
                  <w:vAlign w:val="center"/>
                </w:tcPr>
                <w:p w14:paraId="495777A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106.12</w:t>
                  </w:r>
                </w:p>
              </w:tc>
              <w:tc>
                <w:tcPr>
                  <w:tcW w:w="1060" w:type="pct"/>
                  <w:tcBorders>
                    <w:tl2br w:val="nil"/>
                    <w:tr2bl w:val="nil"/>
                  </w:tcBorders>
                  <w:noWrap w:val="0"/>
                  <w:vAlign w:val="center"/>
                </w:tcPr>
                <w:p w14:paraId="1CD97D3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无色粘稠液体，无臭，易溶于水、乙醇、乙醚；密度1.118g/cm³（20℃），沸点245℃，熔点-10.4℃，闪点124℃（闭杯）。</w:t>
                  </w:r>
                </w:p>
              </w:tc>
              <w:tc>
                <w:tcPr>
                  <w:tcW w:w="1060" w:type="pct"/>
                  <w:tcBorders>
                    <w:tl2br w:val="nil"/>
                    <w:tr2bl w:val="nil"/>
                  </w:tcBorders>
                  <w:noWrap w:val="0"/>
                  <w:vAlign w:val="center"/>
                </w:tcPr>
                <w:p w14:paraId="72A5024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可燃，遇明火、高热可燃，与氧化剂反应，燃烧释放刺激性气体。</w:t>
                  </w:r>
                </w:p>
              </w:tc>
              <w:tc>
                <w:tcPr>
                  <w:tcW w:w="1027" w:type="pct"/>
                  <w:tcBorders>
                    <w:tl2br w:val="nil"/>
                    <w:tr2bl w:val="nil"/>
                  </w:tcBorders>
                  <w:noWrap w:val="0"/>
                  <w:vAlign w:val="center"/>
                </w:tcPr>
                <w:p w14:paraId="20551DB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中等毒性；口服致恶心、呕吐、腹痛，严重时致肝肾功能衰竭，吸入高浓度蒸汽致头痛、头晕，皮肤接触有轻微刺激。</w:t>
                  </w:r>
                </w:p>
              </w:tc>
              <w:tc>
                <w:tcPr>
                  <w:tcW w:w="199" w:type="pct"/>
                  <w:tcBorders>
                    <w:tl2br w:val="nil"/>
                    <w:tr2bl w:val="nil"/>
                  </w:tcBorders>
                  <w:noWrap w:val="0"/>
                  <w:vAlign w:val="center"/>
                </w:tcPr>
                <w:p w14:paraId="33496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7027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240C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13</w:t>
                  </w:r>
                </w:p>
              </w:tc>
              <w:tc>
                <w:tcPr>
                  <w:tcW w:w="355" w:type="pct"/>
                  <w:tcBorders>
                    <w:tl2br w:val="nil"/>
                    <w:tr2bl w:val="nil"/>
                  </w:tcBorders>
                  <w:noWrap w:val="0"/>
                  <w:vAlign w:val="center"/>
                </w:tcPr>
                <w:p w14:paraId="081385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异丙醇</w:t>
                  </w:r>
                </w:p>
              </w:tc>
              <w:tc>
                <w:tcPr>
                  <w:tcW w:w="389" w:type="pct"/>
                  <w:tcBorders>
                    <w:tl2br w:val="nil"/>
                    <w:tr2bl w:val="nil"/>
                  </w:tcBorders>
                  <w:noWrap w:val="0"/>
                  <w:vAlign w:val="center"/>
                </w:tcPr>
                <w:p w14:paraId="6399E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67-63-0</w:t>
                  </w:r>
                </w:p>
              </w:tc>
              <w:tc>
                <w:tcPr>
                  <w:tcW w:w="409" w:type="pct"/>
                  <w:tcBorders>
                    <w:tl2br w:val="nil"/>
                    <w:tr2bl w:val="nil"/>
                  </w:tcBorders>
                  <w:noWrap w:val="0"/>
                  <w:vAlign w:val="center"/>
                </w:tcPr>
                <w:p w14:paraId="620CA88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C₃H₈O</w:t>
                  </w:r>
                </w:p>
              </w:tc>
              <w:tc>
                <w:tcPr>
                  <w:tcW w:w="314" w:type="pct"/>
                  <w:tcBorders>
                    <w:tl2br w:val="nil"/>
                    <w:tr2bl w:val="nil"/>
                  </w:tcBorders>
                  <w:noWrap w:val="0"/>
                  <w:vAlign w:val="center"/>
                </w:tcPr>
                <w:p w14:paraId="1A778CA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60.1</w:t>
                  </w:r>
                </w:p>
              </w:tc>
              <w:tc>
                <w:tcPr>
                  <w:tcW w:w="1060" w:type="pct"/>
                  <w:tcBorders>
                    <w:tl2br w:val="nil"/>
                    <w:tr2bl w:val="nil"/>
                  </w:tcBorders>
                  <w:noWrap w:val="0"/>
                  <w:vAlign w:val="center"/>
                </w:tcPr>
                <w:p w14:paraId="7DC9C23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无色透明液体，有类似乙醇和丙酮混合物的气味；相对密度0.786（水=1，20℃），相对蒸气密度2.07（空气=1）；与水、乙醇、乙醚等混溶；沸点82.4℃，熔点-88.5℃。</w:t>
                  </w:r>
                </w:p>
              </w:tc>
              <w:tc>
                <w:tcPr>
                  <w:tcW w:w="1060" w:type="pct"/>
                  <w:tcBorders>
                    <w:tl2br w:val="nil"/>
                    <w:tr2bl w:val="nil"/>
                  </w:tcBorders>
                  <w:noWrap w:val="0"/>
                  <w:vAlign w:val="center"/>
                </w:tcPr>
                <w:p w14:paraId="0635010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易燃，闪点12℃（闭杯），爆炸极限2.0%-12.7%（体积分数）；遇明火、高热有燃烧爆炸危险；与氧化剂接触发生化学反应或引起燃烧；蒸气能与空气形成爆炸性混合物。</w:t>
                  </w:r>
                </w:p>
              </w:tc>
              <w:tc>
                <w:tcPr>
                  <w:tcW w:w="1027" w:type="pct"/>
                  <w:tcBorders>
                    <w:tl2br w:val="nil"/>
                    <w:tr2bl w:val="nil"/>
                  </w:tcBorders>
                  <w:noWrap w:val="0"/>
                  <w:vAlign w:val="center"/>
                </w:tcPr>
                <w:p w14:paraId="2FAE44B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微毒，急性毒性：大鼠经口LD₅₀为5045mg/kg；过量吸入或摄入可引起头痛、头晕、嗜睡、恶心、呕吐等中枢神经系统抑制症状；对皮肤、眼睛有轻度刺激作用。</w:t>
                  </w:r>
                </w:p>
              </w:tc>
              <w:tc>
                <w:tcPr>
                  <w:tcW w:w="199" w:type="pct"/>
                  <w:tcBorders>
                    <w:tl2br w:val="nil"/>
                    <w:tr2bl w:val="nil"/>
                  </w:tcBorders>
                  <w:noWrap w:val="0"/>
                  <w:vAlign w:val="center"/>
                </w:tcPr>
                <w:p w14:paraId="0D428F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21CE7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1925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14</w:t>
                  </w:r>
                </w:p>
              </w:tc>
              <w:tc>
                <w:tcPr>
                  <w:tcW w:w="355" w:type="pct"/>
                  <w:tcBorders>
                    <w:tl2br w:val="nil"/>
                    <w:tr2bl w:val="nil"/>
                  </w:tcBorders>
                  <w:noWrap w:val="0"/>
                  <w:vAlign w:val="center"/>
                </w:tcPr>
                <w:p w14:paraId="77B134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1,2-</w:t>
                  </w:r>
                  <w:r>
                    <w:rPr>
                      <w:rFonts w:hint="default" w:ascii="Times New Roman" w:hAnsi="Times New Roman" w:eastAsia="宋体" w:cs="Times New Roman"/>
                      <w:i w:val="0"/>
                      <w:iCs w:val="0"/>
                      <w:color w:val="auto"/>
                      <w:kern w:val="0"/>
                      <w:sz w:val="18"/>
                      <w:szCs w:val="18"/>
                      <w:u w:val="none"/>
                      <w:lang w:val="en-US" w:eastAsia="zh-CN" w:bidi="ar"/>
                    </w:rPr>
                    <w:t>丙二醇</w:t>
                  </w:r>
                </w:p>
              </w:tc>
              <w:tc>
                <w:tcPr>
                  <w:tcW w:w="389" w:type="pct"/>
                  <w:tcBorders>
                    <w:tl2br w:val="nil"/>
                    <w:tr2bl w:val="nil"/>
                  </w:tcBorders>
                  <w:noWrap w:val="0"/>
                  <w:vAlign w:val="center"/>
                </w:tcPr>
                <w:p w14:paraId="22F299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57-55-6</w:t>
                  </w:r>
                </w:p>
              </w:tc>
              <w:tc>
                <w:tcPr>
                  <w:tcW w:w="409" w:type="pct"/>
                  <w:tcBorders>
                    <w:tl2br w:val="nil"/>
                    <w:tr2bl w:val="nil"/>
                  </w:tcBorders>
                  <w:noWrap w:val="0"/>
                  <w:vAlign w:val="center"/>
                </w:tcPr>
                <w:p w14:paraId="728ADE5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C₃H₈O₂</w:t>
                  </w:r>
                </w:p>
              </w:tc>
              <w:tc>
                <w:tcPr>
                  <w:tcW w:w="314" w:type="pct"/>
                  <w:tcBorders>
                    <w:tl2br w:val="nil"/>
                    <w:tr2bl w:val="nil"/>
                  </w:tcBorders>
                  <w:noWrap w:val="0"/>
                  <w:vAlign w:val="center"/>
                </w:tcPr>
                <w:p w14:paraId="4A4894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76.1</w:t>
                  </w:r>
                </w:p>
              </w:tc>
              <w:tc>
                <w:tcPr>
                  <w:tcW w:w="1060" w:type="pct"/>
                  <w:tcBorders>
                    <w:tl2br w:val="nil"/>
                    <w:tr2bl w:val="nil"/>
                  </w:tcBorders>
                  <w:noWrap w:val="0"/>
                  <w:vAlign w:val="center"/>
                </w:tcPr>
                <w:p w14:paraId="3A2ADF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无色透明粘稠液体，无气味，易溶于水、乙醇、乙醚等，沸点188.2℃，熔点-59℃，相对密度1.036（20℃），吸湿性强，是常用溶剂和保湿剂。</w:t>
                  </w:r>
                </w:p>
              </w:tc>
              <w:tc>
                <w:tcPr>
                  <w:tcW w:w="1060" w:type="pct"/>
                  <w:tcBorders>
                    <w:tl2br w:val="nil"/>
                    <w:tr2bl w:val="nil"/>
                  </w:tcBorders>
                  <w:noWrap w:val="0"/>
                  <w:vAlign w:val="center"/>
                </w:tcPr>
                <w:p w14:paraId="7D096A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可燃，闪点99℃（闭杯），属丙类可燃液体，燃烧时产生二氧化碳和水，无爆炸危险性，遇强氧化剂可促进燃烧，火灾风险极低。</w:t>
                  </w:r>
                </w:p>
              </w:tc>
              <w:tc>
                <w:tcPr>
                  <w:tcW w:w="1027" w:type="pct"/>
                  <w:tcBorders>
                    <w:tl2br w:val="nil"/>
                    <w:tr2bl w:val="nil"/>
                  </w:tcBorders>
                  <w:noWrap w:val="0"/>
                  <w:vAlign w:val="center"/>
                </w:tcPr>
                <w:p w14:paraId="300420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无毒，急性毒性：大鼠经口LD₅₀为20000mg/kg；广泛用于食品、化妆品和医药领域，皮肤和眼睛接触无刺激，吸入蒸汽无毒性，安全性极高。</w:t>
                  </w:r>
                </w:p>
              </w:tc>
              <w:tc>
                <w:tcPr>
                  <w:tcW w:w="199" w:type="pct"/>
                  <w:tcBorders>
                    <w:tl2br w:val="nil"/>
                    <w:tr2bl w:val="nil"/>
                  </w:tcBorders>
                  <w:noWrap w:val="0"/>
                  <w:vAlign w:val="center"/>
                </w:tcPr>
                <w:p w14:paraId="06FCFE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F1772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B0DE6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15</w:t>
                  </w:r>
                </w:p>
              </w:tc>
              <w:tc>
                <w:tcPr>
                  <w:tcW w:w="355" w:type="pct"/>
                  <w:tcBorders>
                    <w:tl2br w:val="nil"/>
                    <w:tr2bl w:val="nil"/>
                  </w:tcBorders>
                  <w:noWrap w:val="0"/>
                  <w:vAlign w:val="center"/>
                </w:tcPr>
                <w:p w14:paraId="2EFBD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正丁醇</w:t>
                  </w:r>
                </w:p>
              </w:tc>
              <w:tc>
                <w:tcPr>
                  <w:tcW w:w="389" w:type="pct"/>
                  <w:tcBorders>
                    <w:tl2br w:val="nil"/>
                    <w:tr2bl w:val="nil"/>
                  </w:tcBorders>
                  <w:noWrap w:val="0"/>
                  <w:vAlign w:val="center"/>
                </w:tcPr>
                <w:p w14:paraId="7C3E84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71-36-3</w:t>
                  </w:r>
                </w:p>
              </w:tc>
              <w:tc>
                <w:tcPr>
                  <w:tcW w:w="409" w:type="pct"/>
                  <w:tcBorders>
                    <w:tl2br w:val="nil"/>
                    <w:tr2bl w:val="nil"/>
                  </w:tcBorders>
                  <w:noWrap w:val="0"/>
                  <w:vAlign w:val="center"/>
                </w:tcPr>
                <w:p w14:paraId="62831FA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C₄H₁₀O</w:t>
                  </w:r>
                </w:p>
              </w:tc>
              <w:tc>
                <w:tcPr>
                  <w:tcW w:w="314" w:type="pct"/>
                  <w:tcBorders>
                    <w:tl2br w:val="nil"/>
                    <w:tr2bl w:val="nil"/>
                  </w:tcBorders>
                  <w:noWrap w:val="0"/>
                  <w:vAlign w:val="center"/>
                </w:tcPr>
                <w:p w14:paraId="2788250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74.12</w:t>
                  </w:r>
                </w:p>
              </w:tc>
              <w:tc>
                <w:tcPr>
                  <w:tcW w:w="1060" w:type="pct"/>
                  <w:tcBorders>
                    <w:tl2br w:val="nil"/>
                    <w:tr2bl w:val="nil"/>
                  </w:tcBorders>
                  <w:noWrap w:val="0"/>
                  <w:vAlign w:val="center"/>
                </w:tcPr>
                <w:p w14:paraId="4B454E1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无色透明液体，有特殊酒味；相对密度0.810（水=1，20℃），相对蒸气密度2.55（空气=1）；微溶于水，溶于乙醇、乙醚、苯等；沸点117.7℃，熔点-89.8℃。</w:t>
                  </w:r>
                </w:p>
              </w:tc>
              <w:tc>
                <w:tcPr>
                  <w:tcW w:w="1060" w:type="pct"/>
                  <w:tcBorders>
                    <w:tl2br w:val="nil"/>
                    <w:tr2bl w:val="nil"/>
                  </w:tcBorders>
                  <w:noWrap w:val="0"/>
                  <w:vAlign w:val="center"/>
                </w:tcPr>
                <w:p w14:paraId="7A94B2B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易燃，闪点35℃（闭杯），爆炸极限1.4%-11.2%（体积分数）；遇明火、高热或与氧化剂接触，有引起燃烧爆炸的危险；蒸气比空气重，能在较低处扩散，遇火源引着回燃。</w:t>
                  </w:r>
                </w:p>
              </w:tc>
              <w:tc>
                <w:tcPr>
                  <w:tcW w:w="1027" w:type="pct"/>
                  <w:tcBorders>
                    <w:tl2br w:val="nil"/>
                    <w:tr2bl w:val="nil"/>
                  </w:tcBorders>
                  <w:noWrap w:val="0"/>
                  <w:vAlign w:val="center"/>
                </w:tcPr>
                <w:p w14:paraId="7A9EB10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低毒，急性毒性：大鼠经口LD₅₀为4360mg/kg；吸入过量蒸气可引起头痛、头晕、乏力、恶心等中枢神经系统症状；对皮肤、眼睛有轻度刺激作用，长期接触可能损害肝脏和肾脏。</w:t>
                  </w:r>
                </w:p>
              </w:tc>
              <w:tc>
                <w:tcPr>
                  <w:tcW w:w="199" w:type="pct"/>
                  <w:tcBorders>
                    <w:tl2br w:val="nil"/>
                    <w:tr2bl w:val="nil"/>
                  </w:tcBorders>
                  <w:noWrap w:val="0"/>
                  <w:vAlign w:val="center"/>
                </w:tcPr>
                <w:p w14:paraId="2A6B1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0857E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FF64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16</w:t>
                  </w:r>
                </w:p>
              </w:tc>
              <w:tc>
                <w:tcPr>
                  <w:tcW w:w="355" w:type="pct"/>
                  <w:tcBorders>
                    <w:tl2br w:val="nil"/>
                    <w:tr2bl w:val="nil"/>
                  </w:tcBorders>
                  <w:noWrap w:val="0"/>
                  <w:vAlign w:val="center"/>
                </w:tcPr>
                <w:p w14:paraId="12B04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异丁醇</w:t>
                  </w:r>
                </w:p>
              </w:tc>
              <w:tc>
                <w:tcPr>
                  <w:tcW w:w="389" w:type="pct"/>
                  <w:tcBorders>
                    <w:tl2br w:val="nil"/>
                    <w:tr2bl w:val="nil"/>
                  </w:tcBorders>
                  <w:noWrap w:val="0"/>
                  <w:vAlign w:val="center"/>
                </w:tcPr>
                <w:p w14:paraId="40A875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78-83-1</w:t>
                  </w:r>
                </w:p>
              </w:tc>
              <w:tc>
                <w:tcPr>
                  <w:tcW w:w="409" w:type="pct"/>
                  <w:tcBorders>
                    <w:tl2br w:val="nil"/>
                    <w:tr2bl w:val="nil"/>
                  </w:tcBorders>
                  <w:noWrap w:val="0"/>
                  <w:vAlign w:val="center"/>
                </w:tcPr>
                <w:p w14:paraId="62573B86">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C₄H₁₀O</w:t>
                  </w:r>
                </w:p>
              </w:tc>
              <w:tc>
                <w:tcPr>
                  <w:tcW w:w="314" w:type="pct"/>
                  <w:tcBorders>
                    <w:tl2br w:val="nil"/>
                    <w:tr2bl w:val="nil"/>
                  </w:tcBorders>
                  <w:noWrap w:val="0"/>
                  <w:vAlign w:val="center"/>
                </w:tcPr>
                <w:p w14:paraId="17E45F3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74.12</w:t>
                  </w:r>
                </w:p>
              </w:tc>
              <w:tc>
                <w:tcPr>
                  <w:tcW w:w="1060" w:type="pct"/>
                  <w:tcBorders>
                    <w:tl2br w:val="nil"/>
                    <w:tr2bl w:val="nil"/>
                  </w:tcBorders>
                  <w:noWrap w:val="0"/>
                  <w:vAlign w:val="center"/>
                </w:tcPr>
                <w:p w14:paraId="63ABAD8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无色透明液体，有特殊气味；相对密度0.802（水=1，20℃），相对蒸气密度2.55（空气=1）；微溶于水，溶于乙醇、乙醚、苯等；沸点107.9℃，熔点-108℃。</w:t>
                  </w:r>
                </w:p>
              </w:tc>
              <w:tc>
                <w:tcPr>
                  <w:tcW w:w="1060" w:type="pct"/>
                  <w:tcBorders>
                    <w:tl2br w:val="nil"/>
                    <w:tr2bl w:val="nil"/>
                  </w:tcBorders>
                  <w:noWrap w:val="0"/>
                  <w:vAlign w:val="center"/>
                </w:tcPr>
                <w:p w14:paraId="16E775B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易燃，闪点27℃（闭杯），爆炸极限1.7%-10.6%（体积分数）；遇明火、高热或与氧化剂接触，有引起燃烧爆炸的危险；蒸气比空气重，能在较低处扩散，遇火源引着回燃。</w:t>
                  </w:r>
                </w:p>
              </w:tc>
              <w:tc>
                <w:tcPr>
                  <w:tcW w:w="1027" w:type="pct"/>
                  <w:tcBorders>
                    <w:tl2br w:val="nil"/>
                    <w:tr2bl w:val="nil"/>
                  </w:tcBorders>
                  <w:noWrap w:val="0"/>
                  <w:vAlign w:val="center"/>
                </w:tcPr>
                <w:p w14:paraId="6D47AF9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低毒，急性毒性：大鼠经口LD₅₀为2460mg/kg；吸入高浓度蒸气可引起头痛、头晕、乏力、恶心等；对皮肤、眼睛有轻度刺激作用，长期接触可能损害肝脏。</w:t>
                  </w:r>
                </w:p>
              </w:tc>
              <w:tc>
                <w:tcPr>
                  <w:tcW w:w="199" w:type="pct"/>
                  <w:tcBorders>
                    <w:tl2br w:val="nil"/>
                    <w:tr2bl w:val="nil"/>
                  </w:tcBorders>
                  <w:noWrap w:val="0"/>
                  <w:vAlign w:val="center"/>
                </w:tcPr>
                <w:p w14:paraId="7F1D7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B344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B54E5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17</w:t>
                  </w:r>
                </w:p>
              </w:tc>
              <w:tc>
                <w:tcPr>
                  <w:tcW w:w="355" w:type="pct"/>
                  <w:tcBorders>
                    <w:tl2br w:val="nil"/>
                    <w:tr2bl w:val="nil"/>
                  </w:tcBorders>
                  <w:noWrap w:val="0"/>
                  <w:vAlign w:val="center"/>
                </w:tcPr>
                <w:p w14:paraId="47140D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乙酸乙酯</w:t>
                  </w:r>
                </w:p>
              </w:tc>
              <w:tc>
                <w:tcPr>
                  <w:tcW w:w="389" w:type="pct"/>
                  <w:tcBorders>
                    <w:tl2br w:val="nil"/>
                    <w:tr2bl w:val="nil"/>
                  </w:tcBorders>
                  <w:noWrap w:val="0"/>
                  <w:vAlign w:val="center"/>
                </w:tcPr>
                <w:p w14:paraId="1F0A0C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141-78-6</w:t>
                  </w:r>
                </w:p>
              </w:tc>
              <w:tc>
                <w:tcPr>
                  <w:tcW w:w="409" w:type="pct"/>
                  <w:tcBorders>
                    <w:tl2br w:val="nil"/>
                    <w:tr2bl w:val="nil"/>
                  </w:tcBorders>
                  <w:noWrap w:val="0"/>
                  <w:vAlign w:val="center"/>
                </w:tcPr>
                <w:p w14:paraId="1EBE6145">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C₄H₈O₂</w:t>
                  </w:r>
                </w:p>
              </w:tc>
              <w:tc>
                <w:tcPr>
                  <w:tcW w:w="314" w:type="pct"/>
                  <w:tcBorders>
                    <w:tl2br w:val="nil"/>
                    <w:tr2bl w:val="nil"/>
                  </w:tcBorders>
                  <w:noWrap w:val="0"/>
                  <w:vAlign w:val="center"/>
                </w:tcPr>
                <w:p w14:paraId="7E00227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88.11</w:t>
                  </w:r>
                </w:p>
              </w:tc>
              <w:tc>
                <w:tcPr>
                  <w:tcW w:w="1060" w:type="pct"/>
                  <w:tcBorders>
                    <w:tl2br w:val="nil"/>
                    <w:tr2bl w:val="nil"/>
                  </w:tcBorders>
                  <w:noWrap w:val="0"/>
                  <w:vAlign w:val="center"/>
                </w:tcPr>
                <w:p w14:paraId="112BE8D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无色透明液体，有芳香气味；相对密度0.902（水=1，20℃），相对蒸气密度3.04（空气=1）；微溶于水，溶于乙醇、乙醚、氯仿等；沸点77.1℃，熔点-83.6℃。</w:t>
                  </w:r>
                </w:p>
              </w:tc>
              <w:tc>
                <w:tcPr>
                  <w:tcW w:w="1060" w:type="pct"/>
                  <w:tcBorders>
                    <w:tl2br w:val="nil"/>
                    <w:tr2bl w:val="nil"/>
                  </w:tcBorders>
                  <w:noWrap w:val="0"/>
                  <w:vAlign w:val="center"/>
                </w:tcPr>
                <w:p w14:paraId="492BA3D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易燃，闪点-4℃（闭杯），爆炸极限2.0%-11.5%（体积分数）；遇明火、高热或与氧化剂接触，有引起燃烧爆炸的危险；蒸气比空气重，能在较低处扩散，遇火源会着火回燃。</w:t>
                  </w:r>
                </w:p>
              </w:tc>
              <w:tc>
                <w:tcPr>
                  <w:tcW w:w="1027" w:type="pct"/>
                  <w:tcBorders>
                    <w:tl2br w:val="nil"/>
                    <w:tr2bl w:val="nil"/>
                  </w:tcBorders>
                  <w:noWrap w:val="0"/>
                  <w:vAlign w:val="center"/>
                </w:tcPr>
                <w:p w14:paraId="314ABD5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低毒，急性毒性：大鼠经口LD₅₀为5620mg/kg；吸入高浓度蒸气可引起头痛、头晕、恶心、呕吐等，严重者可致麻醉；对皮肤、眼睛有轻度刺激作用。</w:t>
                  </w:r>
                </w:p>
              </w:tc>
              <w:tc>
                <w:tcPr>
                  <w:tcW w:w="199" w:type="pct"/>
                  <w:tcBorders>
                    <w:tl2br w:val="nil"/>
                    <w:tr2bl w:val="nil"/>
                  </w:tcBorders>
                  <w:noWrap w:val="0"/>
                  <w:vAlign w:val="center"/>
                </w:tcPr>
                <w:p w14:paraId="7BED0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0A07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B9005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18</w:t>
                  </w:r>
                </w:p>
              </w:tc>
              <w:tc>
                <w:tcPr>
                  <w:tcW w:w="355" w:type="pct"/>
                  <w:tcBorders>
                    <w:tl2br w:val="nil"/>
                    <w:tr2bl w:val="nil"/>
                  </w:tcBorders>
                  <w:noWrap w:val="0"/>
                  <w:vAlign w:val="center"/>
                </w:tcPr>
                <w:p w14:paraId="4F0A8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乙酸丁酯</w:t>
                  </w:r>
                </w:p>
              </w:tc>
              <w:tc>
                <w:tcPr>
                  <w:tcW w:w="389" w:type="pct"/>
                  <w:tcBorders>
                    <w:tl2br w:val="nil"/>
                    <w:tr2bl w:val="nil"/>
                  </w:tcBorders>
                  <w:noWrap w:val="0"/>
                  <w:vAlign w:val="center"/>
                </w:tcPr>
                <w:p w14:paraId="6D6070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123-86-4</w:t>
                  </w:r>
                </w:p>
              </w:tc>
              <w:tc>
                <w:tcPr>
                  <w:tcW w:w="409" w:type="pct"/>
                  <w:tcBorders>
                    <w:tl2br w:val="nil"/>
                    <w:tr2bl w:val="nil"/>
                  </w:tcBorders>
                  <w:noWrap w:val="0"/>
                  <w:vAlign w:val="center"/>
                </w:tcPr>
                <w:p w14:paraId="326ACFD2">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C₆H₁₂O₂</w:t>
                  </w:r>
                </w:p>
              </w:tc>
              <w:tc>
                <w:tcPr>
                  <w:tcW w:w="314" w:type="pct"/>
                  <w:tcBorders>
                    <w:tl2br w:val="nil"/>
                    <w:tr2bl w:val="nil"/>
                  </w:tcBorders>
                  <w:noWrap w:val="0"/>
                  <w:vAlign w:val="center"/>
                </w:tcPr>
                <w:p w14:paraId="6FCE44D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116.16</w:t>
                  </w:r>
                </w:p>
              </w:tc>
              <w:tc>
                <w:tcPr>
                  <w:tcW w:w="1060" w:type="pct"/>
                  <w:tcBorders>
                    <w:tl2br w:val="nil"/>
                    <w:tr2bl w:val="nil"/>
                  </w:tcBorders>
                  <w:noWrap w:val="0"/>
                  <w:vAlign w:val="center"/>
                </w:tcPr>
                <w:p w14:paraId="7B5DCCE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无色透明液体，有水果香味；相对密度0.882（水=1，20℃），相对蒸气密度4.01（空气=1）；微溶于水，溶于乙醇、乙醚、丙酮等有机溶剂；沸点126.1℃，熔点-77.9℃。</w:t>
                  </w:r>
                </w:p>
              </w:tc>
              <w:tc>
                <w:tcPr>
                  <w:tcW w:w="1060" w:type="pct"/>
                  <w:tcBorders>
                    <w:tl2br w:val="nil"/>
                    <w:tr2bl w:val="nil"/>
                  </w:tcBorders>
                  <w:noWrap w:val="0"/>
                  <w:vAlign w:val="center"/>
                </w:tcPr>
                <w:p w14:paraId="2631484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易燃，闪点22℃（闭杯），爆炸极限1.2%-7.5%（体积分数）；遇明火、高热或与氧化剂接触，有引起燃烧爆炸的危险；蒸气比空气重，能在较低处扩散，遇火源引着回燃。</w:t>
                  </w:r>
                </w:p>
              </w:tc>
              <w:tc>
                <w:tcPr>
                  <w:tcW w:w="1027" w:type="pct"/>
                  <w:tcBorders>
                    <w:tl2br w:val="nil"/>
                    <w:tr2bl w:val="nil"/>
                  </w:tcBorders>
                  <w:noWrap w:val="0"/>
                  <w:vAlign w:val="center"/>
                </w:tcPr>
                <w:p w14:paraId="497B886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低毒，急性毒性：大鼠经口LD₅₀为13100mg/kg；吸入过量蒸气可引起头痛、头晕、乏力、恶心、呕吐等；对皮肤、眼睛有轻度刺激作用，长期接触可能损害肝功能。</w:t>
                  </w:r>
                </w:p>
              </w:tc>
              <w:tc>
                <w:tcPr>
                  <w:tcW w:w="199" w:type="pct"/>
                  <w:tcBorders>
                    <w:tl2br w:val="nil"/>
                    <w:tr2bl w:val="nil"/>
                  </w:tcBorders>
                  <w:noWrap w:val="0"/>
                  <w:vAlign w:val="center"/>
                </w:tcPr>
                <w:p w14:paraId="67D9F6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22D1D6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1BDE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19</w:t>
                  </w:r>
                </w:p>
              </w:tc>
              <w:tc>
                <w:tcPr>
                  <w:tcW w:w="355" w:type="pct"/>
                  <w:tcBorders>
                    <w:tl2br w:val="nil"/>
                    <w:tr2bl w:val="nil"/>
                  </w:tcBorders>
                  <w:noWrap w:val="0"/>
                  <w:vAlign w:val="center"/>
                </w:tcPr>
                <w:p w14:paraId="65698B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丙烯酸乙酯</w:t>
                  </w:r>
                </w:p>
              </w:tc>
              <w:tc>
                <w:tcPr>
                  <w:tcW w:w="389" w:type="pct"/>
                  <w:tcBorders>
                    <w:tl2br w:val="nil"/>
                    <w:tr2bl w:val="nil"/>
                  </w:tcBorders>
                  <w:noWrap w:val="0"/>
                  <w:vAlign w:val="center"/>
                </w:tcPr>
                <w:p w14:paraId="0EFE2B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140-88-5</w:t>
                  </w:r>
                </w:p>
              </w:tc>
              <w:tc>
                <w:tcPr>
                  <w:tcW w:w="409" w:type="pct"/>
                  <w:tcBorders>
                    <w:tl2br w:val="nil"/>
                    <w:tr2bl w:val="nil"/>
                  </w:tcBorders>
                  <w:noWrap w:val="0"/>
                  <w:vAlign w:val="center"/>
                </w:tcPr>
                <w:p w14:paraId="152EFC4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C₅H₈O₂</w:t>
                  </w:r>
                </w:p>
              </w:tc>
              <w:tc>
                <w:tcPr>
                  <w:tcW w:w="314" w:type="pct"/>
                  <w:tcBorders>
                    <w:tl2br w:val="nil"/>
                    <w:tr2bl w:val="nil"/>
                  </w:tcBorders>
                  <w:noWrap w:val="0"/>
                  <w:vAlign w:val="center"/>
                </w:tcPr>
                <w:p w14:paraId="21EA40E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100.12</w:t>
                  </w:r>
                </w:p>
              </w:tc>
              <w:tc>
                <w:tcPr>
                  <w:tcW w:w="1060" w:type="pct"/>
                  <w:tcBorders>
                    <w:tl2br w:val="nil"/>
                    <w:tr2bl w:val="nil"/>
                  </w:tcBorders>
                  <w:noWrap w:val="0"/>
                  <w:vAlign w:val="center"/>
                </w:tcPr>
                <w:p w14:paraId="2C786D6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无色液体，有水果香味，微溶于水，易溶于乙醇、乙醚；密度0.921g/cm³（20℃），沸点99.8℃，熔点-72℃，闪点15℃（闭杯），易聚合。</w:t>
                  </w:r>
                </w:p>
              </w:tc>
              <w:tc>
                <w:tcPr>
                  <w:tcW w:w="1060" w:type="pct"/>
                  <w:tcBorders>
                    <w:tl2br w:val="nil"/>
                    <w:tr2bl w:val="nil"/>
                  </w:tcBorders>
                  <w:noWrap w:val="0"/>
                  <w:vAlign w:val="center"/>
                </w:tcPr>
                <w:p w14:paraId="1D0F404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高度易燃，蒸汽与空气爆炸极限1.4%-14.0%；遇明火、高热极易燃烧爆炸，与氧化剂反应，蒸汽比空气重易扩散回燃。</w:t>
                  </w:r>
                </w:p>
              </w:tc>
              <w:tc>
                <w:tcPr>
                  <w:tcW w:w="1027" w:type="pct"/>
                  <w:tcBorders>
                    <w:tl2br w:val="nil"/>
                    <w:tr2bl w:val="nil"/>
                  </w:tcBorders>
                  <w:noWrap w:val="0"/>
                  <w:vAlign w:val="center"/>
                </w:tcPr>
                <w:p w14:paraId="073009A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低毒；对皮肤、眼睛和呼吸道有刺激作用，吸入高浓度致头痛、恶心，口服少量无严重危害。</w:t>
                  </w:r>
                </w:p>
              </w:tc>
              <w:tc>
                <w:tcPr>
                  <w:tcW w:w="199" w:type="pct"/>
                  <w:tcBorders>
                    <w:tl2br w:val="nil"/>
                    <w:tr2bl w:val="nil"/>
                  </w:tcBorders>
                  <w:noWrap w:val="0"/>
                  <w:vAlign w:val="center"/>
                </w:tcPr>
                <w:p w14:paraId="176DE8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7EDDC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14855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20</w:t>
                  </w:r>
                </w:p>
              </w:tc>
              <w:tc>
                <w:tcPr>
                  <w:tcW w:w="355" w:type="pct"/>
                  <w:tcBorders>
                    <w:tl2br w:val="nil"/>
                    <w:tr2bl w:val="nil"/>
                  </w:tcBorders>
                  <w:noWrap w:val="0"/>
                  <w:vAlign w:val="center"/>
                </w:tcPr>
                <w:p w14:paraId="02B81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丙烯酸丁酯</w:t>
                  </w:r>
                </w:p>
              </w:tc>
              <w:tc>
                <w:tcPr>
                  <w:tcW w:w="389" w:type="pct"/>
                  <w:tcBorders>
                    <w:tl2br w:val="nil"/>
                    <w:tr2bl w:val="nil"/>
                  </w:tcBorders>
                  <w:noWrap w:val="0"/>
                  <w:vAlign w:val="center"/>
                </w:tcPr>
                <w:p w14:paraId="5A6969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141-32-2</w:t>
                  </w:r>
                </w:p>
              </w:tc>
              <w:tc>
                <w:tcPr>
                  <w:tcW w:w="409" w:type="pct"/>
                  <w:tcBorders>
                    <w:tl2br w:val="nil"/>
                    <w:tr2bl w:val="nil"/>
                  </w:tcBorders>
                  <w:noWrap w:val="0"/>
                  <w:vAlign w:val="center"/>
                </w:tcPr>
                <w:p w14:paraId="02849AE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C₇H₁₂O₂</w:t>
                  </w:r>
                </w:p>
              </w:tc>
              <w:tc>
                <w:tcPr>
                  <w:tcW w:w="314" w:type="pct"/>
                  <w:tcBorders>
                    <w:tl2br w:val="nil"/>
                    <w:tr2bl w:val="nil"/>
                  </w:tcBorders>
                  <w:noWrap w:val="0"/>
                  <w:vAlign w:val="center"/>
                </w:tcPr>
                <w:p w14:paraId="6642021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128.17</w:t>
                  </w:r>
                </w:p>
              </w:tc>
              <w:tc>
                <w:tcPr>
                  <w:tcW w:w="1060" w:type="pct"/>
                  <w:tcBorders>
                    <w:tl2br w:val="nil"/>
                    <w:tr2bl w:val="nil"/>
                  </w:tcBorders>
                  <w:noWrap w:val="0"/>
                  <w:vAlign w:val="center"/>
                </w:tcPr>
                <w:p w14:paraId="4CAE3C3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无色液体，有水果香味，微溶于水，易溶于乙醇、乙醚；密度0.894g/cm³（20℃），沸点145℃，熔点-64℃，闪点39℃（闭杯），易聚合。</w:t>
                  </w:r>
                </w:p>
              </w:tc>
              <w:tc>
                <w:tcPr>
                  <w:tcW w:w="1060" w:type="pct"/>
                  <w:tcBorders>
                    <w:tl2br w:val="nil"/>
                    <w:tr2bl w:val="nil"/>
                  </w:tcBorders>
                  <w:noWrap w:val="0"/>
                  <w:vAlign w:val="center"/>
                </w:tcPr>
                <w:p w14:paraId="006D11C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易燃，蒸汽与空气爆炸极限1.2%-9.0%；遇明火、高热易燃烧爆炸，与氧化剂反应，蒸汽比空气重易扩散回燃。</w:t>
                  </w:r>
                </w:p>
              </w:tc>
              <w:tc>
                <w:tcPr>
                  <w:tcW w:w="1027" w:type="pct"/>
                  <w:tcBorders>
                    <w:tl2br w:val="nil"/>
                    <w:tr2bl w:val="nil"/>
                  </w:tcBorders>
                  <w:noWrap w:val="0"/>
                  <w:vAlign w:val="center"/>
                </w:tcPr>
                <w:p w14:paraId="72C3C96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低毒；对皮肤、眼睛和呼吸道有刺激作用，吸入高浓度致头痛、恶心，长期接触可能影响神经系统。</w:t>
                  </w:r>
                </w:p>
              </w:tc>
              <w:tc>
                <w:tcPr>
                  <w:tcW w:w="199" w:type="pct"/>
                  <w:tcBorders>
                    <w:tl2br w:val="nil"/>
                    <w:tr2bl w:val="nil"/>
                  </w:tcBorders>
                  <w:noWrap w:val="0"/>
                  <w:vAlign w:val="center"/>
                </w:tcPr>
                <w:p w14:paraId="3CE0F9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709BA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82C21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21</w:t>
                  </w:r>
                </w:p>
              </w:tc>
              <w:tc>
                <w:tcPr>
                  <w:tcW w:w="355" w:type="pct"/>
                  <w:tcBorders>
                    <w:tl2br w:val="nil"/>
                    <w:tr2bl w:val="nil"/>
                  </w:tcBorders>
                  <w:noWrap w:val="0"/>
                  <w:vAlign w:val="center"/>
                </w:tcPr>
                <w:p w14:paraId="6364A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戊烷（混合碳五）</w:t>
                  </w:r>
                </w:p>
              </w:tc>
              <w:tc>
                <w:tcPr>
                  <w:tcW w:w="389" w:type="pct"/>
                  <w:tcBorders>
                    <w:tl2br w:val="nil"/>
                    <w:tr2bl w:val="nil"/>
                  </w:tcBorders>
                  <w:noWrap w:val="0"/>
                  <w:vAlign w:val="center"/>
                </w:tcPr>
                <w:p w14:paraId="1713821B">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8032-32-4（混合异构体）</w:t>
                  </w:r>
                </w:p>
              </w:tc>
              <w:tc>
                <w:tcPr>
                  <w:tcW w:w="409" w:type="pct"/>
                  <w:tcBorders>
                    <w:tl2br w:val="nil"/>
                    <w:tr2bl w:val="nil"/>
                  </w:tcBorders>
                  <w:noWrap w:val="0"/>
                  <w:vAlign w:val="center"/>
                </w:tcPr>
                <w:p w14:paraId="2057B15F">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C₅H₁₂（正戊烷）、C₅H₁₂（异戊烷）等</w:t>
                  </w:r>
                </w:p>
              </w:tc>
              <w:tc>
                <w:tcPr>
                  <w:tcW w:w="314" w:type="pct"/>
                  <w:tcBorders>
                    <w:tl2br w:val="nil"/>
                    <w:tr2bl w:val="nil"/>
                  </w:tcBorders>
                  <w:noWrap w:val="0"/>
                  <w:vAlign w:val="center"/>
                </w:tcPr>
                <w:p w14:paraId="4A141D2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72.15</w:t>
                  </w:r>
                </w:p>
              </w:tc>
              <w:tc>
                <w:tcPr>
                  <w:tcW w:w="1060" w:type="pct"/>
                  <w:tcBorders>
                    <w:tl2br w:val="nil"/>
                    <w:tr2bl w:val="nil"/>
                  </w:tcBorders>
                  <w:noWrap w:val="0"/>
                  <w:vAlign w:val="center"/>
                </w:tcPr>
                <w:p w14:paraId="58A4DF9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无色透明液体，有微弱的特殊气味；相对密度0.626（水=1，20℃），相对蒸气密度2.48（空气=1）；不溶于水，溶于乙醇、乙醚、丙酮等；沸点范围36.1℃（正戊烷）至27.8℃（异戊烷）。</w:t>
                  </w:r>
                </w:p>
              </w:tc>
              <w:tc>
                <w:tcPr>
                  <w:tcW w:w="1060" w:type="pct"/>
                  <w:tcBorders>
                    <w:tl2br w:val="nil"/>
                    <w:tr2bl w:val="nil"/>
                  </w:tcBorders>
                  <w:noWrap w:val="0"/>
                  <w:vAlign w:val="center"/>
                </w:tcPr>
                <w:p w14:paraId="586AA54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极易燃，闪点-40℃，爆炸极限1.4%-7.8%（体积分数）；遇明火、高热立即燃烧爆炸；与氧化剂接触发生强烈反应；其蒸气比空气重，能扩散至远处，遇火源引着回燃。</w:t>
                  </w:r>
                </w:p>
              </w:tc>
              <w:tc>
                <w:tcPr>
                  <w:tcW w:w="1027" w:type="pct"/>
                  <w:tcBorders>
                    <w:tl2br w:val="nil"/>
                    <w:tr2bl w:val="nil"/>
                  </w:tcBorders>
                  <w:noWrap w:val="0"/>
                  <w:vAlign w:val="center"/>
                </w:tcPr>
                <w:p w14:paraId="7A207B2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低毒，急性毒性：大鼠经口LD₅₀为4460mg/kg；吸入高浓度蒸气可引起头痛、头晕、恶心、呕吐、嗜睡等，严重者可致昏迷；对皮肤有轻度刺激作用。</w:t>
                  </w:r>
                </w:p>
              </w:tc>
              <w:tc>
                <w:tcPr>
                  <w:tcW w:w="199" w:type="pct"/>
                  <w:tcBorders>
                    <w:tl2br w:val="nil"/>
                    <w:tr2bl w:val="nil"/>
                  </w:tcBorders>
                  <w:noWrap w:val="0"/>
                  <w:vAlign w:val="center"/>
                </w:tcPr>
                <w:p w14:paraId="337CC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6C5CC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243A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22</w:t>
                  </w:r>
                </w:p>
              </w:tc>
              <w:tc>
                <w:tcPr>
                  <w:tcW w:w="355" w:type="pct"/>
                  <w:tcBorders>
                    <w:tl2br w:val="nil"/>
                    <w:tr2bl w:val="nil"/>
                  </w:tcBorders>
                  <w:noWrap w:val="0"/>
                  <w:vAlign w:val="center"/>
                </w:tcPr>
                <w:p w14:paraId="6DD65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汽油</w:t>
                  </w:r>
                </w:p>
              </w:tc>
              <w:tc>
                <w:tcPr>
                  <w:tcW w:w="389" w:type="pct"/>
                  <w:tcBorders>
                    <w:tl2br w:val="nil"/>
                    <w:tr2bl w:val="nil"/>
                  </w:tcBorders>
                  <w:noWrap w:val="0"/>
                  <w:vAlign w:val="center"/>
                </w:tcPr>
                <w:p w14:paraId="68C0DF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8006-61-9</w:t>
                  </w:r>
                </w:p>
              </w:tc>
              <w:tc>
                <w:tcPr>
                  <w:tcW w:w="409" w:type="pct"/>
                  <w:tcBorders>
                    <w:tl2br w:val="nil"/>
                    <w:tr2bl w:val="nil"/>
                  </w:tcBorders>
                  <w:noWrap w:val="0"/>
                  <w:vAlign w:val="center"/>
                </w:tcPr>
                <w:p w14:paraId="4D8BA3E2">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无固定分子式（C4-C12烃类混合物）</w:t>
                  </w:r>
                </w:p>
              </w:tc>
              <w:tc>
                <w:tcPr>
                  <w:tcW w:w="314" w:type="pct"/>
                  <w:tcBorders>
                    <w:tl2br w:val="nil"/>
                    <w:tr2bl w:val="nil"/>
                  </w:tcBorders>
                  <w:noWrap w:val="0"/>
                  <w:vAlign w:val="center"/>
                </w:tcPr>
                <w:p w14:paraId="5BC4E6E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72-170（平均分子量）</w:t>
                  </w:r>
                </w:p>
              </w:tc>
              <w:tc>
                <w:tcPr>
                  <w:tcW w:w="1060" w:type="pct"/>
                  <w:tcBorders>
                    <w:tl2br w:val="nil"/>
                    <w:tr2bl w:val="nil"/>
                  </w:tcBorders>
                  <w:noWrap w:val="0"/>
                  <w:vAlign w:val="center"/>
                </w:tcPr>
                <w:p w14:paraId="10F3FBE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无色至淡黄色液体，有特殊气味，不溶于水，易溶于乙醇、乙醚；密度0.70-0.78g/cm³（20℃），沸点40-200℃，闪点-45℃至-10℃（闭杯）。</w:t>
                  </w:r>
                </w:p>
              </w:tc>
              <w:tc>
                <w:tcPr>
                  <w:tcW w:w="1060" w:type="pct"/>
                  <w:tcBorders>
                    <w:tl2br w:val="nil"/>
                    <w:tr2bl w:val="nil"/>
                  </w:tcBorders>
                  <w:noWrap w:val="0"/>
                  <w:vAlign w:val="center"/>
                </w:tcPr>
                <w:p w14:paraId="69613B2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极度易燃，蒸汽与空气爆炸极限1.4%-7.6%；遇明火、高热、静电极易燃烧爆炸，与氧化剂反应剧烈，蒸汽比空气重易扩散回燃。</w:t>
                  </w:r>
                </w:p>
              </w:tc>
              <w:tc>
                <w:tcPr>
                  <w:tcW w:w="1027" w:type="pct"/>
                  <w:tcBorders>
                    <w:tl2br w:val="nil"/>
                    <w:tr2bl w:val="nil"/>
                  </w:tcBorders>
                  <w:noWrap w:val="0"/>
                  <w:vAlign w:val="center"/>
                </w:tcPr>
                <w:p w14:paraId="028D71B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低毒；吸入高浓度蒸汽致头痛、头晕、昏迷，皮肤接触脱脂，长期接触含苯成分可能致白血病。</w:t>
                  </w:r>
                </w:p>
              </w:tc>
              <w:tc>
                <w:tcPr>
                  <w:tcW w:w="199" w:type="pct"/>
                  <w:tcBorders>
                    <w:tl2br w:val="nil"/>
                    <w:tr2bl w:val="nil"/>
                  </w:tcBorders>
                  <w:noWrap w:val="0"/>
                  <w:vAlign w:val="center"/>
                </w:tcPr>
                <w:p w14:paraId="5D63C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2BE71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C7690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23</w:t>
                  </w:r>
                </w:p>
              </w:tc>
              <w:tc>
                <w:tcPr>
                  <w:tcW w:w="355" w:type="pct"/>
                  <w:tcBorders>
                    <w:tl2br w:val="nil"/>
                    <w:tr2bl w:val="nil"/>
                  </w:tcBorders>
                  <w:noWrap w:val="0"/>
                  <w:vAlign w:val="center"/>
                </w:tcPr>
                <w:p w14:paraId="626308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柴油</w:t>
                  </w:r>
                </w:p>
              </w:tc>
              <w:tc>
                <w:tcPr>
                  <w:tcW w:w="389" w:type="pct"/>
                  <w:tcBorders>
                    <w:tl2br w:val="nil"/>
                    <w:tr2bl w:val="nil"/>
                  </w:tcBorders>
                  <w:noWrap w:val="0"/>
                  <w:vAlign w:val="center"/>
                </w:tcPr>
                <w:p w14:paraId="145FC03A">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68334-30-5</w:t>
                  </w:r>
                </w:p>
              </w:tc>
              <w:tc>
                <w:tcPr>
                  <w:tcW w:w="409" w:type="pct"/>
                  <w:tcBorders>
                    <w:tl2br w:val="nil"/>
                    <w:tr2bl w:val="nil"/>
                  </w:tcBorders>
                  <w:noWrap w:val="0"/>
                  <w:vAlign w:val="center"/>
                </w:tcPr>
                <w:p w14:paraId="2C361DCB">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无固定分子式（C10-C22烃类）</w:t>
                  </w:r>
                </w:p>
              </w:tc>
              <w:tc>
                <w:tcPr>
                  <w:tcW w:w="314" w:type="pct"/>
                  <w:tcBorders>
                    <w:tl2br w:val="nil"/>
                    <w:tr2bl w:val="nil"/>
                  </w:tcBorders>
                  <w:noWrap w:val="0"/>
                  <w:vAlign w:val="center"/>
                </w:tcPr>
                <w:p w14:paraId="13444AE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140-290</w:t>
                  </w:r>
                </w:p>
              </w:tc>
              <w:tc>
                <w:tcPr>
                  <w:tcW w:w="1060" w:type="pct"/>
                  <w:tcBorders>
                    <w:tl2br w:val="nil"/>
                    <w:tr2bl w:val="nil"/>
                  </w:tcBorders>
                  <w:noWrap w:val="0"/>
                  <w:vAlign w:val="center"/>
                </w:tcPr>
                <w:p w14:paraId="3A7D478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淡黄色液体，有石油味，不溶于水，密度0.82-0.86g/cm³，沸点180-370℃，闪点45-90℃。</w:t>
                  </w:r>
                </w:p>
              </w:tc>
              <w:tc>
                <w:tcPr>
                  <w:tcW w:w="1060" w:type="pct"/>
                  <w:tcBorders>
                    <w:tl2br w:val="nil"/>
                    <w:tr2bl w:val="nil"/>
                  </w:tcBorders>
                  <w:noWrap w:val="0"/>
                  <w:vAlign w:val="center"/>
                </w:tcPr>
                <w:p w14:paraId="5A7E1CC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可燃，蒸汽爆炸极限0.6%-6.0%，遇明火、高热易燃烧爆炸</w:t>
                  </w:r>
                </w:p>
              </w:tc>
              <w:tc>
                <w:tcPr>
                  <w:tcW w:w="1027" w:type="pct"/>
                  <w:tcBorders>
                    <w:tl2br w:val="nil"/>
                    <w:tr2bl w:val="nil"/>
                  </w:tcBorders>
                  <w:noWrap w:val="0"/>
                  <w:vAlign w:val="center"/>
                </w:tcPr>
                <w:p w14:paraId="053BDE2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低毒；吸入高浓度蒸汽致头痛、嗜睡，皮肤接触脱脂。</w:t>
                  </w:r>
                </w:p>
              </w:tc>
              <w:tc>
                <w:tcPr>
                  <w:tcW w:w="199" w:type="pct"/>
                  <w:tcBorders>
                    <w:tl2br w:val="nil"/>
                    <w:tr2bl w:val="nil"/>
                  </w:tcBorders>
                  <w:noWrap w:val="0"/>
                  <w:vAlign w:val="center"/>
                </w:tcPr>
                <w:p w14:paraId="20B1A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8027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C7879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24</w:t>
                  </w:r>
                </w:p>
              </w:tc>
              <w:tc>
                <w:tcPr>
                  <w:tcW w:w="355" w:type="pct"/>
                  <w:tcBorders>
                    <w:tl2br w:val="nil"/>
                    <w:tr2bl w:val="nil"/>
                  </w:tcBorders>
                  <w:noWrap w:val="0"/>
                  <w:vAlign w:val="center"/>
                </w:tcPr>
                <w:p w14:paraId="573512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乙醇</w:t>
                  </w:r>
                </w:p>
              </w:tc>
              <w:tc>
                <w:tcPr>
                  <w:tcW w:w="389" w:type="pct"/>
                  <w:tcBorders>
                    <w:tl2br w:val="nil"/>
                    <w:tr2bl w:val="nil"/>
                  </w:tcBorders>
                  <w:noWrap w:val="0"/>
                  <w:vAlign w:val="center"/>
                </w:tcPr>
                <w:p w14:paraId="5B3BEC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64-17-5</w:t>
                  </w:r>
                </w:p>
              </w:tc>
              <w:tc>
                <w:tcPr>
                  <w:tcW w:w="409" w:type="pct"/>
                  <w:tcBorders>
                    <w:tl2br w:val="nil"/>
                    <w:tr2bl w:val="nil"/>
                  </w:tcBorders>
                  <w:noWrap w:val="0"/>
                  <w:vAlign w:val="center"/>
                </w:tcPr>
                <w:p w14:paraId="642679BD">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C₂H₆O</w:t>
                  </w:r>
                </w:p>
              </w:tc>
              <w:tc>
                <w:tcPr>
                  <w:tcW w:w="314" w:type="pct"/>
                  <w:tcBorders>
                    <w:tl2br w:val="nil"/>
                    <w:tr2bl w:val="nil"/>
                  </w:tcBorders>
                  <w:noWrap w:val="0"/>
                  <w:vAlign w:val="center"/>
                </w:tcPr>
                <w:p w14:paraId="76D1DE9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46.07</w:t>
                  </w:r>
                </w:p>
              </w:tc>
              <w:tc>
                <w:tcPr>
                  <w:tcW w:w="1060" w:type="pct"/>
                  <w:tcBorders>
                    <w:tl2br w:val="nil"/>
                    <w:tr2bl w:val="nil"/>
                  </w:tcBorders>
                  <w:noWrap w:val="0"/>
                  <w:vAlign w:val="center"/>
                </w:tcPr>
                <w:p w14:paraId="798CC9A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无色透明液体，有特殊香味，易挥发；相对密度0.789（水=1，20℃），相对蒸气密度1.59（空气=1）；与水、乙醚、氯仿等混溶；沸点78.3℃，熔点-114.1℃。</w:t>
                  </w:r>
                </w:p>
              </w:tc>
              <w:tc>
                <w:tcPr>
                  <w:tcW w:w="1060" w:type="pct"/>
                  <w:tcBorders>
                    <w:tl2br w:val="nil"/>
                    <w:tr2bl w:val="nil"/>
                  </w:tcBorders>
                  <w:noWrap w:val="0"/>
                  <w:vAlign w:val="center"/>
                </w:tcPr>
                <w:p w14:paraId="7E55AF9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易燃，闪点12℃（闭杯），爆炸极限3.3%-19.0%（体积分数）；遇明火、高热有燃烧爆炸危险；与氧化剂接触发生化学反应或引起燃烧；蒸气能与空气形成爆炸性混合物。</w:t>
                  </w:r>
                </w:p>
              </w:tc>
              <w:tc>
                <w:tcPr>
                  <w:tcW w:w="1027" w:type="pct"/>
                  <w:tcBorders>
                    <w:tl2br w:val="nil"/>
                    <w:tr2bl w:val="nil"/>
                  </w:tcBorders>
                  <w:noWrap w:val="0"/>
                  <w:vAlign w:val="center"/>
                </w:tcPr>
                <w:p w14:paraId="20B00DB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微毒，急性毒性：大鼠经口LD₅₀为7060mg/kg；过量饮用含乙醇饮料可引起中枢神经系统抑制，严重者导致呼吸衰竭死亡；长期慢性接触可损害肝脏、神经系统。</w:t>
                  </w:r>
                </w:p>
              </w:tc>
              <w:tc>
                <w:tcPr>
                  <w:tcW w:w="199" w:type="pct"/>
                  <w:tcBorders>
                    <w:tl2br w:val="nil"/>
                    <w:tr2bl w:val="nil"/>
                  </w:tcBorders>
                  <w:noWrap w:val="0"/>
                  <w:vAlign w:val="center"/>
                </w:tcPr>
                <w:p w14:paraId="055B8D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D43F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C6AB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25</w:t>
                  </w:r>
                </w:p>
              </w:tc>
              <w:tc>
                <w:tcPr>
                  <w:tcW w:w="355" w:type="pct"/>
                  <w:tcBorders>
                    <w:tl2br w:val="nil"/>
                    <w:tr2bl w:val="nil"/>
                  </w:tcBorders>
                  <w:noWrap w:val="0"/>
                  <w:vAlign w:val="center"/>
                </w:tcPr>
                <w:p w14:paraId="7E6DFE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乙苯</w:t>
                  </w:r>
                </w:p>
              </w:tc>
              <w:tc>
                <w:tcPr>
                  <w:tcW w:w="389" w:type="pct"/>
                  <w:tcBorders>
                    <w:tl2br w:val="nil"/>
                    <w:tr2bl w:val="nil"/>
                  </w:tcBorders>
                  <w:noWrap w:val="0"/>
                  <w:vAlign w:val="center"/>
                </w:tcPr>
                <w:p w14:paraId="29762C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100-41-4</w:t>
                  </w:r>
                </w:p>
              </w:tc>
              <w:tc>
                <w:tcPr>
                  <w:tcW w:w="409" w:type="pct"/>
                  <w:tcBorders>
                    <w:tl2br w:val="nil"/>
                    <w:tr2bl w:val="nil"/>
                  </w:tcBorders>
                  <w:noWrap w:val="0"/>
                  <w:vAlign w:val="center"/>
                </w:tcPr>
                <w:p w14:paraId="2FA132C0">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C₈H₁₀</w:t>
                  </w:r>
                </w:p>
              </w:tc>
              <w:tc>
                <w:tcPr>
                  <w:tcW w:w="314" w:type="pct"/>
                  <w:tcBorders>
                    <w:tl2br w:val="nil"/>
                    <w:tr2bl w:val="nil"/>
                  </w:tcBorders>
                  <w:noWrap w:val="0"/>
                  <w:vAlign w:val="center"/>
                </w:tcPr>
                <w:p w14:paraId="4853A38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106.17</w:t>
                  </w:r>
                </w:p>
              </w:tc>
              <w:tc>
                <w:tcPr>
                  <w:tcW w:w="1060" w:type="pct"/>
                  <w:tcBorders>
                    <w:tl2br w:val="nil"/>
                    <w:tr2bl w:val="nil"/>
                  </w:tcBorders>
                  <w:noWrap w:val="0"/>
                  <w:vAlign w:val="center"/>
                </w:tcPr>
                <w:p w14:paraId="08F401E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无色透明液体，有芳香气味；相对密度0.867（水=1，20℃），相对蒸气密度3.66（空气=1）；不溶于水，溶于乙醇、乙醚、苯等有机溶剂；沸点136.2℃，熔点-94.9℃。</w:t>
                  </w:r>
                </w:p>
              </w:tc>
              <w:tc>
                <w:tcPr>
                  <w:tcW w:w="1060" w:type="pct"/>
                  <w:tcBorders>
                    <w:tl2br w:val="nil"/>
                    <w:tr2bl w:val="nil"/>
                  </w:tcBorders>
                  <w:noWrap w:val="0"/>
                  <w:vAlign w:val="center"/>
                </w:tcPr>
                <w:p w14:paraId="259153A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易燃，闪点15℃（闭杯），爆炸极限1.0%-6.7%（体积分数）；遇明火、高热或与氧化剂接触，有引起燃烧爆炸的危险；蒸气比空气重，能在较低处扩散到相当远的地方，遇火源会着火回燃。</w:t>
                  </w:r>
                </w:p>
              </w:tc>
              <w:tc>
                <w:tcPr>
                  <w:tcW w:w="1027" w:type="pct"/>
                  <w:tcBorders>
                    <w:tl2br w:val="nil"/>
                    <w:tr2bl w:val="nil"/>
                  </w:tcBorders>
                  <w:noWrap w:val="0"/>
                  <w:vAlign w:val="center"/>
                </w:tcPr>
                <w:p w14:paraId="5BF9E02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低毒，急性毒性：大鼠经口LD₅₀为3500mg/kg；吸入高浓度蒸气可引起头痛、头晕、恶心、呕吐等中枢神经系统症状；对皮肤、眼睛和呼吸道有刺激作用，长期接触可能影响造血系统。</w:t>
                  </w:r>
                </w:p>
              </w:tc>
              <w:tc>
                <w:tcPr>
                  <w:tcW w:w="199" w:type="pct"/>
                  <w:tcBorders>
                    <w:tl2br w:val="nil"/>
                    <w:tr2bl w:val="nil"/>
                  </w:tcBorders>
                  <w:noWrap w:val="0"/>
                  <w:vAlign w:val="center"/>
                </w:tcPr>
                <w:p w14:paraId="7E8D9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4575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989AB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26</w:t>
                  </w:r>
                </w:p>
              </w:tc>
              <w:tc>
                <w:tcPr>
                  <w:tcW w:w="355" w:type="pct"/>
                  <w:tcBorders>
                    <w:tl2br w:val="nil"/>
                    <w:tr2bl w:val="nil"/>
                  </w:tcBorders>
                  <w:noWrap w:val="0"/>
                  <w:vAlign w:val="center"/>
                </w:tcPr>
                <w:p w14:paraId="62D46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邻二甲苯</w:t>
                  </w:r>
                </w:p>
              </w:tc>
              <w:tc>
                <w:tcPr>
                  <w:tcW w:w="389" w:type="pct"/>
                  <w:tcBorders>
                    <w:tl2br w:val="nil"/>
                    <w:tr2bl w:val="nil"/>
                  </w:tcBorders>
                  <w:noWrap w:val="0"/>
                  <w:vAlign w:val="center"/>
                </w:tcPr>
                <w:p w14:paraId="69472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95-47-6</w:t>
                  </w:r>
                </w:p>
              </w:tc>
              <w:tc>
                <w:tcPr>
                  <w:tcW w:w="409" w:type="pct"/>
                  <w:tcBorders>
                    <w:tl2br w:val="nil"/>
                    <w:tr2bl w:val="nil"/>
                  </w:tcBorders>
                  <w:noWrap w:val="0"/>
                  <w:vAlign w:val="center"/>
                </w:tcPr>
                <w:p w14:paraId="676600B6">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C₈H₁₀</w:t>
                  </w:r>
                </w:p>
              </w:tc>
              <w:tc>
                <w:tcPr>
                  <w:tcW w:w="314" w:type="pct"/>
                  <w:tcBorders>
                    <w:tl2br w:val="nil"/>
                    <w:tr2bl w:val="nil"/>
                  </w:tcBorders>
                  <w:noWrap w:val="0"/>
                  <w:vAlign w:val="center"/>
                </w:tcPr>
                <w:p w14:paraId="6E975D5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106.17</w:t>
                  </w:r>
                </w:p>
              </w:tc>
              <w:tc>
                <w:tcPr>
                  <w:tcW w:w="1060" w:type="pct"/>
                  <w:tcBorders>
                    <w:tl2br w:val="nil"/>
                    <w:tr2bl w:val="nil"/>
                  </w:tcBorders>
                  <w:noWrap w:val="0"/>
                  <w:vAlign w:val="center"/>
                </w:tcPr>
                <w:p w14:paraId="21B6607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无色透明液体，有芳香气味，不溶于水，易溶于乙醇、苯；密度0.880g/cm³（20℃），沸点144.4℃，熔点-25.5℃，闪点30℃（闭杯）。</w:t>
                  </w:r>
                </w:p>
              </w:tc>
              <w:tc>
                <w:tcPr>
                  <w:tcW w:w="1060" w:type="pct"/>
                  <w:tcBorders>
                    <w:tl2br w:val="nil"/>
                    <w:tr2bl w:val="nil"/>
                  </w:tcBorders>
                  <w:noWrap w:val="0"/>
                  <w:vAlign w:val="center"/>
                </w:tcPr>
                <w:p w14:paraId="2998546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易燃，蒸汽与空气爆炸极限1.0%-7.0%；遇明火、高热易燃烧爆炸，与氧化剂反应，蒸汽比空气重易扩散回燃。</w:t>
                  </w:r>
                </w:p>
              </w:tc>
              <w:tc>
                <w:tcPr>
                  <w:tcW w:w="1027" w:type="pct"/>
                  <w:tcBorders>
                    <w:tl2br w:val="nil"/>
                    <w:tr2bl w:val="nil"/>
                  </w:tcBorders>
                  <w:noWrap w:val="0"/>
                  <w:vAlign w:val="center"/>
                </w:tcPr>
                <w:p w14:paraId="1D3C700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低毒；吸入高浓度蒸汽致头痛、头晕，皮肤接触有刺激作用，长期接触可能影响神经系统，I类致癌物。</w:t>
                  </w:r>
                </w:p>
              </w:tc>
              <w:tc>
                <w:tcPr>
                  <w:tcW w:w="199" w:type="pct"/>
                  <w:tcBorders>
                    <w:tl2br w:val="nil"/>
                    <w:tr2bl w:val="nil"/>
                  </w:tcBorders>
                  <w:noWrap w:val="0"/>
                  <w:vAlign w:val="center"/>
                </w:tcPr>
                <w:p w14:paraId="76ED8F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75AC3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F3F1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27</w:t>
                  </w:r>
                </w:p>
              </w:tc>
              <w:tc>
                <w:tcPr>
                  <w:tcW w:w="355" w:type="pct"/>
                  <w:tcBorders>
                    <w:tl2br w:val="nil"/>
                    <w:tr2bl w:val="nil"/>
                  </w:tcBorders>
                  <w:noWrap w:val="0"/>
                  <w:vAlign w:val="center"/>
                </w:tcPr>
                <w:p w14:paraId="705944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间二甲苯</w:t>
                  </w:r>
                </w:p>
              </w:tc>
              <w:tc>
                <w:tcPr>
                  <w:tcW w:w="389" w:type="pct"/>
                  <w:tcBorders>
                    <w:tl2br w:val="nil"/>
                    <w:tr2bl w:val="nil"/>
                  </w:tcBorders>
                  <w:noWrap w:val="0"/>
                  <w:vAlign w:val="center"/>
                </w:tcPr>
                <w:p w14:paraId="106853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108-38-3</w:t>
                  </w:r>
                </w:p>
              </w:tc>
              <w:tc>
                <w:tcPr>
                  <w:tcW w:w="409" w:type="pct"/>
                  <w:tcBorders>
                    <w:tl2br w:val="nil"/>
                    <w:tr2bl w:val="nil"/>
                  </w:tcBorders>
                  <w:noWrap w:val="0"/>
                  <w:vAlign w:val="center"/>
                </w:tcPr>
                <w:p w14:paraId="3E4A4C0D">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C₈H₁₀</w:t>
                  </w:r>
                </w:p>
              </w:tc>
              <w:tc>
                <w:tcPr>
                  <w:tcW w:w="314" w:type="pct"/>
                  <w:tcBorders>
                    <w:tl2br w:val="nil"/>
                    <w:tr2bl w:val="nil"/>
                  </w:tcBorders>
                  <w:noWrap w:val="0"/>
                  <w:vAlign w:val="center"/>
                </w:tcPr>
                <w:p w14:paraId="12ACF72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106.17</w:t>
                  </w:r>
                </w:p>
              </w:tc>
              <w:tc>
                <w:tcPr>
                  <w:tcW w:w="1060" w:type="pct"/>
                  <w:tcBorders>
                    <w:tl2br w:val="nil"/>
                    <w:tr2bl w:val="nil"/>
                  </w:tcBorders>
                  <w:noWrap w:val="0"/>
                  <w:vAlign w:val="center"/>
                </w:tcPr>
                <w:p w14:paraId="46C460E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无色透明液体，有芳香气味，不溶于水，易溶于乙醇、苯；密度0.864g/cm³（20℃），沸点139.1℃，熔点-47.9℃，闪点25℃（闭杯）。</w:t>
                  </w:r>
                </w:p>
              </w:tc>
              <w:tc>
                <w:tcPr>
                  <w:tcW w:w="1060" w:type="pct"/>
                  <w:tcBorders>
                    <w:tl2br w:val="nil"/>
                    <w:tr2bl w:val="nil"/>
                  </w:tcBorders>
                  <w:noWrap w:val="0"/>
                  <w:vAlign w:val="center"/>
                </w:tcPr>
                <w:p w14:paraId="17D78A6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易燃，蒸汽与空气爆炸极限1.1%-7.0%；遇明火、高热易燃烧爆炸，与氧化剂反应，蒸汽比空气重易扩散回燃。</w:t>
                  </w:r>
                </w:p>
              </w:tc>
              <w:tc>
                <w:tcPr>
                  <w:tcW w:w="1027" w:type="pct"/>
                  <w:tcBorders>
                    <w:tl2br w:val="nil"/>
                    <w:tr2bl w:val="nil"/>
                  </w:tcBorders>
                  <w:noWrap w:val="0"/>
                  <w:vAlign w:val="center"/>
                </w:tcPr>
                <w:p w14:paraId="567B44D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低毒；吸入高浓度蒸汽致头痛、头晕，皮肤接触有刺激作用，长期接触可能影响神经系统，I类致癌物。</w:t>
                  </w:r>
                </w:p>
              </w:tc>
              <w:tc>
                <w:tcPr>
                  <w:tcW w:w="199" w:type="pct"/>
                  <w:tcBorders>
                    <w:tl2br w:val="nil"/>
                    <w:tr2bl w:val="nil"/>
                  </w:tcBorders>
                  <w:noWrap w:val="0"/>
                  <w:vAlign w:val="center"/>
                </w:tcPr>
                <w:p w14:paraId="46C654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64AB3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87AE1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28</w:t>
                  </w:r>
                </w:p>
              </w:tc>
              <w:tc>
                <w:tcPr>
                  <w:tcW w:w="355" w:type="pct"/>
                  <w:tcBorders>
                    <w:tl2br w:val="nil"/>
                    <w:tr2bl w:val="nil"/>
                  </w:tcBorders>
                  <w:noWrap w:val="0"/>
                  <w:vAlign w:val="center"/>
                </w:tcPr>
                <w:p w14:paraId="1BB2F4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甲基丙烯酸甲酯</w:t>
                  </w:r>
                </w:p>
              </w:tc>
              <w:tc>
                <w:tcPr>
                  <w:tcW w:w="389" w:type="pct"/>
                  <w:tcBorders>
                    <w:tl2br w:val="nil"/>
                    <w:tr2bl w:val="nil"/>
                  </w:tcBorders>
                  <w:noWrap w:val="0"/>
                  <w:vAlign w:val="center"/>
                </w:tcPr>
                <w:p w14:paraId="3F0EEB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80-62-6</w:t>
                  </w:r>
                </w:p>
              </w:tc>
              <w:tc>
                <w:tcPr>
                  <w:tcW w:w="409" w:type="pct"/>
                  <w:tcBorders>
                    <w:tl2br w:val="nil"/>
                    <w:tr2bl w:val="nil"/>
                  </w:tcBorders>
                  <w:noWrap w:val="0"/>
                  <w:vAlign w:val="center"/>
                </w:tcPr>
                <w:p w14:paraId="313791A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C₅H₈O₂</w:t>
                  </w:r>
                </w:p>
              </w:tc>
              <w:tc>
                <w:tcPr>
                  <w:tcW w:w="314" w:type="pct"/>
                  <w:tcBorders>
                    <w:tl2br w:val="nil"/>
                    <w:tr2bl w:val="nil"/>
                  </w:tcBorders>
                  <w:noWrap w:val="0"/>
                  <w:vAlign w:val="center"/>
                </w:tcPr>
                <w:p w14:paraId="600E5C8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100.12</w:t>
                  </w:r>
                </w:p>
              </w:tc>
              <w:tc>
                <w:tcPr>
                  <w:tcW w:w="1060" w:type="pct"/>
                  <w:tcBorders>
                    <w:tl2br w:val="nil"/>
                    <w:tr2bl w:val="nil"/>
                  </w:tcBorders>
                  <w:noWrap w:val="0"/>
                  <w:vAlign w:val="center"/>
                </w:tcPr>
                <w:p w14:paraId="0A2DCE8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无色液体，有辛辣气味，微溶于水，易溶于乙醇、乙醚；密度0.944g/cm³（20℃），沸点100.3℃，熔点-48℃，闪点10℃（闭杯），易聚合。</w:t>
                  </w:r>
                </w:p>
              </w:tc>
              <w:tc>
                <w:tcPr>
                  <w:tcW w:w="1060" w:type="pct"/>
                  <w:tcBorders>
                    <w:tl2br w:val="nil"/>
                    <w:tr2bl w:val="nil"/>
                  </w:tcBorders>
                  <w:noWrap w:val="0"/>
                  <w:vAlign w:val="center"/>
                </w:tcPr>
                <w:p w14:paraId="5945BDF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高度易燃，蒸汽与空气爆炸极限2.1%-12.5%；遇明火、高热极易燃烧爆炸，与氧化剂反应，聚合放热可能引发爆炸。</w:t>
                  </w:r>
                </w:p>
              </w:tc>
              <w:tc>
                <w:tcPr>
                  <w:tcW w:w="1027" w:type="pct"/>
                  <w:tcBorders>
                    <w:tl2br w:val="nil"/>
                    <w:tr2bl w:val="nil"/>
                  </w:tcBorders>
                  <w:noWrap w:val="0"/>
                  <w:vAlign w:val="center"/>
                </w:tcPr>
                <w:p w14:paraId="2D8A304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低毒；对皮肤、眼睛和呼吸道有刺激作用，吸入高浓度蒸汽致头痛、恶心，长期接触可能影响神经系统。</w:t>
                  </w:r>
                </w:p>
              </w:tc>
              <w:tc>
                <w:tcPr>
                  <w:tcW w:w="199" w:type="pct"/>
                  <w:tcBorders>
                    <w:tl2br w:val="nil"/>
                    <w:tr2bl w:val="nil"/>
                  </w:tcBorders>
                  <w:noWrap w:val="0"/>
                  <w:vAlign w:val="center"/>
                </w:tcPr>
                <w:p w14:paraId="2D2E13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08D4D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F71D7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29</w:t>
                  </w:r>
                </w:p>
              </w:tc>
              <w:tc>
                <w:tcPr>
                  <w:tcW w:w="355" w:type="pct"/>
                  <w:tcBorders>
                    <w:tl2br w:val="nil"/>
                    <w:tr2bl w:val="nil"/>
                  </w:tcBorders>
                  <w:noWrap w:val="0"/>
                  <w:vAlign w:val="center"/>
                </w:tcPr>
                <w:p w14:paraId="4F7071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异辛醇</w:t>
                  </w:r>
                </w:p>
              </w:tc>
              <w:tc>
                <w:tcPr>
                  <w:tcW w:w="389" w:type="pct"/>
                  <w:tcBorders>
                    <w:tl2br w:val="nil"/>
                    <w:tr2bl w:val="nil"/>
                  </w:tcBorders>
                  <w:noWrap w:val="0"/>
                  <w:vAlign w:val="center"/>
                </w:tcPr>
                <w:p w14:paraId="2AB12D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26952-21-6</w:t>
                  </w:r>
                </w:p>
              </w:tc>
              <w:tc>
                <w:tcPr>
                  <w:tcW w:w="409" w:type="pct"/>
                  <w:tcBorders>
                    <w:tl2br w:val="nil"/>
                    <w:tr2bl w:val="nil"/>
                  </w:tcBorders>
                  <w:noWrap w:val="0"/>
                  <w:vAlign w:val="center"/>
                </w:tcPr>
                <w:p w14:paraId="502BE02C">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C₈H₁₈O</w:t>
                  </w:r>
                </w:p>
              </w:tc>
              <w:tc>
                <w:tcPr>
                  <w:tcW w:w="314" w:type="pct"/>
                  <w:tcBorders>
                    <w:tl2br w:val="nil"/>
                    <w:tr2bl w:val="nil"/>
                  </w:tcBorders>
                  <w:noWrap w:val="0"/>
                  <w:vAlign w:val="center"/>
                </w:tcPr>
                <w:p w14:paraId="78007A6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130.23</w:t>
                  </w:r>
                </w:p>
              </w:tc>
              <w:tc>
                <w:tcPr>
                  <w:tcW w:w="1060" w:type="pct"/>
                  <w:tcBorders>
                    <w:tl2br w:val="nil"/>
                    <w:tr2bl w:val="nil"/>
                  </w:tcBorders>
                  <w:noWrap w:val="0"/>
                  <w:vAlign w:val="center"/>
                </w:tcPr>
                <w:p w14:paraId="273A375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无色透明液体，有特殊气味；相对密度0.834（水=1，20℃），相对蒸气密度4.49（空气=1）；微溶于水，溶于乙醇、乙醚、丙酮等有机溶剂；沸点183.5℃，熔点-76℃。</w:t>
                  </w:r>
                </w:p>
              </w:tc>
              <w:tc>
                <w:tcPr>
                  <w:tcW w:w="1060" w:type="pct"/>
                  <w:tcBorders>
                    <w:tl2br w:val="nil"/>
                    <w:tr2bl w:val="nil"/>
                  </w:tcBorders>
                  <w:noWrap w:val="0"/>
                  <w:vAlign w:val="center"/>
                </w:tcPr>
                <w:p w14:paraId="086858D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可燃，闪点77℃（闭杯），爆炸极限0.7%-3.4%（体积分数）；遇明火、高热可燃；与氧化剂接触能发生化学反应；若遇高热，容器内压增大，有开裂和爆炸的危险。</w:t>
                  </w:r>
                </w:p>
              </w:tc>
              <w:tc>
                <w:tcPr>
                  <w:tcW w:w="1027" w:type="pct"/>
                  <w:tcBorders>
                    <w:tl2br w:val="nil"/>
                    <w:tr2bl w:val="nil"/>
                  </w:tcBorders>
                  <w:noWrap w:val="0"/>
                  <w:vAlign w:val="center"/>
                </w:tcPr>
                <w:p w14:paraId="645BD57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低毒，急性毒性：大鼠经口LD₅₀为3200-7600mg/kg；吸入过量蒸气可引起头痛、头晕、乏力等中枢神经系统症状；对皮肤、眼睛有轻微刺激作用。</w:t>
                  </w:r>
                </w:p>
              </w:tc>
              <w:tc>
                <w:tcPr>
                  <w:tcW w:w="199" w:type="pct"/>
                  <w:tcBorders>
                    <w:tl2br w:val="nil"/>
                    <w:tr2bl w:val="nil"/>
                  </w:tcBorders>
                  <w:noWrap w:val="0"/>
                  <w:vAlign w:val="center"/>
                </w:tcPr>
                <w:p w14:paraId="667BC4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2E8D0A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DCDBE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30</w:t>
                  </w:r>
                </w:p>
              </w:tc>
              <w:tc>
                <w:tcPr>
                  <w:tcW w:w="355" w:type="pct"/>
                  <w:tcBorders>
                    <w:tl2br w:val="nil"/>
                    <w:tr2bl w:val="nil"/>
                  </w:tcBorders>
                  <w:noWrap w:val="0"/>
                  <w:vAlign w:val="center"/>
                </w:tcPr>
                <w:p w14:paraId="005EB8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沥青（含煤焦油沥青）</w:t>
                  </w:r>
                </w:p>
              </w:tc>
              <w:tc>
                <w:tcPr>
                  <w:tcW w:w="389" w:type="pct"/>
                  <w:tcBorders>
                    <w:tl2br w:val="nil"/>
                    <w:tr2bl w:val="nil"/>
                  </w:tcBorders>
                  <w:noWrap w:val="0"/>
                  <w:vAlign w:val="center"/>
                </w:tcPr>
                <w:p w14:paraId="4F26C0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65996-93-2</w:t>
                  </w:r>
                </w:p>
              </w:tc>
              <w:tc>
                <w:tcPr>
                  <w:tcW w:w="409" w:type="pct"/>
                  <w:tcBorders>
                    <w:tl2br w:val="nil"/>
                    <w:tr2bl w:val="nil"/>
                  </w:tcBorders>
                  <w:noWrap w:val="0"/>
                  <w:vAlign w:val="center"/>
                </w:tcPr>
                <w:p w14:paraId="02CB708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混合物，无固定分子式</w:t>
                  </w:r>
                </w:p>
              </w:tc>
              <w:tc>
                <w:tcPr>
                  <w:tcW w:w="314" w:type="pct"/>
                  <w:tcBorders>
                    <w:tl2br w:val="nil"/>
                    <w:tr2bl w:val="nil"/>
                  </w:tcBorders>
                  <w:noWrap w:val="0"/>
                  <w:vAlign w:val="center"/>
                </w:tcPr>
                <w:p w14:paraId="30D7BE9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无固定值</w:t>
                  </w:r>
                </w:p>
              </w:tc>
              <w:tc>
                <w:tcPr>
                  <w:tcW w:w="1060" w:type="pct"/>
                  <w:tcBorders>
                    <w:tl2br w:val="nil"/>
                    <w:tr2bl w:val="nil"/>
                  </w:tcBorders>
                  <w:noWrap w:val="0"/>
                  <w:vAlign w:val="center"/>
                </w:tcPr>
                <w:p w14:paraId="08E6E03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常温下黑色至深褐色固体/半固体、粘稠膏体；相对密度1.15~1.4，熔点65~108℃，沸点：&gt;250~360℃。</w:t>
                  </w:r>
                </w:p>
              </w:tc>
              <w:tc>
                <w:tcPr>
                  <w:tcW w:w="1060" w:type="pct"/>
                  <w:tcBorders>
                    <w:tl2br w:val="nil"/>
                    <w:tr2bl w:val="nil"/>
                  </w:tcBorders>
                  <w:noWrap w:val="0"/>
                  <w:vAlign w:val="center"/>
                </w:tcPr>
                <w:p w14:paraId="69FB5FE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第9类杂项危险物质和物品，闪点＞200~250℃，自然温度＞500-510℃；本身不易燃，但受热挥发物可燃，与空气可形成爆炸性混合物。</w:t>
                  </w:r>
                </w:p>
              </w:tc>
              <w:tc>
                <w:tcPr>
                  <w:tcW w:w="1027" w:type="pct"/>
                  <w:tcBorders>
                    <w:tl2br w:val="nil"/>
                    <w:tr2bl w:val="nil"/>
                  </w:tcBorders>
                  <w:noWrap w:val="0"/>
                  <w:vAlign w:val="center"/>
                </w:tcPr>
                <w:p w14:paraId="5B61752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中等毒性，I类致癌物，含苯并芘，长期接触致皮肤癌、肺癌。LD₅₀（大鼠经口）：3300mg/kg</w:t>
                  </w:r>
                </w:p>
              </w:tc>
              <w:tc>
                <w:tcPr>
                  <w:tcW w:w="199" w:type="pct"/>
                  <w:tcBorders>
                    <w:tl2br w:val="nil"/>
                    <w:tr2bl w:val="nil"/>
                  </w:tcBorders>
                  <w:noWrap w:val="0"/>
                  <w:vAlign w:val="center"/>
                </w:tcPr>
                <w:p w14:paraId="611AD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A1DF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9E6A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31</w:t>
                  </w:r>
                </w:p>
              </w:tc>
              <w:tc>
                <w:tcPr>
                  <w:tcW w:w="355" w:type="pct"/>
                  <w:tcBorders>
                    <w:tl2br w:val="nil"/>
                    <w:tr2bl w:val="nil"/>
                  </w:tcBorders>
                  <w:noWrap w:val="0"/>
                  <w:vAlign w:val="center"/>
                </w:tcPr>
                <w:p w14:paraId="7D506A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燃料油</w:t>
                  </w:r>
                </w:p>
              </w:tc>
              <w:tc>
                <w:tcPr>
                  <w:tcW w:w="389" w:type="pct"/>
                  <w:tcBorders>
                    <w:tl2br w:val="nil"/>
                    <w:tr2bl w:val="nil"/>
                  </w:tcBorders>
                  <w:noWrap w:val="0"/>
                  <w:vAlign w:val="center"/>
                </w:tcPr>
                <w:p w14:paraId="4181AB8B">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68476-30-2</w:t>
                  </w:r>
                </w:p>
              </w:tc>
              <w:tc>
                <w:tcPr>
                  <w:tcW w:w="409" w:type="pct"/>
                  <w:tcBorders>
                    <w:tl2br w:val="nil"/>
                    <w:tr2bl w:val="nil"/>
                  </w:tcBorders>
                  <w:noWrap w:val="0"/>
                  <w:vAlign w:val="center"/>
                </w:tcPr>
                <w:p w14:paraId="07942705">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无固定分子式（C12-C24烃类混合物）</w:t>
                  </w:r>
                </w:p>
              </w:tc>
              <w:tc>
                <w:tcPr>
                  <w:tcW w:w="314" w:type="pct"/>
                  <w:tcBorders>
                    <w:tl2br w:val="nil"/>
                    <w:tr2bl w:val="nil"/>
                  </w:tcBorders>
                  <w:noWrap w:val="0"/>
                  <w:vAlign w:val="center"/>
                </w:tcPr>
                <w:p w14:paraId="467F219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170-340（平均分子量）</w:t>
                  </w:r>
                </w:p>
              </w:tc>
              <w:tc>
                <w:tcPr>
                  <w:tcW w:w="1060" w:type="pct"/>
                  <w:tcBorders>
                    <w:tl2br w:val="nil"/>
                    <w:tr2bl w:val="nil"/>
                  </w:tcBorders>
                  <w:noWrap w:val="0"/>
                  <w:vAlign w:val="center"/>
                </w:tcPr>
                <w:p w14:paraId="33D021F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淡黄色至黑色液体，有石油气味，不溶于水，溶于有机溶剂；密度0.85-1.0g/cm³（20℃），沸点200-400℃，闪点60-120℃。</w:t>
                  </w:r>
                </w:p>
              </w:tc>
              <w:tc>
                <w:tcPr>
                  <w:tcW w:w="1060" w:type="pct"/>
                  <w:tcBorders>
                    <w:tl2br w:val="nil"/>
                    <w:tr2bl w:val="nil"/>
                  </w:tcBorders>
                  <w:noWrap w:val="0"/>
                  <w:vAlign w:val="center"/>
                </w:tcPr>
                <w:p w14:paraId="37317B7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易燃，蒸汽与空气爆炸极限0.7%-5.0%；遇明火、高热易燃烧爆炸，与氧化剂反应，燃烧释放黑烟及有毒气体。</w:t>
                  </w:r>
                </w:p>
              </w:tc>
              <w:tc>
                <w:tcPr>
                  <w:tcW w:w="1027" w:type="pct"/>
                  <w:tcBorders>
                    <w:tl2br w:val="nil"/>
                    <w:tr2bl w:val="nil"/>
                  </w:tcBorders>
                  <w:noWrap w:val="0"/>
                  <w:vAlign w:val="center"/>
                </w:tcPr>
                <w:p w14:paraId="394FF19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低毒；吸入高浓度蒸汽致头痛、头晕，皮肤接触脱脂、皮炎，长期接触含芳烃成分可能致癌。</w:t>
                  </w:r>
                </w:p>
              </w:tc>
              <w:tc>
                <w:tcPr>
                  <w:tcW w:w="199" w:type="pct"/>
                  <w:tcBorders>
                    <w:tl2br w:val="nil"/>
                    <w:tr2bl w:val="nil"/>
                  </w:tcBorders>
                  <w:noWrap w:val="0"/>
                  <w:vAlign w:val="center"/>
                </w:tcPr>
                <w:p w14:paraId="17775A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20ECC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C809D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32</w:t>
                  </w:r>
                </w:p>
              </w:tc>
              <w:tc>
                <w:tcPr>
                  <w:tcW w:w="355" w:type="pct"/>
                  <w:tcBorders>
                    <w:tl2br w:val="nil"/>
                    <w:tr2bl w:val="nil"/>
                  </w:tcBorders>
                  <w:noWrap w:val="0"/>
                  <w:vAlign w:val="center"/>
                </w:tcPr>
                <w:p w14:paraId="10F3BB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正丙醇</w:t>
                  </w:r>
                </w:p>
              </w:tc>
              <w:tc>
                <w:tcPr>
                  <w:tcW w:w="389" w:type="pct"/>
                  <w:tcBorders>
                    <w:tl2br w:val="nil"/>
                    <w:tr2bl w:val="nil"/>
                  </w:tcBorders>
                  <w:noWrap w:val="0"/>
                  <w:vAlign w:val="center"/>
                </w:tcPr>
                <w:p w14:paraId="6D71D9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71-23-8</w:t>
                  </w:r>
                </w:p>
              </w:tc>
              <w:tc>
                <w:tcPr>
                  <w:tcW w:w="409" w:type="pct"/>
                  <w:tcBorders>
                    <w:tl2br w:val="nil"/>
                    <w:tr2bl w:val="nil"/>
                  </w:tcBorders>
                  <w:noWrap w:val="0"/>
                  <w:vAlign w:val="center"/>
                </w:tcPr>
                <w:p w14:paraId="2BC90CB2">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C₃H₈O</w:t>
                  </w:r>
                </w:p>
              </w:tc>
              <w:tc>
                <w:tcPr>
                  <w:tcW w:w="314" w:type="pct"/>
                  <w:tcBorders>
                    <w:tl2br w:val="nil"/>
                    <w:tr2bl w:val="nil"/>
                  </w:tcBorders>
                  <w:noWrap w:val="0"/>
                  <w:vAlign w:val="center"/>
                </w:tcPr>
                <w:p w14:paraId="4C4747A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60.1</w:t>
                  </w:r>
                </w:p>
              </w:tc>
              <w:tc>
                <w:tcPr>
                  <w:tcW w:w="1060" w:type="pct"/>
                  <w:tcBorders>
                    <w:tl2br w:val="nil"/>
                    <w:tr2bl w:val="nil"/>
                  </w:tcBorders>
                  <w:noWrap w:val="0"/>
                  <w:vAlign w:val="center"/>
                </w:tcPr>
                <w:p w14:paraId="6DC8380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无色透明液体，有类似乙醇的气味；相对密度0.804（水=1，20℃），相对蒸气密度2.07（空气=1）；与水、乙醇、乙醚等混溶；沸点97.2℃，熔点-126.2℃。</w:t>
                  </w:r>
                </w:p>
              </w:tc>
              <w:tc>
                <w:tcPr>
                  <w:tcW w:w="1060" w:type="pct"/>
                  <w:tcBorders>
                    <w:tl2br w:val="nil"/>
                    <w:tr2bl w:val="nil"/>
                  </w:tcBorders>
                  <w:noWrap w:val="0"/>
                  <w:vAlign w:val="center"/>
                </w:tcPr>
                <w:p w14:paraId="1B11ADF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易燃，闪点15℃（闭杯），爆炸极限2.1%-13.5%（体积分数）；遇明火、高热有燃烧爆炸危险；与氧化剂接触发生化学反应或引起燃烧；蒸气能与空气形成爆炸性混合物。</w:t>
                  </w:r>
                </w:p>
              </w:tc>
              <w:tc>
                <w:tcPr>
                  <w:tcW w:w="1027" w:type="pct"/>
                  <w:tcBorders>
                    <w:tl2br w:val="nil"/>
                    <w:tr2bl w:val="nil"/>
                  </w:tcBorders>
                  <w:noWrap w:val="0"/>
                  <w:vAlign w:val="center"/>
                </w:tcPr>
                <w:p w14:paraId="456CB40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低毒，急性毒性：大鼠经口LD₅₀为1870mg/kg；吸入高浓度蒸气可引起头痛、头晕、恶心、呕吐等，严重者可致麻醉；对皮肤、眼睛有轻度刺激作用。</w:t>
                  </w:r>
                </w:p>
              </w:tc>
              <w:tc>
                <w:tcPr>
                  <w:tcW w:w="199" w:type="pct"/>
                  <w:tcBorders>
                    <w:tl2br w:val="nil"/>
                    <w:tr2bl w:val="nil"/>
                  </w:tcBorders>
                  <w:noWrap w:val="0"/>
                  <w:vAlign w:val="center"/>
                </w:tcPr>
                <w:p w14:paraId="4DADBA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0391FE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001B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33</w:t>
                  </w:r>
                </w:p>
              </w:tc>
              <w:tc>
                <w:tcPr>
                  <w:tcW w:w="355" w:type="pct"/>
                  <w:tcBorders>
                    <w:tl2br w:val="nil"/>
                    <w:tr2bl w:val="nil"/>
                  </w:tcBorders>
                  <w:noWrap w:val="0"/>
                  <w:vAlign w:val="center"/>
                </w:tcPr>
                <w:p w14:paraId="0B5AB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1,4-</w:t>
                  </w:r>
                  <w:r>
                    <w:rPr>
                      <w:rFonts w:hint="default" w:ascii="Times New Roman" w:hAnsi="Times New Roman" w:eastAsia="宋体" w:cs="Times New Roman"/>
                      <w:i w:val="0"/>
                      <w:iCs w:val="0"/>
                      <w:color w:val="auto"/>
                      <w:kern w:val="0"/>
                      <w:sz w:val="18"/>
                      <w:szCs w:val="18"/>
                      <w:u w:val="none"/>
                      <w:lang w:val="en-US" w:eastAsia="zh-CN" w:bidi="ar"/>
                    </w:rPr>
                    <w:t>丁二醇</w:t>
                  </w:r>
                </w:p>
              </w:tc>
              <w:tc>
                <w:tcPr>
                  <w:tcW w:w="389" w:type="pct"/>
                  <w:tcBorders>
                    <w:tl2br w:val="nil"/>
                    <w:tr2bl w:val="nil"/>
                  </w:tcBorders>
                  <w:noWrap w:val="0"/>
                  <w:vAlign w:val="center"/>
                </w:tcPr>
                <w:p w14:paraId="203C52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110-63-4</w:t>
                  </w:r>
                </w:p>
              </w:tc>
              <w:tc>
                <w:tcPr>
                  <w:tcW w:w="409" w:type="pct"/>
                  <w:tcBorders>
                    <w:tl2br w:val="nil"/>
                    <w:tr2bl w:val="nil"/>
                  </w:tcBorders>
                  <w:noWrap w:val="0"/>
                  <w:vAlign w:val="center"/>
                </w:tcPr>
                <w:p w14:paraId="03550DC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C₄H₁₀O₂</w:t>
                  </w:r>
                </w:p>
              </w:tc>
              <w:tc>
                <w:tcPr>
                  <w:tcW w:w="314" w:type="pct"/>
                  <w:tcBorders>
                    <w:tl2br w:val="nil"/>
                    <w:tr2bl w:val="nil"/>
                  </w:tcBorders>
                  <w:noWrap w:val="0"/>
                  <w:vAlign w:val="center"/>
                </w:tcPr>
                <w:p w14:paraId="54BCE3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90.12</w:t>
                  </w:r>
                </w:p>
              </w:tc>
              <w:tc>
                <w:tcPr>
                  <w:tcW w:w="1060" w:type="pct"/>
                  <w:tcBorders>
                    <w:tl2br w:val="nil"/>
                    <w:tr2bl w:val="nil"/>
                  </w:tcBorders>
                  <w:noWrap w:val="0"/>
                  <w:vAlign w:val="center"/>
                </w:tcPr>
                <w:p w14:paraId="7B1686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无色粘稠液体，无明显气味，易溶于水、乙醇、乙醚等，沸点228℃，熔点20.2℃，相对密度1.017（20℃），具有吸湿性，化学性质稳定。</w:t>
                  </w:r>
                </w:p>
              </w:tc>
              <w:tc>
                <w:tcPr>
                  <w:tcW w:w="1060" w:type="pct"/>
                  <w:tcBorders>
                    <w:tl2br w:val="nil"/>
                    <w:tr2bl w:val="nil"/>
                  </w:tcBorders>
                  <w:noWrap w:val="0"/>
                  <w:vAlign w:val="center"/>
                </w:tcPr>
                <w:p w14:paraId="0C4309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可燃，闪点121℃（闭杯），属丙类可燃液体，燃烧时产生二氧化碳和水，无爆炸危险性，遇强氧化剂可促进燃烧，火灾风险较低。</w:t>
                  </w:r>
                </w:p>
              </w:tc>
              <w:tc>
                <w:tcPr>
                  <w:tcW w:w="1027" w:type="pct"/>
                  <w:tcBorders>
                    <w:tl2br w:val="nil"/>
                    <w:tr2bl w:val="nil"/>
                  </w:tcBorders>
                  <w:noWrap w:val="0"/>
                  <w:vAlign w:val="center"/>
                </w:tcPr>
                <w:p w14:paraId="247AFD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低毒，急性毒性：大鼠经口LD₅₀为1525mg/kg；对皮肤和眼睛有轻微刺激作用，吸入高浓度蒸汽可引起头痛、恶心，长期接触无明显蓄积毒性，无致癌性报道。</w:t>
                  </w:r>
                </w:p>
              </w:tc>
              <w:tc>
                <w:tcPr>
                  <w:tcW w:w="199" w:type="pct"/>
                  <w:tcBorders>
                    <w:tl2br w:val="nil"/>
                    <w:tr2bl w:val="nil"/>
                  </w:tcBorders>
                  <w:noWrap w:val="0"/>
                  <w:vAlign w:val="center"/>
                </w:tcPr>
                <w:p w14:paraId="547952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37586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E2D5B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34</w:t>
                  </w:r>
                </w:p>
              </w:tc>
              <w:tc>
                <w:tcPr>
                  <w:tcW w:w="355" w:type="pct"/>
                  <w:tcBorders>
                    <w:tl2br w:val="nil"/>
                    <w:tr2bl w:val="nil"/>
                  </w:tcBorders>
                  <w:noWrap w:val="0"/>
                  <w:vAlign w:val="center"/>
                </w:tcPr>
                <w:p w14:paraId="06647A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环己酮</w:t>
                  </w:r>
                </w:p>
              </w:tc>
              <w:tc>
                <w:tcPr>
                  <w:tcW w:w="389" w:type="pct"/>
                  <w:tcBorders>
                    <w:tl2br w:val="nil"/>
                    <w:tr2bl w:val="nil"/>
                  </w:tcBorders>
                  <w:noWrap w:val="0"/>
                  <w:vAlign w:val="center"/>
                </w:tcPr>
                <w:p w14:paraId="12F93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108-94-1</w:t>
                  </w:r>
                </w:p>
              </w:tc>
              <w:tc>
                <w:tcPr>
                  <w:tcW w:w="409" w:type="pct"/>
                  <w:tcBorders>
                    <w:tl2br w:val="nil"/>
                    <w:tr2bl w:val="nil"/>
                  </w:tcBorders>
                  <w:noWrap w:val="0"/>
                  <w:vAlign w:val="center"/>
                </w:tcPr>
                <w:p w14:paraId="080E13DC">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C₆H₁₀O</w:t>
                  </w:r>
                </w:p>
              </w:tc>
              <w:tc>
                <w:tcPr>
                  <w:tcW w:w="314" w:type="pct"/>
                  <w:tcBorders>
                    <w:tl2br w:val="nil"/>
                    <w:tr2bl w:val="nil"/>
                  </w:tcBorders>
                  <w:noWrap w:val="0"/>
                  <w:vAlign w:val="center"/>
                </w:tcPr>
                <w:p w14:paraId="2CD3E0E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98.14</w:t>
                  </w:r>
                </w:p>
              </w:tc>
              <w:tc>
                <w:tcPr>
                  <w:tcW w:w="1060" w:type="pct"/>
                  <w:tcBorders>
                    <w:tl2br w:val="nil"/>
                    <w:tr2bl w:val="nil"/>
                  </w:tcBorders>
                  <w:noWrap w:val="0"/>
                  <w:vAlign w:val="center"/>
                </w:tcPr>
                <w:p w14:paraId="60025A0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无色透明液体，有薄荷气味，微溶于水，易溶于乙醇、乙醚；密度0.947g/cm³（20℃），沸点155.6℃，熔点-45℃，闪点46℃（闭杯）。</w:t>
                  </w:r>
                </w:p>
              </w:tc>
              <w:tc>
                <w:tcPr>
                  <w:tcW w:w="1060" w:type="pct"/>
                  <w:tcBorders>
                    <w:tl2br w:val="nil"/>
                    <w:tr2bl w:val="nil"/>
                  </w:tcBorders>
                  <w:noWrap w:val="0"/>
                  <w:vAlign w:val="center"/>
                </w:tcPr>
                <w:p w14:paraId="3C2A1F1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易燃，蒸汽与空气爆炸极限1.1%-9.4%；遇明火、高热易燃烧爆炸，与氧化剂反应，蒸汽比空气重易扩散回燃。</w:t>
                  </w:r>
                </w:p>
              </w:tc>
              <w:tc>
                <w:tcPr>
                  <w:tcW w:w="1027" w:type="pct"/>
                  <w:tcBorders>
                    <w:tl2br w:val="nil"/>
                    <w:tr2bl w:val="nil"/>
                  </w:tcBorders>
                  <w:noWrap w:val="0"/>
                  <w:vAlign w:val="center"/>
                </w:tcPr>
                <w:p w14:paraId="5BEEB5B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低毒；吸入高浓度蒸汽致头痛、头晕、恶心，皮肤接触有刺激作用，长期接触可能影响神经系统。</w:t>
                  </w:r>
                </w:p>
              </w:tc>
              <w:tc>
                <w:tcPr>
                  <w:tcW w:w="199" w:type="pct"/>
                  <w:tcBorders>
                    <w:tl2br w:val="nil"/>
                    <w:tr2bl w:val="nil"/>
                  </w:tcBorders>
                  <w:noWrap w:val="0"/>
                  <w:vAlign w:val="center"/>
                </w:tcPr>
                <w:p w14:paraId="31B8F1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65BA17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C515B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35</w:t>
                  </w:r>
                </w:p>
              </w:tc>
              <w:tc>
                <w:tcPr>
                  <w:tcW w:w="355" w:type="pct"/>
                  <w:tcBorders>
                    <w:tl2br w:val="nil"/>
                    <w:tr2bl w:val="nil"/>
                  </w:tcBorders>
                  <w:noWrap w:val="0"/>
                  <w:vAlign w:val="center"/>
                </w:tcPr>
                <w:p w14:paraId="49EBF1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丁酮</w:t>
                  </w:r>
                </w:p>
              </w:tc>
              <w:tc>
                <w:tcPr>
                  <w:tcW w:w="389" w:type="pct"/>
                  <w:tcBorders>
                    <w:tl2br w:val="nil"/>
                    <w:tr2bl w:val="nil"/>
                  </w:tcBorders>
                  <w:noWrap w:val="0"/>
                  <w:vAlign w:val="center"/>
                </w:tcPr>
                <w:p w14:paraId="5952A9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78-93-3</w:t>
                  </w:r>
                </w:p>
              </w:tc>
              <w:tc>
                <w:tcPr>
                  <w:tcW w:w="409" w:type="pct"/>
                  <w:tcBorders>
                    <w:tl2br w:val="nil"/>
                    <w:tr2bl w:val="nil"/>
                  </w:tcBorders>
                  <w:noWrap w:val="0"/>
                  <w:vAlign w:val="center"/>
                </w:tcPr>
                <w:p w14:paraId="6FD5FE0B">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C₄H₈O</w:t>
                  </w:r>
                </w:p>
              </w:tc>
              <w:tc>
                <w:tcPr>
                  <w:tcW w:w="314" w:type="pct"/>
                  <w:tcBorders>
                    <w:tl2br w:val="nil"/>
                    <w:tr2bl w:val="nil"/>
                  </w:tcBorders>
                  <w:noWrap w:val="0"/>
                  <w:vAlign w:val="center"/>
                </w:tcPr>
                <w:p w14:paraId="60F4A3C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72.11</w:t>
                  </w:r>
                </w:p>
              </w:tc>
              <w:tc>
                <w:tcPr>
                  <w:tcW w:w="1060" w:type="pct"/>
                  <w:tcBorders>
                    <w:tl2br w:val="nil"/>
                    <w:tr2bl w:val="nil"/>
                  </w:tcBorders>
                  <w:noWrap w:val="0"/>
                  <w:vAlign w:val="center"/>
                </w:tcPr>
                <w:p w14:paraId="76922C5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无色透明液体，有类似丙酮气味，易溶于水、乙醇、乙醚；密度0.805g/cm³（20℃），沸点79.6℃，熔点-86.3℃，闪点-9℃（闭杯）。</w:t>
                  </w:r>
                </w:p>
              </w:tc>
              <w:tc>
                <w:tcPr>
                  <w:tcW w:w="1060" w:type="pct"/>
                  <w:tcBorders>
                    <w:tl2br w:val="nil"/>
                    <w:tr2bl w:val="nil"/>
                  </w:tcBorders>
                  <w:noWrap w:val="0"/>
                  <w:vAlign w:val="center"/>
                </w:tcPr>
                <w:p w14:paraId="769DA46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极度易燃，蒸汽与空气爆炸极限1.7%-11.4%；遇明火、高热极易燃烧爆炸，与氧化剂反应剧烈，蒸汽比空气重易扩散回燃。</w:t>
                  </w:r>
                </w:p>
              </w:tc>
              <w:tc>
                <w:tcPr>
                  <w:tcW w:w="1027" w:type="pct"/>
                  <w:tcBorders>
                    <w:tl2br w:val="nil"/>
                    <w:tr2bl w:val="nil"/>
                  </w:tcBorders>
                  <w:noWrap w:val="0"/>
                  <w:vAlign w:val="center"/>
                </w:tcPr>
                <w:p w14:paraId="40625A9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低毒；吸入高浓度蒸汽致头痛、头晕、恶心，皮肤接触易脱脂，口服少量无严重危害，大量致中枢神经抑制。</w:t>
                  </w:r>
                </w:p>
              </w:tc>
              <w:tc>
                <w:tcPr>
                  <w:tcW w:w="199" w:type="pct"/>
                  <w:tcBorders>
                    <w:tl2br w:val="nil"/>
                    <w:tr2bl w:val="nil"/>
                  </w:tcBorders>
                  <w:noWrap w:val="0"/>
                  <w:vAlign w:val="center"/>
                </w:tcPr>
                <w:p w14:paraId="66731F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D3C9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767CB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36</w:t>
                  </w:r>
                </w:p>
              </w:tc>
              <w:tc>
                <w:tcPr>
                  <w:tcW w:w="355" w:type="pct"/>
                  <w:tcBorders>
                    <w:tl2br w:val="nil"/>
                    <w:tr2bl w:val="nil"/>
                  </w:tcBorders>
                  <w:noWrap w:val="0"/>
                  <w:vAlign w:val="center"/>
                </w:tcPr>
                <w:p w14:paraId="73C52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乙酸酐</w:t>
                  </w:r>
                </w:p>
              </w:tc>
              <w:tc>
                <w:tcPr>
                  <w:tcW w:w="389" w:type="pct"/>
                  <w:tcBorders>
                    <w:tl2br w:val="nil"/>
                    <w:tr2bl w:val="nil"/>
                  </w:tcBorders>
                  <w:noWrap w:val="0"/>
                  <w:vAlign w:val="center"/>
                </w:tcPr>
                <w:p w14:paraId="53B1D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108-24-7</w:t>
                  </w:r>
                </w:p>
              </w:tc>
              <w:tc>
                <w:tcPr>
                  <w:tcW w:w="409" w:type="pct"/>
                  <w:tcBorders>
                    <w:tl2br w:val="nil"/>
                    <w:tr2bl w:val="nil"/>
                  </w:tcBorders>
                  <w:noWrap w:val="0"/>
                  <w:vAlign w:val="center"/>
                </w:tcPr>
                <w:p w14:paraId="0D4506C8">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C₄H₆O₃</w:t>
                  </w:r>
                </w:p>
              </w:tc>
              <w:tc>
                <w:tcPr>
                  <w:tcW w:w="314" w:type="pct"/>
                  <w:tcBorders>
                    <w:tl2br w:val="nil"/>
                    <w:tr2bl w:val="nil"/>
                  </w:tcBorders>
                  <w:noWrap w:val="0"/>
                  <w:vAlign w:val="center"/>
                </w:tcPr>
                <w:p w14:paraId="197F1DE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102.09</w:t>
                  </w:r>
                </w:p>
              </w:tc>
              <w:tc>
                <w:tcPr>
                  <w:tcW w:w="1060" w:type="pct"/>
                  <w:tcBorders>
                    <w:tl2br w:val="nil"/>
                    <w:tr2bl w:val="nil"/>
                  </w:tcBorders>
                  <w:noWrap w:val="0"/>
                  <w:vAlign w:val="center"/>
                </w:tcPr>
                <w:p w14:paraId="3DBAAEE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无色透明液体，有强烈刺激性气味，易挥发；相对密度1.082（水=1，20℃），相对蒸气密度3.52（空气=1）；遇水剧烈反应生成乙酸，溶于乙醇、乙醚、苯等；沸点139.5℃，熔点-73.1℃。</w:t>
                  </w:r>
                </w:p>
              </w:tc>
              <w:tc>
                <w:tcPr>
                  <w:tcW w:w="1060" w:type="pct"/>
                  <w:tcBorders>
                    <w:tl2br w:val="nil"/>
                    <w:tr2bl w:val="nil"/>
                  </w:tcBorders>
                  <w:noWrap w:val="0"/>
                  <w:vAlign w:val="center"/>
                </w:tcPr>
                <w:p w14:paraId="27ABC2A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易燃，闪点49℃（闭杯），爆炸极限2.0%-10.3%（体积分数）；遇明火、高热可燃；与强氧化剂接触可发生化学反应；遇水反应放热，可能引起容器破裂；具有强腐蚀性。</w:t>
                  </w:r>
                </w:p>
              </w:tc>
              <w:tc>
                <w:tcPr>
                  <w:tcW w:w="1027" w:type="pct"/>
                  <w:tcBorders>
                    <w:tl2br w:val="nil"/>
                    <w:tr2bl w:val="nil"/>
                  </w:tcBorders>
                  <w:noWrap w:val="0"/>
                  <w:vAlign w:val="center"/>
                </w:tcPr>
                <w:p w14:paraId="7F7A9E3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中等毒性，急性毒性：大鼠经口LD₅₀为1780mg/kg；对皮肤、黏膜有强烈腐蚀作用，接触后可引起灼伤、疼痛、水疱；吸入其蒸气可导致呼吸道损伤，严重者发生肺水肿。</w:t>
                  </w:r>
                </w:p>
              </w:tc>
              <w:tc>
                <w:tcPr>
                  <w:tcW w:w="199" w:type="pct"/>
                  <w:tcBorders>
                    <w:tl2br w:val="nil"/>
                    <w:tr2bl w:val="nil"/>
                  </w:tcBorders>
                  <w:noWrap w:val="0"/>
                  <w:vAlign w:val="center"/>
                </w:tcPr>
                <w:p w14:paraId="2CF0F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504D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F4783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37</w:t>
                  </w:r>
                </w:p>
              </w:tc>
              <w:tc>
                <w:tcPr>
                  <w:tcW w:w="355" w:type="pct"/>
                  <w:tcBorders>
                    <w:tl2br w:val="nil"/>
                    <w:tr2bl w:val="nil"/>
                  </w:tcBorders>
                  <w:noWrap w:val="0"/>
                  <w:vAlign w:val="center"/>
                </w:tcPr>
                <w:p w14:paraId="4F85F9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基础油</w:t>
                  </w:r>
                </w:p>
              </w:tc>
              <w:tc>
                <w:tcPr>
                  <w:tcW w:w="389" w:type="pct"/>
                  <w:tcBorders>
                    <w:tl2br w:val="nil"/>
                    <w:tr2bl w:val="nil"/>
                  </w:tcBorders>
                  <w:noWrap w:val="0"/>
                  <w:vAlign w:val="center"/>
                </w:tcPr>
                <w:p w14:paraId="2BF3A24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无固定CAS号（混合物，矿物油型为主）</w:t>
                  </w:r>
                </w:p>
              </w:tc>
              <w:tc>
                <w:tcPr>
                  <w:tcW w:w="409" w:type="pct"/>
                  <w:tcBorders>
                    <w:tl2br w:val="nil"/>
                    <w:tr2bl w:val="nil"/>
                  </w:tcBorders>
                  <w:noWrap w:val="0"/>
                  <w:vAlign w:val="center"/>
                </w:tcPr>
                <w:p w14:paraId="0CC1F96F">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无固定分子式（C16-C30烷烃、环烷烃混合物）</w:t>
                  </w:r>
                </w:p>
              </w:tc>
              <w:tc>
                <w:tcPr>
                  <w:tcW w:w="314" w:type="pct"/>
                  <w:tcBorders>
                    <w:tl2br w:val="nil"/>
                    <w:tr2bl w:val="nil"/>
                  </w:tcBorders>
                  <w:noWrap w:val="0"/>
                  <w:vAlign w:val="center"/>
                </w:tcPr>
                <w:p w14:paraId="13C64EC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220-420（平均分子量）</w:t>
                  </w:r>
                </w:p>
              </w:tc>
              <w:tc>
                <w:tcPr>
                  <w:tcW w:w="1060" w:type="pct"/>
                  <w:tcBorders>
                    <w:tl2br w:val="nil"/>
                    <w:tr2bl w:val="nil"/>
                  </w:tcBorders>
                  <w:noWrap w:val="0"/>
                  <w:vAlign w:val="center"/>
                </w:tcPr>
                <w:p w14:paraId="6FD0A93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无色至淡黄色液体，无臭或轻微气味，不溶于水，溶于有机溶剂；密度0.83-0.89g/cm³（20℃），沸点&gt;300℃，闪点160-220℃，凝点-50-0℃。</w:t>
                  </w:r>
                </w:p>
              </w:tc>
              <w:tc>
                <w:tcPr>
                  <w:tcW w:w="1060" w:type="pct"/>
                  <w:tcBorders>
                    <w:tl2br w:val="nil"/>
                    <w:tr2bl w:val="nil"/>
                  </w:tcBorders>
                  <w:noWrap w:val="0"/>
                  <w:vAlign w:val="center"/>
                </w:tcPr>
                <w:p w14:paraId="435D834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可燃，遇明火、高热可燃烧，燃烧速度慢，闪点较高，不属于爆炸品，受热分解释放少量有毒气体。</w:t>
                  </w:r>
                </w:p>
              </w:tc>
              <w:tc>
                <w:tcPr>
                  <w:tcW w:w="1027" w:type="pct"/>
                  <w:tcBorders>
                    <w:tl2br w:val="nil"/>
                    <w:tr2bl w:val="nil"/>
                  </w:tcBorders>
                  <w:noWrap w:val="0"/>
                  <w:vAlign w:val="center"/>
                </w:tcPr>
                <w:p w14:paraId="18C46C1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低毒至微毒；长期接触皮肤致干燥、脱脂、皮炎，吸入蒸汽刺激呼吸道，误食致消化道不适。</w:t>
                  </w:r>
                </w:p>
              </w:tc>
              <w:tc>
                <w:tcPr>
                  <w:tcW w:w="199" w:type="pct"/>
                  <w:tcBorders>
                    <w:tl2br w:val="nil"/>
                    <w:tr2bl w:val="nil"/>
                  </w:tcBorders>
                  <w:noWrap w:val="0"/>
                  <w:vAlign w:val="center"/>
                </w:tcPr>
                <w:p w14:paraId="3E139E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2E493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316B6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38</w:t>
                  </w:r>
                </w:p>
              </w:tc>
              <w:tc>
                <w:tcPr>
                  <w:tcW w:w="355" w:type="pct"/>
                  <w:tcBorders>
                    <w:tl2br w:val="nil"/>
                    <w:tr2bl w:val="nil"/>
                  </w:tcBorders>
                  <w:noWrap w:val="0"/>
                  <w:vAlign w:val="center"/>
                </w:tcPr>
                <w:p w14:paraId="54F76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w:t>
                  </w:r>
                  <w:r>
                    <w:rPr>
                      <w:rFonts w:hint="default" w:ascii="Times New Roman" w:hAnsi="Times New Roman" w:eastAsia="宋体" w:cs="Times New Roman"/>
                      <w:i w:val="0"/>
                      <w:iCs w:val="0"/>
                      <w:color w:val="auto"/>
                      <w:kern w:val="0"/>
                      <w:sz w:val="18"/>
                      <w:szCs w:val="18"/>
                      <w:u w:val="none"/>
                      <w:lang w:val="en-US" w:eastAsia="zh-CN" w:bidi="ar"/>
                    </w:rPr>
                    <w:t>丁烯</w:t>
                  </w:r>
                </w:p>
              </w:tc>
              <w:tc>
                <w:tcPr>
                  <w:tcW w:w="389" w:type="pct"/>
                  <w:tcBorders>
                    <w:tl2br w:val="nil"/>
                    <w:tr2bl w:val="nil"/>
                  </w:tcBorders>
                  <w:noWrap w:val="0"/>
                  <w:vAlign w:val="center"/>
                </w:tcPr>
                <w:p w14:paraId="62E773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106-98-9</w:t>
                  </w:r>
                </w:p>
              </w:tc>
              <w:tc>
                <w:tcPr>
                  <w:tcW w:w="409" w:type="pct"/>
                  <w:tcBorders>
                    <w:tl2br w:val="nil"/>
                    <w:tr2bl w:val="nil"/>
                  </w:tcBorders>
                  <w:noWrap w:val="0"/>
                  <w:vAlign w:val="center"/>
                </w:tcPr>
                <w:p w14:paraId="4076A47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C₄H₈</w:t>
                  </w:r>
                </w:p>
              </w:tc>
              <w:tc>
                <w:tcPr>
                  <w:tcW w:w="314" w:type="pct"/>
                  <w:tcBorders>
                    <w:tl2br w:val="nil"/>
                    <w:tr2bl w:val="nil"/>
                  </w:tcBorders>
                  <w:noWrap w:val="0"/>
                  <w:vAlign w:val="center"/>
                </w:tcPr>
                <w:p w14:paraId="69DD34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56.11</w:t>
                  </w:r>
                </w:p>
              </w:tc>
              <w:tc>
                <w:tcPr>
                  <w:tcW w:w="1060" w:type="pct"/>
                  <w:tcBorders>
                    <w:tl2br w:val="nil"/>
                    <w:tr2bl w:val="nil"/>
                  </w:tcBorders>
                  <w:noWrap w:val="0"/>
                  <w:vAlign w:val="center"/>
                </w:tcPr>
                <w:p w14:paraId="03128A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无色气体，有轻微烯烃气味，微溶于水，易溶于乙醇、乙醚等，沸点-6.3℃，熔点-185.4℃，相对密度0.625（液体，-10℃），易氧化和聚合。</w:t>
                  </w:r>
                </w:p>
              </w:tc>
              <w:tc>
                <w:tcPr>
                  <w:tcW w:w="1060" w:type="pct"/>
                  <w:tcBorders>
                    <w:tl2br w:val="nil"/>
                    <w:tr2bl w:val="nil"/>
                  </w:tcBorders>
                  <w:noWrap w:val="0"/>
                  <w:vAlign w:val="center"/>
                </w:tcPr>
                <w:p w14:paraId="6B0ECC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极度易燃，闪点-80℃，爆炸极限1.6%-10.0%（体积分数），遇明火、高热或氧化剂立即燃烧爆炸，蒸汽比空气重，易扩散至火源引发回燃，聚合反应可能放热。</w:t>
                  </w:r>
                </w:p>
              </w:tc>
              <w:tc>
                <w:tcPr>
                  <w:tcW w:w="1027" w:type="pct"/>
                  <w:tcBorders>
                    <w:tl2br w:val="nil"/>
                    <w:tr2bl w:val="nil"/>
                  </w:tcBorders>
                  <w:noWrap w:val="0"/>
                  <w:vAlign w:val="center"/>
                </w:tcPr>
                <w:p w14:paraId="3D199F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低毒，急性毒性：大鼠吸入LC₅₀为92000ppm（4h）；吸入高浓度可引起窒息和中枢神经系统轻微抑制，出现头痛、乏力，皮肤接触无刺激作用，无蓄积毒性。</w:t>
                  </w:r>
                </w:p>
              </w:tc>
              <w:tc>
                <w:tcPr>
                  <w:tcW w:w="199" w:type="pct"/>
                  <w:tcBorders>
                    <w:tl2br w:val="nil"/>
                    <w:tr2bl w:val="nil"/>
                  </w:tcBorders>
                  <w:noWrap w:val="0"/>
                  <w:vAlign w:val="center"/>
                </w:tcPr>
                <w:p w14:paraId="430E1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BB63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92FA9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39</w:t>
                  </w:r>
                </w:p>
              </w:tc>
              <w:tc>
                <w:tcPr>
                  <w:tcW w:w="355" w:type="pct"/>
                  <w:tcBorders>
                    <w:tl2br w:val="nil"/>
                    <w:tr2bl w:val="nil"/>
                  </w:tcBorders>
                  <w:noWrap w:val="0"/>
                  <w:vAlign w:val="center"/>
                </w:tcPr>
                <w:p w14:paraId="5143FE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双环戊二烯</w:t>
                  </w:r>
                </w:p>
              </w:tc>
              <w:tc>
                <w:tcPr>
                  <w:tcW w:w="389" w:type="pct"/>
                  <w:tcBorders>
                    <w:tl2br w:val="nil"/>
                    <w:tr2bl w:val="nil"/>
                  </w:tcBorders>
                  <w:noWrap w:val="0"/>
                  <w:vAlign w:val="center"/>
                </w:tcPr>
                <w:p w14:paraId="1493AB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77-73-6</w:t>
                  </w:r>
                </w:p>
              </w:tc>
              <w:tc>
                <w:tcPr>
                  <w:tcW w:w="409" w:type="pct"/>
                  <w:tcBorders>
                    <w:tl2br w:val="nil"/>
                    <w:tr2bl w:val="nil"/>
                  </w:tcBorders>
                  <w:noWrap w:val="0"/>
                  <w:vAlign w:val="center"/>
                </w:tcPr>
                <w:p w14:paraId="7D1D7BD8">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C₁₀H₁₂</w:t>
                  </w:r>
                </w:p>
              </w:tc>
              <w:tc>
                <w:tcPr>
                  <w:tcW w:w="314" w:type="pct"/>
                  <w:tcBorders>
                    <w:tl2br w:val="nil"/>
                    <w:tr2bl w:val="nil"/>
                  </w:tcBorders>
                  <w:noWrap w:val="0"/>
                  <w:vAlign w:val="center"/>
                </w:tcPr>
                <w:p w14:paraId="619DCF2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132.2</w:t>
                  </w:r>
                </w:p>
              </w:tc>
              <w:tc>
                <w:tcPr>
                  <w:tcW w:w="1060" w:type="pct"/>
                  <w:tcBorders>
                    <w:tl2br w:val="nil"/>
                    <w:tr2bl w:val="nil"/>
                  </w:tcBorders>
                  <w:noWrap w:val="0"/>
                  <w:vAlign w:val="center"/>
                </w:tcPr>
                <w:p w14:paraId="6CBC7C8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无色至淡黄色液体，有刺激性气味，微溶于水，易溶于乙醇、苯；密度0.979g/cm³（20℃），沸点170℃，熔点33.6℃，闪点32℃（闭杯），易聚合。</w:t>
                  </w:r>
                </w:p>
              </w:tc>
              <w:tc>
                <w:tcPr>
                  <w:tcW w:w="1060" w:type="pct"/>
                  <w:tcBorders>
                    <w:tl2br w:val="nil"/>
                    <w:tr2bl w:val="nil"/>
                  </w:tcBorders>
                  <w:noWrap w:val="0"/>
                  <w:vAlign w:val="center"/>
                </w:tcPr>
                <w:p w14:paraId="01F79A0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易燃，蒸汽与空气爆炸极限0.8%-6.3%；遇明火、高热易燃烧爆炸，与氧化剂反应，聚合放热可能引发爆炸。</w:t>
                  </w:r>
                </w:p>
              </w:tc>
              <w:tc>
                <w:tcPr>
                  <w:tcW w:w="1027" w:type="pct"/>
                  <w:tcBorders>
                    <w:tl2br w:val="nil"/>
                    <w:tr2bl w:val="nil"/>
                  </w:tcBorders>
                  <w:noWrap w:val="0"/>
                  <w:vAlign w:val="center"/>
                </w:tcPr>
                <w:p w14:paraId="136FA81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中等毒性；对皮肤、眼睛和呼吸道有强烈刺激作用，吸入高浓度蒸汽致头痛、头晕，长期接触可能影响神经系统。</w:t>
                  </w:r>
                </w:p>
              </w:tc>
              <w:tc>
                <w:tcPr>
                  <w:tcW w:w="199" w:type="pct"/>
                  <w:tcBorders>
                    <w:tl2br w:val="nil"/>
                    <w:tr2bl w:val="nil"/>
                  </w:tcBorders>
                  <w:noWrap w:val="0"/>
                  <w:vAlign w:val="center"/>
                </w:tcPr>
                <w:p w14:paraId="0E4594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C90F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61473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40</w:t>
                  </w:r>
                </w:p>
              </w:tc>
              <w:tc>
                <w:tcPr>
                  <w:tcW w:w="355" w:type="pct"/>
                  <w:tcBorders>
                    <w:tl2br w:val="nil"/>
                    <w:tr2bl w:val="nil"/>
                  </w:tcBorders>
                  <w:noWrap w:val="0"/>
                  <w:vAlign w:val="center"/>
                </w:tcPr>
                <w:p w14:paraId="05D8E2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乙酸乙烯酯</w:t>
                  </w:r>
                </w:p>
              </w:tc>
              <w:tc>
                <w:tcPr>
                  <w:tcW w:w="389" w:type="pct"/>
                  <w:tcBorders>
                    <w:tl2br w:val="nil"/>
                    <w:tr2bl w:val="nil"/>
                  </w:tcBorders>
                  <w:noWrap w:val="0"/>
                  <w:vAlign w:val="center"/>
                </w:tcPr>
                <w:p w14:paraId="133647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108-05-4</w:t>
                  </w:r>
                </w:p>
              </w:tc>
              <w:tc>
                <w:tcPr>
                  <w:tcW w:w="409" w:type="pct"/>
                  <w:tcBorders>
                    <w:tl2br w:val="nil"/>
                    <w:tr2bl w:val="nil"/>
                  </w:tcBorders>
                  <w:noWrap w:val="0"/>
                  <w:vAlign w:val="center"/>
                </w:tcPr>
                <w:p w14:paraId="42D5B082">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C₄H₆O₂</w:t>
                  </w:r>
                </w:p>
              </w:tc>
              <w:tc>
                <w:tcPr>
                  <w:tcW w:w="314" w:type="pct"/>
                  <w:tcBorders>
                    <w:tl2br w:val="nil"/>
                    <w:tr2bl w:val="nil"/>
                  </w:tcBorders>
                  <w:noWrap w:val="0"/>
                  <w:vAlign w:val="center"/>
                </w:tcPr>
                <w:p w14:paraId="61E0CBA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86.09</w:t>
                  </w:r>
                </w:p>
              </w:tc>
              <w:tc>
                <w:tcPr>
                  <w:tcW w:w="1060" w:type="pct"/>
                  <w:tcBorders>
                    <w:tl2br w:val="nil"/>
                    <w:tr2bl w:val="nil"/>
                  </w:tcBorders>
                  <w:noWrap w:val="0"/>
                  <w:vAlign w:val="center"/>
                </w:tcPr>
                <w:p w14:paraId="36B06B6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无色透明液体，有甜的醚味；相对密度0.931（水=1，20℃），相对蒸气密度2.97（空气=1）；微溶于水，溶于乙醇、乙醚、丙酮等；沸点72.5℃，熔点-93.2℃，易聚合。</w:t>
                  </w:r>
                </w:p>
              </w:tc>
              <w:tc>
                <w:tcPr>
                  <w:tcW w:w="1060" w:type="pct"/>
                  <w:tcBorders>
                    <w:tl2br w:val="nil"/>
                    <w:tr2bl w:val="nil"/>
                  </w:tcBorders>
                  <w:noWrap w:val="0"/>
                  <w:vAlign w:val="center"/>
                </w:tcPr>
                <w:p w14:paraId="39461BB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极易燃，闪点-6.7℃（闭杯），爆炸极限2.6%-13.4%（体积分数）；遇明火、高热或与氧化剂接触，立即燃烧爆炸；蒸气比空气重，能扩散至远处，遇火源引着回燃；聚合反应放热可能引起容器爆炸。</w:t>
                  </w:r>
                </w:p>
              </w:tc>
              <w:tc>
                <w:tcPr>
                  <w:tcW w:w="1027" w:type="pct"/>
                  <w:tcBorders>
                    <w:tl2br w:val="nil"/>
                    <w:tr2bl w:val="nil"/>
                  </w:tcBorders>
                  <w:noWrap w:val="0"/>
                  <w:vAlign w:val="center"/>
                </w:tcPr>
                <w:p w14:paraId="6F80B8E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低毒，急性毒性：大鼠经口LD₅₀为2900mg/kg；吸入过量蒸气可引起头痛、头晕、乏力、恶心等中枢神经系统症状；对皮肤、眼睛有轻度刺激作用，长期接触可能损害呼吸道黏膜。</w:t>
                  </w:r>
                </w:p>
              </w:tc>
              <w:tc>
                <w:tcPr>
                  <w:tcW w:w="199" w:type="pct"/>
                  <w:tcBorders>
                    <w:tl2br w:val="nil"/>
                    <w:tr2bl w:val="nil"/>
                  </w:tcBorders>
                  <w:noWrap w:val="0"/>
                  <w:vAlign w:val="center"/>
                </w:tcPr>
                <w:p w14:paraId="1680F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C8D0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B688C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41</w:t>
                  </w:r>
                </w:p>
              </w:tc>
              <w:tc>
                <w:tcPr>
                  <w:tcW w:w="355" w:type="pct"/>
                  <w:tcBorders>
                    <w:tl2br w:val="nil"/>
                    <w:tr2bl w:val="nil"/>
                  </w:tcBorders>
                  <w:noWrap w:val="0"/>
                  <w:vAlign w:val="center"/>
                </w:tcPr>
                <w:p w14:paraId="504997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石蜡</w:t>
                  </w:r>
                </w:p>
              </w:tc>
              <w:tc>
                <w:tcPr>
                  <w:tcW w:w="389" w:type="pct"/>
                  <w:tcBorders>
                    <w:tl2br w:val="nil"/>
                    <w:tr2bl w:val="nil"/>
                  </w:tcBorders>
                  <w:noWrap w:val="0"/>
                  <w:vAlign w:val="center"/>
                </w:tcPr>
                <w:p w14:paraId="1F1B2C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8002-74-2</w:t>
                  </w:r>
                </w:p>
              </w:tc>
              <w:tc>
                <w:tcPr>
                  <w:tcW w:w="409" w:type="pct"/>
                  <w:tcBorders>
                    <w:tl2br w:val="nil"/>
                    <w:tr2bl w:val="nil"/>
                  </w:tcBorders>
                  <w:noWrap w:val="0"/>
                  <w:vAlign w:val="center"/>
                </w:tcPr>
                <w:p w14:paraId="374FB4CB">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无固定分子式（C18-C30正构烷烃混合物）</w:t>
                  </w:r>
                </w:p>
              </w:tc>
              <w:tc>
                <w:tcPr>
                  <w:tcW w:w="314" w:type="pct"/>
                  <w:tcBorders>
                    <w:tl2br w:val="nil"/>
                    <w:tr2bl w:val="nil"/>
                  </w:tcBorders>
                  <w:noWrap w:val="0"/>
                  <w:vAlign w:val="center"/>
                </w:tcPr>
                <w:p w14:paraId="3114726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250-420（平均分子量）</w:t>
                  </w:r>
                </w:p>
              </w:tc>
              <w:tc>
                <w:tcPr>
                  <w:tcW w:w="1060" w:type="pct"/>
                  <w:tcBorders>
                    <w:tl2br w:val="nil"/>
                    <w:tr2bl w:val="nil"/>
                  </w:tcBorders>
                  <w:noWrap w:val="0"/>
                  <w:vAlign w:val="center"/>
                </w:tcPr>
                <w:p w14:paraId="36DB364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白色固体，无臭无味，不溶于水，溶于乙醚、苯；密度0.87-0.92g/cm³（20℃），沸点&gt;300℃，熔点47-65℃，闪点130-200℃。</w:t>
                  </w:r>
                </w:p>
              </w:tc>
              <w:tc>
                <w:tcPr>
                  <w:tcW w:w="1060" w:type="pct"/>
                  <w:tcBorders>
                    <w:tl2br w:val="nil"/>
                    <w:tr2bl w:val="nil"/>
                  </w:tcBorders>
                  <w:noWrap w:val="0"/>
                  <w:vAlign w:val="center"/>
                </w:tcPr>
                <w:p w14:paraId="579D4AC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可燃，遇明火、高热可燃烧，燃烧速度慢，闪点较高，受热分解释放少量刺激性气体，不易爆炸。</w:t>
                  </w:r>
                </w:p>
              </w:tc>
              <w:tc>
                <w:tcPr>
                  <w:tcW w:w="1027" w:type="pct"/>
                  <w:tcBorders>
                    <w:tl2br w:val="nil"/>
                    <w:tr2bl w:val="nil"/>
                  </w:tcBorders>
                  <w:noWrap w:val="0"/>
                  <w:vAlign w:val="center"/>
                </w:tcPr>
                <w:p w14:paraId="2B2EB26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低毒；皮肤接触无明显刺激，吸入高温分解产物致呼吸道不适，口服少量无严重危害。</w:t>
                  </w:r>
                </w:p>
              </w:tc>
              <w:tc>
                <w:tcPr>
                  <w:tcW w:w="199" w:type="pct"/>
                  <w:tcBorders>
                    <w:tl2br w:val="nil"/>
                    <w:tr2bl w:val="nil"/>
                  </w:tcBorders>
                  <w:noWrap w:val="0"/>
                  <w:vAlign w:val="center"/>
                </w:tcPr>
                <w:p w14:paraId="786B33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515D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0CBED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42</w:t>
                  </w:r>
                </w:p>
              </w:tc>
              <w:tc>
                <w:tcPr>
                  <w:tcW w:w="355" w:type="pct"/>
                  <w:tcBorders>
                    <w:tl2br w:val="nil"/>
                    <w:tr2bl w:val="nil"/>
                  </w:tcBorders>
                  <w:noWrap w:val="0"/>
                  <w:vAlign w:val="center"/>
                </w:tcPr>
                <w:p w14:paraId="5CA3C0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丙烯酸</w:t>
                  </w:r>
                </w:p>
              </w:tc>
              <w:tc>
                <w:tcPr>
                  <w:tcW w:w="389" w:type="pct"/>
                  <w:tcBorders>
                    <w:tl2br w:val="nil"/>
                    <w:tr2bl w:val="nil"/>
                  </w:tcBorders>
                  <w:noWrap w:val="0"/>
                  <w:vAlign w:val="center"/>
                </w:tcPr>
                <w:p w14:paraId="5D184B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79-10-7</w:t>
                  </w:r>
                </w:p>
              </w:tc>
              <w:tc>
                <w:tcPr>
                  <w:tcW w:w="409" w:type="pct"/>
                  <w:tcBorders>
                    <w:tl2br w:val="nil"/>
                    <w:tr2bl w:val="nil"/>
                  </w:tcBorders>
                  <w:noWrap w:val="0"/>
                  <w:vAlign w:val="center"/>
                </w:tcPr>
                <w:p w14:paraId="6C5A547F">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C₃H₄O₂</w:t>
                  </w:r>
                </w:p>
              </w:tc>
              <w:tc>
                <w:tcPr>
                  <w:tcW w:w="314" w:type="pct"/>
                  <w:tcBorders>
                    <w:tl2br w:val="nil"/>
                    <w:tr2bl w:val="nil"/>
                  </w:tcBorders>
                  <w:noWrap w:val="0"/>
                  <w:vAlign w:val="center"/>
                </w:tcPr>
                <w:p w14:paraId="38BDAB8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72.06</w:t>
                  </w:r>
                </w:p>
              </w:tc>
              <w:tc>
                <w:tcPr>
                  <w:tcW w:w="1060" w:type="pct"/>
                  <w:tcBorders>
                    <w:tl2br w:val="nil"/>
                    <w:tr2bl w:val="nil"/>
                  </w:tcBorders>
                  <w:noWrap w:val="0"/>
                  <w:vAlign w:val="center"/>
                </w:tcPr>
                <w:p w14:paraId="50FB0B6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无色液体，有刺激性气味，易溶于水、乙醇、乙醚；密度1.051g/cm³（20℃），沸点141℃，熔点13℃，闪点54℃（闭杯），易聚合。</w:t>
                  </w:r>
                </w:p>
              </w:tc>
              <w:tc>
                <w:tcPr>
                  <w:tcW w:w="1060" w:type="pct"/>
                  <w:tcBorders>
                    <w:tl2br w:val="nil"/>
                    <w:tr2bl w:val="nil"/>
                  </w:tcBorders>
                  <w:noWrap w:val="0"/>
                  <w:vAlign w:val="center"/>
                </w:tcPr>
                <w:p w14:paraId="0995C88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易燃，蒸汽与空气爆炸极限2.4%-8.0%；遇明火、高热易燃烧爆炸，与氧化剂反应剧烈，聚合放热可能引发爆炸。</w:t>
                  </w:r>
                </w:p>
              </w:tc>
              <w:tc>
                <w:tcPr>
                  <w:tcW w:w="1027" w:type="pct"/>
                  <w:tcBorders>
                    <w:tl2br w:val="nil"/>
                    <w:tr2bl w:val="nil"/>
                  </w:tcBorders>
                  <w:noWrap w:val="0"/>
                  <w:vAlign w:val="center"/>
                </w:tcPr>
                <w:p w14:paraId="427CD74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中等毒性；对皮肤、眼睛和呼吸道有强烈刺激作用，接触致灼伤，吸入高浓度引发肺水肿，口服致消化道损伤。</w:t>
                  </w:r>
                </w:p>
              </w:tc>
              <w:tc>
                <w:tcPr>
                  <w:tcW w:w="199" w:type="pct"/>
                  <w:tcBorders>
                    <w:tl2br w:val="nil"/>
                    <w:tr2bl w:val="nil"/>
                  </w:tcBorders>
                  <w:noWrap w:val="0"/>
                  <w:vAlign w:val="center"/>
                </w:tcPr>
                <w:p w14:paraId="24461E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29912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B759A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43</w:t>
                  </w:r>
                </w:p>
              </w:tc>
              <w:tc>
                <w:tcPr>
                  <w:tcW w:w="355" w:type="pct"/>
                  <w:tcBorders>
                    <w:tl2br w:val="nil"/>
                    <w:tr2bl w:val="nil"/>
                  </w:tcBorders>
                  <w:noWrap w:val="0"/>
                  <w:vAlign w:val="center"/>
                </w:tcPr>
                <w:p w14:paraId="09DBC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丙烯酸甲酯</w:t>
                  </w:r>
                </w:p>
              </w:tc>
              <w:tc>
                <w:tcPr>
                  <w:tcW w:w="389" w:type="pct"/>
                  <w:tcBorders>
                    <w:tl2br w:val="nil"/>
                    <w:tr2bl w:val="nil"/>
                  </w:tcBorders>
                  <w:noWrap w:val="0"/>
                  <w:vAlign w:val="center"/>
                </w:tcPr>
                <w:p w14:paraId="096BC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96-33-3</w:t>
                  </w:r>
                </w:p>
              </w:tc>
              <w:tc>
                <w:tcPr>
                  <w:tcW w:w="409" w:type="pct"/>
                  <w:tcBorders>
                    <w:tl2br w:val="nil"/>
                    <w:tr2bl w:val="nil"/>
                  </w:tcBorders>
                  <w:noWrap w:val="0"/>
                  <w:vAlign w:val="center"/>
                </w:tcPr>
                <w:p w14:paraId="2CF804F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C₄H₆O₂</w:t>
                  </w:r>
                </w:p>
              </w:tc>
              <w:tc>
                <w:tcPr>
                  <w:tcW w:w="314" w:type="pct"/>
                  <w:tcBorders>
                    <w:tl2br w:val="nil"/>
                    <w:tr2bl w:val="nil"/>
                  </w:tcBorders>
                  <w:noWrap w:val="0"/>
                  <w:vAlign w:val="center"/>
                </w:tcPr>
                <w:p w14:paraId="3B737A8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86.09</w:t>
                  </w:r>
                </w:p>
              </w:tc>
              <w:tc>
                <w:tcPr>
                  <w:tcW w:w="1060" w:type="pct"/>
                  <w:tcBorders>
                    <w:tl2br w:val="nil"/>
                    <w:tr2bl w:val="nil"/>
                  </w:tcBorders>
                  <w:noWrap w:val="0"/>
                  <w:vAlign w:val="center"/>
                </w:tcPr>
                <w:p w14:paraId="611F8B4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无色液体，有辛辣气味，微溶于水，易溶于乙醇、乙醚；密度0.953g/cm³（20℃），沸点80.3℃，熔点-76.5℃，闪点-3℃（闭杯），易聚合。</w:t>
                  </w:r>
                </w:p>
              </w:tc>
              <w:tc>
                <w:tcPr>
                  <w:tcW w:w="1060" w:type="pct"/>
                  <w:tcBorders>
                    <w:tl2br w:val="nil"/>
                    <w:tr2bl w:val="nil"/>
                  </w:tcBorders>
                  <w:noWrap w:val="0"/>
                  <w:vAlign w:val="center"/>
                </w:tcPr>
                <w:p w14:paraId="52E1990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极度易燃，蒸汽与空气爆炸极限2.8%-25.0%；遇明火、高热极易燃烧爆炸，与氧化剂反应剧烈，蒸汽比空气重易扩散回燃。</w:t>
                  </w:r>
                </w:p>
              </w:tc>
              <w:tc>
                <w:tcPr>
                  <w:tcW w:w="1027" w:type="pct"/>
                  <w:tcBorders>
                    <w:tl2br w:val="nil"/>
                    <w:tr2bl w:val="nil"/>
                  </w:tcBorders>
                  <w:noWrap w:val="0"/>
                  <w:vAlign w:val="center"/>
                </w:tcPr>
                <w:p w14:paraId="53AFB0D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中等毒性；对皮肤、眼睛和呼吸道有强烈刺激作用，接触致灼伤，吸入高浓度引发肺水肿，口服致消化道损伤。</w:t>
                  </w:r>
                </w:p>
              </w:tc>
              <w:tc>
                <w:tcPr>
                  <w:tcW w:w="199" w:type="pct"/>
                  <w:tcBorders>
                    <w:tl2br w:val="nil"/>
                    <w:tr2bl w:val="nil"/>
                  </w:tcBorders>
                  <w:noWrap w:val="0"/>
                  <w:vAlign w:val="center"/>
                </w:tcPr>
                <w:p w14:paraId="79B8C8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11336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022E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44</w:t>
                  </w:r>
                </w:p>
              </w:tc>
              <w:tc>
                <w:tcPr>
                  <w:tcW w:w="355" w:type="pct"/>
                  <w:tcBorders>
                    <w:tl2br w:val="nil"/>
                    <w:tr2bl w:val="nil"/>
                  </w:tcBorders>
                  <w:noWrap w:val="0"/>
                  <w:vAlign w:val="center"/>
                </w:tcPr>
                <w:p w14:paraId="7D491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丙酸</w:t>
                  </w:r>
                </w:p>
              </w:tc>
              <w:tc>
                <w:tcPr>
                  <w:tcW w:w="389" w:type="pct"/>
                  <w:tcBorders>
                    <w:tl2br w:val="nil"/>
                    <w:tr2bl w:val="nil"/>
                  </w:tcBorders>
                  <w:noWrap w:val="0"/>
                  <w:vAlign w:val="center"/>
                </w:tcPr>
                <w:p w14:paraId="4C07CC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79-09-4</w:t>
                  </w:r>
                </w:p>
              </w:tc>
              <w:tc>
                <w:tcPr>
                  <w:tcW w:w="409" w:type="pct"/>
                  <w:tcBorders>
                    <w:tl2br w:val="nil"/>
                    <w:tr2bl w:val="nil"/>
                  </w:tcBorders>
                  <w:noWrap w:val="0"/>
                  <w:vAlign w:val="center"/>
                </w:tcPr>
                <w:p w14:paraId="515B3029">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C₃H₆O₂</w:t>
                  </w:r>
                </w:p>
              </w:tc>
              <w:tc>
                <w:tcPr>
                  <w:tcW w:w="314" w:type="pct"/>
                  <w:tcBorders>
                    <w:tl2br w:val="nil"/>
                    <w:tr2bl w:val="nil"/>
                  </w:tcBorders>
                  <w:noWrap w:val="0"/>
                  <w:vAlign w:val="center"/>
                </w:tcPr>
                <w:p w14:paraId="7642296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74.08</w:t>
                  </w:r>
                </w:p>
              </w:tc>
              <w:tc>
                <w:tcPr>
                  <w:tcW w:w="1060" w:type="pct"/>
                  <w:tcBorders>
                    <w:tl2br w:val="nil"/>
                    <w:tr2bl w:val="nil"/>
                  </w:tcBorders>
                  <w:noWrap w:val="0"/>
                  <w:vAlign w:val="center"/>
                </w:tcPr>
                <w:p w14:paraId="35CC62A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无色液体，有刺激性酸味，易溶于水、乙醇、乙醚；密度0.993g/cm³（20℃），沸点141.1℃，熔点-20.8℃，闪点52℃（闭杯）。</w:t>
                  </w:r>
                </w:p>
              </w:tc>
              <w:tc>
                <w:tcPr>
                  <w:tcW w:w="1060" w:type="pct"/>
                  <w:tcBorders>
                    <w:tl2br w:val="nil"/>
                    <w:tr2bl w:val="nil"/>
                  </w:tcBorders>
                  <w:noWrap w:val="0"/>
                  <w:vAlign w:val="center"/>
                </w:tcPr>
                <w:p w14:paraId="78B882D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可燃，遇明火、高热可燃，与氧化剂反应，燃烧释放刺激性气体。</w:t>
                  </w:r>
                </w:p>
              </w:tc>
              <w:tc>
                <w:tcPr>
                  <w:tcW w:w="1027" w:type="pct"/>
                  <w:tcBorders>
                    <w:tl2br w:val="nil"/>
                    <w:tr2bl w:val="nil"/>
                  </w:tcBorders>
                  <w:noWrap w:val="0"/>
                  <w:vAlign w:val="center"/>
                </w:tcPr>
                <w:p w14:paraId="67B1DC9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低毒；对皮肤、眼睛和呼吸道有刺激作用，口服致恶心、呕吐，高浓度接触引发化学性肺炎。</w:t>
                  </w:r>
                </w:p>
              </w:tc>
              <w:tc>
                <w:tcPr>
                  <w:tcW w:w="199" w:type="pct"/>
                  <w:tcBorders>
                    <w:tl2br w:val="nil"/>
                    <w:tr2bl w:val="nil"/>
                  </w:tcBorders>
                  <w:noWrap w:val="0"/>
                  <w:vAlign w:val="center"/>
                </w:tcPr>
                <w:p w14:paraId="717817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439B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358F6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45</w:t>
                  </w:r>
                </w:p>
              </w:tc>
              <w:tc>
                <w:tcPr>
                  <w:tcW w:w="355" w:type="pct"/>
                  <w:tcBorders>
                    <w:tl2br w:val="nil"/>
                    <w:tr2bl w:val="nil"/>
                  </w:tcBorders>
                  <w:noWrap w:val="0"/>
                  <w:vAlign w:val="center"/>
                </w:tcPr>
                <w:p w14:paraId="6FC0BC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碳四</w:t>
                  </w:r>
                </w:p>
              </w:tc>
              <w:tc>
                <w:tcPr>
                  <w:tcW w:w="389" w:type="pct"/>
                  <w:tcBorders>
                    <w:tl2br w:val="nil"/>
                    <w:tr2bl w:val="nil"/>
                  </w:tcBorders>
                  <w:noWrap w:val="0"/>
                  <w:vAlign w:val="center"/>
                </w:tcPr>
                <w:p w14:paraId="2A3325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无单一CAS号（混合物）</w:t>
                  </w:r>
                </w:p>
              </w:tc>
              <w:tc>
                <w:tcPr>
                  <w:tcW w:w="409" w:type="pct"/>
                  <w:tcBorders>
                    <w:tl2br w:val="nil"/>
                    <w:tr2bl w:val="nil"/>
                  </w:tcBorders>
                  <w:noWrap w:val="0"/>
                  <w:vAlign w:val="center"/>
                </w:tcPr>
                <w:p w14:paraId="62087DFD">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混合物（主要含C₄H₈、C₄H₁₀等）</w:t>
                  </w:r>
                </w:p>
              </w:tc>
              <w:tc>
                <w:tcPr>
                  <w:tcW w:w="314" w:type="pct"/>
                  <w:tcBorders>
                    <w:tl2br w:val="nil"/>
                    <w:tr2bl w:val="nil"/>
                  </w:tcBorders>
                  <w:noWrap w:val="0"/>
                  <w:vAlign w:val="center"/>
                </w:tcPr>
                <w:p w14:paraId="657CE12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56-58（平均）</w:t>
                  </w:r>
                </w:p>
              </w:tc>
              <w:tc>
                <w:tcPr>
                  <w:tcW w:w="1060" w:type="pct"/>
                  <w:tcBorders>
                    <w:tl2br w:val="nil"/>
                    <w:tr2bl w:val="nil"/>
                  </w:tcBorders>
                  <w:noWrap w:val="0"/>
                  <w:vAlign w:val="center"/>
                </w:tcPr>
                <w:p w14:paraId="5E42349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常温下为无色气体，有轻微烃类气味；相对密度0.57-0.60（空气=1），易溶于有机溶剂，微溶于水；沸点范围-12℃至-0.5℃。</w:t>
                  </w:r>
                </w:p>
              </w:tc>
              <w:tc>
                <w:tcPr>
                  <w:tcW w:w="1060" w:type="pct"/>
                  <w:tcBorders>
                    <w:tl2br w:val="nil"/>
                    <w:tr2bl w:val="nil"/>
                  </w:tcBorders>
                  <w:noWrap w:val="0"/>
                  <w:vAlign w:val="center"/>
                </w:tcPr>
                <w:p w14:paraId="5085CAC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极易燃，闪点＜-50℃，爆炸极限1.7%-10.0%（体积分数）；与空气混合能形成爆炸性混合物，遇明火、高热极易燃烧爆炸；其蒸气比空气重，能在较低处扩散到相当远的地方，遇火源会着火回燃。</w:t>
                  </w:r>
                </w:p>
              </w:tc>
              <w:tc>
                <w:tcPr>
                  <w:tcW w:w="1027" w:type="pct"/>
                  <w:tcBorders>
                    <w:tl2br w:val="nil"/>
                    <w:tr2bl w:val="nil"/>
                  </w:tcBorders>
                  <w:noWrap w:val="0"/>
                  <w:vAlign w:val="center"/>
                </w:tcPr>
                <w:p w14:paraId="1A2CA03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属低毒物质，吸入过量可引起头痛、头晕、恶心、呕吐等中枢神经系统症状；高浓度下可导致意识障碍甚至窒息；对皮肤黏膜有轻微刺激作用。</w:t>
                  </w:r>
                </w:p>
              </w:tc>
              <w:tc>
                <w:tcPr>
                  <w:tcW w:w="199" w:type="pct"/>
                  <w:tcBorders>
                    <w:tl2br w:val="nil"/>
                    <w:tr2bl w:val="nil"/>
                  </w:tcBorders>
                  <w:noWrap w:val="0"/>
                  <w:vAlign w:val="center"/>
                </w:tcPr>
                <w:p w14:paraId="00542C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C513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E2C01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46</w:t>
                  </w:r>
                </w:p>
              </w:tc>
              <w:tc>
                <w:tcPr>
                  <w:tcW w:w="355" w:type="pct"/>
                  <w:tcBorders>
                    <w:tl2br w:val="nil"/>
                    <w:tr2bl w:val="nil"/>
                  </w:tcBorders>
                  <w:noWrap w:val="0"/>
                  <w:vAlign w:val="center"/>
                </w:tcPr>
                <w:p w14:paraId="73296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工业油脂（用过的食用油）</w:t>
                  </w:r>
                </w:p>
              </w:tc>
              <w:tc>
                <w:tcPr>
                  <w:tcW w:w="389" w:type="pct"/>
                  <w:tcBorders>
                    <w:tl2br w:val="nil"/>
                    <w:tr2bl w:val="nil"/>
                  </w:tcBorders>
                  <w:noWrap w:val="0"/>
                  <w:vAlign w:val="center"/>
                </w:tcPr>
                <w:p w14:paraId="2BBD483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无固定CAS号（混合物）</w:t>
                  </w:r>
                </w:p>
              </w:tc>
              <w:tc>
                <w:tcPr>
                  <w:tcW w:w="409" w:type="pct"/>
                  <w:tcBorders>
                    <w:tl2br w:val="nil"/>
                    <w:tr2bl w:val="nil"/>
                  </w:tcBorders>
                  <w:noWrap w:val="0"/>
                  <w:vAlign w:val="center"/>
                </w:tcPr>
                <w:p w14:paraId="53DE1B95">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无固定分子式（脂肪酸甘油三酯及杂质）</w:t>
                  </w:r>
                </w:p>
              </w:tc>
              <w:tc>
                <w:tcPr>
                  <w:tcW w:w="314" w:type="pct"/>
                  <w:tcBorders>
                    <w:tl2br w:val="nil"/>
                    <w:tr2bl w:val="nil"/>
                  </w:tcBorders>
                  <w:noWrap w:val="0"/>
                  <w:vAlign w:val="center"/>
                </w:tcPr>
                <w:p w14:paraId="796E76D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800-900（平均分子量）</w:t>
                  </w:r>
                </w:p>
              </w:tc>
              <w:tc>
                <w:tcPr>
                  <w:tcW w:w="1060" w:type="pct"/>
                  <w:tcBorders>
                    <w:tl2br w:val="nil"/>
                    <w:tr2bl w:val="nil"/>
                  </w:tcBorders>
                  <w:noWrap w:val="0"/>
                  <w:vAlign w:val="center"/>
                </w:tcPr>
                <w:p w14:paraId="3F8FC54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常温下为黄色至棕褐色液体或半固体，有酸败气味，不溶于水，溶于乙醚、氯仿；密度0.88-0.91g/cm³（20℃），沸点&gt;300℃，熔点20-40℃，闪点180-220℃。</w:t>
                  </w:r>
                </w:p>
              </w:tc>
              <w:tc>
                <w:tcPr>
                  <w:tcW w:w="1060" w:type="pct"/>
                  <w:tcBorders>
                    <w:tl2br w:val="nil"/>
                    <w:tr2bl w:val="nil"/>
                  </w:tcBorders>
                  <w:noWrap w:val="0"/>
                  <w:vAlign w:val="center"/>
                </w:tcPr>
                <w:p w14:paraId="111172C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可燃，遇明火、高热可燃烧，燃烧释放刺激性烟雾，闪点较高，不易点燃。</w:t>
                  </w:r>
                </w:p>
              </w:tc>
              <w:tc>
                <w:tcPr>
                  <w:tcW w:w="1027" w:type="pct"/>
                  <w:tcBorders>
                    <w:tl2br w:val="nil"/>
                    <w:tr2bl w:val="nil"/>
                  </w:tcBorders>
                  <w:noWrap w:val="0"/>
                  <w:vAlign w:val="center"/>
                </w:tcPr>
                <w:p w14:paraId="63B8B2B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低毒；因含杂质对皮肤、呼吸道有轻微刺激，误食少量无严重危害，大量致消化道不适。</w:t>
                  </w:r>
                </w:p>
              </w:tc>
              <w:tc>
                <w:tcPr>
                  <w:tcW w:w="199" w:type="pct"/>
                  <w:tcBorders>
                    <w:tl2br w:val="nil"/>
                    <w:tr2bl w:val="nil"/>
                  </w:tcBorders>
                  <w:noWrap w:val="0"/>
                  <w:vAlign w:val="center"/>
                </w:tcPr>
                <w:p w14:paraId="5AB42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0D771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42CDD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47</w:t>
                  </w:r>
                </w:p>
              </w:tc>
              <w:tc>
                <w:tcPr>
                  <w:tcW w:w="355" w:type="pct"/>
                  <w:tcBorders>
                    <w:tl2br w:val="nil"/>
                    <w:tr2bl w:val="nil"/>
                  </w:tcBorders>
                  <w:noWrap w:val="0"/>
                  <w:vAlign w:val="center"/>
                </w:tcPr>
                <w:p w14:paraId="39B384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甲基叔丁基醚</w:t>
                  </w:r>
                </w:p>
              </w:tc>
              <w:tc>
                <w:tcPr>
                  <w:tcW w:w="389" w:type="pct"/>
                  <w:tcBorders>
                    <w:tl2br w:val="nil"/>
                    <w:tr2bl w:val="nil"/>
                  </w:tcBorders>
                  <w:noWrap w:val="0"/>
                  <w:vAlign w:val="center"/>
                </w:tcPr>
                <w:p w14:paraId="3586E1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1634-04-4</w:t>
                  </w:r>
                </w:p>
              </w:tc>
              <w:tc>
                <w:tcPr>
                  <w:tcW w:w="409" w:type="pct"/>
                  <w:tcBorders>
                    <w:tl2br w:val="nil"/>
                    <w:tr2bl w:val="nil"/>
                  </w:tcBorders>
                  <w:noWrap w:val="0"/>
                  <w:vAlign w:val="center"/>
                </w:tcPr>
                <w:p w14:paraId="235CB11D">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C₅H₁₂O</w:t>
                  </w:r>
                </w:p>
              </w:tc>
              <w:tc>
                <w:tcPr>
                  <w:tcW w:w="314" w:type="pct"/>
                  <w:tcBorders>
                    <w:tl2br w:val="nil"/>
                    <w:tr2bl w:val="nil"/>
                  </w:tcBorders>
                  <w:noWrap w:val="0"/>
                  <w:vAlign w:val="center"/>
                </w:tcPr>
                <w:p w14:paraId="65A4CF3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88.15</w:t>
                  </w:r>
                </w:p>
              </w:tc>
              <w:tc>
                <w:tcPr>
                  <w:tcW w:w="1060" w:type="pct"/>
                  <w:tcBorders>
                    <w:tl2br w:val="nil"/>
                    <w:tr2bl w:val="nil"/>
                  </w:tcBorders>
                  <w:noWrap w:val="0"/>
                  <w:vAlign w:val="center"/>
                </w:tcPr>
                <w:p w14:paraId="633D8D5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无色透明液体，有醚类气味，微溶于水，易溶于乙醇、乙醚；密度0.740g/cm³（20℃），沸点55.2℃，熔点-109℃，闪点-10℃（闭杯）。</w:t>
                  </w:r>
                </w:p>
              </w:tc>
              <w:tc>
                <w:tcPr>
                  <w:tcW w:w="1060" w:type="pct"/>
                  <w:tcBorders>
                    <w:tl2br w:val="nil"/>
                    <w:tr2bl w:val="nil"/>
                  </w:tcBorders>
                  <w:noWrap w:val="0"/>
                  <w:vAlign w:val="center"/>
                </w:tcPr>
                <w:p w14:paraId="3DAC44C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极度易燃，蒸汽与空气爆炸极限1.6%-15.1%；遇明火、高热极易燃烧爆炸，与氧化剂反应剧烈，蒸汽比空气重易扩散回燃。</w:t>
                  </w:r>
                </w:p>
              </w:tc>
              <w:tc>
                <w:tcPr>
                  <w:tcW w:w="1027" w:type="pct"/>
                  <w:tcBorders>
                    <w:tl2br w:val="nil"/>
                    <w:tr2bl w:val="nil"/>
                  </w:tcBorders>
                  <w:noWrap w:val="0"/>
                  <w:vAlign w:val="center"/>
                </w:tcPr>
                <w:p w14:paraId="02075C5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低毒；吸入高浓度蒸汽致头痛、头晕、恶心，皮肤接触有轻微刺激，长期接触可能影响肝肾功能。</w:t>
                  </w:r>
                </w:p>
              </w:tc>
              <w:tc>
                <w:tcPr>
                  <w:tcW w:w="199" w:type="pct"/>
                  <w:tcBorders>
                    <w:tl2br w:val="nil"/>
                    <w:tr2bl w:val="nil"/>
                  </w:tcBorders>
                  <w:noWrap w:val="0"/>
                  <w:vAlign w:val="center"/>
                </w:tcPr>
                <w:p w14:paraId="2338C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6C11BC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D5D6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48</w:t>
                  </w:r>
                </w:p>
              </w:tc>
              <w:tc>
                <w:tcPr>
                  <w:tcW w:w="355" w:type="pct"/>
                  <w:tcBorders>
                    <w:tl2br w:val="nil"/>
                    <w:tr2bl w:val="nil"/>
                  </w:tcBorders>
                  <w:noWrap w:val="0"/>
                  <w:vAlign w:val="center"/>
                </w:tcPr>
                <w:p w14:paraId="0B56A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石脑油</w:t>
                  </w:r>
                </w:p>
              </w:tc>
              <w:tc>
                <w:tcPr>
                  <w:tcW w:w="389" w:type="pct"/>
                  <w:tcBorders>
                    <w:tl2br w:val="nil"/>
                    <w:tr2bl w:val="nil"/>
                  </w:tcBorders>
                  <w:noWrap w:val="0"/>
                  <w:vAlign w:val="center"/>
                </w:tcPr>
                <w:p w14:paraId="3EA583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8030-30-6</w:t>
                  </w:r>
                </w:p>
              </w:tc>
              <w:tc>
                <w:tcPr>
                  <w:tcW w:w="409" w:type="pct"/>
                  <w:tcBorders>
                    <w:tl2br w:val="nil"/>
                    <w:tr2bl w:val="nil"/>
                  </w:tcBorders>
                  <w:noWrap w:val="0"/>
                  <w:vAlign w:val="center"/>
                </w:tcPr>
                <w:p w14:paraId="7FB2455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无固定分子式（C5-C12烃类混合物）</w:t>
                  </w:r>
                </w:p>
              </w:tc>
              <w:tc>
                <w:tcPr>
                  <w:tcW w:w="314" w:type="pct"/>
                  <w:tcBorders>
                    <w:tl2br w:val="nil"/>
                    <w:tr2bl w:val="nil"/>
                  </w:tcBorders>
                  <w:noWrap w:val="0"/>
                  <w:vAlign w:val="center"/>
                </w:tcPr>
                <w:p w14:paraId="4531C20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72-170（平均分子量）</w:t>
                  </w:r>
                </w:p>
              </w:tc>
              <w:tc>
                <w:tcPr>
                  <w:tcW w:w="1060" w:type="pct"/>
                  <w:tcBorders>
                    <w:tl2br w:val="nil"/>
                    <w:tr2bl w:val="nil"/>
                  </w:tcBorders>
                  <w:noWrap w:val="0"/>
                  <w:vAlign w:val="center"/>
                </w:tcPr>
                <w:p w14:paraId="758A743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无色透明液体，有石油气味，不溶于水，易溶于乙醇、乙醚；密度0.65-0.75g/cm³（20℃），沸点30-200℃，闪点-20℃至10℃（闭杯）。</w:t>
                  </w:r>
                </w:p>
              </w:tc>
              <w:tc>
                <w:tcPr>
                  <w:tcW w:w="1060" w:type="pct"/>
                  <w:tcBorders>
                    <w:tl2br w:val="nil"/>
                    <w:tr2bl w:val="nil"/>
                  </w:tcBorders>
                  <w:noWrap w:val="0"/>
                  <w:vAlign w:val="center"/>
                </w:tcPr>
                <w:p w14:paraId="15BEDF2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极度易燃，蒸汽与空气爆炸极限1.2%-8.0%；遇明火、高热极易燃烧爆炸，与氧化剂反应剧烈，蒸汽比空气重易扩散回燃。</w:t>
                  </w:r>
                </w:p>
              </w:tc>
              <w:tc>
                <w:tcPr>
                  <w:tcW w:w="1027" w:type="pct"/>
                  <w:tcBorders>
                    <w:tl2br w:val="nil"/>
                    <w:tr2bl w:val="nil"/>
                  </w:tcBorders>
                  <w:noWrap w:val="0"/>
                  <w:vAlign w:val="center"/>
                </w:tcPr>
                <w:p w14:paraId="40F46AB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低毒；吸入高浓度蒸汽致头痛、头晕、昏迷，皮肤接触脱脂，长期接触含苯成分可能致白血病。</w:t>
                  </w:r>
                </w:p>
              </w:tc>
              <w:tc>
                <w:tcPr>
                  <w:tcW w:w="199" w:type="pct"/>
                  <w:tcBorders>
                    <w:tl2br w:val="nil"/>
                    <w:tr2bl w:val="nil"/>
                  </w:tcBorders>
                  <w:noWrap w:val="0"/>
                  <w:vAlign w:val="center"/>
                </w:tcPr>
                <w:p w14:paraId="31E98C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30BF6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9E40F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49</w:t>
                  </w:r>
                </w:p>
              </w:tc>
              <w:tc>
                <w:tcPr>
                  <w:tcW w:w="355" w:type="pct"/>
                  <w:tcBorders>
                    <w:tl2br w:val="nil"/>
                    <w:tr2bl w:val="nil"/>
                  </w:tcBorders>
                  <w:noWrap w:val="0"/>
                  <w:vAlign w:val="center"/>
                </w:tcPr>
                <w:p w14:paraId="5D89DA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甘油</w:t>
                  </w:r>
                </w:p>
              </w:tc>
              <w:tc>
                <w:tcPr>
                  <w:tcW w:w="389" w:type="pct"/>
                  <w:tcBorders>
                    <w:tl2br w:val="nil"/>
                    <w:tr2bl w:val="nil"/>
                  </w:tcBorders>
                  <w:noWrap w:val="0"/>
                  <w:vAlign w:val="center"/>
                </w:tcPr>
                <w:p w14:paraId="789F9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56-81-5</w:t>
                  </w:r>
                </w:p>
              </w:tc>
              <w:tc>
                <w:tcPr>
                  <w:tcW w:w="409" w:type="pct"/>
                  <w:tcBorders>
                    <w:tl2br w:val="nil"/>
                    <w:tr2bl w:val="nil"/>
                  </w:tcBorders>
                  <w:noWrap w:val="0"/>
                  <w:vAlign w:val="center"/>
                </w:tcPr>
                <w:p w14:paraId="1BB10A5C">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C₃H₈O₃</w:t>
                  </w:r>
                </w:p>
              </w:tc>
              <w:tc>
                <w:tcPr>
                  <w:tcW w:w="314" w:type="pct"/>
                  <w:tcBorders>
                    <w:tl2br w:val="nil"/>
                    <w:tr2bl w:val="nil"/>
                  </w:tcBorders>
                  <w:noWrap w:val="0"/>
                  <w:vAlign w:val="center"/>
                </w:tcPr>
                <w:p w14:paraId="4FFCD26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92.09</w:t>
                  </w:r>
                </w:p>
              </w:tc>
              <w:tc>
                <w:tcPr>
                  <w:tcW w:w="1060" w:type="pct"/>
                  <w:tcBorders>
                    <w:tl2br w:val="nil"/>
                    <w:tr2bl w:val="nil"/>
                  </w:tcBorders>
                  <w:noWrap w:val="0"/>
                  <w:vAlign w:val="center"/>
                </w:tcPr>
                <w:p w14:paraId="33EA2D3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无色粘稠液体，无臭，有甜味，易溶于水及多数有机溶剂；密度1.261g/cm³（20℃），沸点290℃，熔点17.8℃，闪点177℃（闭杯）。</w:t>
                  </w:r>
                </w:p>
              </w:tc>
              <w:tc>
                <w:tcPr>
                  <w:tcW w:w="1060" w:type="pct"/>
                  <w:tcBorders>
                    <w:tl2br w:val="nil"/>
                    <w:tr2bl w:val="nil"/>
                  </w:tcBorders>
                  <w:noWrap w:val="0"/>
                  <w:vAlign w:val="center"/>
                </w:tcPr>
                <w:p w14:paraId="0493CF3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可燃，遇明火、高热可燃，燃烧速度慢，与氧化剂反应，受热分解释放刺激性气体。</w:t>
                  </w:r>
                </w:p>
              </w:tc>
              <w:tc>
                <w:tcPr>
                  <w:tcW w:w="1027" w:type="pct"/>
                  <w:tcBorders>
                    <w:tl2br w:val="nil"/>
                    <w:tr2bl w:val="nil"/>
                  </w:tcBorders>
                  <w:noWrap w:val="0"/>
                  <w:vAlign w:val="center"/>
                </w:tcPr>
                <w:p w14:paraId="7232A73E">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无毒，是食品添加剂；口服过量可能致腹泻，皮肤接触无刺激作用，可作保湿剂。</w:t>
                  </w:r>
                </w:p>
              </w:tc>
              <w:tc>
                <w:tcPr>
                  <w:tcW w:w="199" w:type="pct"/>
                  <w:tcBorders>
                    <w:tl2br w:val="nil"/>
                    <w:tr2bl w:val="nil"/>
                  </w:tcBorders>
                  <w:noWrap w:val="0"/>
                  <w:vAlign w:val="center"/>
                </w:tcPr>
                <w:p w14:paraId="242502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9574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69569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50</w:t>
                  </w:r>
                </w:p>
              </w:tc>
              <w:tc>
                <w:tcPr>
                  <w:tcW w:w="355" w:type="pct"/>
                  <w:tcBorders>
                    <w:tl2br w:val="nil"/>
                    <w:tr2bl w:val="nil"/>
                  </w:tcBorders>
                  <w:noWrap w:val="0"/>
                  <w:vAlign w:val="center"/>
                </w:tcPr>
                <w:p w14:paraId="0A2B7A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炭黑油</w:t>
                  </w:r>
                </w:p>
              </w:tc>
              <w:tc>
                <w:tcPr>
                  <w:tcW w:w="389" w:type="pct"/>
                  <w:tcBorders>
                    <w:tl2br w:val="nil"/>
                    <w:tr2bl w:val="nil"/>
                  </w:tcBorders>
                  <w:noWrap w:val="0"/>
                  <w:vAlign w:val="center"/>
                </w:tcPr>
                <w:p w14:paraId="6BE1459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68186-37-2</w:t>
                  </w:r>
                </w:p>
              </w:tc>
              <w:tc>
                <w:tcPr>
                  <w:tcW w:w="409" w:type="pct"/>
                  <w:tcBorders>
                    <w:tl2br w:val="nil"/>
                    <w:tr2bl w:val="nil"/>
                  </w:tcBorders>
                  <w:noWrap w:val="0"/>
                  <w:vAlign w:val="center"/>
                </w:tcPr>
                <w:p w14:paraId="7A2F6FB8">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无固定分子式（多环芳烃及重质烃混合物）</w:t>
                  </w:r>
                </w:p>
              </w:tc>
              <w:tc>
                <w:tcPr>
                  <w:tcW w:w="314" w:type="pct"/>
                  <w:tcBorders>
                    <w:tl2br w:val="nil"/>
                    <w:tr2bl w:val="nil"/>
                  </w:tcBorders>
                  <w:noWrap w:val="0"/>
                  <w:vAlign w:val="center"/>
                </w:tcPr>
                <w:p w14:paraId="38F58D8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200-400（平均分子量）</w:t>
                  </w:r>
                </w:p>
              </w:tc>
              <w:tc>
                <w:tcPr>
                  <w:tcW w:w="1060" w:type="pct"/>
                  <w:tcBorders>
                    <w:tl2br w:val="nil"/>
                    <w:tr2bl w:val="nil"/>
                  </w:tcBorders>
                  <w:noWrap w:val="0"/>
                  <w:vAlign w:val="center"/>
                </w:tcPr>
                <w:p w14:paraId="3DA31DB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黑色粘稠液体，有臭味，不溶于水，溶于有机溶剂；密度1.0-1.1g/cm³（20℃），沸点&gt;300℃，熔点10-30℃，闪点120-160℃。</w:t>
                  </w:r>
                </w:p>
              </w:tc>
              <w:tc>
                <w:tcPr>
                  <w:tcW w:w="1060" w:type="pct"/>
                  <w:tcBorders>
                    <w:tl2br w:val="nil"/>
                    <w:tr2bl w:val="nil"/>
                  </w:tcBorders>
                  <w:noWrap w:val="0"/>
                  <w:vAlign w:val="center"/>
                </w:tcPr>
                <w:p w14:paraId="1044BFE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可燃，遇明火、高热可燃烧，燃烧释放大量黑烟及有毒气体，闪点较高，不易爆炸。</w:t>
                  </w:r>
                </w:p>
              </w:tc>
              <w:tc>
                <w:tcPr>
                  <w:tcW w:w="1027" w:type="pct"/>
                  <w:tcBorders>
                    <w:tl2br w:val="nil"/>
                    <w:tr2bl w:val="nil"/>
                  </w:tcBorders>
                  <w:noWrap w:val="0"/>
                  <w:vAlign w:val="center"/>
                </w:tcPr>
                <w:p w14:paraId="62C9E88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中等毒性，I类致癌物；含大量多环芳烃，皮肤接触致皮炎，吸入蒸汽致呼吸道损伤，长期接触致皮肤癌、肺癌。</w:t>
                  </w:r>
                </w:p>
              </w:tc>
              <w:tc>
                <w:tcPr>
                  <w:tcW w:w="199" w:type="pct"/>
                  <w:tcBorders>
                    <w:tl2br w:val="nil"/>
                    <w:tr2bl w:val="nil"/>
                  </w:tcBorders>
                  <w:noWrap w:val="0"/>
                  <w:vAlign w:val="center"/>
                </w:tcPr>
                <w:p w14:paraId="369660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43C370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A340A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w:t>
                  </w:r>
                </w:p>
              </w:tc>
              <w:tc>
                <w:tcPr>
                  <w:tcW w:w="355" w:type="pct"/>
                  <w:tcBorders>
                    <w:tl2br w:val="nil"/>
                    <w:tr2bl w:val="nil"/>
                  </w:tcBorders>
                  <w:noWrap w:val="0"/>
                  <w:vAlign w:val="center"/>
                </w:tcPr>
                <w:p w14:paraId="598C0A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碳五馏分</w:t>
                  </w:r>
                </w:p>
              </w:tc>
              <w:tc>
                <w:tcPr>
                  <w:tcW w:w="389" w:type="pct"/>
                  <w:tcBorders>
                    <w:tl2br w:val="nil"/>
                    <w:tr2bl w:val="nil"/>
                  </w:tcBorders>
                  <w:noWrap w:val="0"/>
                  <w:vAlign w:val="center"/>
                </w:tcPr>
                <w:p w14:paraId="58286BF7">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无单一CAS号（混合物）</w:t>
                  </w:r>
                </w:p>
              </w:tc>
              <w:tc>
                <w:tcPr>
                  <w:tcW w:w="409" w:type="pct"/>
                  <w:tcBorders>
                    <w:tl2br w:val="nil"/>
                    <w:tr2bl w:val="nil"/>
                  </w:tcBorders>
                  <w:noWrap w:val="0"/>
                  <w:vAlign w:val="center"/>
                </w:tcPr>
                <w:p w14:paraId="3EFA2A9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混合物（主要含C₅H₁₀、C₅H₁₂、环戊烷等）</w:t>
                  </w:r>
                </w:p>
              </w:tc>
              <w:tc>
                <w:tcPr>
                  <w:tcW w:w="314" w:type="pct"/>
                  <w:tcBorders>
                    <w:tl2br w:val="nil"/>
                    <w:tr2bl w:val="nil"/>
                  </w:tcBorders>
                  <w:noWrap w:val="0"/>
                  <w:vAlign w:val="center"/>
                </w:tcPr>
                <w:p w14:paraId="364004F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70-72（平均）</w:t>
                  </w:r>
                </w:p>
              </w:tc>
              <w:tc>
                <w:tcPr>
                  <w:tcW w:w="1060" w:type="pct"/>
                  <w:tcBorders>
                    <w:tl2br w:val="nil"/>
                    <w:tr2bl w:val="nil"/>
                  </w:tcBorders>
                  <w:noWrap w:val="0"/>
                  <w:vAlign w:val="center"/>
                </w:tcPr>
                <w:p w14:paraId="69028DE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常温下为无色透明液体，有特殊气味；相对密度0.62-0.65（水=1），不溶于水，易溶于乙醇、乙醚等有机溶剂；沸点范围30℃-49℃。</w:t>
                  </w:r>
                </w:p>
              </w:tc>
              <w:tc>
                <w:tcPr>
                  <w:tcW w:w="1060" w:type="pct"/>
                  <w:tcBorders>
                    <w:tl2br w:val="nil"/>
                    <w:tr2bl w:val="nil"/>
                  </w:tcBorders>
                  <w:noWrap w:val="0"/>
                  <w:vAlign w:val="center"/>
                </w:tcPr>
                <w:p w14:paraId="3D234D7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易燃，闪点-45℃至-20℃，爆炸极限1.4%-8.7%（体积分数）；遇明火、高热或与氧化剂接触，有引起燃烧爆炸的危险；其蒸气比空气重，易积聚在低洼处。</w:t>
                  </w:r>
                </w:p>
              </w:tc>
              <w:tc>
                <w:tcPr>
                  <w:tcW w:w="1027" w:type="pct"/>
                  <w:tcBorders>
                    <w:tl2br w:val="nil"/>
                    <w:tr2bl w:val="nil"/>
                  </w:tcBorders>
                  <w:noWrap w:val="0"/>
                  <w:vAlign w:val="center"/>
                </w:tcPr>
                <w:p w14:paraId="6F6D6CF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低毒，吸入蒸气可引起头痛、头晕、乏力等症状；对眼睛、皮肤和呼吸道有轻度刺激作用；长期接触可能导致神经系统功能紊乱。</w:t>
                  </w:r>
                </w:p>
              </w:tc>
              <w:tc>
                <w:tcPr>
                  <w:tcW w:w="199" w:type="pct"/>
                  <w:tcBorders>
                    <w:tl2br w:val="nil"/>
                    <w:tr2bl w:val="nil"/>
                  </w:tcBorders>
                  <w:noWrap w:val="0"/>
                  <w:vAlign w:val="center"/>
                </w:tcPr>
                <w:p w14:paraId="3AA5EF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rPr>
                    <w:t>现有</w:t>
                  </w:r>
                </w:p>
              </w:tc>
            </w:tr>
            <w:tr w14:paraId="591135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F7DE0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52</w:t>
                  </w:r>
                </w:p>
              </w:tc>
              <w:tc>
                <w:tcPr>
                  <w:tcW w:w="355" w:type="pct"/>
                  <w:tcBorders>
                    <w:tl2br w:val="nil"/>
                    <w:tr2bl w:val="nil"/>
                  </w:tcBorders>
                  <w:noWrap w:val="0"/>
                  <w:vAlign w:val="center"/>
                </w:tcPr>
                <w:p w14:paraId="7E83F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润滑油</w:t>
                  </w:r>
                </w:p>
              </w:tc>
              <w:tc>
                <w:tcPr>
                  <w:tcW w:w="389" w:type="pct"/>
                  <w:tcBorders>
                    <w:tl2br w:val="nil"/>
                    <w:tr2bl w:val="nil"/>
                  </w:tcBorders>
                  <w:noWrap w:val="0"/>
                  <w:vAlign w:val="center"/>
                </w:tcPr>
                <w:p w14:paraId="20C6CA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无固定</w:t>
                  </w:r>
                  <w:r>
                    <w:rPr>
                      <w:rFonts w:hint="default" w:ascii="Times New Roman" w:hAnsi="Times New Roman" w:eastAsia="宋体" w:cs="Times New Roman"/>
                      <w:b w:val="0"/>
                      <w:bCs w:val="0"/>
                      <w:i w:val="0"/>
                      <w:iCs w:val="0"/>
                      <w:color w:val="auto"/>
                      <w:kern w:val="0"/>
                      <w:sz w:val="18"/>
                      <w:szCs w:val="18"/>
                      <w:u w:val="none"/>
                      <w:lang w:val="en-US" w:eastAsia="zh-CN" w:bidi="ar"/>
                    </w:rPr>
                    <w:t>CAS</w:t>
                  </w:r>
                  <w:r>
                    <w:rPr>
                      <w:rFonts w:hint="eastAsia" w:ascii="Times New Roman" w:hAnsi="Times New Roman" w:eastAsia="宋体" w:cs="Times New Roman"/>
                      <w:b w:val="0"/>
                      <w:bCs w:val="0"/>
                      <w:i w:val="0"/>
                      <w:iCs w:val="0"/>
                      <w:color w:val="auto"/>
                      <w:kern w:val="0"/>
                      <w:sz w:val="18"/>
                      <w:szCs w:val="18"/>
                      <w:u w:val="none"/>
                      <w:lang w:val="en-US" w:eastAsia="zh-CN" w:bidi="ar"/>
                    </w:rPr>
                    <w:t>号（混合物）</w:t>
                  </w:r>
                </w:p>
              </w:tc>
              <w:tc>
                <w:tcPr>
                  <w:tcW w:w="409" w:type="pct"/>
                  <w:tcBorders>
                    <w:tl2br w:val="nil"/>
                    <w:tr2bl w:val="nil"/>
                  </w:tcBorders>
                  <w:noWrap w:val="0"/>
                  <w:vAlign w:val="center"/>
                </w:tcPr>
                <w:p w14:paraId="5FBA6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b w:val="0"/>
                      <w:bCs w:val="0"/>
                      <w:i w:val="0"/>
                      <w:iCs w:val="0"/>
                      <w:color w:val="auto"/>
                      <w:kern w:val="0"/>
                      <w:sz w:val="18"/>
                      <w:szCs w:val="18"/>
                      <w:u w:val="none"/>
                      <w:lang w:val="en-US" w:eastAsia="zh-CN" w:bidi="ar"/>
                    </w:rPr>
                  </w:pPr>
                  <w:r>
                    <w:rPr>
                      <w:rFonts w:hint="eastAsia" w:ascii="Times New Roman" w:hAnsi="Times New Roman" w:eastAsia="宋体" w:cs="Times New Roman"/>
                      <w:b w:val="0"/>
                      <w:bCs w:val="0"/>
                      <w:i w:val="0"/>
                      <w:iCs w:val="0"/>
                      <w:color w:val="auto"/>
                      <w:kern w:val="0"/>
                      <w:sz w:val="18"/>
                      <w:szCs w:val="18"/>
                      <w:u w:val="none"/>
                      <w:lang w:val="en-US" w:eastAsia="zh-CN" w:bidi="ar"/>
                    </w:rPr>
                    <w:t>复杂烃类混合物，无固定分子式</w:t>
                  </w:r>
                </w:p>
              </w:tc>
              <w:tc>
                <w:tcPr>
                  <w:tcW w:w="314" w:type="pct"/>
                  <w:tcBorders>
                    <w:tl2br w:val="nil"/>
                    <w:tr2bl w:val="nil"/>
                  </w:tcBorders>
                  <w:noWrap w:val="0"/>
                  <w:vAlign w:val="center"/>
                </w:tcPr>
                <w:p w14:paraId="75E53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300-1000</w:t>
                  </w:r>
                  <w:r>
                    <w:rPr>
                      <w:rFonts w:hint="eastAsia" w:ascii="Times New Roman" w:hAnsi="Times New Roman" w:eastAsia="宋体" w:cs="Times New Roman"/>
                      <w:b w:val="0"/>
                      <w:bCs w:val="0"/>
                      <w:i w:val="0"/>
                      <w:iCs w:val="0"/>
                      <w:color w:val="auto"/>
                      <w:kern w:val="0"/>
                      <w:sz w:val="18"/>
                      <w:szCs w:val="18"/>
                      <w:u w:val="none"/>
                      <w:lang w:val="en-US" w:eastAsia="zh-CN" w:bidi="ar"/>
                    </w:rPr>
                    <w:t>（平均）</w:t>
                  </w:r>
                </w:p>
              </w:tc>
              <w:tc>
                <w:tcPr>
                  <w:tcW w:w="1060" w:type="pct"/>
                  <w:tcBorders>
                    <w:tl2br w:val="nil"/>
                    <w:tr2bl w:val="nil"/>
                  </w:tcBorders>
                  <w:noWrap w:val="0"/>
                  <w:vAlign w:val="center"/>
                </w:tcPr>
                <w:p w14:paraId="14CA23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通常为淡黄色至褐色粘稠液体，不溶于水，溶于多数有机溶剂，闪点一般180-300℃，沸点&gt;300℃，具有良好的润滑性、抗磨性和稳定性。</w:t>
                  </w:r>
                </w:p>
              </w:tc>
              <w:tc>
                <w:tcPr>
                  <w:tcW w:w="1060" w:type="pct"/>
                  <w:tcBorders>
                    <w:tl2br w:val="nil"/>
                    <w:tr2bl w:val="nil"/>
                  </w:tcBorders>
                  <w:noWrap w:val="0"/>
                  <w:vAlign w:val="center"/>
                </w:tcPr>
                <w:p w14:paraId="5223E2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可燃，闪点较高，属丙类或乙类可燃液体（依具体型号），燃烧时产生一氧化碳等有害气体，无爆炸危险性，但遇强氧化剂可能加剧燃烧。</w:t>
                  </w:r>
                </w:p>
              </w:tc>
              <w:tc>
                <w:tcPr>
                  <w:tcW w:w="1027" w:type="pct"/>
                  <w:tcBorders>
                    <w:tl2br w:val="nil"/>
                    <w:tr2bl w:val="nil"/>
                  </w:tcBorders>
                  <w:noWrap w:val="0"/>
                  <w:vAlign w:val="center"/>
                </w:tcPr>
                <w:p w14:paraId="2FCF61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低毒，急性毒性低，经口、皮肤接触一般无明显毒性；长期反复接触皮肤可能引起脱脂、干燥、皮炎；吸入其蒸汽或油雾可能刺激呼吸道，少数人出现过敏反应。</w:t>
                  </w:r>
                </w:p>
              </w:tc>
              <w:tc>
                <w:tcPr>
                  <w:tcW w:w="199" w:type="pct"/>
                  <w:tcBorders>
                    <w:tl2br w:val="nil"/>
                    <w:tr2bl w:val="nil"/>
                  </w:tcBorders>
                  <w:noWrap w:val="0"/>
                  <w:vAlign w:val="center"/>
                </w:tcPr>
                <w:p w14:paraId="6EB368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5FAC11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178F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53</w:t>
                  </w:r>
                </w:p>
              </w:tc>
              <w:tc>
                <w:tcPr>
                  <w:tcW w:w="355" w:type="pct"/>
                  <w:tcBorders>
                    <w:tl2br w:val="nil"/>
                    <w:tr2bl w:val="nil"/>
                  </w:tcBorders>
                  <w:noWrap w:val="0"/>
                  <w:vAlign w:val="center"/>
                </w:tcPr>
                <w:p w14:paraId="5DF51D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环己烷</w:t>
                  </w:r>
                </w:p>
              </w:tc>
              <w:tc>
                <w:tcPr>
                  <w:tcW w:w="389" w:type="pct"/>
                  <w:tcBorders>
                    <w:tl2br w:val="nil"/>
                    <w:tr2bl w:val="nil"/>
                  </w:tcBorders>
                  <w:noWrap w:val="0"/>
                  <w:vAlign w:val="center"/>
                </w:tcPr>
                <w:p w14:paraId="5F0C077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110-82-7</w:t>
                  </w:r>
                </w:p>
              </w:tc>
              <w:tc>
                <w:tcPr>
                  <w:tcW w:w="409" w:type="pct"/>
                  <w:tcBorders>
                    <w:tl2br w:val="nil"/>
                    <w:tr2bl w:val="nil"/>
                  </w:tcBorders>
                  <w:noWrap w:val="0"/>
                  <w:vAlign w:val="center"/>
                </w:tcPr>
                <w:p w14:paraId="2969E5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w:t>
                  </w:r>
                  <w:r>
                    <w:rPr>
                      <w:rFonts w:hint="default" w:ascii="Times New Roman" w:hAnsi="Times New Roman" w:eastAsia="宋体" w:cs="Times New Roman"/>
                      <w:i w:val="0"/>
                      <w:iCs w:val="0"/>
                      <w:color w:val="auto"/>
                      <w:kern w:val="0"/>
                      <w:sz w:val="18"/>
                      <w:szCs w:val="18"/>
                      <w:u w:val="none"/>
                      <w:vertAlign w:val="subscript"/>
                      <w:lang w:val="en-US" w:eastAsia="zh-CN" w:bidi="ar"/>
                    </w:rPr>
                    <w:t>6</w:t>
                  </w:r>
                  <w:r>
                    <w:rPr>
                      <w:rFonts w:hint="default" w:ascii="Times New Roman" w:hAnsi="Times New Roman" w:eastAsia="宋体" w:cs="Times New Roman"/>
                      <w:i w:val="0"/>
                      <w:iCs w:val="0"/>
                      <w:color w:val="auto"/>
                      <w:kern w:val="0"/>
                      <w:sz w:val="18"/>
                      <w:szCs w:val="18"/>
                      <w:u w:val="none"/>
                      <w:lang w:val="en-US" w:eastAsia="zh-CN" w:bidi="ar"/>
                    </w:rPr>
                    <w:t>H</w:t>
                  </w:r>
                  <w:r>
                    <w:rPr>
                      <w:rFonts w:hint="default" w:ascii="Times New Roman" w:hAnsi="Times New Roman" w:eastAsia="宋体" w:cs="Times New Roman"/>
                      <w:i w:val="0"/>
                      <w:iCs w:val="0"/>
                      <w:color w:val="auto"/>
                      <w:kern w:val="0"/>
                      <w:sz w:val="18"/>
                      <w:szCs w:val="18"/>
                      <w:u w:val="none"/>
                      <w:vertAlign w:val="subscript"/>
                      <w:lang w:val="en-US" w:eastAsia="zh-CN" w:bidi="ar"/>
                    </w:rPr>
                    <w:t>12</w:t>
                  </w:r>
                </w:p>
              </w:tc>
              <w:tc>
                <w:tcPr>
                  <w:tcW w:w="314" w:type="pct"/>
                  <w:tcBorders>
                    <w:tl2br w:val="nil"/>
                    <w:tr2bl w:val="nil"/>
                  </w:tcBorders>
                  <w:noWrap w:val="0"/>
                  <w:vAlign w:val="center"/>
                </w:tcPr>
                <w:p w14:paraId="1909B7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84.16</w:t>
                  </w:r>
                </w:p>
              </w:tc>
              <w:tc>
                <w:tcPr>
                  <w:tcW w:w="1060" w:type="pct"/>
                  <w:tcBorders>
                    <w:tl2br w:val="nil"/>
                    <w:tr2bl w:val="nil"/>
                  </w:tcBorders>
                  <w:noWrap w:val="0"/>
                  <w:vAlign w:val="center"/>
                </w:tcPr>
                <w:p w14:paraId="2CF7EF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无色透明液体，有特殊刺激性气味，不溶于水，易溶于乙醇、乙醚等有机溶剂，沸点80.7℃，熔点6.5℃，相对密度0.779（20℃），折射率1.4266。</w:t>
                  </w:r>
                </w:p>
              </w:tc>
              <w:tc>
                <w:tcPr>
                  <w:tcW w:w="1060" w:type="pct"/>
                  <w:tcBorders>
                    <w:tl2br w:val="nil"/>
                    <w:tr2bl w:val="nil"/>
                  </w:tcBorders>
                  <w:noWrap w:val="0"/>
                  <w:vAlign w:val="center"/>
                </w:tcPr>
                <w:p w14:paraId="21F61C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极易燃，闪点-18℃，爆炸极限1.3%-8.3%（体积分数），遇明火、高热极易燃烧爆炸，与氧化剂接触发生强烈反应，其蒸汽比空气重，能在较低处扩散至相当远的地方，遇火源会着火回燃。</w:t>
                  </w:r>
                </w:p>
              </w:tc>
              <w:tc>
                <w:tcPr>
                  <w:tcW w:w="1027" w:type="pct"/>
                  <w:tcBorders>
                    <w:tl2br w:val="nil"/>
                    <w:tr2bl w:val="nil"/>
                  </w:tcBorders>
                  <w:noWrap w:val="0"/>
                  <w:vAlign w:val="center"/>
                </w:tcPr>
                <w:p w14:paraId="17BC1C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低毒，急性毒性：大鼠经口LD</w:t>
                  </w:r>
                  <w:r>
                    <w:rPr>
                      <w:rFonts w:hint="default" w:ascii="Times New Roman" w:hAnsi="Times New Roman" w:eastAsia="宋体" w:cs="Times New Roman"/>
                      <w:i w:val="0"/>
                      <w:iCs w:val="0"/>
                      <w:color w:val="auto"/>
                      <w:kern w:val="0"/>
                      <w:sz w:val="18"/>
                      <w:szCs w:val="18"/>
                      <w:u w:val="none"/>
                      <w:vertAlign w:val="subscript"/>
                      <w:lang w:val="en-US" w:eastAsia="zh-CN" w:bidi="ar"/>
                    </w:rPr>
                    <w:t>50</w:t>
                  </w:r>
                  <w:r>
                    <w:rPr>
                      <w:rFonts w:hint="default" w:ascii="Times New Roman" w:hAnsi="Times New Roman" w:eastAsia="宋体" w:cs="Times New Roman"/>
                      <w:i w:val="0"/>
                      <w:iCs w:val="0"/>
                      <w:color w:val="auto"/>
                      <w:kern w:val="0"/>
                      <w:sz w:val="18"/>
                      <w:szCs w:val="18"/>
                      <w:u w:val="none"/>
                      <w:lang w:val="en-US" w:eastAsia="zh-CN" w:bidi="ar"/>
                    </w:rPr>
                    <w:t>为12705mg/kg；吸入高浓度蒸汽可引起头痛、头晕、恶心、呕吐、嗜睡等中枢神经系统抑制症状，长期接触可能影响肝肾功能，对皮肤有轻度刺激作用。</w:t>
                  </w:r>
                </w:p>
              </w:tc>
              <w:tc>
                <w:tcPr>
                  <w:tcW w:w="199" w:type="pct"/>
                  <w:tcBorders>
                    <w:tl2br w:val="nil"/>
                    <w:tr2bl w:val="nil"/>
                  </w:tcBorders>
                  <w:noWrap w:val="0"/>
                  <w:vAlign w:val="center"/>
                </w:tcPr>
                <w:p w14:paraId="331BF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11825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16A1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54</w:t>
                  </w:r>
                </w:p>
              </w:tc>
              <w:tc>
                <w:tcPr>
                  <w:tcW w:w="355" w:type="pct"/>
                  <w:tcBorders>
                    <w:tl2br w:val="nil"/>
                    <w:tr2bl w:val="nil"/>
                  </w:tcBorders>
                  <w:noWrap w:val="0"/>
                  <w:vAlign w:val="center"/>
                </w:tcPr>
                <w:p w14:paraId="4D1B7C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二乙醇胺</w:t>
                  </w:r>
                </w:p>
              </w:tc>
              <w:tc>
                <w:tcPr>
                  <w:tcW w:w="389" w:type="pct"/>
                  <w:tcBorders>
                    <w:tl2br w:val="nil"/>
                    <w:tr2bl w:val="nil"/>
                  </w:tcBorders>
                  <w:noWrap w:val="0"/>
                  <w:vAlign w:val="center"/>
                </w:tcPr>
                <w:p w14:paraId="0D1781EC">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111-42-2</w:t>
                  </w:r>
                </w:p>
              </w:tc>
              <w:tc>
                <w:tcPr>
                  <w:tcW w:w="409" w:type="pct"/>
                  <w:tcBorders>
                    <w:tl2br w:val="nil"/>
                    <w:tr2bl w:val="nil"/>
                  </w:tcBorders>
                  <w:noWrap w:val="0"/>
                  <w:vAlign w:val="center"/>
                </w:tcPr>
                <w:p w14:paraId="035B58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C₄H₁₁NO₂</w:t>
                  </w:r>
                </w:p>
              </w:tc>
              <w:tc>
                <w:tcPr>
                  <w:tcW w:w="314" w:type="pct"/>
                  <w:tcBorders>
                    <w:tl2br w:val="nil"/>
                    <w:tr2bl w:val="nil"/>
                  </w:tcBorders>
                  <w:noWrap w:val="0"/>
                  <w:vAlign w:val="center"/>
                </w:tcPr>
                <w:p w14:paraId="7F0FD0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105.14</w:t>
                  </w:r>
                </w:p>
              </w:tc>
              <w:tc>
                <w:tcPr>
                  <w:tcW w:w="1060" w:type="pct"/>
                  <w:tcBorders>
                    <w:tl2br w:val="nil"/>
                    <w:tr2bl w:val="nil"/>
                  </w:tcBorders>
                  <w:noWrap w:val="0"/>
                  <w:vAlign w:val="center"/>
                </w:tcPr>
                <w:p w14:paraId="5713F0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无色粘性液体或结晶，有氨味，易溶于水、乙醇、丙酮，微溶于乙醚和苯，沸点268.8℃，熔点28℃，相对密度1.097（20℃），具有吸湿性。</w:t>
                  </w:r>
                </w:p>
              </w:tc>
              <w:tc>
                <w:tcPr>
                  <w:tcW w:w="1060" w:type="pct"/>
                  <w:tcBorders>
                    <w:tl2br w:val="nil"/>
                    <w:tr2bl w:val="nil"/>
                  </w:tcBorders>
                  <w:noWrap w:val="0"/>
                  <w:vAlign w:val="center"/>
                </w:tcPr>
                <w:p w14:paraId="3C196B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可燃，闪点137℃（闭杯），爆炸极限0.8%-10.4%（体积分数），遇明火、高热可燃，燃烧时产生一氧化碳、氮氧化物等有害气体，与强氧化剂、酸类反应剧烈。</w:t>
                  </w:r>
                </w:p>
              </w:tc>
              <w:tc>
                <w:tcPr>
                  <w:tcW w:w="1027" w:type="pct"/>
                  <w:tcBorders>
                    <w:tl2br w:val="nil"/>
                    <w:tr2bl w:val="nil"/>
                  </w:tcBorders>
                  <w:noWrap w:val="0"/>
                  <w:vAlign w:val="center"/>
                </w:tcPr>
                <w:p w14:paraId="04619A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低毒，急性毒性：大鼠经口LD₅₀为1820mg/kg；对皮肤和眼睛有强烈刺激作用，可引起灼伤，吸入其蒸汽可刺激呼吸道，引起咳嗽、呼吸困难，长期接触可能导致肝、肾损害。</w:t>
                  </w:r>
                </w:p>
              </w:tc>
              <w:tc>
                <w:tcPr>
                  <w:tcW w:w="199" w:type="pct"/>
                  <w:tcBorders>
                    <w:tl2br w:val="nil"/>
                    <w:tr2bl w:val="nil"/>
                  </w:tcBorders>
                  <w:noWrap w:val="0"/>
                  <w:vAlign w:val="center"/>
                </w:tcPr>
                <w:p w14:paraId="119C01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47B81E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F7FE2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55</w:t>
                  </w:r>
                </w:p>
              </w:tc>
              <w:tc>
                <w:tcPr>
                  <w:tcW w:w="355" w:type="pct"/>
                  <w:tcBorders>
                    <w:tl2br w:val="nil"/>
                    <w:tr2bl w:val="nil"/>
                  </w:tcBorders>
                  <w:noWrap w:val="0"/>
                  <w:vAlign w:val="center"/>
                </w:tcPr>
                <w:p w14:paraId="0CBFD5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棕榈油</w:t>
                  </w:r>
                </w:p>
              </w:tc>
              <w:tc>
                <w:tcPr>
                  <w:tcW w:w="389" w:type="pct"/>
                  <w:tcBorders>
                    <w:tl2br w:val="nil"/>
                    <w:tr2bl w:val="nil"/>
                  </w:tcBorders>
                  <w:noWrap w:val="0"/>
                  <w:vAlign w:val="center"/>
                </w:tcPr>
                <w:p w14:paraId="4F72851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8002-75-3</w:t>
                  </w:r>
                </w:p>
              </w:tc>
              <w:tc>
                <w:tcPr>
                  <w:tcW w:w="409" w:type="pct"/>
                  <w:tcBorders>
                    <w:tl2br w:val="nil"/>
                    <w:tr2bl w:val="nil"/>
                  </w:tcBorders>
                  <w:noWrap w:val="0"/>
                  <w:vAlign w:val="center"/>
                </w:tcPr>
                <w:p w14:paraId="247EE2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主要成分为棕榈酸（C₁₆H₃₂O₂）和油酸（C₁₈H₃₄O₂）的甘油三酯混合物，无固定分子式</w:t>
                  </w:r>
                </w:p>
              </w:tc>
              <w:tc>
                <w:tcPr>
                  <w:tcW w:w="314" w:type="pct"/>
                  <w:tcBorders>
                    <w:tl2br w:val="nil"/>
                    <w:tr2bl w:val="nil"/>
                  </w:tcBorders>
                  <w:noWrap w:val="0"/>
                  <w:vAlign w:val="center"/>
                </w:tcPr>
                <w:p w14:paraId="2CFC34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800-900（平均）</w:t>
                  </w:r>
                </w:p>
              </w:tc>
              <w:tc>
                <w:tcPr>
                  <w:tcW w:w="1060" w:type="pct"/>
                  <w:tcBorders>
                    <w:tl2br w:val="nil"/>
                    <w:tr2bl w:val="nil"/>
                  </w:tcBorders>
                  <w:noWrap w:val="0"/>
                  <w:vAlign w:val="center"/>
                </w:tcPr>
                <w:p w14:paraId="182867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常温下为淡黄色至橙黄色固体或半固体，熔点30-40℃，沸点&gt;300℃，不溶于水，溶于乙醚、氯仿等有机溶剂，具有良好的稳定性和抗氧化性。</w:t>
                  </w:r>
                </w:p>
              </w:tc>
              <w:tc>
                <w:tcPr>
                  <w:tcW w:w="1060" w:type="pct"/>
                  <w:tcBorders>
                    <w:tl2br w:val="nil"/>
                    <w:tr2bl w:val="nil"/>
                  </w:tcBorders>
                  <w:noWrap w:val="0"/>
                  <w:vAlign w:val="center"/>
                </w:tcPr>
                <w:p w14:paraId="184295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可燃，闪点&gt;230℃，属丙类可燃固体，燃烧时产生二氧化碳和水，无爆炸危险性，遇强氧化剂可促进燃烧。</w:t>
                  </w:r>
                </w:p>
              </w:tc>
              <w:tc>
                <w:tcPr>
                  <w:tcW w:w="1027" w:type="pct"/>
                  <w:tcBorders>
                    <w:tl2br w:val="nil"/>
                    <w:tr2bl w:val="nil"/>
                  </w:tcBorders>
                  <w:noWrap w:val="0"/>
                  <w:vAlign w:val="center"/>
                </w:tcPr>
                <w:p w14:paraId="365E7D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无毒，为食品级油脂，可作为食用油使用，长期过量摄入可能导致血脂升高，但无直接毒性作用，皮肤接触无刺激。</w:t>
                  </w:r>
                </w:p>
              </w:tc>
              <w:tc>
                <w:tcPr>
                  <w:tcW w:w="199" w:type="pct"/>
                  <w:tcBorders>
                    <w:tl2br w:val="nil"/>
                    <w:tr2bl w:val="nil"/>
                  </w:tcBorders>
                  <w:noWrap w:val="0"/>
                  <w:vAlign w:val="center"/>
                </w:tcPr>
                <w:p w14:paraId="34A36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4E01D2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3FB69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56</w:t>
                  </w:r>
                </w:p>
              </w:tc>
              <w:tc>
                <w:tcPr>
                  <w:tcW w:w="355" w:type="pct"/>
                  <w:tcBorders>
                    <w:tl2br w:val="nil"/>
                    <w:tr2bl w:val="nil"/>
                  </w:tcBorders>
                  <w:noWrap w:val="0"/>
                  <w:vAlign w:val="center"/>
                </w:tcPr>
                <w:p w14:paraId="0A42DE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棕榈酸化油</w:t>
                  </w:r>
                </w:p>
              </w:tc>
              <w:tc>
                <w:tcPr>
                  <w:tcW w:w="389" w:type="pct"/>
                  <w:tcBorders>
                    <w:tl2br w:val="nil"/>
                    <w:tr2bl w:val="nil"/>
                  </w:tcBorders>
                  <w:noWrap w:val="0"/>
                  <w:vAlign w:val="center"/>
                </w:tcPr>
                <w:p w14:paraId="485535C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2"/>
                      <w:sz w:val="18"/>
                      <w:szCs w:val="18"/>
                      <w:u w:val="none"/>
                      <w:lang w:val="en-US" w:eastAsia="zh-CN" w:bidi="ar-SA"/>
                    </w:rPr>
                    <w:t>无固定CAS号（混合物）</w:t>
                  </w:r>
                </w:p>
              </w:tc>
              <w:tc>
                <w:tcPr>
                  <w:tcW w:w="409" w:type="pct"/>
                  <w:tcBorders>
                    <w:tl2br w:val="nil"/>
                    <w:tr2bl w:val="nil"/>
                  </w:tcBorders>
                  <w:noWrap w:val="0"/>
                  <w:vAlign w:val="center"/>
                </w:tcPr>
                <w:p w14:paraId="6E6E7D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主要成分为棕榈酸、油酸等游离脂肪酸混合物，含少量甘油酯，无固定分子式</w:t>
                  </w:r>
                </w:p>
              </w:tc>
              <w:tc>
                <w:tcPr>
                  <w:tcW w:w="314" w:type="pct"/>
                  <w:tcBorders>
                    <w:tl2br w:val="nil"/>
                    <w:tr2bl w:val="nil"/>
                  </w:tcBorders>
                  <w:noWrap w:val="0"/>
                  <w:vAlign w:val="center"/>
                </w:tcPr>
                <w:p w14:paraId="46EC73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250-300（平均）</w:t>
                  </w:r>
                </w:p>
              </w:tc>
              <w:tc>
                <w:tcPr>
                  <w:tcW w:w="1060" w:type="pct"/>
                  <w:tcBorders>
                    <w:tl2br w:val="nil"/>
                    <w:tr2bl w:val="nil"/>
                  </w:tcBorders>
                  <w:noWrap w:val="0"/>
                  <w:vAlign w:val="center"/>
                </w:tcPr>
                <w:p w14:paraId="3EFA16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淡黄色至棕黄色液体，有酸败气味，熔点10-20℃，沸点250-300℃，不溶于水，溶于乙醇、乙醚等，酸值较高（通常&gt;100mg KOH/g）。</w:t>
                  </w:r>
                </w:p>
              </w:tc>
              <w:tc>
                <w:tcPr>
                  <w:tcW w:w="1060" w:type="pct"/>
                  <w:tcBorders>
                    <w:tl2br w:val="nil"/>
                    <w:tr2bl w:val="nil"/>
                  </w:tcBorders>
                  <w:noWrap w:val="0"/>
                  <w:vAlign w:val="center"/>
                </w:tcPr>
                <w:p w14:paraId="5623FE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可燃，闪点120-150℃，属丙类可燃液体，燃烧时产生二氧化碳、水及少量挥发性有机酸，无爆炸危险，与氧化剂接触可助燃。</w:t>
                  </w:r>
                </w:p>
              </w:tc>
              <w:tc>
                <w:tcPr>
                  <w:tcW w:w="1027" w:type="pct"/>
                  <w:tcBorders>
                    <w:tl2br w:val="nil"/>
                    <w:tr2bl w:val="nil"/>
                  </w:tcBorders>
                  <w:noWrap w:val="0"/>
                  <w:vAlign w:val="center"/>
                </w:tcPr>
                <w:p w14:paraId="28EBE2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低毒，急性毒性极低，经口摄入少量无明显危害，但酸值高时对消化道有刺激作用，皮肤接触可能引起轻度脱脂和刺激，吸入其蒸汽对呼吸道有轻微刺激。</w:t>
                  </w:r>
                </w:p>
              </w:tc>
              <w:tc>
                <w:tcPr>
                  <w:tcW w:w="199" w:type="pct"/>
                  <w:tcBorders>
                    <w:tl2br w:val="nil"/>
                    <w:tr2bl w:val="nil"/>
                  </w:tcBorders>
                  <w:noWrap w:val="0"/>
                  <w:vAlign w:val="center"/>
                </w:tcPr>
                <w:p w14:paraId="251D6A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254A6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42A40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57</w:t>
                  </w:r>
                </w:p>
              </w:tc>
              <w:tc>
                <w:tcPr>
                  <w:tcW w:w="355" w:type="pct"/>
                  <w:tcBorders>
                    <w:tl2br w:val="nil"/>
                    <w:tr2bl w:val="nil"/>
                  </w:tcBorders>
                  <w:noWrap w:val="0"/>
                  <w:vAlign w:val="center"/>
                </w:tcPr>
                <w:p w14:paraId="7BA0FA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脂肪醇</w:t>
                  </w:r>
                </w:p>
              </w:tc>
              <w:tc>
                <w:tcPr>
                  <w:tcW w:w="389" w:type="pct"/>
                  <w:tcBorders>
                    <w:tl2br w:val="nil"/>
                    <w:tr2bl w:val="nil"/>
                  </w:tcBorders>
                  <w:noWrap w:val="0"/>
                  <w:vAlign w:val="center"/>
                </w:tcPr>
                <w:p w14:paraId="6F4005B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无固定CAS号（混合物，常见如C₁₂-C₁₈脂肪醇CAS号分别为112-53-8、112-72-1等）</w:t>
                  </w:r>
                </w:p>
              </w:tc>
              <w:tc>
                <w:tcPr>
                  <w:tcW w:w="409" w:type="pct"/>
                  <w:tcBorders>
                    <w:tl2br w:val="nil"/>
                    <w:tr2bl w:val="nil"/>
                  </w:tcBorders>
                  <w:noWrap w:val="0"/>
                  <w:vAlign w:val="center"/>
                </w:tcPr>
                <w:p w14:paraId="45C41C9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CₙH₂ₙ₊₁OH（n=8-22，主要为C₁₂-C₁₈）</w:t>
                  </w:r>
                </w:p>
              </w:tc>
              <w:tc>
                <w:tcPr>
                  <w:tcW w:w="314" w:type="pct"/>
                  <w:tcBorders>
                    <w:tl2br w:val="nil"/>
                    <w:tr2bl w:val="nil"/>
                  </w:tcBorders>
                  <w:noWrap w:val="0"/>
                  <w:vAlign w:val="center"/>
                </w:tcPr>
                <w:p w14:paraId="5B4716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150-300（依碳链长度）</w:t>
                  </w:r>
                </w:p>
              </w:tc>
              <w:tc>
                <w:tcPr>
                  <w:tcW w:w="1060" w:type="pct"/>
                  <w:tcBorders>
                    <w:tl2br w:val="nil"/>
                    <w:tr2bl w:val="nil"/>
                  </w:tcBorders>
                  <w:noWrap w:val="0"/>
                  <w:vAlign w:val="center"/>
                </w:tcPr>
                <w:p w14:paraId="173E32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C₁₂以下为液体，C₁₂以上为固体，白色至淡黄色，有轻微油脂气味，不溶于水，溶于乙醇、乙醚等有机溶剂，熔点随碳链增长升高（C₁₂醇熔点24℃，C₁8醇熔点59℃），沸点&gt;250℃。</w:t>
                  </w:r>
                </w:p>
              </w:tc>
              <w:tc>
                <w:tcPr>
                  <w:tcW w:w="1060" w:type="pct"/>
                  <w:tcBorders>
                    <w:tl2br w:val="nil"/>
                    <w:tr2bl w:val="nil"/>
                  </w:tcBorders>
                  <w:noWrap w:val="0"/>
                  <w:vAlign w:val="center"/>
                </w:tcPr>
                <w:p w14:paraId="7925EA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可燃，闪点120-180℃，属丙类可燃物质，燃烧时产生二氧化碳和水，无爆炸危险性，遇强氧化剂可促进燃烧。</w:t>
                  </w:r>
                </w:p>
              </w:tc>
              <w:tc>
                <w:tcPr>
                  <w:tcW w:w="1027" w:type="pct"/>
                  <w:tcBorders>
                    <w:tl2br w:val="nil"/>
                    <w:tr2bl w:val="nil"/>
                  </w:tcBorders>
                  <w:noWrap w:val="0"/>
                  <w:vAlign w:val="center"/>
                </w:tcPr>
                <w:p w14:paraId="42497B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低毒，急性毒性：大鼠经口LD₅₀&gt;2000mg/kg；对皮肤和眼睛有轻微刺激作用，长期接触无明显蓄积毒性，无致癌、致畸性报道。</w:t>
                  </w:r>
                </w:p>
              </w:tc>
              <w:tc>
                <w:tcPr>
                  <w:tcW w:w="199" w:type="pct"/>
                  <w:tcBorders>
                    <w:tl2br w:val="nil"/>
                    <w:tr2bl w:val="nil"/>
                  </w:tcBorders>
                  <w:noWrap w:val="0"/>
                  <w:vAlign w:val="center"/>
                </w:tcPr>
                <w:p w14:paraId="25C48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0F111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40D35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58</w:t>
                  </w:r>
                </w:p>
              </w:tc>
              <w:tc>
                <w:tcPr>
                  <w:tcW w:w="355" w:type="pct"/>
                  <w:tcBorders>
                    <w:tl2br w:val="nil"/>
                    <w:tr2bl w:val="nil"/>
                  </w:tcBorders>
                  <w:noWrap w:val="0"/>
                  <w:vAlign w:val="center"/>
                </w:tcPr>
                <w:p w14:paraId="2441F7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异戊二烯</w:t>
                  </w:r>
                </w:p>
              </w:tc>
              <w:tc>
                <w:tcPr>
                  <w:tcW w:w="389" w:type="pct"/>
                  <w:tcBorders>
                    <w:tl2br w:val="nil"/>
                    <w:tr2bl w:val="nil"/>
                  </w:tcBorders>
                  <w:noWrap w:val="0"/>
                  <w:vAlign w:val="center"/>
                </w:tcPr>
                <w:p w14:paraId="5F7CAE8F">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78-79-5</w:t>
                  </w:r>
                </w:p>
              </w:tc>
              <w:tc>
                <w:tcPr>
                  <w:tcW w:w="409" w:type="pct"/>
                  <w:tcBorders>
                    <w:tl2br w:val="nil"/>
                    <w:tr2bl w:val="nil"/>
                  </w:tcBorders>
                  <w:noWrap w:val="0"/>
                  <w:vAlign w:val="center"/>
                </w:tcPr>
                <w:p w14:paraId="2525F7C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C₅H₈</w:t>
                  </w:r>
                </w:p>
              </w:tc>
              <w:tc>
                <w:tcPr>
                  <w:tcW w:w="314" w:type="pct"/>
                  <w:tcBorders>
                    <w:tl2br w:val="nil"/>
                    <w:tr2bl w:val="nil"/>
                  </w:tcBorders>
                  <w:noWrap w:val="0"/>
                  <w:vAlign w:val="center"/>
                </w:tcPr>
                <w:p w14:paraId="1B3AD8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68.12</w:t>
                  </w:r>
                </w:p>
              </w:tc>
              <w:tc>
                <w:tcPr>
                  <w:tcW w:w="1060" w:type="pct"/>
                  <w:tcBorders>
                    <w:tl2br w:val="nil"/>
                    <w:tr2bl w:val="nil"/>
                  </w:tcBorders>
                  <w:noWrap w:val="0"/>
                  <w:vAlign w:val="center"/>
                </w:tcPr>
                <w:p w14:paraId="5A0AFE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无色易挥发液体，有刺激性气味，不溶于水，易溶于乙醇、乙醚、丙酮等，沸点34.07℃，熔点-146.7℃，相对密度0.681（20℃），易聚合。</w:t>
                  </w:r>
                </w:p>
              </w:tc>
              <w:tc>
                <w:tcPr>
                  <w:tcW w:w="1060" w:type="pct"/>
                  <w:tcBorders>
                    <w:tl2br w:val="nil"/>
                    <w:tr2bl w:val="nil"/>
                  </w:tcBorders>
                  <w:noWrap w:val="0"/>
                  <w:vAlign w:val="center"/>
                </w:tcPr>
                <w:p w14:paraId="73DE78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极度易燃，闪点-54℃，爆炸极限1.4%-14.6%（体积分数），遇明火、高热或氧化剂立即燃烧爆炸，其蒸汽比空气重，易积聚形成爆炸性混合物。</w:t>
                  </w:r>
                </w:p>
              </w:tc>
              <w:tc>
                <w:tcPr>
                  <w:tcW w:w="1027" w:type="pct"/>
                  <w:tcBorders>
                    <w:tl2br w:val="nil"/>
                    <w:tr2bl w:val="nil"/>
                  </w:tcBorders>
                  <w:noWrap w:val="0"/>
                  <w:vAlign w:val="center"/>
                </w:tcPr>
                <w:p w14:paraId="020C2B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低毒，急性毒性：大鼠经口LD₅₀为2700mg/kg；吸入高浓度蒸汽可引起头痛、头晕、恶心、乏力，长期接触可能影响神经系统和肝脏，对皮肤有轻度刺激。</w:t>
                  </w:r>
                </w:p>
              </w:tc>
              <w:tc>
                <w:tcPr>
                  <w:tcW w:w="199" w:type="pct"/>
                  <w:tcBorders>
                    <w:tl2br w:val="nil"/>
                    <w:tr2bl w:val="nil"/>
                  </w:tcBorders>
                  <w:noWrap w:val="0"/>
                  <w:vAlign w:val="center"/>
                </w:tcPr>
                <w:p w14:paraId="40B583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7AA47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64940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59</w:t>
                  </w:r>
                </w:p>
              </w:tc>
              <w:tc>
                <w:tcPr>
                  <w:tcW w:w="355" w:type="pct"/>
                  <w:tcBorders>
                    <w:tl2br w:val="nil"/>
                    <w:tr2bl w:val="nil"/>
                  </w:tcBorders>
                  <w:noWrap w:val="0"/>
                  <w:vAlign w:val="center"/>
                </w:tcPr>
                <w:p w14:paraId="3CAE28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1-己烯</w:t>
                  </w:r>
                </w:p>
              </w:tc>
              <w:tc>
                <w:tcPr>
                  <w:tcW w:w="389" w:type="pct"/>
                  <w:tcBorders>
                    <w:tl2br w:val="nil"/>
                    <w:tr2bl w:val="nil"/>
                  </w:tcBorders>
                  <w:noWrap w:val="0"/>
                  <w:vAlign w:val="center"/>
                </w:tcPr>
                <w:p w14:paraId="2AE7663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592-41-6</w:t>
                  </w:r>
                </w:p>
              </w:tc>
              <w:tc>
                <w:tcPr>
                  <w:tcW w:w="409" w:type="pct"/>
                  <w:tcBorders>
                    <w:tl2br w:val="nil"/>
                    <w:tr2bl w:val="nil"/>
                  </w:tcBorders>
                  <w:noWrap w:val="0"/>
                  <w:vAlign w:val="center"/>
                </w:tcPr>
                <w:p w14:paraId="1758D3E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C₆H₁₂</w:t>
                  </w:r>
                </w:p>
              </w:tc>
              <w:tc>
                <w:tcPr>
                  <w:tcW w:w="314" w:type="pct"/>
                  <w:tcBorders>
                    <w:tl2br w:val="nil"/>
                    <w:tr2bl w:val="nil"/>
                  </w:tcBorders>
                  <w:noWrap w:val="0"/>
                  <w:vAlign w:val="center"/>
                </w:tcPr>
                <w:p w14:paraId="7A5247B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84.16</w:t>
                  </w:r>
                </w:p>
              </w:tc>
              <w:tc>
                <w:tcPr>
                  <w:tcW w:w="1060" w:type="pct"/>
                  <w:tcBorders>
                    <w:tl2br w:val="nil"/>
                    <w:tr2bl w:val="nil"/>
                  </w:tcBorders>
                  <w:noWrap w:val="0"/>
                  <w:vAlign w:val="center"/>
                </w:tcPr>
                <w:p w14:paraId="1821E4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无色透明液体，有轻微烯烃气味，不溶于水，溶于乙醇、乙醚、苯等，沸点63.3℃，熔点-139.8℃，相对密度0.673（20℃），易氧化和聚合。</w:t>
                  </w:r>
                </w:p>
              </w:tc>
              <w:tc>
                <w:tcPr>
                  <w:tcW w:w="1060" w:type="pct"/>
                  <w:tcBorders>
                    <w:tl2br w:val="nil"/>
                    <w:tr2bl w:val="nil"/>
                  </w:tcBorders>
                  <w:noWrap w:val="0"/>
                  <w:vAlign w:val="center"/>
                </w:tcPr>
                <w:p w14:paraId="69AB6C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极易燃，闪点-25℃，爆炸极限1.2%-9.0%（体积分数），遇明火、高热或氧化剂迅速燃烧爆炸，蒸汽比空气重，易扩散至火源引发回燃，聚合反应可能放热导致容器破裂。</w:t>
                  </w:r>
                </w:p>
              </w:tc>
              <w:tc>
                <w:tcPr>
                  <w:tcW w:w="1027" w:type="pct"/>
                  <w:tcBorders>
                    <w:tl2br w:val="nil"/>
                    <w:tr2bl w:val="nil"/>
                  </w:tcBorders>
                  <w:noWrap w:val="0"/>
                  <w:vAlign w:val="center"/>
                </w:tcPr>
                <w:p w14:paraId="7AF907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低毒，急性毒性：大鼠吸入LC₅₀为42000ppm（4h）；吸入高浓度蒸汽可刺激呼吸道，引起咳嗽、胸闷，对中枢神经系统有轻度抑制作用，皮肤接触可致脱脂。</w:t>
                  </w:r>
                </w:p>
              </w:tc>
              <w:tc>
                <w:tcPr>
                  <w:tcW w:w="199" w:type="pct"/>
                  <w:tcBorders>
                    <w:tl2br w:val="nil"/>
                    <w:tr2bl w:val="nil"/>
                  </w:tcBorders>
                  <w:noWrap w:val="0"/>
                  <w:vAlign w:val="center"/>
                </w:tcPr>
                <w:p w14:paraId="6AB72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0919F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66DE9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60</w:t>
                  </w:r>
                </w:p>
              </w:tc>
              <w:tc>
                <w:tcPr>
                  <w:tcW w:w="355" w:type="pct"/>
                  <w:tcBorders>
                    <w:tl2br w:val="nil"/>
                    <w:tr2bl w:val="nil"/>
                  </w:tcBorders>
                  <w:noWrap w:val="0"/>
                  <w:vAlign w:val="center"/>
                </w:tcPr>
                <w:p w14:paraId="6BD446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碳酸二甲酯</w:t>
                  </w:r>
                </w:p>
              </w:tc>
              <w:tc>
                <w:tcPr>
                  <w:tcW w:w="389" w:type="pct"/>
                  <w:tcBorders>
                    <w:tl2br w:val="nil"/>
                    <w:tr2bl w:val="nil"/>
                  </w:tcBorders>
                  <w:noWrap w:val="0"/>
                  <w:vAlign w:val="center"/>
                </w:tcPr>
                <w:p w14:paraId="5252DA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616-38-6</w:t>
                  </w:r>
                </w:p>
              </w:tc>
              <w:tc>
                <w:tcPr>
                  <w:tcW w:w="409" w:type="pct"/>
                  <w:tcBorders>
                    <w:tl2br w:val="nil"/>
                    <w:tr2bl w:val="nil"/>
                  </w:tcBorders>
                  <w:noWrap w:val="0"/>
                  <w:vAlign w:val="center"/>
                </w:tcPr>
                <w:p w14:paraId="3EC3E3E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C₃H₆O₃</w:t>
                  </w:r>
                </w:p>
              </w:tc>
              <w:tc>
                <w:tcPr>
                  <w:tcW w:w="314" w:type="pct"/>
                  <w:tcBorders>
                    <w:tl2br w:val="nil"/>
                    <w:tr2bl w:val="nil"/>
                  </w:tcBorders>
                  <w:noWrap w:val="0"/>
                  <w:vAlign w:val="center"/>
                </w:tcPr>
                <w:p w14:paraId="3B34F30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90.08</w:t>
                  </w:r>
                </w:p>
              </w:tc>
              <w:tc>
                <w:tcPr>
                  <w:tcW w:w="1060" w:type="pct"/>
                  <w:tcBorders>
                    <w:tl2br w:val="nil"/>
                    <w:tr2bl w:val="nil"/>
                  </w:tcBorders>
                  <w:noWrap w:val="0"/>
                  <w:vAlign w:val="center"/>
                </w:tcPr>
                <w:p w14:paraId="768C88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无色透明液体，有轻微香味，溶于水（20℃时溶解度13.9g/100mL），易溶于乙醇、乙醚、丙酮等，沸点90.3℃，熔点4℃，相对密度1.073（20℃），具有良好的溶解性和稳定性。</w:t>
                  </w:r>
                </w:p>
              </w:tc>
              <w:tc>
                <w:tcPr>
                  <w:tcW w:w="1060" w:type="pct"/>
                  <w:tcBorders>
                    <w:tl2br w:val="nil"/>
                    <w:tr2bl w:val="nil"/>
                  </w:tcBorders>
                  <w:noWrap w:val="0"/>
                  <w:vAlign w:val="center"/>
                </w:tcPr>
                <w:p w14:paraId="39EAA6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易燃，闪点18℃（闭杯），爆炸极限3.1%-20.5%（体积分数），遇明火、高热可燃，燃烧时产生二氧化碳和水，无明显爆炸危险性，但与强氧化剂反应剧烈。</w:t>
                  </w:r>
                </w:p>
              </w:tc>
              <w:tc>
                <w:tcPr>
                  <w:tcW w:w="1027" w:type="pct"/>
                  <w:tcBorders>
                    <w:tl2br w:val="nil"/>
                    <w:tr2bl w:val="nil"/>
                  </w:tcBorders>
                  <w:noWrap w:val="0"/>
                  <w:vAlign w:val="center"/>
                </w:tcPr>
                <w:p w14:paraId="1EE369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低毒，急性毒性：大鼠经口LD₅₀为6400mg/kg；对皮肤和眼睛有轻微刺激作用，吸入高浓度蒸汽可引起头痛、头晕，无致癌、致畸性，被视为环保溶剂。</w:t>
                  </w:r>
                </w:p>
              </w:tc>
              <w:tc>
                <w:tcPr>
                  <w:tcW w:w="199" w:type="pct"/>
                  <w:tcBorders>
                    <w:tl2br w:val="nil"/>
                    <w:tr2bl w:val="nil"/>
                  </w:tcBorders>
                  <w:noWrap w:val="0"/>
                  <w:vAlign w:val="center"/>
                </w:tcPr>
                <w:p w14:paraId="52672A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434A6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1638A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61</w:t>
                  </w:r>
                </w:p>
              </w:tc>
              <w:tc>
                <w:tcPr>
                  <w:tcW w:w="355" w:type="pct"/>
                  <w:tcBorders>
                    <w:tl2br w:val="nil"/>
                    <w:tr2bl w:val="nil"/>
                  </w:tcBorders>
                  <w:noWrap w:val="0"/>
                  <w:vAlign w:val="center"/>
                </w:tcPr>
                <w:p w14:paraId="7C99FF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己二胺</w:t>
                  </w:r>
                </w:p>
              </w:tc>
              <w:tc>
                <w:tcPr>
                  <w:tcW w:w="389" w:type="pct"/>
                  <w:tcBorders>
                    <w:tl2br w:val="nil"/>
                    <w:tr2bl w:val="nil"/>
                  </w:tcBorders>
                  <w:noWrap w:val="0"/>
                  <w:vAlign w:val="center"/>
                </w:tcPr>
                <w:p w14:paraId="73B8CA2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124-09-4</w:t>
                  </w:r>
                </w:p>
              </w:tc>
              <w:tc>
                <w:tcPr>
                  <w:tcW w:w="409" w:type="pct"/>
                  <w:tcBorders>
                    <w:tl2br w:val="nil"/>
                    <w:tr2bl w:val="nil"/>
                  </w:tcBorders>
                  <w:noWrap w:val="0"/>
                  <w:vAlign w:val="center"/>
                </w:tcPr>
                <w:p w14:paraId="1575C78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C₆H₁₆N₂</w:t>
                  </w:r>
                </w:p>
              </w:tc>
              <w:tc>
                <w:tcPr>
                  <w:tcW w:w="314" w:type="pct"/>
                  <w:tcBorders>
                    <w:tl2br w:val="nil"/>
                    <w:tr2bl w:val="nil"/>
                  </w:tcBorders>
                  <w:noWrap w:val="0"/>
                  <w:vAlign w:val="center"/>
                </w:tcPr>
                <w:p w14:paraId="7670F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116.21</w:t>
                  </w:r>
                </w:p>
              </w:tc>
              <w:tc>
                <w:tcPr>
                  <w:tcW w:w="1060" w:type="pct"/>
                  <w:tcBorders>
                    <w:tl2br w:val="nil"/>
                    <w:tr2bl w:val="nil"/>
                  </w:tcBorders>
                  <w:noWrap w:val="0"/>
                  <w:vAlign w:val="center"/>
                </w:tcPr>
                <w:p w14:paraId="571582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无色片状结晶，有氨味，易溶于水、乙醇、乙醚，微溶于苯，沸点204℃，熔点42℃，相对密度0.883（25℃），具有强吸湿性，易吸收空气中的二氧化碳。</w:t>
                  </w:r>
                </w:p>
              </w:tc>
              <w:tc>
                <w:tcPr>
                  <w:tcW w:w="1060" w:type="pct"/>
                  <w:tcBorders>
                    <w:tl2br w:val="nil"/>
                    <w:tr2bl w:val="nil"/>
                  </w:tcBorders>
                  <w:noWrap w:val="0"/>
                  <w:vAlign w:val="center"/>
                </w:tcPr>
                <w:p w14:paraId="742CB9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可燃，闪点81℃（闭杯），爆炸极限0.7%-6.3%（体积分数），遇明火、高热可燃，燃烧时产生一氧化碳、氮氧化物等有害气体，与酸类、氧化剂反应剧烈。</w:t>
                  </w:r>
                </w:p>
              </w:tc>
              <w:tc>
                <w:tcPr>
                  <w:tcW w:w="1027" w:type="pct"/>
                  <w:tcBorders>
                    <w:tl2br w:val="nil"/>
                    <w:tr2bl w:val="nil"/>
                  </w:tcBorders>
                  <w:noWrap w:val="0"/>
                  <w:vAlign w:val="center"/>
                </w:tcPr>
                <w:p w14:paraId="7C5BDA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中等毒性，急性毒性：大鼠经口LD₅₀为750mg/kg；对皮肤和眼睛有强烈刺激和腐蚀作用，可引起灼伤，吸入其蒸汽可导致呼吸道损伤、肺水肿，长期接触可能损害肝肾功能。</w:t>
                  </w:r>
                </w:p>
              </w:tc>
              <w:tc>
                <w:tcPr>
                  <w:tcW w:w="199" w:type="pct"/>
                  <w:tcBorders>
                    <w:tl2br w:val="nil"/>
                    <w:tr2bl w:val="nil"/>
                  </w:tcBorders>
                  <w:noWrap w:val="0"/>
                  <w:vAlign w:val="center"/>
                </w:tcPr>
                <w:p w14:paraId="4B655D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3BF0B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D9E88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62</w:t>
                  </w:r>
                </w:p>
              </w:tc>
              <w:tc>
                <w:tcPr>
                  <w:tcW w:w="355" w:type="pct"/>
                  <w:tcBorders>
                    <w:tl2br w:val="nil"/>
                    <w:tr2bl w:val="nil"/>
                  </w:tcBorders>
                  <w:noWrap w:val="0"/>
                  <w:vAlign w:val="center"/>
                </w:tcPr>
                <w:p w14:paraId="01D47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环戊烯</w:t>
                  </w:r>
                </w:p>
              </w:tc>
              <w:tc>
                <w:tcPr>
                  <w:tcW w:w="389" w:type="pct"/>
                  <w:tcBorders>
                    <w:tl2br w:val="nil"/>
                    <w:tr2bl w:val="nil"/>
                  </w:tcBorders>
                  <w:noWrap w:val="0"/>
                  <w:vAlign w:val="center"/>
                </w:tcPr>
                <w:p w14:paraId="04A5065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142-29-0</w:t>
                  </w:r>
                </w:p>
              </w:tc>
              <w:tc>
                <w:tcPr>
                  <w:tcW w:w="409" w:type="pct"/>
                  <w:tcBorders>
                    <w:tl2br w:val="nil"/>
                    <w:tr2bl w:val="nil"/>
                  </w:tcBorders>
                  <w:noWrap w:val="0"/>
                  <w:vAlign w:val="center"/>
                </w:tcPr>
                <w:p w14:paraId="57A5053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C₅H₈</w:t>
                  </w:r>
                </w:p>
              </w:tc>
              <w:tc>
                <w:tcPr>
                  <w:tcW w:w="314" w:type="pct"/>
                  <w:tcBorders>
                    <w:tl2br w:val="nil"/>
                    <w:tr2bl w:val="nil"/>
                  </w:tcBorders>
                  <w:noWrap w:val="0"/>
                  <w:vAlign w:val="center"/>
                </w:tcPr>
                <w:p w14:paraId="249E50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68.12</w:t>
                  </w:r>
                </w:p>
              </w:tc>
              <w:tc>
                <w:tcPr>
                  <w:tcW w:w="1060" w:type="pct"/>
                  <w:tcBorders>
                    <w:tl2br w:val="nil"/>
                    <w:tr2bl w:val="nil"/>
                  </w:tcBorders>
                  <w:noWrap w:val="0"/>
                  <w:vAlign w:val="center"/>
                </w:tcPr>
                <w:p w14:paraId="56EFAF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无色透明液体，有刺激性气味，不溶于水，易溶于乙醇、乙醚、苯等，沸点44.2℃，熔点-135℃，相对密度0.774（20℃），易聚合和氧化。</w:t>
                  </w:r>
                </w:p>
              </w:tc>
              <w:tc>
                <w:tcPr>
                  <w:tcW w:w="1060" w:type="pct"/>
                  <w:tcBorders>
                    <w:tl2br w:val="nil"/>
                    <w:tr2bl w:val="nil"/>
                  </w:tcBorders>
                  <w:noWrap w:val="0"/>
                  <w:vAlign w:val="center"/>
                </w:tcPr>
                <w:p w14:paraId="07F0D1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极易燃，闪点-30℃，爆炸极限1.5%-12.0%（体积分数），遇明火、高热或氧化剂立即燃烧爆炸，蒸汽比空气重，易积聚形成爆炸性混合物，聚合反应可能引发危险。</w:t>
                  </w:r>
                </w:p>
              </w:tc>
              <w:tc>
                <w:tcPr>
                  <w:tcW w:w="1027" w:type="pct"/>
                  <w:tcBorders>
                    <w:tl2br w:val="nil"/>
                    <w:tr2bl w:val="nil"/>
                  </w:tcBorders>
                  <w:noWrap w:val="0"/>
                  <w:vAlign w:val="center"/>
                </w:tcPr>
                <w:p w14:paraId="14C2E4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低毒，急性毒性：大鼠吸入LC₅₀为39000ppm（4h）；吸入高浓度蒸汽可引起头痛、头晕、恶心，对呼吸道有刺激作用，皮肤接触可致脱脂和轻度刺激。</w:t>
                  </w:r>
                </w:p>
              </w:tc>
              <w:tc>
                <w:tcPr>
                  <w:tcW w:w="199" w:type="pct"/>
                  <w:tcBorders>
                    <w:tl2br w:val="nil"/>
                    <w:tr2bl w:val="nil"/>
                  </w:tcBorders>
                  <w:noWrap w:val="0"/>
                  <w:vAlign w:val="center"/>
                </w:tcPr>
                <w:p w14:paraId="1A71BC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0A5C7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4DAD7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63</w:t>
                  </w:r>
                </w:p>
              </w:tc>
              <w:tc>
                <w:tcPr>
                  <w:tcW w:w="355" w:type="pct"/>
                  <w:tcBorders>
                    <w:tl2br w:val="nil"/>
                    <w:tr2bl w:val="nil"/>
                  </w:tcBorders>
                  <w:noWrap w:val="0"/>
                  <w:vAlign w:val="center"/>
                </w:tcPr>
                <w:p w14:paraId="27E444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1,2-戊二醇</w:t>
                  </w:r>
                </w:p>
              </w:tc>
              <w:tc>
                <w:tcPr>
                  <w:tcW w:w="389" w:type="pct"/>
                  <w:tcBorders>
                    <w:tl2br w:val="nil"/>
                    <w:tr2bl w:val="nil"/>
                  </w:tcBorders>
                  <w:noWrap w:val="0"/>
                  <w:vAlign w:val="center"/>
                </w:tcPr>
                <w:p w14:paraId="6F96CAB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5343-92-0</w:t>
                  </w:r>
                </w:p>
              </w:tc>
              <w:tc>
                <w:tcPr>
                  <w:tcW w:w="409" w:type="pct"/>
                  <w:tcBorders>
                    <w:tl2br w:val="nil"/>
                    <w:tr2bl w:val="nil"/>
                  </w:tcBorders>
                  <w:noWrap w:val="0"/>
                  <w:vAlign w:val="center"/>
                </w:tcPr>
                <w:p w14:paraId="33D5BB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C₅H₁₂O₂</w:t>
                  </w:r>
                </w:p>
              </w:tc>
              <w:tc>
                <w:tcPr>
                  <w:tcW w:w="314" w:type="pct"/>
                  <w:tcBorders>
                    <w:tl2br w:val="nil"/>
                    <w:tr2bl w:val="nil"/>
                  </w:tcBorders>
                  <w:noWrap w:val="0"/>
                  <w:vAlign w:val="center"/>
                </w:tcPr>
                <w:p w14:paraId="00A1B3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104.15</w:t>
                  </w:r>
                </w:p>
              </w:tc>
              <w:tc>
                <w:tcPr>
                  <w:tcW w:w="1060" w:type="pct"/>
                  <w:tcBorders>
                    <w:tl2br w:val="nil"/>
                    <w:tr2bl w:val="nil"/>
                  </w:tcBorders>
                  <w:noWrap w:val="0"/>
                  <w:vAlign w:val="center"/>
                </w:tcPr>
                <w:p w14:paraId="21E2EE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无色透明粘稠液体，无明显气味，易溶于水、乙醇、乙醚等，沸点206℃，熔点-9.5℃，相对密度1.007（20℃），具有吸湿性和良好的稳定性。</w:t>
                  </w:r>
                </w:p>
              </w:tc>
              <w:tc>
                <w:tcPr>
                  <w:tcW w:w="1060" w:type="pct"/>
                  <w:tcBorders>
                    <w:tl2br w:val="nil"/>
                    <w:tr2bl w:val="nil"/>
                  </w:tcBorders>
                  <w:noWrap w:val="0"/>
                  <w:vAlign w:val="center"/>
                </w:tcPr>
                <w:p w14:paraId="7968A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可燃，闪点93℃（闭杯），属丙类可燃液体，燃烧时产生二氧化碳和水，无爆炸危险性，遇强氧化剂可促进燃烧，火灾风险较低。</w:t>
                  </w:r>
                </w:p>
              </w:tc>
              <w:tc>
                <w:tcPr>
                  <w:tcW w:w="1027" w:type="pct"/>
                  <w:tcBorders>
                    <w:tl2br w:val="nil"/>
                    <w:tr2bl w:val="nil"/>
                  </w:tcBorders>
                  <w:noWrap w:val="0"/>
                  <w:vAlign w:val="center"/>
                </w:tcPr>
                <w:p w14:paraId="003135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低毒，急性毒性：大鼠经口LD₅₀&gt;5000mg/kg；对皮肤和眼睛无明显刺激作用，吸入其蒸汽无显著毒性，广泛用于化妆品中，安全性较高。</w:t>
                  </w:r>
                </w:p>
              </w:tc>
              <w:tc>
                <w:tcPr>
                  <w:tcW w:w="199" w:type="pct"/>
                  <w:tcBorders>
                    <w:tl2br w:val="nil"/>
                    <w:tr2bl w:val="nil"/>
                  </w:tcBorders>
                  <w:noWrap w:val="0"/>
                  <w:vAlign w:val="center"/>
                </w:tcPr>
                <w:p w14:paraId="1AD60F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6E2E0B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9F420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64</w:t>
                  </w:r>
                </w:p>
              </w:tc>
              <w:tc>
                <w:tcPr>
                  <w:tcW w:w="355" w:type="pct"/>
                  <w:tcBorders>
                    <w:tl2br w:val="nil"/>
                    <w:tr2bl w:val="nil"/>
                  </w:tcBorders>
                  <w:noWrap w:val="0"/>
                  <w:vAlign w:val="center"/>
                </w:tcPr>
                <w:p w14:paraId="347763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间戊二烯</w:t>
                  </w:r>
                </w:p>
              </w:tc>
              <w:tc>
                <w:tcPr>
                  <w:tcW w:w="389" w:type="pct"/>
                  <w:tcBorders>
                    <w:tl2br w:val="nil"/>
                    <w:tr2bl w:val="nil"/>
                  </w:tcBorders>
                  <w:noWrap w:val="0"/>
                  <w:vAlign w:val="center"/>
                </w:tcPr>
                <w:p w14:paraId="4A9F2C6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504-60-9</w:t>
                  </w:r>
                </w:p>
              </w:tc>
              <w:tc>
                <w:tcPr>
                  <w:tcW w:w="409" w:type="pct"/>
                  <w:tcBorders>
                    <w:tl2br w:val="nil"/>
                    <w:tr2bl w:val="nil"/>
                  </w:tcBorders>
                  <w:noWrap w:val="0"/>
                  <w:vAlign w:val="center"/>
                </w:tcPr>
                <w:p w14:paraId="0353774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C₅H₈</w:t>
                  </w:r>
                </w:p>
              </w:tc>
              <w:tc>
                <w:tcPr>
                  <w:tcW w:w="314" w:type="pct"/>
                  <w:tcBorders>
                    <w:tl2br w:val="nil"/>
                    <w:tr2bl w:val="nil"/>
                  </w:tcBorders>
                  <w:noWrap w:val="0"/>
                  <w:vAlign w:val="center"/>
                </w:tcPr>
                <w:p w14:paraId="7DD95A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68.12</w:t>
                  </w:r>
                </w:p>
              </w:tc>
              <w:tc>
                <w:tcPr>
                  <w:tcW w:w="1060" w:type="pct"/>
                  <w:tcBorders>
                    <w:tl2br w:val="nil"/>
                    <w:tr2bl w:val="nil"/>
                  </w:tcBorders>
                  <w:noWrap w:val="0"/>
                  <w:vAlign w:val="center"/>
                </w:tcPr>
                <w:p w14:paraId="757AD6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无色易挥发液体，有刺激性气味，不溶于水，易溶于乙醇、乙醚等，沸点42.3℃，熔点-92.7℃，相对密度0.688（20℃），易聚合，通常加阻聚剂储存。</w:t>
                  </w:r>
                </w:p>
              </w:tc>
              <w:tc>
                <w:tcPr>
                  <w:tcW w:w="1060" w:type="pct"/>
                  <w:tcBorders>
                    <w:tl2br w:val="nil"/>
                    <w:tr2bl w:val="nil"/>
                  </w:tcBorders>
                  <w:noWrap w:val="0"/>
                  <w:vAlign w:val="center"/>
                </w:tcPr>
                <w:p w14:paraId="6352EC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极度易燃，闪点-42℃，爆炸极限1.6%-12.0%（体积分数），遇明火、高热或氧化剂立即燃烧爆炸，蒸汽比空气重，易形成爆炸性混合物，聚合放热可能引发危险。</w:t>
                  </w:r>
                </w:p>
              </w:tc>
              <w:tc>
                <w:tcPr>
                  <w:tcW w:w="1027" w:type="pct"/>
                  <w:tcBorders>
                    <w:tl2br w:val="nil"/>
                    <w:tr2bl w:val="nil"/>
                  </w:tcBorders>
                  <w:noWrap w:val="0"/>
                  <w:vAlign w:val="center"/>
                </w:tcPr>
                <w:p w14:paraId="645EC9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低毒，急性毒性：大鼠吸入LC₅₀为45000ppm（4h）；吸入高浓度蒸汽可刺激呼吸道和中枢神经系统，引起头痛、恶心，皮肤接触有轻度刺激作用，无明显蓄积毒性。</w:t>
                  </w:r>
                </w:p>
              </w:tc>
              <w:tc>
                <w:tcPr>
                  <w:tcW w:w="199" w:type="pct"/>
                  <w:tcBorders>
                    <w:tl2br w:val="nil"/>
                    <w:tr2bl w:val="nil"/>
                  </w:tcBorders>
                  <w:noWrap w:val="0"/>
                  <w:vAlign w:val="center"/>
                </w:tcPr>
                <w:p w14:paraId="32893E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19DE6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5B427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65</w:t>
                  </w:r>
                </w:p>
              </w:tc>
              <w:tc>
                <w:tcPr>
                  <w:tcW w:w="355" w:type="pct"/>
                  <w:tcBorders>
                    <w:tl2br w:val="nil"/>
                    <w:tr2bl w:val="nil"/>
                  </w:tcBorders>
                  <w:noWrap w:val="0"/>
                  <w:vAlign w:val="center"/>
                </w:tcPr>
                <w:p w14:paraId="6397EE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牛/羊油脂</w:t>
                  </w:r>
                </w:p>
              </w:tc>
              <w:tc>
                <w:tcPr>
                  <w:tcW w:w="389" w:type="pct"/>
                  <w:tcBorders>
                    <w:tl2br w:val="nil"/>
                    <w:tr2bl w:val="nil"/>
                  </w:tcBorders>
                  <w:noWrap w:val="0"/>
                  <w:vAlign w:val="center"/>
                </w:tcPr>
                <w:p w14:paraId="642B1E5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8001-76-1（牛油）、68990-28-5（羊油）</w:t>
                  </w:r>
                </w:p>
              </w:tc>
              <w:tc>
                <w:tcPr>
                  <w:tcW w:w="409" w:type="pct"/>
                  <w:tcBorders>
                    <w:tl2br w:val="nil"/>
                    <w:tr2bl w:val="nil"/>
                  </w:tcBorders>
                  <w:noWrap w:val="0"/>
                  <w:vAlign w:val="center"/>
                </w:tcPr>
                <w:p w14:paraId="1AE625E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主要成分为硬脂酸（C₁₈H₃₆O₂）、棕榈酸等的甘油三酯混合物，无固定分子式</w:t>
                  </w:r>
                </w:p>
              </w:tc>
              <w:tc>
                <w:tcPr>
                  <w:tcW w:w="314" w:type="pct"/>
                  <w:tcBorders>
                    <w:tl2br w:val="nil"/>
                    <w:tr2bl w:val="nil"/>
                  </w:tcBorders>
                  <w:noWrap w:val="0"/>
                  <w:vAlign w:val="center"/>
                </w:tcPr>
                <w:p w14:paraId="7DD9E4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800-900（平均）</w:t>
                  </w:r>
                </w:p>
              </w:tc>
              <w:tc>
                <w:tcPr>
                  <w:tcW w:w="1060" w:type="pct"/>
                  <w:tcBorders>
                    <w:tl2br w:val="nil"/>
                    <w:tr2bl w:val="nil"/>
                  </w:tcBorders>
                  <w:noWrap w:val="0"/>
                  <w:vAlign w:val="center"/>
                </w:tcPr>
                <w:p w14:paraId="4D0238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常温下为白色至淡黄色固体，有特有气味，熔点40-55℃，沸点&gt;300℃，不溶于水，溶于乙醚、氯仿等，酸值较低，稳定性较好。</w:t>
                  </w:r>
                </w:p>
              </w:tc>
              <w:tc>
                <w:tcPr>
                  <w:tcW w:w="1060" w:type="pct"/>
                  <w:tcBorders>
                    <w:tl2br w:val="nil"/>
                    <w:tr2bl w:val="nil"/>
                  </w:tcBorders>
                  <w:noWrap w:val="0"/>
                  <w:vAlign w:val="center"/>
                </w:tcPr>
                <w:p w14:paraId="43FD13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可燃，闪点&gt;230℃，属丙类可燃固体，燃烧时产生二氧化碳和水，无爆炸危险性，遇强氧化剂可助燃，火灾风险较低。</w:t>
                  </w:r>
                </w:p>
              </w:tc>
              <w:tc>
                <w:tcPr>
                  <w:tcW w:w="1027" w:type="pct"/>
                  <w:tcBorders>
                    <w:tl2br w:val="nil"/>
                    <w:tr2bl w:val="nil"/>
                  </w:tcBorders>
                  <w:noWrap w:val="0"/>
                  <w:vAlign w:val="center"/>
                </w:tcPr>
                <w:p w14:paraId="4DB414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无毒，为食品级油脂，可食用，长期过量摄入可能导致血脂升高，皮肤接触无刺激，无毒性危害。</w:t>
                  </w:r>
                </w:p>
              </w:tc>
              <w:tc>
                <w:tcPr>
                  <w:tcW w:w="199" w:type="pct"/>
                  <w:tcBorders>
                    <w:tl2br w:val="nil"/>
                    <w:tr2bl w:val="nil"/>
                  </w:tcBorders>
                  <w:noWrap w:val="0"/>
                  <w:vAlign w:val="center"/>
                </w:tcPr>
                <w:p w14:paraId="23FD27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现有</w:t>
                  </w:r>
                </w:p>
              </w:tc>
            </w:tr>
            <w:tr w14:paraId="01613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1A4995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66</w:t>
                  </w:r>
                </w:p>
              </w:tc>
              <w:tc>
                <w:tcPr>
                  <w:tcW w:w="355" w:type="pct"/>
                  <w:tcBorders>
                    <w:tl2br w:val="nil"/>
                    <w:tr2bl w:val="nil"/>
                  </w:tcBorders>
                  <w:noWrap w:val="0"/>
                  <w:vAlign w:val="center"/>
                </w:tcPr>
                <w:p w14:paraId="589887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丙酸丁酯</w:t>
                  </w:r>
                </w:p>
              </w:tc>
              <w:tc>
                <w:tcPr>
                  <w:tcW w:w="389" w:type="pct"/>
                  <w:tcBorders>
                    <w:tl2br w:val="nil"/>
                    <w:tr2bl w:val="nil"/>
                  </w:tcBorders>
                  <w:noWrap w:val="0"/>
                  <w:vAlign w:val="center"/>
                </w:tcPr>
                <w:p w14:paraId="38CBB3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590-01-2</w:t>
                  </w:r>
                </w:p>
              </w:tc>
              <w:tc>
                <w:tcPr>
                  <w:tcW w:w="409" w:type="pct"/>
                  <w:tcBorders>
                    <w:tl2br w:val="nil"/>
                    <w:tr2bl w:val="nil"/>
                  </w:tcBorders>
                  <w:noWrap w:val="0"/>
                  <w:vAlign w:val="center"/>
                </w:tcPr>
                <w:p w14:paraId="196ACC1B">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C₇H₁₄O₂</w:t>
                  </w:r>
                </w:p>
              </w:tc>
              <w:tc>
                <w:tcPr>
                  <w:tcW w:w="314" w:type="pct"/>
                  <w:tcBorders>
                    <w:tl2br w:val="nil"/>
                    <w:tr2bl w:val="nil"/>
                  </w:tcBorders>
                  <w:noWrap w:val="0"/>
                  <w:vAlign w:val="center"/>
                </w:tcPr>
                <w:p w14:paraId="1BDB0A6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130.19</w:t>
                  </w:r>
                </w:p>
              </w:tc>
              <w:tc>
                <w:tcPr>
                  <w:tcW w:w="1060" w:type="pct"/>
                  <w:tcBorders>
                    <w:tl2br w:val="nil"/>
                    <w:tr2bl w:val="nil"/>
                  </w:tcBorders>
                  <w:noWrap w:val="0"/>
                  <w:vAlign w:val="center"/>
                </w:tcPr>
                <w:p w14:paraId="1352496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无色液体，有水果香味，微溶于水，易溶于乙醇、乙醚；密度0.875g/cm³（20℃），沸点145℃，熔点-89℃，闪点32℃（闭杯）。</w:t>
                  </w:r>
                </w:p>
              </w:tc>
              <w:tc>
                <w:tcPr>
                  <w:tcW w:w="1060" w:type="pct"/>
                  <w:tcBorders>
                    <w:tl2br w:val="nil"/>
                    <w:tr2bl w:val="nil"/>
                  </w:tcBorders>
                  <w:noWrap w:val="0"/>
                  <w:vAlign w:val="center"/>
                </w:tcPr>
                <w:p w14:paraId="70D1C78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易燃，蒸汽与空气爆炸极限1.0%-7.5%；遇明火、高热易燃烧爆炸，蒸汽比空气重易扩散回燃。</w:t>
                  </w:r>
                </w:p>
              </w:tc>
              <w:tc>
                <w:tcPr>
                  <w:tcW w:w="1027" w:type="pct"/>
                  <w:tcBorders>
                    <w:tl2br w:val="nil"/>
                    <w:tr2bl w:val="nil"/>
                  </w:tcBorders>
                  <w:noWrap w:val="0"/>
                  <w:vAlign w:val="center"/>
                </w:tcPr>
                <w:p w14:paraId="5FBA652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低毒；吸入高浓度蒸汽致头痛、头晕，皮肤和眼睛接触有轻度刺激作用，口服少量无严重危害。</w:t>
                  </w:r>
                </w:p>
              </w:tc>
              <w:tc>
                <w:tcPr>
                  <w:tcW w:w="199" w:type="pct"/>
                  <w:tcBorders>
                    <w:tl2br w:val="nil"/>
                    <w:tr2bl w:val="nil"/>
                  </w:tcBorders>
                  <w:noWrap w:val="0"/>
                  <w:vAlign w:val="center"/>
                </w:tcPr>
                <w:p w14:paraId="30108C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删除1</w:t>
                  </w:r>
                </w:p>
              </w:tc>
            </w:tr>
            <w:tr w14:paraId="7CF39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FB791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67</w:t>
                  </w:r>
                </w:p>
              </w:tc>
              <w:tc>
                <w:tcPr>
                  <w:tcW w:w="355" w:type="pct"/>
                  <w:tcBorders>
                    <w:tl2br w:val="nil"/>
                    <w:tr2bl w:val="nil"/>
                  </w:tcBorders>
                  <w:noWrap w:val="0"/>
                  <w:vAlign w:val="center"/>
                </w:tcPr>
                <w:p w14:paraId="148F74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溶剂油</w:t>
                  </w:r>
                </w:p>
              </w:tc>
              <w:tc>
                <w:tcPr>
                  <w:tcW w:w="389" w:type="pct"/>
                  <w:tcBorders>
                    <w:tl2br w:val="nil"/>
                    <w:tr2bl w:val="nil"/>
                  </w:tcBorders>
                  <w:noWrap w:val="0"/>
                  <w:vAlign w:val="center"/>
                </w:tcPr>
                <w:p w14:paraId="65727896">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64742-82-1</w:t>
                  </w:r>
                </w:p>
              </w:tc>
              <w:tc>
                <w:tcPr>
                  <w:tcW w:w="409" w:type="pct"/>
                  <w:tcBorders>
                    <w:tl2br w:val="nil"/>
                    <w:tr2bl w:val="nil"/>
                  </w:tcBorders>
                  <w:noWrap w:val="0"/>
                  <w:vAlign w:val="center"/>
                </w:tcPr>
                <w:p w14:paraId="75F60B18">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无固定分子式（C6-C12烃类混合物）</w:t>
                  </w:r>
                </w:p>
              </w:tc>
              <w:tc>
                <w:tcPr>
                  <w:tcW w:w="314" w:type="pct"/>
                  <w:tcBorders>
                    <w:tl2br w:val="nil"/>
                    <w:tr2bl w:val="nil"/>
                  </w:tcBorders>
                  <w:noWrap w:val="0"/>
                  <w:vAlign w:val="center"/>
                </w:tcPr>
                <w:p w14:paraId="6EA2D89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86-170（平均分子量）</w:t>
                  </w:r>
                </w:p>
              </w:tc>
              <w:tc>
                <w:tcPr>
                  <w:tcW w:w="1060" w:type="pct"/>
                  <w:tcBorders>
                    <w:tl2br w:val="nil"/>
                    <w:tr2bl w:val="nil"/>
                  </w:tcBorders>
                  <w:noWrap w:val="0"/>
                  <w:vAlign w:val="center"/>
                </w:tcPr>
                <w:p w14:paraId="36D9979A">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无色透明液体，有石油气味，不溶于水，易溶于乙醇、乙醚；密度0.70-0.80g/cm³（20℃），沸点60-200℃，闪点-20℃至30℃（闭杯）。</w:t>
                  </w:r>
                </w:p>
              </w:tc>
              <w:tc>
                <w:tcPr>
                  <w:tcW w:w="1060" w:type="pct"/>
                  <w:tcBorders>
                    <w:tl2br w:val="nil"/>
                    <w:tr2bl w:val="nil"/>
                  </w:tcBorders>
                  <w:noWrap w:val="0"/>
                  <w:vAlign w:val="center"/>
                </w:tcPr>
                <w:p w14:paraId="3532A827">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高度易燃，蒸汽与空气爆炸极限1.0%-8.0%；遇明火、高热极易燃烧爆炸，与氧化剂反应剧烈，蒸汽比空气重易扩散回燃。</w:t>
                  </w:r>
                </w:p>
              </w:tc>
              <w:tc>
                <w:tcPr>
                  <w:tcW w:w="1027" w:type="pct"/>
                  <w:tcBorders>
                    <w:tl2br w:val="nil"/>
                    <w:tr2bl w:val="nil"/>
                  </w:tcBorders>
                  <w:noWrap w:val="0"/>
                  <w:vAlign w:val="center"/>
                </w:tcPr>
                <w:p w14:paraId="47115D7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低毒；吸入高浓度蒸汽致头痛、头晕，皮肤接触脱脂，长期接触含苯成分可能致神经系统损伤及白血病。</w:t>
                  </w:r>
                </w:p>
              </w:tc>
              <w:tc>
                <w:tcPr>
                  <w:tcW w:w="199" w:type="pct"/>
                  <w:tcBorders>
                    <w:tl2br w:val="nil"/>
                    <w:tr2bl w:val="nil"/>
                  </w:tcBorders>
                  <w:noWrap w:val="0"/>
                  <w:vAlign w:val="center"/>
                </w:tcPr>
                <w:p w14:paraId="3A3B2C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删除2</w:t>
                  </w:r>
                </w:p>
              </w:tc>
            </w:tr>
            <w:tr w14:paraId="10380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CA6D2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68</w:t>
                  </w:r>
                </w:p>
              </w:tc>
              <w:tc>
                <w:tcPr>
                  <w:tcW w:w="355" w:type="pct"/>
                  <w:tcBorders>
                    <w:tl2br w:val="nil"/>
                    <w:tr2bl w:val="nil"/>
                  </w:tcBorders>
                  <w:noWrap w:val="0"/>
                  <w:vAlign w:val="center"/>
                </w:tcPr>
                <w:p w14:paraId="2F51F5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二氯乙烷</w:t>
                  </w:r>
                </w:p>
              </w:tc>
              <w:tc>
                <w:tcPr>
                  <w:tcW w:w="389" w:type="pct"/>
                  <w:tcBorders>
                    <w:tl2br w:val="nil"/>
                    <w:tr2bl w:val="nil"/>
                  </w:tcBorders>
                  <w:noWrap w:val="0"/>
                  <w:vAlign w:val="center"/>
                </w:tcPr>
                <w:p w14:paraId="38DC7CD0">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107-06-2（1,2-二氯乙烷）</w:t>
                  </w:r>
                </w:p>
              </w:tc>
              <w:tc>
                <w:tcPr>
                  <w:tcW w:w="409" w:type="pct"/>
                  <w:tcBorders>
                    <w:tl2br w:val="nil"/>
                    <w:tr2bl w:val="nil"/>
                  </w:tcBorders>
                  <w:noWrap w:val="0"/>
                  <w:vAlign w:val="center"/>
                </w:tcPr>
                <w:p w14:paraId="506F56CD">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C₂H₄Cl₂</w:t>
                  </w:r>
                </w:p>
              </w:tc>
              <w:tc>
                <w:tcPr>
                  <w:tcW w:w="314" w:type="pct"/>
                  <w:tcBorders>
                    <w:tl2br w:val="nil"/>
                    <w:tr2bl w:val="nil"/>
                  </w:tcBorders>
                  <w:noWrap w:val="0"/>
                  <w:vAlign w:val="center"/>
                </w:tcPr>
                <w:p w14:paraId="0F4B490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98.97</w:t>
                  </w:r>
                </w:p>
              </w:tc>
              <w:tc>
                <w:tcPr>
                  <w:tcW w:w="1060" w:type="pct"/>
                  <w:tcBorders>
                    <w:tl2br w:val="nil"/>
                    <w:tr2bl w:val="nil"/>
                  </w:tcBorders>
                  <w:noWrap w:val="0"/>
                  <w:vAlign w:val="center"/>
                </w:tcPr>
                <w:p w14:paraId="3C4234C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无色透明液体，有类似氯仿气味，微溶于水，易溶于乙醇、乙醚；密度1.253g/cm³（20℃），沸点83.5℃，熔点-35.7℃，闪点13℃（闭杯）。</w:t>
                  </w:r>
                </w:p>
              </w:tc>
              <w:tc>
                <w:tcPr>
                  <w:tcW w:w="1060" w:type="pct"/>
                  <w:tcBorders>
                    <w:tl2br w:val="nil"/>
                    <w:tr2bl w:val="nil"/>
                  </w:tcBorders>
                  <w:noWrap w:val="0"/>
                  <w:vAlign w:val="center"/>
                </w:tcPr>
                <w:p w14:paraId="019626F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易燃，蒸汽与空气爆炸极限6.2%-16.0%；遇明火、高热易燃烧爆炸，与氧化剂反应剧烈，受热分解释放有毒氯化物气体。</w:t>
                  </w:r>
                </w:p>
              </w:tc>
              <w:tc>
                <w:tcPr>
                  <w:tcW w:w="1027" w:type="pct"/>
                  <w:tcBorders>
                    <w:tl2br w:val="nil"/>
                    <w:tr2bl w:val="nil"/>
                  </w:tcBorders>
                  <w:noWrap w:val="0"/>
                  <w:vAlign w:val="center"/>
                </w:tcPr>
                <w:p w14:paraId="68A8C3CB">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高毒，I类致癌物；吸入高浓度蒸汽致头痛、昏迷、肺水肿，皮肤接触可吸收，长期接触致肝肾功能损伤、白血病。</w:t>
                  </w:r>
                </w:p>
              </w:tc>
              <w:tc>
                <w:tcPr>
                  <w:tcW w:w="199" w:type="pct"/>
                  <w:tcBorders>
                    <w:tl2br w:val="nil"/>
                    <w:tr2bl w:val="nil"/>
                  </w:tcBorders>
                  <w:noWrap w:val="0"/>
                  <w:vAlign w:val="center"/>
                </w:tcPr>
                <w:p w14:paraId="4F6A7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删除3</w:t>
                  </w:r>
                </w:p>
              </w:tc>
            </w:tr>
            <w:tr w14:paraId="5ED0C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52FD1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69</w:t>
                  </w:r>
                </w:p>
              </w:tc>
              <w:tc>
                <w:tcPr>
                  <w:tcW w:w="355" w:type="pct"/>
                  <w:tcBorders>
                    <w:tl2br w:val="nil"/>
                    <w:tr2bl w:val="nil"/>
                  </w:tcBorders>
                  <w:noWrap w:val="0"/>
                  <w:vAlign w:val="center"/>
                </w:tcPr>
                <w:p w14:paraId="5BAFF1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混合芳烃</w:t>
                  </w:r>
                </w:p>
              </w:tc>
              <w:tc>
                <w:tcPr>
                  <w:tcW w:w="389" w:type="pct"/>
                  <w:tcBorders>
                    <w:tl2br w:val="nil"/>
                    <w:tr2bl w:val="nil"/>
                  </w:tcBorders>
                  <w:noWrap w:val="0"/>
                  <w:vAlign w:val="center"/>
                </w:tcPr>
                <w:p w14:paraId="3633C69E">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无固定CAS号（混合物）</w:t>
                  </w:r>
                </w:p>
              </w:tc>
              <w:tc>
                <w:tcPr>
                  <w:tcW w:w="409" w:type="pct"/>
                  <w:tcBorders>
                    <w:tl2br w:val="nil"/>
                    <w:tr2bl w:val="nil"/>
                  </w:tcBorders>
                  <w:noWrap w:val="0"/>
                  <w:vAlign w:val="center"/>
                </w:tcPr>
                <w:p w14:paraId="66FFA479">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主要为C₆-C₈芳烃，无固定分子式</w:t>
                  </w:r>
                </w:p>
              </w:tc>
              <w:tc>
                <w:tcPr>
                  <w:tcW w:w="314" w:type="pct"/>
                  <w:tcBorders>
                    <w:tl2br w:val="nil"/>
                    <w:tr2bl w:val="nil"/>
                  </w:tcBorders>
                  <w:noWrap w:val="0"/>
                  <w:vAlign w:val="center"/>
                </w:tcPr>
                <w:p w14:paraId="01C31F4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78-106（平均分子量）</w:t>
                  </w:r>
                </w:p>
              </w:tc>
              <w:tc>
                <w:tcPr>
                  <w:tcW w:w="1060" w:type="pct"/>
                  <w:tcBorders>
                    <w:tl2br w:val="nil"/>
                    <w:tr2bl w:val="nil"/>
                  </w:tcBorders>
                  <w:noWrap w:val="0"/>
                  <w:vAlign w:val="center"/>
                </w:tcPr>
                <w:p w14:paraId="7FAFE4D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无色至淡黄色液体，有强烈芳香气味，不溶于水，易溶于乙醇、乙醚；密度0.86-0.90g/cm³（20℃），沸点80-145℃，闪点-11-25℃（闭杯）。</w:t>
                  </w:r>
                </w:p>
              </w:tc>
              <w:tc>
                <w:tcPr>
                  <w:tcW w:w="1060" w:type="pct"/>
                  <w:tcBorders>
                    <w:tl2br w:val="nil"/>
                    <w:tr2bl w:val="nil"/>
                  </w:tcBorders>
                  <w:noWrap w:val="0"/>
                  <w:vAlign w:val="center"/>
                </w:tcPr>
                <w:p w14:paraId="110B1ABF">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高度易燃，蒸汽与空气爆炸极限1.0%-8.0%；遇明火、高热极易燃烧爆炸，与氧化剂反应剧烈，蒸汽比空气重易扩散回燃。</w:t>
                  </w:r>
                </w:p>
              </w:tc>
              <w:tc>
                <w:tcPr>
                  <w:tcW w:w="1027" w:type="pct"/>
                  <w:tcBorders>
                    <w:tl2br w:val="nil"/>
                    <w:tr2bl w:val="nil"/>
                  </w:tcBorders>
                  <w:noWrap w:val="0"/>
                  <w:vAlign w:val="center"/>
                </w:tcPr>
                <w:p w14:paraId="6594F96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中等毒性，含苯等I类致癌物；吸入高浓度蒸汽致头痛、头晕、昏迷，皮肤接触可吸收，长期接触致白血病等。</w:t>
                  </w:r>
                </w:p>
              </w:tc>
              <w:tc>
                <w:tcPr>
                  <w:tcW w:w="199" w:type="pct"/>
                  <w:tcBorders>
                    <w:tl2br w:val="nil"/>
                    <w:tr2bl w:val="nil"/>
                  </w:tcBorders>
                  <w:noWrap w:val="0"/>
                  <w:vAlign w:val="center"/>
                </w:tcPr>
                <w:p w14:paraId="576B5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删除4</w:t>
                  </w:r>
                </w:p>
              </w:tc>
            </w:tr>
            <w:tr w14:paraId="17F15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E3EA4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70</w:t>
                  </w:r>
                </w:p>
              </w:tc>
              <w:tc>
                <w:tcPr>
                  <w:tcW w:w="355" w:type="pct"/>
                  <w:tcBorders>
                    <w:tl2br w:val="nil"/>
                    <w:tr2bl w:val="nil"/>
                  </w:tcBorders>
                  <w:noWrap w:val="0"/>
                  <w:vAlign w:val="center"/>
                </w:tcPr>
                <w:p w14:paraId="5CEF35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氢氧化钠</w:t>
                  </w:r>
                  <w:r>
                    <w:rPr>
                      <w:rFonts w:hint="eastAsia" w:ascii="Times New Roman" w:hAnsi="Times New Roman" w:eastAsia="宋体" w:cs="Times New Roman"/>
                      <w:i w:val="0"/>
                      <w:iCs w:val="0"/>
                      <w:color w:val="auto"/>
                      <w:kern w:val="0"/>
                      <w:sz w:val="18"/>
                      <w:szCs w:val="18"/>
                      <w:u w:val="none"/>
                      <w:lang w:val="en-US" w:eastAsia="zh-CN" w:bidi="ar"/>
                    </w:rPr>
                    <w:t>溶液（30%）</w:t>
                  </w:r>
                </w:p>
              </w:tc>
              <w:tc>
                <w:tcPr>
                  <w:tcW w:w="389" w:type="pct"/>
                  <w:tcBorders>
                    <w:tl2br w:val="nil"/>
                    <w:tr2bl w:val="nil"/>
                  </w:tcBorders>
                  <w:noWrap w:val="0"/>
                  <w:vAlign w:val="center"/>
                </w:tcPr>
                <w:p w14:paraId="538FCE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1310-73-2</w:t>
                  </w:r>
                </w:p>
              </w:tc>
              <w:tc>
                <w:tcPr>
                  <w:tcW w:w="409" w:type="pct"/>
                  <w:tcBorders>
                    <w:tl2br w:val="nil"/>
                    <w:tr2bl w:val="nil"/>
                  </w:tcBorders>
                  <w:noWrap w:val="0"/>
                  <w:vAlign w:val="center"/>
                </w:tcPr>
                <w:p w14:paraId="5C5748F1">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NaOH</w:t>
                  </w:r>
                </w:p>
              </w:tc>
              <w:tc>
                <w:tcPr>
                  <w:tcW w:w="314" w:type="pct"/>
                  <w:tcBorders>
                    <w:tl2br w:val="nil"/>
                    <w:tr2bl w:val="nil"/>
                  </w:tcBorders>
                  <w:noWrap w:val="0"/>
                  <w:vAlign w:val="center"/>
                </w:tcPr>
                <w:p w14:paraId="1D7F27C3">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40</w:t>
                  </w:r>
                </w:p>
              </w:tc>
              <w:tc>
                <w:tcPr>
                  <w:tcW w:w="1060" w:type="pct"/>
                  <w:tcBorders>
                    <w:tl2br w:val="nil"/>
                    <w:tr2bl w:val="nil"/>
                  </w:tcBorders>
                  <w:noWrap w:val="0"/>
                  <w:vAlign w:val="center"/>
                </w:tcPr>
                <w:p w14:paraId="228DEC4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olor w:val="auto"/>
                      <w:kern w:val="0"/>
                      <w:sz w:val="18"/>
                      <w:szCs w:val="18"/>
                    </w:rPr>
                    <w:t>无色透明液体</w:t>
                  </w:r>
                  <w:r>
                    <w:rPr>
                      <w:rFonts w:hint="eastAsia" w:ascii="Times New Roman" w:hAnsi="Times New Roman"/>
                      <w:color w:val="auto"/>
                      <w:kern w:val="0"/>
                      <w:sz w:val="18"/>
                      <w:szCs w:val="18"/>
                      <w:lang w:eastAsia="zh-CN"/>
                    </w:rPr>
                    <w:t>，</w:t>
                  </w:r>
                  <w:r>
                    <w:rPr>
                      <w:rFonts w:hint="eastAsia" w:ascii="Times New Roman" w:hAnsi="Times New Roman"/>
                      <w:color w:val="auto"/>
                      <w:kern w:val="0"/>
                      <w:sz w:val="18"/>
                      <w:szCs w:val="18"/>
                    </w:rPr>
                    <w:t>相对密度1.328-1.349，熔点318.4℃，沸点1390℃</w:t>
                  </w:r>
                  <w:r>
                    <w:rPr>
                      <w:rFonts w:hint="default" w:ascii="Times New Roman" w:hAnsi="Times New Roman" w:eastAsia="宋体" w:cs="Times New Roman"/>
                      <w:i w:val="0"/>
                      <w:iCs w:val="0"/>
                      <w:color w:val="auto"/>
                      <w:kern w:val="0"/>
                      <w:sz w:val="18"/>
                      <w:szCs w:val="18"/>
                      <w:u w:val="none"/>
                      <w:lang w:val="en-US" w:eastAsia="zh-CN" w:bidi="ar"/>
                    </w:rPr>
                    <w:t>。</w:t>
                  </w:r>
                </w:p>
              </w:tc>
              <w:tc>
                <w:tcPr>
                  <w:tcW w:w="1060" w:type="pct"/>
                  <w:tcBorders>
                    <w:tl2br w:val="nil"/>
                    <w:tr2bl w:val="nil"/>
                  </w:tcBorders>
                  <w:noWrap w:val="0"/>
                  <w:vAlign w:val="center"/>
                </w:tcPr>
                <w:p w14:paraId="470F910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不燃，但具强腐蚀性，与酸反应剧烈放热，与某些金属反应生成氢气可能爆炸，遇可燃物可能引发燃烧。</w:t>
                  </w:r>
                </w:p>
              </w:tc>
              <w:tc>
                <w:tcPr>
                  <w:tcW w:w="1027" w:type="pct"/>
                  <w:tcBorders>
                    <w:tl2br w:val="nil"/>
                    <w:tr2bl w:val="nil"/>
                  </w:tcBorders>
                  <w:noWrap w:val="0"/>
                  <w:vAlign w:val="center"/>
                </w:tcPr>
                <w:p w14:paraId="1159B6B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Style w:val="57"/>
                      <w:rFonts w:hint="default" w:ascii="Times New Roman" w:hAnsi="Times New Roman" w:eastAsia="宋体" w:cs="Times New Roman"/>
                      <w:b w:val="0"/>
                      <w:bCs w:val="0"/>
                      <w:color w:val="auto"/>
                      <w:sz w:val="18"/>
                      <w:szCs w:val="18"/>
                      <w:highlight w:val="none"/>
                      <w:lang w:val="en-US" w:eastAsia="zh-CN" w:bidi="ar"/>
                    </w:rPr>
                    <w:t>LD</w:t>
                  </w:r>
                  <w:r>
                    <w:rPr>
                      <w:rStyle w:val="57"/>
                      <w:rFonts w:hint="default" w:ascii="Times New Roman" w:hAnsi="Times New Roman" w:eastAsia="宋体" w:cs="Times New Roman"/>
                      <w:b w:val="0"/>
                      <w:bCs w:val="0"/>
                      <w:color w:val="auto"/>
                      <w:sz w:val="18"/>
                      <w:szCs w:val="18"/>
                      <w:highlight w:val="none"/>
                      <w:vertAlign w:val="subscript"/>
                      <w:lang w:val="en-US" w:eastAsia="zh-CN" w:bidi="ar"/>
                    </w:rPr>
                    <w:t>50</w:t>
                  </w:r>
                  <w:r>
                    <w:rPr>
                      <w:rStyle w:val="57"/>
                      <w:rFonts w:hint="default" w:ascii="Times New Roman" w:hAnsi="Times New Roman" w:eastAsia="宋体" w:cs="Times New Roman"/>
                      <w:b w:val="0"/>
                      <w:bCs w:val="0"/>
                      <w:color w:val="auto"/>
                      <w:sz w:val="18"/>
                      <w:szCs w:val="18"/>
                      <w:highlight w:val="none"/>
                      <w:lang w:val="en-US" w:eastAsia="zh-CN" w:bidi="ar"/>
                    </w:rPr>
                    <w:t>：40mg/kg</w:t>
                  </w:r>
                  <w:r>
                    <w:rPr>
                      <w:rStyle w:val="78"/>
                      <w:rFonts w:hint="default" w:ascii="Times New Roman" w:hAnsi="Times New Roman" w:eastAsia="宋体" w:cs="Times New Roman"/>
                      <w:b w:val="0"/>
                      <w:bCs w:val="0"/>
                      <w:color w:val="auto"/>
                      <w:sz w:val="18"/>
                      <w:szCs w:val="18"/>
                      <w:highlight w:val="none"/>
                      <w:lang w:val="en-US" w:eastAsia="zh-CN" w:bidi="ar"/>
                    </w:rPr>
                    <w:t>（小鼠腹腔）。</w:t>
                  </w:r>
                </w:p>
              </w:tc>
              <w:tc>
                <w:tcPr>
                  <w:tcW w:w="199" w:type="pct"/>
                  <w:tcBorders>
                    <w:tl2br w:val="nil"/>
                    <w:tr2bl w:val="nil"/>
                  </w:tcBorders>
                  <w:noWrap w:val="0"/>
                  <w:vAlign w:val="center"/>
                </w:tcPr>
                <w:p w14:paraId="5D9CDC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删除5</w:t>
                  </w:r>
                </w:p>
              </w:tc>
            </w:tr>
            <w:tr w14:paraId="267EC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7A296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71</w:t>
                  </w:r>
                </w:p>
              </w:tc>
              <w:tc>
                <w:tcPr>
                  <w:tcW w:w="355" w:type="pct"/>
                  <w:tcBorders>
                    <w:tl2br w:val="nil"/>
                    <w:tr2bl w:val="nil"/>
                  </w:tcBorders>
                  <w:noWrap w:val="0"/>
                  <w:vAlign w:val="center"/>
                </w:tcPr>
                <w:p w14:paraId="7F6E5E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硫酸</w:t>
                  </w:r>
                </w:p>
              </w:tc>
              <w:tc>
                <w:tcPr>
                  <w:tcW w:w="389" w:type="pct"/>
                  <w:tcBorders>
                    <w:tl2br w:val="nil"/>
                    <w:tr2bl w:val="nil"/>
                  </w:tcBorders>
                  <w:noWrap w:val="0"/>
                  <w:vAlign w:val="center"/>
                </w:tcPr>
                <w:p w14:paraId="64FAD4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Style w:val="61"/>
                      <w:rFonts w:hint="default" w:ascii="Times New Roman" w:hAnsi="Times New Roman" w:eastAsia="宋体" w:cs="Times New Roman"/>
                      <w:color w:val="auto"/>
                      <w:sz w:val="18"/>
                      <w:szCs w:val="18"/>
                      <w:lang w:val="en-US" w:eastAsia="zh-CN" w:bidi="ar"/>
                    </w:rPr>
                    <w:t>7664-93-9</w:t>
                  </w:r>
                </w:p>
              </w:tc>
              <w:tc>
                <w:tcPr>
                  <w:tcW w:w="409" w:type="pct"/>
                  <w:tcBorders>
                    <w:tl2br w:val="nil"/>
                    <w:tr2bl w:val="nil"/>
                  </w:tcBorders>
                  <w:noWrap w:val="0"/>
                  <w:vAlign w:val="center"/>
                </w:tcPr>
                <w:p w14:paraId="2C47273B">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H₂SO₄</w:t>
                  </w:r>
                </w:p>
              </w:tc>
              <w:tc>
                <w:tcPr>
                  <w:tcW w:w="314" w:type="pct"/>
                  <w:tcBorders>
                    <w:tl2br w:val="nil"/>
                    <w:tr2bl w:val="nil"/>
                  </w:tcBorders>
                  <w:noWrap w:val="0"/>
                  <w:vAlign w:val="center"/>
                </w:tcPr>
                <w:p w14:paraId="7CBA0AB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98.08</w:t>
                  </w:r>
                </w:p>
              </w:tc>
              <w:tc>
                <w:tcPr>
                  <w:tcW w:w="1060" w:type="pct"/>
                  <w:tcBorders>
                    <w:tl2br w:val="nil"/>
                    <w:tr2bl w:val="nil"/>
                  </w:tcBorders>
                  <w:noWrap w:val="0"/>
                  <w:vAlign w:val="center"/>
                </w:tcPr>
                <w:p w14:paraId="0B39D894">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纯品为无色油状液体，无臭，易溶于水并放热，有强腐蚀性；密度1.84g/cm³（98%），沸点338℃，熔点10.37℃，不燃。</w:t>
                  </w:r>
                </w:p>
              </w:tc>
              <w:tc>
                <w:tcPr>
                  <w:tcW w:w="1060" w:type="pct"/>
                  <w:tcBorders>
                    <w:tl2br w:val="nil"/>
                    <w:tr2bl w:val="nil"/>
                  </w:tcBorders>
                  <w:noWrap w:val="0"/>
                  <w:vAlign w:val="center"/>
                </w:tcPr>
                <w:p w14:paraId="65B904E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不燃，但具强氧化性，与可燃物接触易引发燃烧，与金属反应生成氢气可能爆炸，受热分解释放有毒气体。</w:t>
                  </w:r>
                </w:p>
              </w:tc>
              <w:tc>
                <w:tcPr>
                  <w:tcW w:w="1027" w:type="pct"/>
                  <w:tcBorders>
                    <w:tl2br w:val="nil"/>
                    <w:tr2bl w:val="nil"/>
                  </w:tcBorders>
                  <w:noWrap w:val="0"/>
                  <w:vAlign w:val="center"/>
                </w:tcPr>
                <w:p w14:paraId="2973E710">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高毒，强腐蚀性；皮肤、眼睛接触立即致严重灼伤，吸入酸雾致呼吸道损伤、肺水肿，口服致消化道穿孔及内脏损伤。</w:t>
                  </w:r>
                </w:p>
              </w:tc>
              <w:tc>
                <w:tcPr>
                  <w:tcW w:w="199" w:type="pct"/>
                  <w:tcBorders>
                    <w:tl2br w:val="nil"/>
                    <w:tr2bl w:val="nil"/>
                  </w:tcBorders>
                  <w:noWrap w:val="0"/>
                  <w:vAlign w:val="center"/>
                </w:tcPr>
                <w:p w14:paraId="2D869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删除6</w:t>
                  </w:r>
                </w:p>
              </w:tc>
            </w:tr>
            <w:tr w14:paraId="21CEC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C751B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72</w:t>
                  </w:r>
                </w:p>
              </w:tc>
              <w:tc>
                <w:tcPr>
                  <w:tcW w:w="355" w:type="pct"/>
                  <w:tcBorders>
                    <w:tl2br w:val="nil"/>
                    <w:tr2bl w:val="nil"/>
                  </w:tcBorders>
                  <w:noWrap w:val="0"/>
                  <w:vAlign w:val="center"/>
                </w:tcPr>
                <w:p w14:paraId="419AA4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乙烯焦油</w:t>
                  </w:r>
                </w:p>
              </w:tc>
              <w:tc>
                <w:tcPr>
                  <w:tcW w:w="389" w:type="pct"/>
                  <w:tcBorders>
                    <w:tl2br w:val="nil"/>
                    <w:tr2bl w:val="nil"/>
                  </w:tcBorders>
                  <w:noWrap w:val="0"/>
                  <w:vAlign w:val="center"/>
                </w:tcPr>
                <w:p w14:paraId="591C4633">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无单一CAS号（混合物）</w:t>
                  </w:r>
                </w:p>
              </w:tc>
              <w:tc>
                <w:tcPr>
                  <w:tcW w:w="409" w:type="pct"/>
                  <w:tcBorders>
                    <w:tl2br w:val="nil"/>
                    <w:tr2bl w:val="nil"/>
                  </w:tcBorders>
                  <w:noWrap w:val="0"/>
                  <w:vAlign w:val="center"/>
                </w:tcPr>
                <w:p w14:paraId="1529074C">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混合物（主要含多环芳烃、烯烃等）</w:t>
                  </w:r>
                </w:p>
              </w:tc>
              <w:tc>
                <w:tcPr>
                  <w:tcW w:w="314" w:type="pct"/>
                  <w:tcBorders>
                    <w:tl2br w:val="nil"/>
                    <w:tr2bl w:val="nil"/>
                  </w:tcBorders>
                  <w:noWrap w:val="0"/>
                  <w:vAlign w:val="center"/>
                </w:tcPr>
                <w:p w14:paraId="5AB44D02">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无固定值（平均300-500）</w:t>
                  </w:r>
                </w:p>
              </w:tc>
              <w:tc>
                <w:tcPr>
                  <w:tcW w:w="1060" w:type="pct"/>
                  <w:tcBorders>
                    <w:tl2br w:val="nil"/>
                    <w:tr2bl w:val="nil"/>
                  </w:tcBorders>
                  <w:noWrap w:val="0"/>
                  <w:vAlign w:val="center"/>
                </w:tcPr>
                <w:p w14:paraId="7E638D65">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黑色黏稠液体，有特殊臭味；相对密度1.02-1.08（水=1）；不溶于水，溶于苯、甲苯、乙醇等有机溶剂；沸点范围200℃-500℃，具有一定腐蚀性。</w:t>
                  </w:r>
                </w:p>
              </w:tc>
              <w:tc>
                <w:tcPr>
                  <w:tcW w:w="1060" w:type="pct"/>
                  <w:tcBorders>
                    <w:tl2br w:val="nil"/>
                    <w:tr2bl w:val="nil"/>
                  </w:tcBorders>
                  <w:noWrap w:val="0"/>
                  <w:vAlign w:val="center"/>
                </w:tcPr>
                <w:p w14:paraId="41DC8E79">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可燃，闪点80℃-120℃，爆炸极限1.2%-6.0%（体积分数）；遇明火、高热可燃；燃烧时产生大量黑烟和有毒气体；与氧化剂接触可能加剧燃烧。</w:t>
                  </w:r>
                </w:p>
              </w:tc>
              <w:tc>
                <w:tcPr>
                  <w:tcW w:w="1027" w:type="pct"/>
                  <w:tcBorders>
                    <w:tl2br w:val="nil"/>
                    <w:tr2bl w:val="nil"/>
                  </w:tcBorders>
                  <w:noWrap w:val="0"/>
                  <w:vAlign w:val="center"/>
                </w:tcPr>
                <w:p w14:paraId="01B1A108">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中等毒性，含有苯并芘等致癌物质；长期接触或吸入其蒸气、粉尘，可能导致皮肤癌、肺癌等恶性肿瘤；对皮肤、眼睛和呼吸道有强烈刺激和腐蚀作用。</w:t>
                  </w:r>
                </w:p>
              </w:tc>
              <w:tc>
                <w:tcPr>
                  <w:tcW w:w="199" w:type="pct"/>
                  <w:tcBorders>
                    <w:tl2br w:val="nil"/>
                    <w:tr2bl w:val="nil"/>
                  </w:tcBorders>
                  <w:noWrap w:val="0"/>
                  <w:vAlign w:val="center"/>
                </w:tcPr>
                <w:p w14:paraId="53FB21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rPr>
                    <w:t>删除7</w:t>
                  </w:r>
                </w:p>
              </w:tc>
            </w:tr>
            <w:tr w14:paraId="0A728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A24C8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73</w:t>
                  </w:r>
                </w:p>
              </w:tc>
              <w:tc>
                <w:tcPr>
                  <w:tcW w:w="355" w:type="pct"/>
                  <w:tcBorders>
                    <w:tl2br w:val="nil"/>
                    <w:tr2bl w:val="nil"/>
                  </w:tcBorders>
                  <w:noWrap w:val="0"/>
                  <w:vAlign w:val="center"/>
                </w:tcPr>
                <w:p w14:paraId="0499B4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生物柴油</w:t>
                  </w:r>
                </w:p>
              </w:tc>
              <w:tc>
                <w:tcPr>
                  <w:tcW w:w="389" w:type="pct"/>
                  <w:tcBorders>
                    <w:tl2br w:val="nil"/>
                    <w:tr2bl w:val="nil"/>
                  </w:tcBorders>
                  <w:noWrap w:val="0"/>
                  <w:vAlign w:val="center"/>
                </w:tcPr>
                <w:p w14:paraId="721A8AE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无固定CAS号（混合物，主要成分为脂肪酸甲酯）</w:t>
                  </w:r>
                </w:p>
              </w:tc>
              <w:tc>
                <w:tcPr>
                  <w:tcW w:w="409" w:type="pct"/>
                  <w:tcBorders>
                    <w:tl2br w:val="nil"/>
                    <w:tr2bl w:val="nil"/>
                  </w:tcBorders>
                  <w:noWrap w:val="0"/>
                  <w:vAlign w:val="center"/>
                </w:tcPr>
                <w:p w14:paraId="2AFC27C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CₙH₂ₙO₂（n=14-20）</w:t>
                  </w:r>
                </w:p>
              </w:tc>
              <w:tc>
                <w:tcPr>
                  <w:tcW w:w="314" w:type="pct"/>
                  <w:tcBorders>
                    <w:tl2br w:val="nil"/>
                    <w:tr2bl w:val="nil"/>
                  </w:tcBorders>
                  <w:noWrap w:val="0"/>
                  <w:vAlign w:val="center"/>
                </w:tcPr>
                <w:p w14:paraId="61BCD1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220-290（平均）</w:t>
                  </w:r>
                </w:p>
              </w:tc>
              <w:tc>
                <w:tcPr>
                  <w:tcW w:w="1060" w:type="pct"/>
                  <w:tcBorders>
                    <w:tl2br w:val="nil"/>
                    <w:tr2bl w:val="nil"/>
                  </w:tcBorders>
                  <w:noWrap w:val="0"/>
                  <w:vAlign w:val="center"/>
                </w:tcPr>
                <w:p w14:paraId="667602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淡黄色至棕黄色液体，有植物油气味，不溶于水，溶于乙醇、乙醚等，沸点330-360℃，闪点120-150℃，相对密度0.87-0.90（20℃），粘度高于柴油。</w:t>
                  </w:r>
                </w:p>
              </w:tc>
              <w:tc>
                <w:tcPr>
                  <w:tcW w:w="1060" w:type="pct"/>
                  <w:tcBorders>
                    <w:tl2br w:val="nil"/>
                    <w:tr2bl w:val="nil"/>
                  </w:tcBorders>
                  <w:noWrap w:val="0"/>
                  <w:vAlign w:val="center"/>
                </w:tcPr>
                <w:p w14:paraId="58B655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可燃，属丙类可燃液体，燃烧时产生二氧化碳和水，燃烧性能良好，无爆炸危险性，闪点较高，火灾风险低于普通柴油，与氧化剂接触可助燃。</w:t>
                  </w:r>
                </w:p>
              </w:tc>
              <w:tc>
                <w:tcPr>
                  <w:tcW w:w="1027" w:type="pct"/>
                  <w:tcBorders>
                    <w:tl2br w:val="nil"/>
                    <w:tr2bl w:val="nil"/>
                  </w:tcBorders>
                  <w:noWrap w:val="0"/>
                  <w:vAlign w:val="center"/>
                </w:tcPr>
                <w:p w14:paraId="220E99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低毒，急性毒性极低，经口摄入少量无危害，对皮肤和眼睛有轻微刺激作用，无致癌、致畸性，生物降解性好，对环境友好。</w:t>
                  </w:r>
                </w:p>
              </w:tc>
              <w:tc>
                <w:tcPr>
                  <w:tcW w:w="199" w:type="pct"/>
                  <w:tcBorders>
                    <w:tl2br w:val="nil"/>
                    <w:tr2bl w:val="nil"/>
                  </w:tcBorders>
                  <w:noWrap w:val="0"/>
                  <w:vAlign w:val="center"/>
                </w:tcPr>
                <w:p w14:paraId="018497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删除8</w:t>
                  </w:r>
                </w:p>
              </w:tc>
            </w:tr>
            <w:tr w14:paraId="42B336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79A5B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74</w:t>
                  </w:r>
                </w:p>
              </w:tc>
              <w:tc>
                <w:tcPr>
                  <w:tcW w:w="355" w:type="pct"/>
                  <w:tcBorders>
                    <w:tl2br w:val="nil"/>
                    <w:tr2bl w:val="nil"/>
                  </w:tcBorders>
                  <w:noWrap w:val="0"/>
                  <w:vAlign w:val="center"/>
                </w:tcPr>
                <w:p w14:paraId="7C1687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2"/>
                      <w:sz w:val="18"/>
                      <w:szCs w:val="18"/>
                      <w:u w:val="none"/>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航空煤油</w:t>
                  </w:r>
                </w:p>
              </w:tc>
              <w:tc>
                <w:tcPr>
                  <w:tcW w:w="389" w:type="pct"/>
                  <w:tcBorders>
                    <w:tl2br w:val="nil"/>
                    <w:tr2bl w:val="nil"/>
                  </w:tcBorders>
                  <w:noWrap w:val="0"/>
                  <w:vAlign w:val="center"/>
                </w:tcPr>
                <w:p w14:paraId="3FA1079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无固定CAS号（混合物，主要成分为C₁₀-C₁₆烷烃）</w:t>
                  </w:r>
                </w:p>
              </w:tc>
              <w:tc>
                <w:tcPr>
                  <w:tcW w:w="409" w:type="pct"/>
                  <w:tcBorders>
                    <w:tl2br w:val="nil"/>
                    <w:tr2bl w:val="nil"/>
                  </w:tcBorders>
                  <w:noWrap w:val="0"/>
                  <w:vAlign w:val="center"/>
                </w:tcPr>
                <w:p w14:paraId="3F22D6C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复杂烃类混合物，无固定分子式</w:t>
                  </w:r>
                </w:p>
              </w:tc>
              <w:tc>
                <w:tcPr>
                  <w:tcW w:w="314" w:type="pct"/>
                  <w:tcBorders>
                    <w:tl2br w:val="nil"/>
                    <w:tr2bl w:val="nil"/>
                  </w:tcBorders>
                  <w:noWrap w:val="0"/>
                  <w:vAlign w:val="center"/>
                </w:tcPr>
                <w:p w14:paraId="10E71B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140-200（平均）</w:t>
                  </w:r>
                </w:p>
              </w:tc>
              <w:tc>
                <w:tcPr>
                  <w:tcW w:w="1060" w:type="pct"/>
                  <w:tcBorders>
                    <w:tl2br w:val="nil"/>
                    <w:tr2bl w:val="nil"/>
                  </w:tcBorders>
                  <w:noWrap w:val="0"/>
                  <w:vAlign w:val="center"/>
                </w:tcPr>
                <w:p w14:paraId="3842F7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无色至淡黄色液体，有轻微煤油气味，不溶于水，溶于乙醇、乙醚等，沸点150-250℃，闪点38-72℃，相对密度0.77-0.84（20℃），粘度适中。</w:t>
                  </w:r>
                </w:p>
              </w:tc>
              <w:tc>
                <w:tcPr>
                  <w:tcW w:w="1060" w:type="pct"/>
                  <w:tcBorders>
                    <w:tl2br w:val="nil"/>
                    <w:tr2bl w:val="nil"/>
                  </w:tcBorders>
                  <w:noWrap w:val="0"/>
                  <w:vAlign w:val="center"/>
                </w:tcPr>
                <w:p w14:paraId="5542FA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易燃，属乙类可燃液体，爆炸极限0.6%-6.0%（体积分数），遇明火、高热可燃，燃烧时产生一氧化碳等有害气体，蒸汽比空气重，易扩散至火源引发回燃。</w:t>
                  </w:r>
                </w:p>
              </w:tc>
              <w:tc>
                <w:tcPr>
                  <w:tcW w:w="1027" w:type="pct"/>
                  <w:tcBorders>
                    <w:tl2br w:val="nil"/>
                    <w:tr2bl w:val="nil"/>
                  </w:tcBorders>
                  <w:noWrap w:val="0"/>
                  <w:vAlign w:val="center"/>
                </w:tcPr>
                <w:p w14:paraId="40C181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低毒，急性毒性低，吸入高浓度蒸汽可引起头痛、头晕、乏力等中枢神经系统抑制症状，长期接触可能导致呼吸道刺激和皮肤脱脂。</w:t>
                  </w:r>
                </w:p>
              </w:tc>
              <w:tc>
                <w:tcPr>
                  <w:tcW w:w="199" w:type="pct"/>
                  <w:tcBorders>
                    <w:tl2br w:val="nil"/>
                    <w:tr2bl w:val="nil"/>
                  </w:tcBorders>
                  <w:noWrap w:val="0"/>
                  <w:vAlign w:val="center"/>
                </w:tcPr>
                <w:p w14:paraId="3ABB2A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lang w:val="en-US" w:eastAsia="zh-CN" w:bidi="ar-SA"/>
                    </w:rPr>
                    <w:t>删除9</w:t>
                  </w:r>
                </w:p>
              </w:tc>
            </w:tr>
            <w:tr w14:paraId="4A415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2A698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color w:val="auto"/>
                      <w:kern w:val="0"/>
                      <w:sz w:val="18"/>
                      <w:szCs w:val="18"/>
                      <w:highlight w:val="none"/>
                      <w:lang w:val="en-US" w:eastAsia="zh-CN"/>
                    </w:rPr>
                    <w:t>75</w:t>
                  </w:r>
                </w:p>
              </w:tc>
              <w:tc>
                <w:tcPr>
                  <w:tcW w:w="355" w:type="pct"/>
                  <w:tcBorders>
                    <w:tl2br w:val="nil"/>
                    <w:tr2bl w:val="nil"/>
                  </w:tcBorders>
                  <w:shd w:val="clear" w:color="auto" w:fill="auto"/>
                  <w:noWrap w:val="0"/>
                  <w:vAlign w:val="center"/>
                </w:tcPr>
                <w:p w14:paraId="6AA57E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硬脂酸</w:t>
                  </w:r>
                </w:p>
              </w:tc>
              <w:tc>
                <w:tcPr>
                  <w:tcW w:w="389" w:type="pct"/>
                  <w:tcBorders>
                    <w:tl2br w:val="nil"/>
                    <w:tr2bl w:val="nil"/>
                  </w:tcBorders>
                  <w:shd w:val="clear" w:color="auto" w:fill="auto"/>
                  <w:noWrap w:val="0"/>
                  <w:vAlign w:val="center"/>
                </w:tcPr>
                <w:p w14:paraId="05A9910D">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67701-03-5</w:t>
                  </w:r>
                </w:p>
              </w:tc>
              <w:tc>
                <w:tcPr>
                  <w:tcW w:w="409" w:type="pct"/>
                  <w:tcBorders>
                    <w:tl2br w:val="nil"/>
                    <w:tr2bl w:val="nil"/>
                  </w:tcBorders>
                  <w:shd w:val="clear" w:color="auto" w:fill="auto"/>
                  <w:noWrap w:val="0"/>
                  <w:vAlign w:val="center"/>
                </w:tcPr>
                <w:p w14:paraId="6FF2BB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C₃₄H₆₈O₄（混合物平均式）</w:t>
                  </w:r>
                </w:p>
              </w:tc>
              <w:tc>
                <w:tcPr>
                  <w:tcW w:w="314" w:type="pct"/>
                  <w:tcBorders>
                    <w:tl2br w:val="nil"/>
                    <w:tr2bl w:val="nil"/>
                  </w:tcBorders>
                  <w:shd w:val="clear" w:color="auto" w:fill="auto"/>
                  <w:noWrap w:val="0"/>
                  <w:vAlign w:val="center"/>
                </w:tcPr>
                <w:p w14:paraId="5E4243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540.9</w:t>
                  </w:r>
                </w:p>
              </w:tc>
              <w:tc>
                <w:tcPr>
                  <w:tcW w:w="1060" w:type="pct"/>
                  <w:tcBorders>
                    <w:tl2br w:val="nil"/>
                    <w:tr2bl w:val="nil"/>
                  </w:tcBorders>
                  <w:shd w:val="clear" w:color="auto" w:fill="auto"/>
                  <w:noWrap w:val="0"/>
                  <w:vAlign w:val="center"/>
                </w:tcPr>
                <w:p w14:paraId="096D8E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白色有光泽的蜡状结晶或粉末，带有轻微油脂气味；相对密度0.840～0.850，熔点69.6℃，沸点200-240℃；不溶于水，微溶于冷乙醇，易溶于乙醚、氯仿、苯、丙酮等有机溶剂。</w:t>
                  </w:r>
                </w:p>
              </w:tc>
              <w:tc>
                <w:tcPr>
                  <w:tcW w:w="1060" w:type="pct"/>
                  <w:tcBorders>
                    <w:tl2br w:val="nil"/>
                    <w:tr2bl w:val="nil"/>
                  </w:tcBorders>
                  <w:shd w:val="clear" w:color="auto" w:fill="auto"/>
                  <w:noWrap w:val="0"/>
                  <w:vAlign w:val="center"/>
                </w:tcPr>
                <w:p w14:paraId="79931C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第9类杂项危险物质和物品，闪点180-202℃，自然/引燃温度350℃；粉体遇明火、高温可燃烧，无爆炸危险。</w:t>
                  </w:r>
                </w:p>
              </w:tc>
              <w:tc>
                <w:tcPr>
                  <w:tcW w:w="1027" w:type="pct"/>
                  <w:tcBorders>
                    <w:tl2br w:val="nil"/>
                    <w:tr2bl w:val="nil"/>
                  </w:tcBorders>
                  <w:shd w:val="clear" w:color="auto" w:fill="auto"/>
                  <w:noWrap w:val="0"/>
                  <w:vAlign w:val="center"/>
                </w:tcPr>
                <w:p w14:paraId="1F3D0B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LD₅₀（大鼠经口）：&gt;5000mg/kg；</w:t>
                  </w:r>
                </w:p>
                <w:p w14:paraId="71E64E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LC₅₀（大鼠吸入，4h）：&gt;0.16mg/L</w:t>
                  </w:r>
                </w:p>
              </w:tc>
              <w:tc>
                <w:tcPr>
                  <w:tcW w:w="199" w:type="pct"/>
                  <w:tcBorders>
                    <w:tl2br w:val="nil"/>
                    <w:tr2bl w:val="nil"/>
                  </w:tcBorders>
                  <w:noWrap w:val="0"/>
                  <w:vAlign w:val="center"/>
                </w:tcPr>
                <w:p w14:paraId="0D00FA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新增1</w:t>
                  </w:r>
                </w:p>
              </w:tc>
            </w:tr>
            <w:tr w14:paraId="0830CD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160B0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76</w:t>
                  </w:r>
                </w:p>
              </w:tc>
              <w:tc>
                <w:tcPr>
                  <w:tcW w:w="355" w:type="pct"/>
                  <w:tcBorders>
                    <w:tl2br w:val="nil"/>
                    <w:tr2bl w:val="nil"/>
                  </w:tcBorders>
                  <w:noWrap w:val="0"/>
                  <w:vAlign w:val="center"/>
                </w:tcPr>
                <w:p w14:paraId="49819C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棕榈硬脂</w:t>
                  </w:r>
                </w:p>
              </w:tc>
              <w:tc>
                <w:tcPr>
                  <w:tcW w:w="389" w:type="pct"/>
                  <w:tcBorders>
                    <w:tl2br w:val="nil"/>
                    <w:tr2bl w:val="nil"/>
                  </w:tcBorders>
                  <w:noWrap w:val="0"/>
                  <w:vAlign w:val="center"/>
                </w:tcPr>
                <w:p w14:paraId="5DFCF3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b w:val="0"/>
                      <w:bCs w:val="0"/>
                      <w:i w:val="0"/>
                      <w:iCs w:val="0"/>
                      <w:color w:val="auto"/>
                      <w:kern w:val="0"/>
                      <w:sz w:val="18"/>
                      <w:szCs w:val="18"/>
                      <w:highlight w:val="yellow"/>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68308-50-7</w:t>
                  </w:r>
                </w:p>
              </w:tc>
              <w:tc>
                <w:tcPr>
                  <w:tcW w:w="409" w:type="pct"/>
                  <w:tcBorders>
                    <w:tl2br w:val="nil"/>
                    <w:tr2bl w:val="nil"/>
                  </w:tcBorders>
                  <w:noWrap w:val="0"/>
                  <w:vAlign w:val="center"/>
                </w:tcPr>
                <w:p w14:paraId="0B6D05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甘油三酯混合物，主成分为C</w:t>
                  </w:r>
                  <w:r>
                    <w:rPr>
                      <w:rFonts w:hint="eastAsia" w:ascii="Times New Roman" w:hAnsi="Times New Roman" w:cs="Times New Roman"/>
                      <w:i w:val="0"/>
                      <w:iCs w:val="0"/>
                      <w:color w:val="auto"/>
                      <w:kern w:val="0"/>
                      <w:sz w:val="18"/>
                      <w:szCs w:val="18"/>
                      <w:u w:val="none"/>
                      <w:vertAlign w:val="subscript"/>
                      <w:lang w:val="en-US" w:eastAsia="zh-CN" w:bidi="ar"/>
                    </w:rPr>
                    <w:t>48</w:t>
                  </w:r>
                  <w:r>
                    <w:rPr>
                      <w:rFonts w:hint="eastAsia" w:ascii="Times New Roman" w:hAnsi="Times New Roman" w:eastAsia="宋体" w:cs="Times New Roman"/>
                      <w:i w:val="0"/>
                      <w:iCs w:val="0"/>
                      <w:color w:val="auto"/>
                      <w:kern w:val="0"/>
                      <w:sz w:val="18"/>
                      <w:szCs w:val="18"/>
                      <w:u w:val="none"/>
                      <w:lang w:val="en-US" w:eastAsia="zh-CN" w:bidi="ar"/>
                    </w:rPr>
                    <w:t>H</w:t>
                  </w:r>
                  <w:r>
                    <w:rPr>
                      <w:rFonts w:hint="eastAsia" w:ascii="Times New Roman" w:hAnsi="Times New Roman" w:cs="Times New Roman"/>
                      <w:i w:val="0"/>
                      <w:iCs w:val="0"/>
                      <w:color w:val="auto"/>
                      <w:kern w:val="0"/>
                      <w:sz w:val="18"/>
                      <w:szCs w:val="18"/>
                      <w:u w:val="none"/>
                      <w:vertAlign w:val="subscript"/>
                      <w:lang w:val="en-US" w:eastAsia="zh-CN" w:bidi="ar"/>
                    </w:rPr>
                    <w:t>96</w:t>
                  </w:r>
                  <w:r>
                    <w:rPr>
                      <w:rFonts w:hint="eastAsia" w:ascii="Times New Roman" w:hAnsi="Times New Roman" w:eastAsia="宋体" w:cs="Times New Roman"/>
                      <w:i w:val="0"/>
                      <w:iCs w:val="0"/>
                      <w:color w:val="auto"/>
                      <w:kern w:val="0"/>
                      <w:sz w:val="18"/>
                      <w:szCs w:val="18"/>
                      <w:u w:val="none"/>
                      <w:lang w:val="en-US" w:eastAsia="zh-CN" w:bidi="ar"/>
                    </w:rPr>
                    <w:t>O</w:t>
                  </w:r>
                  <w:r>
                    <w:rPr>
                      <w:rFonts w:hint="eastAsia" w:ascii="Times New Roman" w:hAnsi="Times New Roman" w:cs="Times New Roman"/>
                      <w:i w:val="0"/>
                      <w:iCs w:val="0"/>
                      <w:color w:val="auto"/>
                      <w:kern w:val="0"/>
                      <w:sz w:val="18"/>
                      <w:szCs w:val="18"/>
                      <w:u w:val="none"/>
                      <w:vertAlign w:val="subscript"/>
                      <w:lang w:val="en-US" w:eastAsia="zh-CN" w:bidi="ar"/>
                    </w:rPr>
                    <w:t>6</w:t>
                  </w:r>
                  <w:r>
                    <w:rPr>
                      <w:rFonts w:hint="eastAsia" w:ascii="Times New Roman" w:hAnsi="Times New Roman" w:eastAsia="宋体" w:cs="Times New Roman"/>
                      <w:i w:val="0"/>
                      <w:iCs w:val="0"/>
                      <w:color w:val="auto"/>
                      <w:kern w:val="0"/>
                      <w:sz w:val="18"/>
                      <w:szCs w:val="18"/>
                      <w:u w:val="none"/>
                      <w:lang w:val="en-US" w:eastAsia="zh-CN" w:bidi="ar"/>
                    </w:rPr>
                    <w:t>、C</w:t>
                  </w:r>
                  <w:r>
                    <w:rPr>
                      <w:rFonts w:hint="eastAsia" w:ascii="Times New Roman" w:hAnsi="Times New Roman" w:cs="Times New Roman"/>
                      <w:i w:val="0"/>
                      <w:iCs w:val="0"/>
                      <w:color w:val="auto"/>
                      <w:kern w:val="0"/>
                      <w:sz w:val="18"/>
                      <w:szCs w:val="18"/>
                      <w:u w:val="none"/>
                      <w:vertAlign w:val="subscript"/>
                      <w:lang w:val="en-US" w:eastAsia="zh-CN" w:bidi="ar"/>
                    </w:rPr>
                    <w:t>50</w:t>
                  </w:r>
                  <w:r>
                    <w:rPr>
                      <w:rFonts w:hint="eastAsia" w:ascii="Times New Roman" w:hAnsi="Times New Roman" w:eastAsia="宋体" w:cs="Times New Roman"/>
                      <w:i w:val="0"/>
                      <w:iCs w:val="0"/>
                      <w:color w:val="auto"/>
                      <w:kern w:val="0"/>
                      <w:sz w:val="18"/>
                      <w:szCs w:val="18"/>
                      <w:u w:val="none"/>
                      <w:lang w:val="en-US" w:eastAsia="zh-CN" w:bidi="ar"/>
                    </w:rPr>
                    <w:t>H</w:t>
                  </w:r>
                  <w:r>
                    <w:rPr>
                      <w:rFonts w:hint="eastAsia" w:ascii="Times New Roman" w:hAnsi="Times New Roman" w:cs="Times New Roman"/>
                      <w:i w:val="0"/>
                      <w:iCs w:val="0"/>
                      <w:color w:val="auto"/>
                      <w:kern w:val="0"/>
                      <w:sz w:val="18"/>
                      <w:szCs w:val="18"/>
                      <w:u w:val="none"/>
                      <w:vertAlign w:val="subscript"/>
                      <w:lang w:val="en-US" w:eastAsia="zh-CN" w:bidi="ar"/>
                    </w:rPr>
                    <w:t>98</w:t>
                  </w:r>
                  <w:r>
                    <w:rPr>
                      <w:rFonts w:hint="eastAsia" w:ascii="Times New Roman" w:hAnsi="Times New Roman" w:eastAsia="宋体" w:cs="Times New Roman"/>
                      <w:i w:val="0"/>
                      <w:iCs w:val="0"/>
                      <w:color w:val="auto"/>
                      <w:kern w:val="0"/>
                      <w:sz w:val="18"/>
                      <w:szCs w:val="18"/>
                      <w:u w:val="none"/>
                      <w:lang w:val="en-US" w:eastAsia="zh-CN" w:bidi="ar"/>
                    </w:rPr>
                    <w:t>O</w:t>
                  </w:r>
                  <w:r>
                    <w:rPr>
                      <w:rFonts w:hint="eastAsia" w:ascii="Times New Roman" w:hAnsi="Times New Roman" w:cs="Times New Roman"/>
                      <w:i w:val="0"/>
                      <w:iCs w:val="0"/>
                      <w:color w:val="auto"/>
                      <w:kern w:val="0"/>
                      <w:sz w:val="18"/>
                      <w:szCs w:val="18"/>
                      <w:u w:val="none"/>
                      <w:vertAlign w:val="subscript"/>
                      <w:lang w:val="en-US" w:eastAsia="zh-CN" w:bidi="ar"/>
                    </w:rPr>
                    <w:t>6</w:t>
                  </w:r>
                  <w:r>
                    <w:rPr>
                      <w:rFonts w:hint="eastAsia" w:ascii="Times New Roman" w:hAnsi="Times New Roman" w:eastAsia="宋体" w:cs="Times New Roman"/>
                      <w:i w:val="0"/>
                      <w:iCs w:val="0"/>
                      <w:color w:val="auto"/>
                      <w:kern w:val="0"/>
                      <w:sz w:val="18"/>
                      <w:szCs w:val="18"/>
                      <w:u w:val="none"/>
                      <w:lang w:val="en-US" w:eastAsia="zh-CN" w:bidi="ar"/>
                    </w:rPr>
                    <w:t>等饱和脂肪酸甘油酯</w:t>
                  </w:r>
                </w:p>
              </w:tc>
              <w:tc>
                <w:tcPr>
                  <w:tcW w:w="314" w:type="pct"/>
                  <w:tcBorders>
                    <w:tl2br w:val="nil"/>
                    <w:tr2bl w:val="nil"/>
                  </w:tcBorders>
                  <w:noWrap w:val="0"/>
                  <w:vAlign w:val="center"/>
                </w:tcPr>
                <w:p w14:paraId="2E6F76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yellow"/>
                      <w:u w:val="none"/>
                      <w:lang w:val="en-US" w:eastAsia="zh-CN" w:bidi="ar"/>
                    </w:rPr>
                  </w:pPr>
                  <w:r>
                    <w:rPr>
                      <w:rFonts w:hint="default" w:ascii="Times New Roman" w:hAnsi="Times New Roman" w:eastAsia="宋体" w:cs="Times New Roman"/>
                      <w:b w:val="0"/>
                      <w:bCs w:val="0"/>
                      <w:i w:val="0"/>
                      <w:iCs w:val="0"/>
                      <w:color w:val="auto"/>
                      <w:kern w:val="0"/>
                      <w:sz w:val="18"/>
                      <w:szCs w:val="18"/>
                      <w:highlight w:val="none"/>
                      <w:u w:val="none"/>
                      <w:lang w:val="en-US" w:eastAsia="zh-CN" w:bidi="ar"/>
                    </w:rPr>
                    <w:t>850～890（参考值）</w:t>
                  </w:r>
                </w:p>
              </w:tc>
              <w:tc>
                <w:tcPr>
                  <w:tcW w:w="1060" w:type="pct"/>
                  <w:tcBorders>
                    <w:tl2br w:val="nil"/>
                    <w:tr2bl w:val="nil"/>
                  </w:tcBorders>
                  <w:noWrap w:val="0"/>
                  <w:vAlign w:val="center"/>
                </w:tcPr>
                <w:p w14:paraId="671909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常温下为白色或淡黄色蜡状固体，质地坚硬；相对密度0.882～0.890，熔点44～56℃，沸点＞300℃；不溶于水，微溶于冷乙醇，易溶于乙醚、氯仿、热乙醇等有机溶剂。</w:t>
                  </w:r>
                </w:p>
              </w:tc>
              <w:tc>
                <w:tcPr>
                  <w:tcW w:w="1060" w:type="pct"/>
                  <w:tcBorders>
                    <w:tl2br w:val="nil"/>
                    <w:tr2bl w:val="nil"/>
                  </w:tcBorders>
                  <w:noWrap w:val="0"/>
                  <w:vAlign w:val="center"/>
                </w:tcPr>
                <w:p w14:paraId="738BCA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第9类杂项危险物质和物品，闪点196℃，自然/引燃温度＞300℃；遇高热、明火可缓慢燃烧，无爆炸危险性；与强氧化剂（如高锰酸钾、硝酸）接触会发生剧烈反应，加剧燃烧甚至引发明火。</w:t>
                  </w:r>
                </w:p>
              </w:tc>
              <w:tc>
                <w:tcPr>
                  <w:tcW w:w="1027" w:type="pct"/>
                  <w:tcBorders>
                    <w:tl2br w:val="nil"/>
                    <w:tr2bl w:val="nil"/>
                  </w:tcBorders>
                  <w:noWrap w:val="0"/>
                  <w:vAlign w:val="center"/>
                </w:tcPr>
                <w:p w14:paraId="6BA64D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LD₅₀（大鼠经口）：&gt; 5000mg/kg</w:t>
                  </w:r>
                </w:p>
              </w:tc>
              <w:tc>
                <w:tcPr>
                  <w:tcW w:w="199" w:type="pct"/>
                  <w:tcBorders>
                    <w:tl2br w:val="nil"/>
                    <w:tr2bl w:val="nil"/>
                  </w:tcBorders>
                  <w:noWrap w:val="0"/>
                  <w:vAlign w:val="center"/>
                </w:tcPr>
                <w:p w14:paraId="30661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新增2</w:t>
                  </w:r>
                </w:p>
              </w:tc>
            </w:tr>
            <w:tr w14:paraId="0BE72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DF53F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77</w:t>
                  </w:r>
                </w:p>
              </w:tc>
              <w:tc>
                <w:tcPr>
                  <w:tcW w:w="355" w:type="pct"/>
                  <w:tcBorders>
                    <w:tl2br w:val="nil"/>
                    <w:tr2bl w:val="nil"/>
                  </w:tcBorders>
                  <w:noWrap w:val="0"/>
                  <w:vAlign w:val="center"/>
                </w:tcPr>
                <w:p w14:paraId="4A8AD9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棕榈油脂肪酸</w:t>
                  </w:r>
                </w:p>
              </w:tc>
              <w:tc>
                <w:tcPr>
                  <w:tcW w:w="389" w:type="pct"/>
                  <w:tcBorders>
                    <w:tl2br w:val="nil"/>
                    <w:tr2bl w:val="nil"/>
                  </w:tcBorders>
                  <w:noWrap w:val="0"/>
                  <w:vAlign w:val="center"/>
                </w:tcPr>
                <w:p w14:paraId="176490E4">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68440-15-3</w:t>
                  </w:r>
                </w:p>
              </w:tc>
              <w:tc>
                <w:tcPr>
                  <w:tcW w:w="409" w:type="pct"/>
                  <w:tcBorders>
                    <w:tl2br w:val="nil"/>
                    <w:tr2bl w:val="nil"/>
                  </w:tcBorders>
                  <w:noWrap w:val="0"/>
                  <w:vAlign w:val="center"/>
                </w:tcPr>
                <w:p w14:paraId="17A7AB6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混合脂肪酸</w:t>
                  </w:r>
                </w:p>
              </w:tc>
              <w:tc>
                <w:tcPr>
                  <w:tcW w:w="314" w:type="pct"/>
                  <w:tcBorders>
                    <w:tl2br w:val="nil"/>
                    <w:tr2bl w:val="nil"/>
                  </w:tcBorders>
                  <w:noWrap w:val="0"/>
                  <w:vAlign w:val="center"/>
                </w:tcPr>
                <w:p w14:paraId="39241D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250～285（参考值）</w:t>
                  </w:r>
                </w:p>
              </w:tc>
              <w:tc>
                <w:tcPr>
                  <w:tcW w:w="1060" w:type="pct"/>
                  <w:tcBorders>
                    <w:tl2br w:val="nil"/>
                    <w:tr2bl w:val="nil"/>
                  </w:tcBorders>
                  <w:noWrap w:val="0"/>
                  <w:vAlign w:val="center"/>
                </w:tcPr>
                <w:p w14:paraId="0E25BD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常温下为白色至微黄色固体或半固体；相对密度0.870～0.890，熔点30～50℃，沸点＞300℃；不溶于水，易溶于乙醇、乙醚、丙酮、石油醚等有机溶剂。</w:t>
                  </w:r>
                </w:p>
              </w:tc>
              <w:tc>
                <w:tcPr>
                  <w:tcW w:w="1060" w:type="pct"/>
                  <w:tcBorders>
                    <w:tl2br w:val="nil"/>
                    <w:tr2bl w:val="nil"/>
                  </w:tcBorders>
                  <w:noWrap w:val="0"/>
                  <w:vAlign w:val="center"/>
                </w:tcPr>
                <w:p w14:paraId="1FBAD8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第9类杂项危险物质和物品，闪点＞110℃，自然/引燃温度＞350℃；高温条件下会挥发产生可燃蒸气，粉尘或蒸气与空气混合后遇明火可燃烧，受热分解无有毒可燃气体。</w:t>
                  </w:r>
                </w:p>
              </w:tc>
              <w:tc>
                <w:tcPr>
                  <w:tcW w:w="1027" w:type="pct"/>
                  <w:tcBorders>
                    <w:tl2br w:val="nil"/>
                    <w:tr2bl w:val="nil"/>
                  </w:tcBorders>
                  <w:noWrap w:val="0"/>
                  <w:vAlign w:val="center"/>
                </w:tcPr>
                <w:p w14:paraId="3F5151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LD₅₀（大鼠经口）：&gt;2000mg/k</w:t>
                  </w:r>
                  <w:r>
                    <w:rPr>
                      <w:rFonts w:hint="eastAsia" w:cs="Times New Roman"/>
                      <w:i w:val="0"/>
                      <w:iCs w:val="0"/>
                      <w:color w:val="auto"/>
                      <w:kern w:val="0"/>
                      <w:sz w:val="18"/>
                      <w:szCs w:val="18"/>
                      <w:highlight w:val="none"/>
                      <w:u w:val="none"/>
                      <w:lang w:val="en-US" w:eastAsia="zh-CN" w:bidi="ar"/>
                    </w:rPr>
                    <w:t>g</w:t>
                  </w:r>
                </w:p>
              </w:tc>
              <w:tc>
                <w:tcPr>
                  <w:tcW w:w="199" w:type="pct"/>
                  <w:tcBorders>
                    <w:tl2br w:val="nil"/>
                    <w:tr2bl w:val="nil"/>
                  </w:tcBorders>
                  <w:noWrap w:val="0"/>
                  <w:vAlign w:val="center"/>
                </w:tcPr>
                <w:p w14:paraId="08CE37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新增3</w:t>
                  </w:r>
                </w:p>
              </w:tc>
            </w:tr>
            <w:tr w14:paraId="00138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3CC386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78</w:t>
                  </w:r>
                </w:p>
              </w:tc>
              <w:tc>
                <w:tcPr>
                  <w:tcW w:w="355" w:type="pct"/>
                  <w:tcBorders>
                    <w:tl2br w:val="nil"/>
                    <w:tr2bl w:val="nil"/>
                  </w:tcBorders>
                  <w:noWrap w:val="0"/>
                  <w:vAlign w:val="center"/>
                </w:tcPr>
                <w:p w14:paraId="23F44B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脂肪酸</w:t>
                  </w:r>
                </w:p>
              </w:tc>
              <w:tc>
                <w:tcPr>
                  <w:tcW w:w="389" w:type="pct"/>
                  <w:tcBorders>
                    <w:tl2br w:val="nil"/>
                    <w:tr2bl w:val="nil"/>
                  </w:tcBorders>
                  <w:noWrap w:val="0"/>
                  <w:vAlign w:val="center"/>
                </w:tcPr>
                <w:p w14:paraId="1C72F248">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无单一CAS号（混合物）</w:t>
                  </w:r>
                </w:p>
              </w:tc>
              <w:tc>
                <w:tcPr>
                  <w:tcW w:w="409" w:type="pct"/>
                  <w:tcBorders>
                    <w:tl2br w:val="nil"/>
                    <w:tr2bl w:val="nil"/>
                  </w:tcBorders>
                  <w:noWrap w:val="0"/>
                  <w:vAlign w:val="center"/>
                </w:tcPr>
                <w:p w14:paraId="3496F7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通式C</w:t>
                  </w:r>
                  <w:r>
                    <w:rPr>
                      <w:rFonts w:hint="eastAsia" w:cs="Times New Roman"/>
                      <w:i w:val="0"/>
                      <w:iCs w:val="0"/>
                      <w:color w:val="auto"/>
                      <w:kern w:val="0"/>
                      <w:sz w:val="18"/>
                      <w:szCs w:val="18"/>
                      <w:highlight w:val="none"/>
                      <w:u w:val="none"/>
                      <w:vertAlign w:val="subscript"/>
                      <w:lang w:val="en-US" w:eastAsia="zh-CN" w:bidi="ar"/>
                    </w:rPr>
                    <w:t>n</w:t>
                  </w:r>
                  <w:r>
                    <w:rPr>
                      <w:rFonts w:hint="eastAsia" w:ascii="Times New Roman" w:hAnsi="Times New Roman" w:eastAsia="宋体" w:cs="Times New Roman"/>
                      <w:i w:val="0"/>
                      <w:iCs w:val="0"/>
                      <w:color w:val="auto"/>
                      <w:kern w:val="0"/>
                      <w:sz w:val="18"/>
                      <w:szCs w:val="18"/>
                      <w:highlight w:val="none"/>
                      <w:u w:val="none"/>
                      <w:lang w:val="en-US" w:eastAsia="zh-CN" w:bidi="ar"/>
                    </w:rPr>
                    <w:t>H</w:t>
                  </w:r>
                  <w:r>
                    <w:rPr>
                      <w:rFonts w:hint="eastAsia" w:cs="Times New Roman"/>
                      <w:i w:val="0"/>
                      <w:iCs w:val="0"/>
                      <w:color w:val="auto"/>
                      <w:kern w:val="0"/>
                      <w:sz w:val="18"/>
                      <w:szCs w:val="18"/>
                      <w:highlight w:val="none"/>
                      <w:u w:val="none"/>
                      <w:vertAlign w:val="subscript"/>
                      <w:lang w:val="en-US" w:eastAsia="zh-CN" w:bidi="ar"/>
                    </w:rPr>
                    <w:t>2n</w:t>
                  </w:r>
                  <w:r>
                    <w:rPr>
                      <w:rFonts w:hint="eastAsia" w:ascii="Times New Roman" w:hAnsi="Times New Roman" w:eastAsia="宋体" w:cs="Times New Roman"/>
                      <w:i w:val="0"/>
                      <w:iCs w:val="0"/>
                      <w:color w:val="auto"/>
                      <w:kern w:val="0"/>
                      <w:sz w:val="18"/>
                      <w:szCs w:val="18"/>
                      <w:highlight w:val="none"/>
                      <w:u w:val="none"/>
                      <w:lang w:val="en-US" w:eastAsia="zh-CN" w:bidi="ar"/>
                    </w:rPr>
                    <w:t>O</w:t>
                  </w:r>
                  <w:r>
                    <w:rPr>
                      <w:rFonts w:hint="eastAsia" w:cs="Times New Roman"/>
                      <w:i w:val="0"/>
                      <w:iCs w:val="0"/>
                      <w:color w:val="auto"/>
                      <w:kern w:val="0"/>
                      <w:sz w:val="18"/>
                      <w:szCs w:val="18"/>
                      <w:highlight w:val="none"/>
                      <w:u w:val="none"/>
                      <w:vertAlign w:val="subscript"/>
                      <w:lang w:val="en-US" w:eastAsia="zh-CN" w:bidi="ar"/>
                    </w:rPr>
                    <w:t>2</w:t>
                  </w:r>
                  <w:r>
                    <w:rPr>
                      <w:rFonts w:hint="eastAsia" w:ascii="Times New Roman" w:hAnsi="Times New Roman" w:eastAsia="宋体" w:cs="Times New Roman"/>
                      <w:i w:val="0"/>
                      <w:iCs w:val="0"/>
                      <w:color w:val="auto"/>
                      <w:kern w:val="0"/>
                      <w:sz w:val="18"/>
                      <w:szCs w:val="18"/>
                      <w:highlight w:val="none"/>
                      <w:u w:val="none"/>
                      <w:lang w:val="en-US" w:eastAsia="zh-CN" w:bidi="ar"/>
                    </w:rPr>
                    <w:t>，碳链长度n=12～22，含饱和、不饱和脂肪酸混合物</w:t>
                  </w:r>
                </w:p>
              </w:tc>
              <w:tc>
                <w:tcPr>
                  <w:tcW w:w="314" w:type="pct"/>
                  <w:tcBorders>
                    <w:tl2br w:val="nil"/>
                    <w:tr2bl w:val="nil"/>
                  </w:tcBorders>
                  <w:noWrap w:val="0"/>
                  <w:vAlign w:val="center"/>
                </w:tcPr>
                <w:p w14:paraId="5F442F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200～340（随碳链长度变化）</w:t>
                  </w:r>
                </w:p>
              </w:tc>
              <w:tc>
                <w:tcPr>
                  <w:tcW w:w="1060" w:type="pct"/>
                  <w:tcBorders>
                    <w:tl2br w:val="nil"/>
                    <w:tr2bl w:val="nil"/>
                  </w:tcBorders>
                  <w:noWrap w:val="0"/>
                  <w:vAlign w:val="center"/>
                </w:tcPr>
                <w:p w14:paraId="274B13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常温下状态随碳链长度变化，低碳数为液态、高碳数为固态；相对密度0.840～0.890；不溶于水，易溶于乙醚、石油醚等有机溶剂。</w:t>
                  </w:r>
                </w:p>
              </w:tc>
              <w:tc>
                <w:tcPr>
                  <w:tcW w:w="1060" w:type="pct"/>
                  <w:tcBorders>
                    <w:tl2br w:val="nil"/>
                    <w:tr2bl w:val="nil"/>
                  </w:tcBorders>
                  <w:noWrap w:val="0"/>
                  <w:vAlign w:val="center"/>
                </w:tcPr>
                <w:p w14:paraId="532E1C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第3类易燃液体，闪点＞200℃；高温挥发产生的可燃蒸气与空气混合可形成可燃性混合物，遇明火、静电火花可燃烧。</w:t>
                  </w:r>
                </w:p>
              </w:tc>
              <w:tc>
                <w:tcPr>
                  <w:tcW w:w="1027" w:type="pct"/>
                  <w:tcBorders>
                    <w:tl2br w:val="nil"/>
                    <w:tr2bl w:val="nil"/>
                  </w:tcBorders>
                  <w:noWrap w:val="0"/>
                  <w:vAlign w:val="center"/>
                </w:tcPr>
                <w:p w14:paraId="1678AF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LD₅₀（大鼠经口）：&gt;2000 mg/kg</w:t>
                  </w:r>
                </w:p>
              </w:tc>
              <w:tc>
                <w:tcPr>
                  <w:tcW w:w="199" w:type="pct"/>
                  <w:tcBorders>
                    <w:tl2br w:val="nil"/>
                    <w:tr2bl w:val="nil"/>
                  </w:tcBorders>
                  <w:noWrap w:val="0"/>
                  <w:vAlign w:val="center"/>
                </w:tcPr>
                <w:p w14:paraId="615F6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新增4</w:t>
                  </w:r>
                </w:p>
              </w:tc>
            </w:tr>
            <w:tr w14:paraId="4AA08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4D4C50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79</w:t>
                  </w:r>
                </w:p>
              </w:tc>
              <w:tc>
                <w:tcPr>
                  <w:tcW w:w="355" w:type="pct"/>
                  <w:tcBorders>
                    <w:tl2br w:val="nil"/>
                    <w:tr2bl w:val="nil"/>
                  </w:tcBorders>
                  <w:noWrap w:val="0"/>
                  <w:vAlign w:val="center"/>
                </w:tcPr>
                <w:p w14:paraId="2F7284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植物酸化油</w:t>
                  </w:r>
                </w:p>
              </w:tc>
              <w:tc>
                <w:tcPr>
                  <w:tcW w:w="389" w:type="pct"/>
                  <w:tcBorders>
                    <w:tl2br w:val="nil"/>
                    <w:tr2bl w:val="nil"/>
                  </w:tcBorders>
                  <w:noWrap w:val="0"/>
                  <w:vAlign w:val="center"/>
                </w:tcPr>
                <w:p w14:paraId="3BD7256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无单一CAS号（混合物）</w:t>
                  </w:r>
                </w:p>
              </w:tc>
              <w:tc>
                <w:tcPr>
                  <w:tcW w:w="409" w:type="pct"/>
                  <w:tcBorders>
                    <w:tl2br w:val="nil"/>
                    <w:tr2bl w:val="nil"/>
                  </w:tcBorders>
                  <w:noWrap w:val="0"/>
                  <w:vAlign w:val="center"/>
                </w:tcPr>
                <w:p w14:paraId="0B410F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混合脂肪酸+少量未水解甘油酯，主成分为C16-C18脂肪酸</w:t>
                  </w:r>
                </w:p>
              </w:tc>
              <w:tc>
                <w:tcPr>
                  <w:tcW w:w="314" w:type="pct"/>
                  <w:tcBorders>
                    <w:tl2br w:val="nil"/>
                    <w:tr2bl w:val="nil"/>
                  </w:tcBorders>
                  <w:noWrap w:val="0"/>
                  <w:vAlign w:val="center"/>
                </w:tcPr>
                <w:p w14:paraId="2AE049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250～290（参考值）</w:t>
                  </w:r>
                </w:p>
              </w:tc>
              <w:tc>
                <w:tcPr>
                  <w:tcW w:w="1060" w:type="pct"/>
                  <w:tcBorders>
                    <w:tl2br w:val="nil"/>
                    <w:tr2bl w:val="nil"/>
                  </w:tcBorders>
                  <w:noWrap w:val="0"/>
                  <w:vAlign w:val="center"/>
                </w:tcPr>
                <w:p w14:paraId="44751B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外观为棕褐色至黑褐色黏稠油状液体，带有油脂酸败气味；相对密度0.910～0.930，沸点＞200℃；不溶于水，易溶于有机溶剂。</w:t>
                  </w:r>
                </w:p>
              </w:tc>
              <w:tc>
                <w:tcPr>
                  <w:tcW w:w="1060" w:type="pct"/>
                  <w:tcBorders>
                    <w:tl2br w:val="nil"/>
                    <w:tr2bl w:val="nil"/>
                  </w:tcBorders>
                  <w:noWrap w:val="0"/>
                  <w:vAlign w:val="center"/>
                </w:tcPr>
                <w:p w14:paraId="18837C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第9类杂项危险物质和物品，闪点＞200℃，自然/引燃温度＞400℃；遇明火、高温可燃烧；与碱性物质接触会发生放热反应，与强氧化剂接触会加剧燃烧。</w:t>
                  </w:r>
                </w:p>
              </w:tc>
              <w:tc>
                <w:tcPr>
                  <w:tcW w:w="1027" w:type="pct"/>
                  <w:tcBorders>
                    <w:tl2br w:val="nil"/>
                    <w:tr2bl w:val="nil"/>
                  </w:tcBorders>
                  <w:noWrap w:val="0"/>
                  <w:vAlign w:val="center"/>
                </w:tcPr>
                <w:p w14:paraId="08D850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LD₅₀（大鼠经口）：&gt;5000 mg/kg</w:t>
                  </w:r>
                </w:p>
              </w:tc>
              <w:tc>
                <w:tcPr>
                  <w:tcW w:w="199" w:type="pct"/>
                  <w:tcBorders>
                    <w:tl2br w:val="nil"/>
                    <w:tr2bl w:val="nil"/>
                  </w:tcBorders>
                  <w:noWrap w:val="0"/>
                  <w:vAlign w:val="center"/>
                </w:tcPr>
                <w:p w14:paraId="6A5BBF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新增5</w:t>
                  </w:r>
                </w:p>
              </w:tc>
            </w:tr>
            <w:tr w14:paraId="35468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6C534F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80</w:t>
                  </w:r>
                </w:p>
              </w:tc>
              <w:tc>
                <w:tcPr>
                  <w:tcW w:w="355" w:type="pct"/>
                  <w:tcBorders>
                    <w:tl2br w:val="nil"/>
                    <w:tr2bl w:val="nil"/>
                  </w:tcBorders>
                  <w:noWrap w:val="0"/>
                  <w:vAlign w:val="center"/>
                </w:tcPr>
                <w:p w14:paraId="4107DA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棕榈液油</w:t>
                  </w:r>
                </w:p>
              </w:tc>
              <w:tc>
                <w:tcPr>
                  <w:tcW w:w="389" w:type="pct"/>
                  <w:tcBorders>
                    <w:tl2br w:val="nil"/>
                    <w:tr2bl w:val="nil"/>
                  </w:tcBorders>
                  <w:noWrap w:val="0"/>
                  <w:vAlign w:val="center"/>
                </w:tcPr>
                <w:p w14:paraId="305A68A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8002-75-3</w:t>
                  </w:r>
                </w:p>
              </w:tc>
              <w:tc>
                <w:tcPr>
                  <w:tcW w:w="409" w:type="pct"/>
                  <w:tcBorders>
                    <w:tl2br w:val="nil"/>
                    <w:tr2bl w:val="nil"/>
                  </w:tcBorders>
                  <w:noWrap w:val="0"/>
                  <w:vAlign w:val="center"/>
                </w:tcPr>
                <w:p w14:paraId="18AA25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甘油三酯混合物，含饱和与不饱和脂肪酸甘油酯，主成分为C16-C18甘油三酯</w:t>
                  </w:r>
                </w:p>
              </w:tc>
              <w:tc>
                <w:tcPr>
                  <w:tcW w:w="314" w:type="pct"/>
                  <w:tcBorders>
                    <w:tl2br w:val="nil"/>
                    <w:tr2bl w:val="nil"/>
                  </w:tcBorders>
                  <w:noWrap w:val="0"/>
                  <w:vAlign w:val="center"/>
                </w:tcPr>
                <w:p w14:paraId="0FEA0A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850～880（参考值）</w:t>
                  </w:r>
                </w:p>
              </w:tc>
              <w:tc>
                <w:tcPr>
                  <w:tcW w:w="1060" w:type="pct"/>
                  <w:tcBorders>
                    <w:tl2br w:val="nil"/>
                    <w:tr2bl w:val="nil"/>
                  </w:tcBorders>
                  <w:noWrap w:val="0"/>
                  <w:vAlign w:val="center"/>
                </w:tcPr>
                <w:p w14:paraId="1640EF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常温下为淡黄色澄清油状液体，低温环境下易出现浑浊、凝固现象；相对密度0.899～0.920，沸点＞300℃；不溶于水，易溶于各类油脂溶剂。</w:t>
                  </w:r>
                </w:p>
              </w:tc>
              <w:tc>
                <w:tcPr>
                  <w:tcW w:w="1060" w:type="pct"/>
                  <w:tcBorders>
                    <w:tl2br w:val="nil"/>
                    <w:tr2bl w:val="nil"/>
                  </w:tcBorders>
                  <w:noWrap w:val="0"/>
                  <w:vAlign w:val="center"/>
                </w:tcPr>
                <w:p w14:paraId="6CAB12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第9类杂项危险物质和物品，闪点＞110℃，自然/引燃温度＞350℃；遇明火、高温可缓慢燃烧，无爆炸危险性。</w:t>
                  </w:r>
                </w:p>
              </w:tc>
              <w:tc>
                <w:tcPr>
                  <w:tcW w:w="1027" w:type="pct"/>
                  <w:tcBorders>
                    <w:tl2br w:val="nil"/>
                    <w:tr2bl w:val="nil"/>
                  </w:tcBorders>
                  <w:noWrap w:val="0"/>
                  <w:vAlign w:val="center"/>
                </w:tcPr>
                <w:p w14:paraId="1013BD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LD₅₀（大鼠经口）：4000mg/kg；LC₅₀（小鼠吸入，2h）：9400mg/m3</w:t>
                  </w:r>
                </w:p>
              </w:tc>
              <w:tc>
                <w:tcPr>
                  <w:tcW w:w="199" w:type="pct"/>
                  <w:tcBorders>
                    <w:tl2br w:val="nil"/>
                    <w:tr2bl w:val="nil"/>
                  </w:tcBorders>
                  <w:noWrap w:val="0"/>
                  <w:vAlign w:val="center"/>
                </w:tcPr>
                <w:p w14:paraId="7ECB0C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新增6</w:t>
                  </w:r>
                </w:p>
              </w:tc>
            </w:tr>
            <w:tr w14:paraId="0866E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83" w:type="pct"/>
                  <w:tcBorders>
                    <w:tl2br w:val="nil"/>
                    <w:tr2bl w:val="nil"/>
                  </w:tcBorders>
                  <w:noWrap w:val="0"/>
                  <w:vAlign w:val="center"/>
                </w:tcPr>
                <w:p w14:paraId="497FA5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81</w:t>
                  </w:r>
                </w:p>
              </w:tc>
              <w:tc>
                <w:tcPr>
                  <w:tcW w:w="355" w:type="pct"/>
                  <w:tcBorders>
                    <w:tl2br w:val="nil"/>
                    <w:tr2bl w:val="nil"/>
                  </w:tcBorders>
                  <w:noWrap w:val="0"/>
                  <w:vAlign w:val="center"/>
                </w:tcPr>
                <w:p w14:paraId="7041A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精炼工业级蓖麻油</w:t>
                  </w:r>
                </w:p>
              </w:tc>
              <w:tc>
                <w:tcPr>
                  <w:tcW w:w="389" w:type="pct"/>
                  <w:tcBorders>
                    <w:tl2br w:val="nil"/>
                    <w:tr2bl w:val="nil"/>
                  </w:tcBorders>
                  <w:noWrap w:val="0"/>
                  <w:vAlign w:val="center"/>
                </w:tcPr>
                <w:p w14:paraId="1474925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8001-79-4</w:t>
                  </w:r>
                </w:p>
              </w:tc>
              <w:tc>
                <w:tcPr>
                  <w:tcW w:w="409" w:type="pct"/>
                  <w:tcBorders>
                    <w:tl2br w:val="nil"/>
                    <w:tr2bl w:val="nil"/>
                  </w:tcBorders>
                  <w:noWrap w:val="0"/>
                  <w:vAlign w:val="center"/>
                </w:tcPr>
                <w:p w14:paraId="0835A67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甘油三蓖麻油酸酯，典型分子式C</w:t>
                  </w:r>
                  <w:r>
                    <w:rPr>
                      <w:rFonts w:hint="eastAsia" w:cs="Times New Roman"/>
                      <w:i w:val="0"/>
                      <w:iCs w:val="0"/>
                      <w:color w:val="auto"/>
                      <w:kern w:val="0"/>
                      <w:sz w:val="18"/>
                      <w:szCs w:val="18"/>
                      <w:highlight w:val="none"/>
                      <w:u w:val="none"/>
                      <w:vertAlign w:val="subscript"/>
                      <w:lang w:val="en-US" w:eastAsia="zh-CN" w:bidi="ar"/>
                    </w:rPr>
                    <w:t>57</w:t>
                  </w:r>
                  <w:r>
                    <w:rPr>
                      <w:rFonts w:hint="eastAsia" w:ascii="Times New Roman" w:hAnsi="Times New Roman" w:eastAsia="宋体" w:cs="Times New Roman"/>
                      <w:i w:val="0"/>
                      <w:iCs w:val="0"/>
                      <w:color w:val="auto"/>
                      <w:kern w:val="0"/>
                      <w:sz w:val="18"/>
                      <w:szCs w:val="18"/>
                      <w:highlight w:val="none"/>
                      <w:u w:val="none"/>
                      <w:lang w:val="en-US" w:eastAsia="zh-CN" w:bidi="ar"/>
                    </w:rPr>
                    <w:t>H</w:t>
                  </w:r>
                  <w:r>
                    <w:rPr>
                      <w:rFonts w:hint="eastAsia" w:cs="Times New Roman"/>
                      <w:i w:val="0"/>
                      <w:iCs w:val="0"/>
                      <w:color w:val="auto"/>
                      <w:kern w:val="0"/>
                      <w:sz w:val="18"/>
                      <w:szCs w:val="18"/>
                      <w:highlight w:val="none"/>
                      <w:u w:val="none"/>
                      <w:vertAlign w:val="subscript"/>
                      <w:lang w:val="en-US" w:eastAsia="zh-CN" w:bidi="ar"/>
                    </w:rPr>
                    <w:t>104</w:t>
                  </w:r>
                  <w:r>
                    <w:rPr>
                      <w:rFonts w:hint="eastAsia" w:ascii="Times New Roman" w:hAnsi="Times New Roman" w:eastAsia="宋体" w:cs="Times New Roman"/>
                      <w:i w:val="0"/>
                      <w:iCs w:val="0"/>
                      <w:color w:val="auto"/>
                      <w:kern w:val="0"/>
                      <w:sz w:val="18"/>
                      <w:szCs w:val="18"/>
                      <w:highlight w:val="none"/>
                      <w:u w:val="none"/>
                      <w:lang w:val="en-US" w:eastAsia="zh-CN" w:bidi="ar"/>
                    </w:rPr>
                    <w:t>O</w:t>
                  </w:r>
                  <w:r>
                    <w:rPr>
                      <w:rFonts w:hint="eastAsia" w:cs="Times New Roman"/>
                      <w:i w:val="0"/>
                      <w:iCs w:val="0"/>
                      <w:color w:val="auto"/>
                      <w:kern w:val="0"/>
                      <w:sz w:val="18"/>
                      <w:szCs w:val="18"/>
                      <w:highlight w:val="none"/>
                      <w:u w:val="none"/>
                      <w:vertAlign w:val="subscript"/>
                      <w:lang w:val="en-US" w:eastAsia="zh-CN" w:bidi="ar"/>
                    </w:rPr>
                    <w:t>9</w:t>
                  </w:r>
                </w:p>
              </w:tc>
              <w:tc>
                <w:tcPr>
                  <w:tcW w:w="314" w:type="pct"/>
                  <w:tcBorders>
                    <w:tl2br w:val="nil"/>
                    <w:tr2bl w:val="nil"/>
                  </w:tcBorders>
                  <w:noWrap w:val="0"/>
                  <w:vAlign w:val="center"/>
                </w:tcPr>
                <w:p w14:paraId="5B1BDD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933.43（精准值）</w:t>
                  </w:r>
                </w:p>
              </w:tc>
              <w:tc>
                <w:tcPr>
                  <w:tcW w:w="1060" w:type="pct"/>
                  <w:tcBorders>
                    <w:tl2br w:val="nil"/>
                    <w:tr2bl w:val="nil"/>
                  </w:tcBorders>
                  <w:noWrap w:val="0"/>
                  <w:vAlign w:val="center"/>
                </w:tcPr>
                <w:p w14:paraId="28540C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无色或淡黄色黏稠油状液体；相对密度0.955～0.970，沸点313℃；溶于乙醇、冰醋酸，微溶于脂肪烃类溶剂。</w:t>
                  </w:r>
                </w:p>
              </w:tc>
              <w:tc>
                <w:tcPr>
                  <w:tcW w:w="1060" w:type="pct"/>
                  <w:tcBorders>
                    <w:tl2br w:val="nil"/>
                    <w:tr2bl w:val="nil"/>
                  </w:tcBorders>
                  <w:noWrap w:val="0"/>
                  <w:vAlign w:val="center"/>
                </w:tcPr>
                <w:p w14:paraId="682E1B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第9类杂项危险物质和物品，</w:t>
                  </w:r>
                  <w:r>
                    <w:rPr>
                      <w:rFonts w:hint="default" w:ascii="Times New Roman" w:hAnsi="Times New Roman" w:eastAsia="宋体" w:cs="Times New Roman"/>
                      <w:i w:val="0"/>
                      <w:iCs w:val="0"/>
                      <w:color w:val="auto"/>
                      <w:kern w:val="2"/>
                      <w:sz w:val="18"/>
                      <w:szCs w:val="18"/>
                      <w:highlight w:val="none"/>
                      <w:u w:val="none"/>
                      <w:lang w:val="en-US" w:eastAsia="zh-CN" w:bidi="ar-SA"/>
                    </w:rPr>
                    <w:t>闪点110℃，自然/引燃温度449℃；高温裂解会产生少量可燃气体，常规温度下无挥发、无燃烧风险；无爆炸危险性。</w:t>
                  </w:r>
                </w:p>
              </w:tc>
              <w:tc>
                <w:tcPr>
                  <w:tcW w:w="1027" w:type="pct"/>
                  <w:tcBorders>
                    <w:tl2br w:val="nil"/>
                    <w:tr2bl w:val="nil"/>
                  </w:tcBorders>
                  <w:noWrap w:val="0"/>
                  <w:vAlign w:val="center"/>
                </w:tcPr>
                <w:p w14:paraId="00ECAB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LD₅₀（大鼠经口）：&gt;5000 mg/kg</w:t>
                  </w:r>
                </w:p>
              </w:tc>
              <w:tc>
                <w:tcPr>
                  <w:tcW w:w="199" w:type="pct"/>
                  <w:tcBorders>
                    <w:tl2br w:val="nil"/>
                    <w:tr2bl w:val="nil"/>
                  </w:tcBorders>
                  <w:noWrap w:val="0"/>
                  <w:vAlign w:val="center"/>
                </w:tcPr>
                <w:p w14:paraId="031B34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新增7</w:t>
                  </w:r>
                </w:p>
              </w:tc>
            </w:tr>
            <w:tr w14:paraId="04A56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3" w:type="pct"/>
                  <w:tcBorders>
                    <w:tl2br w:val="nil"/>
                    <w:tr2bl w:val="nil"/>
                  </w:tcBorders>
                  <w:noWrap w:val="0"/>
                  <w:vAlign w:val="center"/>
                </w:tcPr>
                <w:p w14:paraId="0C52C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eastAsia="宋体" w:cs="Times New Roman"/>
                      <w:color w:val="auto"/>
                      <w:kern w:val="0"/>
                      <w:sz w:val="18"/>
                      <w:szCs w:val="18"/>
                      <w:highlight w:val="none"/>
                      <w:lang w:val="en-US" w:eastAsia="zh-CN"/>
                    </w:rPr>
                    <w:t>82</w:t>
                  </w:r>
                </w:p>
              </w:tc>
              <w:tc>
                <w:tcPr>
                  <w:tcW w:w="355" w:type="pct"/>
                  <w:tcBorders>
                    <w:tl2br w:val="nil"/>
                    <w:tr2bl w:val="nil"/>
                  </w:tcBorders>
                  <w:shd w:val="clear" w:color="auto" w:fill="auto"/>
                  <w:noWrap w:val="0"/>
                  <w:vAlign w:val="center"/>
                </w:tcPr>
                <w:p w14:paraId="4723A8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eastAsia"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生物航煤（可持续航空燃料）</w:t>
                  </w:r>
                </w:p>
              </w:tc>
              <w:tc>
                <w:tcPr>
                  <w:tcW w:w="389" w:type="pct"/>
                  <w:tcBorders>
                    <w:tl2br w:val="nil"/>
                    <w:tr2bl w:val="nil"/>
                  </w:tcBorders>
                  <w:shd w:val="clear" w:color="auto" w:fill="auto"/>
                  <w:noWrap w:val="0"/>
                  <w:vAlign w:val="center"/>
                </w:tcPr>
                <w:p w14:paraId="73244E6E">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highlight w:val="yellow"/>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无单一CAS号（混合物）</w:t>
                  </w:r>
                </w:p>
              </w:tc>
              <w:tc>
                <w:tcPr>
                  <w:tcW w:w="409" w:type="pct"/>
                  <w:tcBorders>
                    <w:tl2br w:val="nil"/>
                    <w:tr2bl w:val="nil"/>
                  </w:tcBorders>
                  <w:shd w:val="clear" w:color="auto" w:fill="auto"/>
                  <w:noWrap w:val="0"/>
                  <w:vAlign w:val="center"/>
                </w:tcPr>
                <w:p w14:paraId="4A29E47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yellow"/>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eastAsia" w:ascii="Times New Roman" w:hAnsi="Times New Roman" w:cs="Times New Roman"/>
                      <w:i w:val="0"/>
                      <w:iCs w:val="0"/>
                      <w:color w:val="auto"/>
                      <w:kern w:val="0"/>
                      <w:sz w:val="18"/>
                      <w:szCs w:val="18"/>
                      <w:highlight w:val="none"/>
                      <w:u w:val="none"/>
                      <w:lang w:val="en-US" w:eastAsia="zh-CN" w:bidi="ar"/>
                    </w:rPr>
                    <w:t>9</w:t>
                  </w: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eastAsia" w:ascii="Times New Roman" w:hAnsi="Times New Roman" w:cs="Times New Roman"/>
                      <w:i w:val="0"/>
                      <w:iCs w:val="0"/>
                      <w:color w:val="auto"/>
                      <w:kern w:val="0"/>
                      <w:sz w:val="18"/>
                      <w:szCs w:val="18"/>
                      <w:highlight w:val="none"/>
                      <w:u w:val="none"/>
                      <w:lang w:val="en-US" w:eastAsia="zh-CN" w:bidi="ar"/>
                    </w:rPr>
                    <w:t>16</w:t>
                  </w:r>
                  <w:r>
                    <w:rPr>
                      <w:rFonts w:hint="eastAsia" w:ascii="Times New Roman" w:hAnsi="Times New Roman" w:eastAsia="宋体" w:cs="Times New Roman"/>
                      <w:i w:val="0"/>
                      <w:iCs w:val="0"/>
                      <w:color w:val="auto"/>
                      <w:kern w:val="0"/>
                      <w:sz w:val="18"/>
                      <w:szCs w:val="18"/>
                      <w:highlight w:val="none"/>
                      <w:u w:val="none"/>
                      <w:lang w:val="en-US" w:eastAsia="zh-CN" w:bidi="ar"/>
                    </w:rPr>
                    <w:t>烷烃、环烷烃为主，含少量芳烃，符合航空煤油组分标准</w:t>
                  </w:r>
                </w:p>
              </w:tc>
              <w:tc>
                <w:tcPr>
                  <w:tcW w:w="314" w:type="pct"/>
                  <w:tcBorders>
                    <w:tl2br w:val="nil"/>
                    <w:tr2bl w:val="nil"/>
                  </w:tcBorders>
                  <w:shd w:val="clear" w:color="auto" w:fill="auto"/>
                  <w:noWrap w:val="0"/>
                  <w:vAlign w:val="center"/>
                </w:tcPr>
                <w:p w14:paraId="370F3D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128～220（随馏分变化）</w:t>
                  </w:r>
                </w:p>
              </w:tc>
              <w:tc>
                <w:tcPr>
                  <w:tcW w:w="1060" w:type="pct"/>
                  <w:tcBorders>
                    <w:tl2br w:val="nil"/>
                    <w:tr2bl w:val="nil"/>
                  </w:tcBorders>
                  <w:shd w:val="clear" w:color="auto" w:fill="auto"/>
                  <w:noWrap w:val="0"/>
                  <w:vAlign w:val="center"/>
                </w:tcPr>
                <w:p w14:paraId="3F7697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水白色至淡黄色透明液体，低硫、低冰点、高热值，燃烧洁净；相对密度0.775～0.840，沸点115-300℃。</w:t>
                  </w:r>
                </w:p>
              </w:tc>
              <w:tc>
                <w:tcPr>
                  <w:tcW w:w="1060" w:type="pct"/>
                  <w:tcBorders>
                    <w:tl2br w:val="nil"/>
                    <w:tr2bl w:val="nil"/>
                  </w:tcBorders>
                  <w:shd w:val="clear" w:color="auto" w:fill="auto"/>
                  <w:noWrap w:val="0"/>
                  <w:vAlign w:val="center"/>
                </w:tcPr>
                <w:p w14:paraId="2F3C2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第3类易燃液体，闪点≥38℃，自然/引燃温度207-250℃，爆炸极限1.4%～7.5%（体积分数）；遇明火、高热、静电火花极易燃烧爆炸。</w:t>
                  </w:r>
                </w:p>
              </w:tc>
              <w:tc>
                <w:tcPr>
                  <w:tcW w:w="1027" w:type="pct"/>
                  <w:tcBorders>
                    <w:tl2br w:val="nil"/>
                    <w:tr2bl w:val="nil"/>
                  </w:tcBorders>
                  <w:shd w:val="clear" w:color="auto" w:fill="auto"/>
                  <w:noWrap w:val="0"/>
                  <w:vAlign w:val="center"/>
                </w:tcPr>
                <w:p w14:paraId="27CFD5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LD₅₀（大鼠经口）：&gt;5000mg/kg</w:t>
                  </w:r>
                </w:p>
              </w:tc>
              <w:tc>
                <w:tcPr>
                  <w:tcW w:w="199" w:type="pct"/>
                  <w:tcBorders>
                    <w:tl2br w:val="nil"/>
                    <w:tr2bl w:val="nil"/>
                  </w:tcBorders>
                  <w:noWrap w:val="0"/>
                  <w:vAlign w:val="center"/>
                </w:tcPr>
                <w:p w14:paraId="281293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新增8</w:t>
                  </w:r>
                </w:p>
              </w:tc>
            </w:tr>
            <w:tr w14:paraId="7933E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jc w:val="center"/>
              </w:trPr>
              <w:tc>
                <w:tcPr>
                  <w:tcW w:w="183" w:type="pct"/>
                  <w:tcBorders>
                    <w:tl2br w:val="nil"/>
                    <w:tr2bl w:val="nil"/>
                  </w:tcBorders>
                  <w:noWrap w:val="0"/>
                  <w:vAlign w:val="center"/>
                </w:tcPr>
                <w:p w14:paraId="415735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rPr>
                    <w:t>83</w:t>
                  </w:r>
                </w:p>
              </w:tc>
              <w:tc>
                <w:tcPr>
                  <w:tcW w:w="355" w:type="pct"/>
                  <w:tcBorders>
                    <w:tl2br w:val="nil"/>
                    <w:tr2bl w:val="nil"/>
                  </w:tcBorders>
                  <w:noWrap w:val="0"/>
                  <w:vAlign w:val="center"/>
                </w:tcPr>
                <w:p w14:paraId="22AF60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center"/>
                    <w:rPr>
                      <w:rFonts w:hint="default" w:ascii="Times New Roman" w:hAnsi="Times New Roman" w:eastAsia="宋体" w:cs="Times New Roman"/>
                      <w:b w:val="0"/>
                      <w:bCs w:val="0"/>
                      <w:i w:val="0"/>
                      <w:iCs w:val="0"/>
                      <w:color w:val="auto"/>
                      <w:kern w:val="0"/>
                      <w:sz w:val="18"/>
                      <w:szCs w:val="18"/>
                      <w:highlight w:val="none"/>
                      <w:u w:val="none"/>
                      <w:lang w:val="en-US" w:eastAsia="zh-CN" w:bidi="ar"/>
                    </w:rPr>
                  </w:pPr>
                  <w:r>
                    <w:rPr>
                      <w:rFonts w:hint="eastAsia" w:ascii="Times New Roman" w:hAnsi="Times New Roman" w:eastAsia="宋体" w:cs="Times New Roman"/>
                      <w:b w:val="0"/>
                      <w:bCs w:val="0"/>
                      <w:i w:val="0"/>
                      <w:iCs w:val="0"/>
                      <w:color w:val="auto"/>
                      <w:kern w:val="0"/>
                      <w:sz w:val="18"/>
                      <w:szCs w:val="18"/>
                      <w:highlight w:val="none"/>
                      <w:u w:val="none"/>
                      <w:lang w:val="en-US" w:eastAsia="zh-CN" w:bidi="ar"/>
                    </w:rPr>
                    <w:t>烃基生物柴油</w:t>
                  </w:r>
                </w:p>
              </w:tc>
              <w:tc>
                <w:tcPr>
                  <w:tcW w:w="389" w:type="pct"/>
                  <w:tcBorders>
                    <w:tl2br w:val="nil"/>
                    <w:tr2bl w:val="nil"/>
                  </w:tcBorders>
                  <w:noWrap w:val="0"/>
                  <w:vAlign w:val="center"/>
                </w:tcPr>
                <w:p w14:paraId="6FFBE486">
                  <w:pPr>
                    <w:keepNext w:val="0"/>
                    <w:keepLines w:val="0"/>
                    <w:widowControl/>
                    <w:suppressLineNumbers w:val="0"/>
                    <w:spacing w:before="0" w:beforeAutospacing="0" w:after="0" w:afterAutospacing="0"/>
                    <w:ind w:left="0" w:right="0"/>
                    <w:jc w:val="center"/>
                    <w:textAlignment w:val="top"/>
                    <w:rPr>
                      <w:rFonts w:hint="eastAsia" w:ascii="Times New Roman" w:hAnsi="Times New Roman" w:eastAsia="宋体" w:cs="Times New Roman"/>
                      <w:i w:val="0"/>
                      <w:iCs w:val="0"/>
                      <w:color w:val="auto"/>
                      <w:kern w:val="2"/>
                      <w:sz w:val="18"/>
                      <w:szCs w:val="18"/>
                      <w:highlight w:val="none"/>
                      <w:u w:val="none"/>
                      <w:lang w:val="en-US" w:eastAsia="zh-CN" w:bidi="ar-SA"/>
                    </w:rPr>
                  </w:pPr>
                  <w:r>
                    <w:rPr>
                      <w:rFonts w:hint="eastAsia" w:ascii="Times New Roman" w:hAnsi="Times New Roman" w:eastAsia="宋体" w:cs="Times New Roman"/>
                      <w:i w:val="0"/>
                      <w:iCs w:val="0"/>
                      <w:color w:val="auto"/>
                      <w:kern w:val="2"/>
                      <w:sz w:val="18"/>
                      <w:szCs w:val="18"/>
                      <w:highlight w:val="none"/>
                      <w:u w:val="none"/>
                      <w:lang w:val="en-US" w:eastAsia="zh-CN" w:bidi="ar-SA"/>
                    </w:rPr>
                    <w:t>无单一CAS号（混合物）</w:t>
                  </w:r>
                </w:p>
              </w:tc>
              <w:tc>
                <w:tcPr>
                  <w:tcW w:w="409" w:type="pct"/>
                  <w:tcBorders>
                    <w:tl2br w:val="nil"/>
                    <w:tr2bl w:val="nil"/>
                  </w:tcBorders>
                  <w:noWrap w:val="0"/>
                  <w:vAlign w:val="center"/>
                </w:tcPr>
                <w:p w14:paraId="760F2A3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eastAsia" w:ascii="Times New Roman" w:hAnsi="Times New Roman" w:cs="Times New Roman"/>
                      <w:i w:val="0"/>
                      <w:iCs w:val="0"/>
                      <w:color w:val="auto"/>
                      <w:kern w:val="0"/>
                      <w:sz w:val="18"/>
                      <w:szCs w:val="18"/>
                      <w:highlight w:val="none"/>
                      <w:u w:val="none"/>
                      <w:lang w:val="en-US" w:eastAsia="zh-CN" w:bidi="ar"/>
                    </w:rPr>
                    <w:t>10</w:t>
                  </w:r>
                  <w:r>
                    <w:rPr>
                      <w:rFonts w:hint="eastAsia" w:ascii="Times New Roman" w:hAnsi="Times New Roman" w:eastAsia="宋体" w:cs="Times New Roman"/>
                      <w:i w:val="0"/>
                      <w:iCs w:val="0"/>
                      <w:color w:val="auto"/>
                      <w:kern w:val="0"/>
                      <w:sz w:val="18"/>
                      <w:szCs w:val="18"/>
                      <w:highlight w:val="none"/>
                      <w:u w:val="none"/>
                      <w:lang w:val="en-US" w:eastAsia="zh-CN" w:bidi="ar"/>
                    </w:rPr>
                    <w:t>～C</w:t>
                  </w:r>
                  <w:r>
                    <w:rPr>
                      <w:rFonts w:hint="eastAsia" w:ascii="Times New Roman" w:hAnsi="Times New Roman" w:cs="Times New Roman"/>
                      <w:i w:val="0"/>
                      <w:iCs w:val="0"/>
                      <w:color w:val="auto"/>
                      <w:kern w:val="0"/>
                      <w:sz w:val="18"/>
                      <w:szCs w:val="18"/>
                      <w:highlight w:val="none"/>
                      <w:u w:val="none"/>
                      <w:lang w:val="en-US" w:eastAsia="zh-CN" w:bidi="ar"/>
                    </w:rPr>
                    <w:t>22</w:t>
                  </w:r>
                  <w:r>
                    <w:rPr>
                      <w:rFonts w:hint="eastAsia" w:ascii="Times New Roman" w:hAnsi="Times New Roman" w:eastAsia="宋体" w:cs="Times New Roman"/>
                      <w:i w:val="0"/>
                      <w:iCs w:val="0"/>
                      <w:color w:val="auto"/>
                      <w:kern w:val="0"/>
                      <w:sz w:val="18"/>
                      <w:szCs w:val="18"/>
                      <w:highlight w:val="none"/>
                      <w:u w:val="none"/>
                      <w:lang w:val="en-US" w:eastAsia="zh-CN" w:bidi="ar"/>
                    </w:rPr>
                    <w:t>正构/异构烷烃混合物，不含氧、硫等杂质</w:t>
                  </w:r>
                </w:p>
              </w:tc>
              <w:tc>
                <w:tcPr>
                  <w:tcW w:w="314" w:type="pct"/>
                  <w:tcBorders>
                    <w:tl2br w:val="nil"/>
                    <w:tr2bl w:val="nil"/>
                  </w:tcBorders>
                  <w:noWrap w:val="0"/>
                  <w:vAlign w:val="center"/>
                </w:tcPr>
                <w:p w14:paraId="209AB9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140～320（随碳链长度变化）</w:t>
                  </w:r>
                </w:p>
              </w:tc>
              <w:tc>
                <w:tcPr>
                  <w:tcW w:w="1060" w:type="pct"/>
                  <w:tcBorders>
                    <w:tl2br w:val="nil"/>
                    <w:tr2bl w:val="nil"/>
                  </w:tcBorders>
                  <w:noWrap w:val="0"/>
                  <w:vAlign w:val="center"/>
                </w:tcPr>
                <w:p w14:paraId="269172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2"/>
                      <w:sz w:val="18"/>
                      <w:szCs w:val="18"/>
                      <w:highlight w:val="none"/>
                      <w:u w:val="none"/>
                      <w:lang w:val="en-US" w:eastAsia="zh-CN" w:bidi="ar-SA"/>
                    </w:rPr>
                    <w:t>无色至淡黄色油状液体，低硫、低芳烃、低凝点，低温流动性极佳，氧化安定性好；相对密度0.780～0.830，沸点</w:t>
                  </w:r>
                  <w:r>
                    <w:rPr>
                      <w:rFonts w:hint="eastAsia" w:cs="Times New Roman"/>
                      <w:i w:val="0"/>
                      <w:iCs w:val="0"/>
                      <w:color w:val="auto"/>
                      <w:kern w:val="2"/>
                      <w:sz w:val="18"/>
                      <w:szCs w:val="18"/>
                      <w:highlight w:val="none"/>
                      <w:u w:val="none"/>
                      <w:lang w:val="en-US" w:eastAsia="zh-CN" w:bidi="ar-SA"/>
                    </w:rPr>
                    <w:t>340</w:t>
                  </w:r>
                  <w:r>
                    <w:rPr>
                      <w:rFonts w:hint="default" w:ascii="Times New Roman" w:hAnsi="Times New Roman" w:eastAsia="宋体" w:cs="Times New Roman"/>
                      <w:i w:val="0"/>
                      <w:iCs w:val="0"/>
                      <w:color w:val="auto"/>
                      <w:kern w:val="2"/>
                      <w:sz w:val="18"/>
                      <w:szCs w:val="18"/>
                      <w:highlight w:val="none"/>
                      <w:u w:val="none"/>
                      <w:lang w:val="en-US" w:eastAsia="zh-CN" w:bidi="ar-SA"/>
                    </w:rPr>
                    <w:t>-3</w:t>
                  </w:r>
                  <w:r>
                    <w:rPr>
                      <w:rFonts w:hint="eastAsia" w:cs="Times New Roman"/>
                      <w:i w:val="0"/>
                      <w:iCs w:val="0"/>
                      <w:color w:val="auto"/>
                      <w:kern w:val="2"/>
                      <w:sz w:val="18"/>
                      <w:szCs w:val="18"/>
                      <w:highlight w:val="none"/>
                      <w:u w:val="none"/>
                      <w:lang w:val="en-US" w:eastAsia="zh-CN" w:bidi="ar-SA"/>
                    </w:rPr>
                    <w:t>5</w:t>
                  </w:r>
                  <w:r>
                    <w:rPr>
                      <w:rFonts w:hint="default" w:ascii="Times New Roman" w:hAnsi="Times New Roman" w:eastAsia="宋体" w:cs="Times New Roman"/>
                      <w:i w:val="0"/>
                      <w:iCs w:val="0"/>
                      <w:color w:val="auto"/>
                      <w:kern w:val="2"/>
                      <w:sz w:val="18"/>
                      <w:szCs w:val="18"/>
                      <w:highlight w:val="none"/>
                      <w:u w:val="none"/>
                      <w:lang w:val="en-US" w:eastAsia="zh-CN" w:bidi="ar-SA"/>
                    </w:rPr>
                    <w:t>0℃；与石化柴油任意比例混溶。</w:t>
                  </w:r>
                </w:p>
              </w:tc>
              <w:tc>
                <w:tcPr>
                  <w:tcW w:w="1060" w:type="pct"/>
                  <w:tcBorders>
                    <w:tl2br w:val="nil"/>
                    <w:tr2bl w:val="nil"/>
                  </w:tcBorders>
                  <w:noWrap w:val="0"/>
                  <w:vAlign w:val="center"/>
                </w:tcPr>
                <w:p w14:paraId="54208D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第9类杂项危险物质和物品，</w:t>
                  </w:r>
                  <w:r>
                    <w:rPr>
                      <w:rFonts w:hint="default" w:ascii="Times New Roman" w:hAnsi="Times New Roman" w:eastAsia="宋体" w:cs="Times New Roman"/>
                      <w:i w:val="0"/>
                      <w:iCs w:val="0"/>
                      <w:color w:val="auto"/>
                      <w:kern w:val="2"/>
                      <w:sz w:val="18"/>
                      <w:szCs w:val="18"/>
                      <w:highlight w:val="none"/>
                      <w:u w:val="none"/>
                      <w:lang w:val="en-US" w:eastAsia="zh-CN" w:bidi="ar-SA"/>
                    </w:rPr>
                    <w:t>闪点＞130℃；蒸气与空气混合可形成可燃性混合物，遇明火、高热、静电火花可燃烧。</w:t>
                  </w:r>
                </w:p>
              </w:tc>
              <w:tc>
                <w:tcPr>
                  <w:tcW w:w="1027" w:type="pct"/>
                  <w:tcBorders>
                    <w:tl2br w:val="nil"/>
                    <w:tr2bl w:val="nil"/>
                  </w:tcBorders>
                  <w:noWrap w:val="0"/>
                  <w:vAlign w:val="center"/>
                </w:tcPr>
                <w:p w14:paraId="66193C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lang w:val="en-US" w:eastAsia="zh-CN" w:bidi="ar-SA"/>
                    </w:rPr>
                    <w:t>LD₅₀（大鼠经口）：&gt;5000 mg/kg</w:t>
                  </w:r>
                </w:p>
              </w:tc>
              <w:tc>
                <w:tcPr>
                  <w:tcW w:w="199" w:type="pct"/>
                  <w:tcBorders>
                    <w:tl2br w:val="nil"/>
                    <w:tr2bl w:val="nil"/>
                  </w:tcBorders>
                  <w:noWrap w:val="0"/>
                  <w:vAlign w:val="center"/>
                </w:tcPr>
                <w:p w14:paraId="18892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新增9</w:t>
                  </w:r>
                </w:p>
              </w:tc>
            </w:tr>
          </w:tbl>
          <w:p w14:paraId="4CFECB94">
            <w:pPr>
              <w:pStyle w:val="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0" w:firstLineChars="0"/>
              <w:textAlignment w:val="auto"/>
              <w:rPr>
                <w:rFonts w:hint="default"/>
                <w:b w:val="0"/>
                <w:bCs w:val="0"/>
                <w:color w:val="auto"/>
                <w:kern w:val="0"/>
                <w:sz w:val="15"/>
                <w:szCs w:val="15"/>
                <w:highlight w:val="none"/>
                <w:lang w:val="en-US" w:eastAsia="zh-CN"/>
              </w:rPr>
            </w:pPr>
          </w:p>
          <w:p w14:paraId="3E253511">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64DEFFCE">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24F51C1D">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6392CEB7">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2B9C5920">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5AFE8CD6">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0DBD21C3">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1EFFCAA2">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p w14:paraId="5A059EFA">
            <w:pPr>
              <w:pStyle w:val="6"/>
              <w:keepNext w:val="0"/>
              <w:keepLines w:val="0"/>
              <w:suppressLineNumbers w:val="0"/>
              <w:spacing w:before="0" w:beforeAutospacing="0" w:after="0" w:afterAutospacing="0"/>
              <w:ind w:left="0" w:right="0"/>
              <w:rPr>
                <w:rFonts w:hint="default"/>
                <w:b w:val="0"/>
                <w:bCs w:val="0"/>
                <w:color w:val="auto"/>
                <w:kern w:val="0"/>
                <w:szCs w:val="21"/>
                <w:highlight w:val="none"/>
                <w:lang w:val="en-US" w:eastAsia="zh-CN"/>
              </w:rPr>
            </w:pPr>
          </w:p>
        </w:tc>
      </w:tr>
    </w:tbl>
    <w:p w14:paraId="6E16EAB6">
      <w:pPr>
        <w:rPr>
          <w:color w:val="auto"/>
          <w:highlight w:val="none"/>
        </w:rPr>
        <w:sectPr>
          <w:pgSz w:w="16838" w:h="11906" w:orient="landscape"/>
          <w:pgMar w:top="1800" w:right="1440" w:bottom="1800"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7"/>
        <w:gridCol w:w="8130"/>
      </w:tblGrid>
      <w:tr w14:paraId="64CD5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noWrap w:val="0"/>
            <w:vAlign w:val="center"/>
          </w:tcPr>
          <w:p w14:paraId="55B04AA6">
            <w:pPr>
              <w:keepNext w:val="0"/>
              <w:keepLines w:val="0"/>
              <w:suppressLineNumbers w:val="0"/>
              <w:adjustRightInd w:val="0"/>
              <w:snapToGrid w:val="0"/>
              <w:spacing w:before="0" w:beforeAutospacing="0" w:after="0" w:afterAutospacing="0"/>
              <w:ind w:left="0" w:right="0"/>
              <w:jc w:val="center"/>
              <w:rPr>
                <w:rFonts w:hint="default" w:cs="宋体"/>
                <w:color w:val="auto"/>
                <w:sz w:val="21"/>
                <w:szCs w:val="21"/>
                <w:highlight w:val="none"/>
              </w:rPr>
            </w:pPr>
            <w:r>
              <w:rPr>
                <w:rFonts w:hint="eastAsia" w:ascii="宋体" w:hAnsi="宋体" w:eastAsia="宋体" w:cs="宋体"/>
                <w:color w:val="auto"/>
                <w:kern w:val="0"/>
                <w:szCs w:val="21"/>
              </w:rPr>
              <w:t>项目组成及规模</w:t>
            </w:r>
          </w:p>
        </w:tc>
        <w:tc>
          <w:tcPr>
            <w:tcW w:w="4772" w:type="pct"/>
            <w:noWrap w:val="0"/>
            <w:vAlign w:val="top"/>
          </w:tcPr>
          <w:p w14:paraId="27889135">
            <w:pPr>
              <w:keepNext w:val="0"/>
              <w:keepLines w:val="0"/>
              <w:suppressLineNumbers w:val="0"/>
              <w:adjustRightInd w:val="0"/>
              <w:snapToGrid w:val="0"/>
              <w:spacing w:before="0" w:beforeAutospacing="0" w:after="0" w:afterAutospacing="0" w:line="360" w:lineRule="auto"/>
              <w:ind w:left="0" w:right="0" w:firstLine="422" w:firstLineChars="200"/>
              <w:rPr>
                <w:rFonts w:hint="default" w:eastAsia="宋体"/>
                <w:color w:val="auto"/>
                <w:szCs w:val="21"/>
                <w:highlight w:val="none"/>
                <w:lang w:val="en-US" w:eastAsia="zh-CN"/>
              </w:rPr>
            </w:pPr>
            <w:r>
              <w:rPr>
                <w:rFonts w:hint="eastAsia"/>
                <w:b/>
                <w:bCs/>
                <w:color w:val="auto"/>
                <w:szCs w:val="21"/>
                <w:highlight w:val="none"/>
                <w:lang w:val="en-US" w:eastAsia="zh-CN"/>
              </w:rPr>
              <w:t>7</w:t>
            </w:r>
            <w:r>
              <w:rPr>
                <w:rFonts w:hint="default"/>
                <w:b/>
                <w:bCs/>
                <w:color w:val="auto"/>
                <w:szCs w:val="21"/>
                <w:highlight w:val="none"/>
              </w:rPr>
              <w:t>、</w:t>
            </w:r>
            <w:r>
              <w:rPr>
                <w:rFonts w:hint="eastAsia"/>
                <w:b/>
                <w:bCs/>
                <w:color w:val="auto"/>
                <w:szCs w:val="21"/>
                <w:highlight w:val="none"/>
                <w:lang w:val="en-US" w:eastAsia="zh-CN"/>
              </w:rPr>
              <w:t>公辅工程情况</w:t>
            </w:r>
          </w:p>
          <w:p w14:paraId="0A0FD2BE">
            <w:pPr>
              <w:keepNext w:val="0"/>
              <w:keepLines w:val="0"/>
              <w:suppressLineNumbers w:val="0"/>
              <w:adjustRightInd w:val="0"/>
              <w:snapToGrid w:val="0"/>
              <w:spacing w:before="0" w:beforeAutospacing="0" w:after="0" w:afterAutospacing="0" w:line="360" w:lineRule="auto"/>
              <w:ind w:left="0" w:right="0" w:firstLine="422" w:firstLineChars="200"/>
              <w:rPr>
                <w:rFonts w:hint="eastAsia"/>
                <w:color w:val="auto"/>
                <w:highlight w:val="none"/>
                <w:lang w:val="en-US" w:eastAsia="zh-CN"/>
              </w:rPr>
            </w:pPr>
            <w:r>
              <w:rPr>
                <w:rFonts w:hint="eastAsia"/>
                <w:b/>
                <w:bCs/>
                <w:color w:val="auto"/>
                <w:highlight w:val="none"/>
                <w:lang w:val="en-US" w:eastAsia="zh-CN"/>
              </w:rPr>
              <w:t>（1）给水</w:t>
            </w:r>
          </w:p>
          <w:p w14:paraId="26FFA6B7">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企业生产、生活水源来自园区市政供水管网，库区主管径DN150，给水压力0.35MPa，供水量120m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/h。本项目</w:t>
            </w:r>
            <w:r>
              <w:rPr>
                <w:rFonts w:hint="eastAsia" w:cs="Times New Roman"/>
                <w:color w:val="auto"/>
                <w:highlight w:val="none"/>
                <w:lang w:val="en-US" w:eastAsia="zh-CN"/>
              </w:rPr>
              <w:t>不</w:t>
            </w:r>
            <w:r>
              <w:rPr>
                <w:rFonts w:hint="eastAsia" w:ascii="Times New Roman" w:hAnsi="Times New Roman" w:eastAsia="宋体" w:cs="Times New Roman"/>
                <w:color w:val="auto"/>
                <w:highlight w:val="none"/>
                <w:lang w:val="en-US" w:eastAsia="zh-CN"/>
              </w:rPr>
              <w:t>新增</w:t>
            </w:r>
            <w:r>
              <w:rPr>
                <w:rFonts w:hint="eastAsia" w:cs="Times New Roman"/>
                <w:color w:val="auto"/>
                <w:highlight w:val="none"/>
                <w:lang w:val="en-US" w:eastAsia="zh-CN"/>
              </w:rPr>
              <w:t>用水</w:t>
            </w:r>
            <w:r>
              <w:rPr>
                <w:rFonts w:hint="eastAsia" w:ascii="Times New Roman" w:hAnsi="Times New Roman" w:eastAsia="宋体" w:cs="Times New Roman"/>
                <w:color w:val="auto"/>
                <w:highlight w:val="none"/>
                <w:lang w:val="en-US" w:eastAsia="zh-CN"/>
              </w:rPr>
              <w:t>。</w:t>
            </w:r>
          </w:p>
          <w:p w14:paraId="6C16BE9A">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（2）排水</w:t>
            </w:r>
          </w:p>
          <w:p w14:paraId="3B1EDB9B">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厂区排水施行“雨污分流、清污分流”，雨水排入园区雨水管网，废水采取明管提升排入库区污水处理站处理达标后接管至江阴市利港污水处理有限公司集中处理。</w:t>
            </w:r>
          </w:p>
          <w:p w14:paraId="7BB40D8E">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本次改建项目仅限于在现有设施基础上进行货种优化调整，且不增加员工人数，故本项目无新增废水产生和排放。</w:t>
            </w:r>
          </w:p>
          <w:p w14:paraId="2C8E5FF9">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（3）供电</w:t>
            </w:r>
          </w:p>
          <w:p w14:paraId="78FCC90A">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本次改建项目利用现有4500kVA的变压器，变压为380V/220V后供电，另外现有已配备2台400kW柴油发电机组作为备用电源。</w:t>
            </w:r>
          </w:p>
          <w:p w14:paraId="026D9D22">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（4）供热、供冷系统</w:t>
            </w:r>
          </w:p>
          <w:p w14:paraId="7CC9CAD6">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本次改建项目依托公司现有供热、供冷设施。</w:t>
            </w:r>
          </w:p>
          <w:p w14:paraId="38D66AAD">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1）蒸汽</w:t>
            </w:r>
          </w:p>
          <w:p w14:paraId="2C385237">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企业使用的蒸汽来自双良利士德供热站管网，供热管径DN150，蒸汽温度170℃，主要用于储罐和管线伴热，总管设计压力1.0Mpa，工作压力0.8MPa，主要用于储罐和管线伴热、洗舱站供水箱加热、船舱蒸汽清洗等，供热能力满足需求。</w:t>
            </w:r>
          </w:p>
          <w:p w14:paraId="4A0BBDC8">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2）导热油</w:t>
            </w:r>
          </w:p>
          <w:p w14:paraId="7A88BE31">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yellow"/>
                <w:lang w:val="en-US" w:eastAsia="zh-CN"/>
              </w:rPr>
            </w:pPr>
            <w:r>
              <w:rPr>
                <w:rFonts w:hint="eastAsia" w:ascii="Times New Roman" w:hAnsi="Times New Roman" w:eastAsia="宋体" w:cs="Times New Roman"/>
                <w:color w:val="auto"/>
                <w:highlight w:val="none"/>
                <w:lang w:val="en-US" w:eastAsia="zh-CN"/>
              </w:rPr>
              <w:t>现有沥青储罐和管道采用导热油进行加热和伴热，导热油炉房内设2台燃气导热油炉，额定热功率0.9MW，额定工作压力0.7MPa，额定出油温度340℃。</w:t>
            </w:r>
          </w:p>
          <w:p w14:paraId="76AEDC24">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3）供冷</w:t>
            </w:r>
          </w:p>
          <w:p w14:paraId="276F06FC">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企业现有3台螺旋杆式水冷机组，</w:t>
            </w:r>
            <w:r>
              <w:rPr>
                <w:rFonts w:hint="eastAsia"/>
                <w:color w:val="auto"/>
                <w:highlight w:val="none"/>
                <w:lang w:val="en-US" w:eastAsia="zh-CN"/>
              </w:rPr>
              <w:t>制冷能力180万大卡，冷冻出水温度仍为-5℃。</w:t>
            </w:r>
          </w:p>
          <w:p w14:paraId="27E13D46">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（5）供气</w:t>
            </w:r>
          </w:p>
          <w:p w14:paraId="35ACBD73">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本次改建项目不新增用气，不改变现有供气系统。</w:t>
            </w:r>
          </w:p>
          <w:p w14:paraId="7499B1F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1）压缩空气</w:t>
            </w:r>
          </w:p>
          <w:p w14:paraId="0A4D584A">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企业现有3台双螺杆式空压机，用于仪表风和制氮，仪表风用于紧急切断阀（0.25-0.6MPa）的启动。</w:t>
            </w:r>
          </w:p>
          <w:p w14:paraId="472302A9">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2）氮气</w:t>
            </w:r>
          </w:p>
          <w:p w14:paraId="3D9EB02C">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企业设有1台300Nm³/h的制氮机（氮气纯度＞99%），采用分子筛吸附法，压力0.5MPa，满足氮气对管道吹扫、储罐氮封需要。</w:t>
            </w:r>
          </w:p>
          <w:p w14:paraId="08550441">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3）天然气</w:t>
            </w:r>
          </w:p>
          <w:p w14:paraId="07492598">
            <w:pPr>
              <w:keepNext w:val="0"/>
              <w:keepLines w:val="0"/>
              <w:suppressLineNumbers w:val="0"/>
              <w:adjustRightInd w:val="0"/>
              <w:snapToGrid w:val="0"/>
              <w:spacing w:before="0" w:beforeAutospacing="0" w:after="0" w:afterAutospacing="0" w:line="360" w:lineRule="auto"/>
              <w:ind w:left="0" w:right="0" w:firstLine="420" w:firstLineChars="200"/>
              <w:rPr>
                <w:rFonts w:hint="default"/>
                <w:b w:val="0"/>
                <w:bCs w:val="0"/>
                <w:color w:val="auto"/>
                <w:kern w:val="0"/>
                <w:szCs w:val="21"/>
                <w:highlight w:val="none"/>
                <w:lang w:val="en-US" w:eastAsia="zh-CN"/>
              </w:rPr>
            </w:pPr>
            <w:r>
              <w:rPr>
                <w:rFonts w:hint="eastAsia" w:ascii="Times New Roman" w:hAnsi="Times New Roman" w:eastAsia="宋体" w:cs="Times New Roman"/>
                <w:color w:val="auto"/>
                <w:highlight w:val="none"/>
                <w:lang w:val="en-US" w:eastAsia="zh-CN"/>
              </w:rPr>
              <w:t>企业导热油炉使用天然气作为燃料，燃气来自市政天然气管道供给。</w:t>
            </w:r>
          </w:p>
        </w:tc>
      </w:tr>
      <w:tr w14:paraId="69D01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noWrap w:val="0"/>
            <w:vAlign w:val="center"/>
          </w:tcPr>
          <w:p w14:paraId="51AEA54E">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Cs w:val="21"/>
              </w:rPr>
              <w:t>总平面及现场布置</w:t>
            </w:r>
          </w:p>
        </w:tc>
        <w:tc>
          <w:tcPr>
            <w:tcW w:w="4772" w:type="pct"/>
            <w:noWrap w:val="0"/>
            <w:vAlign w:val="top"/>
          </w:tcPr>
          <w:p w14:paraId="2AD95C52">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lang w:val="en-US" w:eastAsia="zh-CN"/>
              </w:rPr>
              <w:t>1、库区总平面布置</w:t>
            </w:r>
          </w:p>
          <w:p w14:paraId="681570A3">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yellow"/>
                <w:lang w:val="en-US" w:eastAsia="zh-CN"/>
              </w:rPr>
            </w:pPr>
            <w:r>
              <w:rPr>
                <w:rFonts w:hint="eastAsia"/>
                <w:color w:val="auto"/>
                <w:kern w:val="0"/>
                <w:szCs w:val="21"/>
                <w:highlight w:val="none"/>
              </w:rPr>
              <w:t>企业</w:t>
            </w:r>
            <w:r>
              <w:rPr>
                <w:rFonts w:hint="eastAsia"/>
                <w:color w:val="auto"/>
                <w:kern w:val="0"/>
                <w:szCs w:val="21"/>
                <w:highlight w:val="none"/>
                <w:lang w:val="en-US" w:eastAsia="zh-CN"/>
              </w:rPr>
              <w:t>库区</w:t>
            </w:r>
            <w:r>
              <w:rPr>
                <w:rFonts w:hint="default" w:ascii="Times New Roman" w:hAnsi="Times New Roman" w:eastAsia="宋体" w:cs="Times New Roman"/>
                <w:color w:val="auto"/>
                <w:kern w:val="0"/>
                <w:szCs w:val="21"/>
                <w:highlight w:val="none"/>
                <w:lang w:val="en-US" w:eastAsia="zh-CN"/>
              </w:rPr>
              <w:t>总占地面积</w:t>
            </w:r>
            <w:r>
              <w:rPr>
                <w:rFonts w:hint="eastAsia"/>
                <w:color w:val="auto"/>
                <w:kern w:val="0"/>
                <w:szCs w:val="21"/>
                <w:highlight w:val="none"/>
              </w:rPr>
              <w:t>241400m</w:t>
            </w:r>
            <w:r>
              <w:rPr>
                <w:rFonts w:hint="eastAsia"/>
                <w:color w:val="auto"/>
                <w:kern w:val="0"/>
                <w:szCs w:val="21"/>
                <w:highlight w:val="none"/>
                <w:vertAlign w:val="superscript"/>
              </w:rPr>
              <w:t>2</w:t>
            </w:r>
            <w:r>
              <w:rPr>
                <w:rFonts w:hint="eastAsia"/>
                <w:color w:val="auto"/>
                <w:kern w:val="0"/>
                <w:szCs w:val="21"/>
                <w:highlight w:val="none"/>
              </w:rPr>
              <w:t>，</w:t>
            </w:r>
            <w:r>
              <w:rPr>
                <w:rFonts w:hint="default" w:ascii="Times New Roman" w:hAnsi="Times New Roman" w:eastAsia="宋体" w:cs="Times New Roman"/>
                <w:color w:val="auto"/>
                <w:kern w:val="0"/>
                <w:szCs w:val="21"/>
                <w:highlight w:val="none"/>
                <w:lang w:val="en-US" w:eastAsia="zh-CN"/>
              </w:rPr>
              <w:t>分为储罐区、行政管理区、化工品装卸区、辅助生产区、洗舱及尾气处理设施区五部分。</w:t>
            </w:r>
            <w:r>
              <w:rPr>
                <w:rFonts w:hint="eastAsia" w:ascii="Times New Roman" w:hAnsi="Times New Roman" w:eastAsia="宋体" w:cs="Times New Roman"/>
                <w:color w:val="auto"/>
                <w:kern w:val="0"/>
                <w:szCs w:val="21"/>
                <w:highlight w:val="none"/>
                <w:lang w:val="en-US" w:eastAsia="zh-CN"/>
              </w:rPr>
              <w:t>本次改建项目</w:t>
            </w:r>
            <w:r>
              <w:rPr>
                <w:rFonts w:hint="default" w:ascii="Times New Roman" w:hAnsi="Times New Roman" w:eastAsia="宋体" w:cs="Times New Roman"/>
                <w:color w:val="auto"/>
                <w:kern w:val="0"/>
                <w:szCs w:val="21"/>
                <w:highlight w:val="none"/>
                <w:lang w:val="en-US" w:eastAsia="zh-CN"/>
              </w:rPr>
              <w:t>不改变现有</w:t>
            </w:r>
            <w:r>
              <w:rPr>
                <w:rFonts w:hint="eastAsia" w:ascii="Times New Roman" w:hAnsi="Times New Roman" w:eastAsia="宋体" w:cs="Times New Roman"/>
                <w:color w:val="auto"/>
                <w:kern w:val="0"/>
                <w:szCs w:val="21"/>
                <w:highlight w:val="none"/>
                <w:lang w:val="en-US" w:eastAsia="zh-CN"/>
              </w:rPr>
              <w:t>库区</w:t>
            </w:r>
            <w:r>
              <w:rPr>
                <w:rFonts w:hint="default" w:ascii="Times New Roman" w:hAnsi="Times New Roman" w:eastAsia="宋体" w:cs="Times New Roman"/>
                <w:color w:val="auto"/>
                <w:kern w:val="0"/>
                <w:szCs w:val="21"/>
                <w:highlight w:val="none"/>
                <w:lang w:val="en-US" w:eastAsia="zh-CN"/>
              </w:rPr>
              <w:t>总平面布置情况。</w:t>
            </w:r>
          </w:p>
          <w:p w14:paraId="3AE89000">
            <w:pPr>
              <w:keepNext w:val="0"/>
              <w:keepLines w:val="0"/>
              <w:suppressLineNumbers w:val="0"/>
              <w:adjustRightInd w:val="0"/>
              <w:snapToGrid w:val="0"/>
              <w:spacing w:before="0" w:beforeAutospacing="0" w:after="0" w:afterAutospacing="0" w:line="360" w:lineRule="auto"/>
              <w:ind w:left="0" w:right="0" w:firstLine="422" w:firstLineChars="200"/>
              <w:rPr>
                <w:rFonts w:hint="default" w:eastAsia="宋体"/>
                <w:b/>
                <w:bCs/>
                <w:color w:val="auto"/>
                <w:kern w:val="0"/>
                <w:szCs w:val="21"/>
                <w:highlight w:val="none"/>
                <w:lang w:val="en-US" w:eastAsia="zh-CN"/>
              </w:rPr>
            </w:pPr>
            <w:r>
              <w:rPr>
                <w:rFonts w:hint="eastAsia"/>
                <w:b/>
                <w:bCs/>
                <w:color w:val="auto"/>
                <w:kern w:val="0"/>
                <w:szCs w:val="21"/>
                <w:highlight w:val="none"/>
                <w:lang w:val="en-US" w:eastAsia="zh-CN"/>
              </w:rPr>
              <w:t>（1）储罐区</w:t>
            </w:r>
          </w:p>
          <w:p w14:paraId="294C40BC">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储罐区位于库区北半部分，自西向东、自北向南依次为：一罐区</w:t>
            </w:r>
            <w:r>
              <w:rPr>
                <w:rFonts w:hint="eastAsia"/>
                <w:color w:val="auto"/>
                <w:kern w:val="0"/>
                <w:szCs w:val="21"/>
                <w:highlight w:val="none"/>
                <w:lang w:val="en-US" w:eastAsia="zh-CN"/>
              </w:rPr>
              <w:t>（包括附属泵棚，下同）</w:t>
            </w:r>
            <w:r>
              <w:rPr>
                <w:rFonts w:hint="eastAsia"/>
                <w:color w:val="auto"/>
                <w:kern w:val="0"/>
                <w:szCs w:val="21"/>
                <w:highlight w:val="none"/>
              </w:rPr>
              <w:t>、二罐区、四罐区、三罐区、五罐区、六罐区，共设各类储罐55</w:t>
            </w:r>
            <w:r>
              <w:rPr>
                <w:rFonts w:hint="eastAsia"/>
                <w:color w:val="auto"/>
                <w:kern w:val="0"/>
                <w:szCs w:val="21"/>
                <w:highlight w:val="none"/>
                <w:lang w:val="en-US" w:eastAsia="zh-CN"/>
              </w:rPr>
              <w:t>座</w:t>
            </w:r>
            <w:r>
              <w:rPr>
                <w:rFonts w:hint="eastAsia"/>
                <w:color w:val="auto"/>
                <w:kern w:val="0"/>
                <w:szCs w:val="21"/>
                <w:highlight w:val="none"/>
              </w:rPr>
              <w:t>，总库容</w:t>
            </w:r>
            <w:r>
              <w:rPr>
                <w:rFonts w:hint="eastAsia"/>
                <w:color w:val="auto"/>
                <w:kern w:val="0"/>
                <w:szCs w:val="21"/>
                <w:highlight w:val="none"/>
                <w:lang w:val="en-US" w:eastAsia="zh-CN"/>
              </w:rPr>
              <w:t>约</w:t>
            </w:r>
            <w:r>
              <w:rPr>
                <w:rFonts w:hint="eastAsia"/>
                <w:color w:val="auto"/>
                <w:kern w:val="0"/>
                <w:szCs w:val="21"/>
                <w:highlight w:val="none"/>
              </w:rPr>
              <w:t>22万m</w:t>
            </w:r>
            <w:r>
              <w:rPr>
                <w:rFonts w:hint="eastAsia"/>
                <w:color w:val="auto"/>
                <w:kern w:val="0"/>
                <w:szCs w:val="21"/>
                <w:highlight w:val="none"/>
                <w:vertAlign w:val="superscript"/>
              </w:rPr>
              <w:t>3</w:t>
            </w:r>
            <w:r>
              <w:rPr>
                <w:rFonts w:hint="eastAsia"/>
                <w:color w:val="auto"/>
                <w:kern w:val="0"/>
                <w:szCs w:val="21"/>
                <w:highlight w:val="none"/>
              </w:rPr>
              <w:t>。</w:t>
            </w:r>
          </w:p>
          <w:p w14:paraId="7E340873">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一罐区：设置全压力式球罐8</w:t>
            </w:r>
            <w:r>
              <w:rPr>
                <w:rFonts w:hint="eastAsia"/>
                <w:color w:val="auto"/>
                <w:kern w:val="0"/>
                <w:szCs w:val="21"/>
                <w:highlight w:val="none"/>
                <w:lang w:val="en-US" w:eastAsia="zh-CN"/>
              </w:rPr>
              <w:t>座</w:t>
            </w:r>
            <w:r>
              <w:rPr>
                <w:rFonts w:hint="eastAsia"/>
                <w:color w:val="auto"/>
                <w:kern w:val="0"/>
                <w:szCs w:val="21"/>
                <w:highlight w:val="none"/>
              </w:rPr>
              <w:t>，</w:t>
            </w:r>
            <w:r>
              <w:rPr>
                <w:rFonts w:hint="eastAsia"/>
                <w:color w:val="auto"/>
                <w:kern w:val="0"/>
                <w:szCs w:val="21"/>
                <w:highlight w:val="none"/>
                <w:lang w:val="en-US" w:eastAsia="zh-CN"/>
              </w:rPr>
              <w:t>四周设有高度为1.4m的防火堤，</w:t>
            </w:r>
            <w:r>
              <w:rPr>
                <w:rFonts w:hint="eastAsia"/>
                <w:color w:val="auto"/>
                <w:kern w:val="0"/>
                <w:szCs w:val="21"/>
                <w:highlight w:val="none"/>
              </w:rPr>
              <w:t>中间设置</w:t>
            </w:r>
            <w:r>
              <w:rPr>
                <w:rFonts w:hint="eastAsia"/>
                <w:color w:val="auto"/>
                <w:kern w:val="0"/>
                <w:szCs w:val="21"/>
                <w:highlight w:val="none"/>
                <w:lang w:val="en-US" w:eastAsia="zh-CN"/>
              </w:rPr>
              <w:t>高度为1m的</w:t>
            </w:r>
            <w:r>
              <w:rPr>
                <w:rFonts w:hint="eastAsia"/>
                <w:color w:val="auto"/>
                <w:kern w:val="0"/>
                <w:szCs w:val="21"/>
                <w:highlight w:val="none"/>
              </w:rPr>
              <w:t>防火堤分隔为南北两部分</w:t>
            </w:r>
            <w:r>
              <w:rPr>
                <w:rFonts w:hint="eastAsia"/>
                <w:color w:val="auto"/>
                <w:kern w:val="0"/>
                <w:szCs w:val="21"/>
                <w:highlight w:val="none"/>
                <w:lang w:val="en-US" w:eastAsia="zh-CN"/>
              </w:rPr>
              <w:t>，</w:t>
            </w:r>
            <w:r>
              <w:rPr>
                <w:rFonts w:hint="eastAsia"/>
                <w:color w:val="auto"/>
                <w:kern w:val="0"/>
                <w:szCs w:val="21"/>
                <w:highlight w:val="none"/>
              </w:rPr>
              <w:t>其中北侧4</w:t>
            </w:r>
            <w:r>
              <w:rPr>
                <w:rFonts w:hint="eastAsia"/>
                <w:color w:val="auto"/>
                <w:kern w:val="0"/>
                <w:szCs w:val="21"/>
                <w:highlight w:val="none"/>
                <w:lang w:val="en-US" w:eastAsia="zh-CN"/>
              </w:rPr>
              <w:t>座储罐单罐单堤，隔堤高度0.6m</w:t>
            </w:r>
            <w:r>
              <w:rPr>
                <w:rFonts w:hint="eastAsia"/>
                <w:color w:val="auto"/>
                <w:kern w:val="0"/>
                <w:szCs w:val="21"/>
                <w:highlight w:val="none"/>
                <w:lang w:eastAsia="zh-CN"/>
              </w:rPr>
              <w:t>；</w:t>
            </w:r>
            <w:r>
              <w:rPr>
                <w:rFonts w:hint="eastAsia"/>
                <w:color w:val="auto"/>
                <w:kern w:val="0"/>
                <w:szCs w:val="21"/>
                <w:highlight w:val="none"/>
              </w:rPr>
              <w:t>南侧4</w:t>
            </w:r>
            <w:r>
              <w:rPr>
                <w:rFonts w:hint="eastAsia"/>
                <w:color w:val="auto"/>
                <w:kern w:val="0"/>
                <w:szCs w:val="21"/>
                <w:highlight w:val="none"/>
                <w:lang w:val="en-US" w:eastAsia="zh-CN"/>
              </w:rPr>
              <w:t>座储罐由高度为0.6m的隔堤分为两部分</w:t>
            </w:r>
            <w:r>
              <w:rPr>
                <w:rFonts w:hint="eastAsia"/>
                <w:color w:val="auto"/>
                <w:kern w:val="0"/>
                <w:szCs w:val="21"/>
                <w:highlight w:val="none"/>
              </w:rPr>
              <w:t>。</w:t>
            </w:r>
          </w:p>
          <w:p w14:paraId="6DE0868F">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二罐区：设置立式</w:t>
            </w:r>
            <w:r>
              <w:rPr>
                <w:rFonts w:hint="eastAsia"/>
                <w:color w:val="auto"/>
                <w:kern w:val="0"/>
                <w:szCs w:val="21"/>
                <w:highlight w:val="none"/>
                <w:lang w:val="en-US" w:eastAsia="zh-CN"/>
              </w:rPr>
              <w:t>储罐12座，其中</w:t>
            </w:r>
            <w:r>
              <w:rPr>
                <w:rFonts w:hint="eastAsia"/>
                <w:color w:val="auto"/>
                <w:kern w:val="0"/>
                <w:szCs w:val="21"/>
                <w:highlight w:val="none"/>
              </w:rPr>
              <w:t>内浮顶罐1</w:t>
            </w:r>
            <w:r>
              <w:rPr>
                <w:rFonts w:hint="eastAsia"/>
                <w:color w:val="auto"/>
                <w:kern w:val="0"/>
                <w:szCs w:val="21"/>
                <w:highlight w:val="none"/>
                <w:lang w:val="en-US" w:eastAsia="zh-CN"/>
              </w:rPr>
              <w:t>座</w:t>
            </w:r>
            <w:r>
              <w:rPr>
                <w:rFonts w:hint="eastAsia"/>
                <w:color w:val="auto"/>
                <w:kern w:val="0"/>
                <w:szCs w:val="21"/>
                <w:highlight w:val="none"/>
              </w:rPr>
              <w:t>，拱顶罐11</w:t>
            </w:r>
            <w:r>
              <w:rPr>
                <w:rFonts w:hint="eastAsia"/>
                <w:color w:val="auto"/>
                <w:kern w:val="0"/>
                <w:szCs w:val="21"/>
                <w:highlight w:val="none"/>
                <w:lang w:val="en-US" w:eastAsia="zh-CN"/>
              </w:rPr>
              <w:t>座</w:t>
            </w:r>
            <w:r>
              <w:rPr>
                <w:rFonts w:hint="eastAsia"/>
                <w:color w:val="auto"/>
                <w:kern w:val="0"/>
                <w:szCs w:val="21"/>
                <w:highlight w:val="none"/>
              </w:rPr>
              <w:t>，四周设有高度为1.33m的防火堤，内部设2处高度为1.2m的隔堤分隔为3部分，隔堤内最多储罐数量为6</w:t>
            </w:r>
            <w:r>
              <w:rPr>
                <w:rFonts w:hint="eastAsia"/>
                <w:color w:val="auto"/>
                <w:kern w:val="0"/>
                <w:szCs w:val="21"/>
                <w:highlight w:val="none"/>
                <w:lang w:val="en-US" w:eastAsia="zh-CN"/>
              </w:rPr>
              <w:t>座</w:t>
            </w:r>
            <w:r>
              <w:rPr>
                <w:rFonts w:hint="eastAsia"/>
                <w:color w:val="auto"/>
                <w:kern w:val="0"/>
                <w:szCs w:val="21"/>
                <w:highlight w:val="none"/>
              </w:rPr>
              <w:t>。</w:t>
            </w:r>
          </w:p>
          <w:p w14:paraId="35394469">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三罐区：设置立式拱顶罐10</w:t>
            </w:r>
            <w:r>
              <w:rPr>
                <w:rFonts w:hint="eastAsia"/>
                <w:color w:val="auto"/>
                <w:kern w:val="0"/>
                <w:szCs w:val="21"/>
                <w:highlight w:val="none"/>
                <w:lang w:val="en-US" w:eastAsia="zh-CN"/>
              </w:rPr>
              <w:t>座</w:t>
            </w:r>
            <w:r>
              <w:rPr>
                <w:rFonts w:hint="eastAsia"/>
                <w:color w:val="auto"/>
                <w:kern w:val="0"/>
                <w:szCs w:val="21"/>
                <w:highlight w:val="none"/>
              </w:rPr>
              <w:t>，四周设有高1.45m防火堤，内部设2处高度为1.2m的隔堤分隔为3部分，隔堤内最多储罐数量为6</w:t>
            </w:r>
            <w:r>
              <w:rPr>
                <w:rFonts w:hint="eastAsia"/>
                <w:color w:val="auto"/>
                <w:kern w:val="0"/>
                <w:szCs w:val="21"/>
                <w:highlight w:val="none"/>
                <w:lang w:val="en-US" w:eastAsia="zh-CN"/>
              </w:rPr>
              <w:t>座</w:t>
            </w:r>
            <w:r>
              <w:rPr>
                <w:rFonts w:hint="eastAsia"/>
                <w:color w:val="auto"/>
                <w:kern w:val="0"/>
                <w:szCs w:val="21"/>
                <w:highlight w:val="none"/>
              </w:rPr>
              <w:t>。</w:t>
            </w:r>
          </w:p>
          <w:p w14:paraId="451BBEF7">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四罐区：设置立式拱顶罐9</w:t>
            </w:r>
            <w:r>
              <w:rPr>
                <w:rFonts w:hint="eastAsia"/>
                <w:color w:val="auto"/>
                <w:kern w:val="0"/>
                <w:szCs w:val="21"/>
                <w:highlight w:val="none"/>
                <w:lang w:val="en-US" w:eastAsia="zh-CN"/>
              </w:rPr>
              <w:t>座</w:t>
            </w:r>
            <w:r>
              <w:rPr>
                <w:rFonts w:hint="eastAsia"/>
                <w:color w:val="auto"/>
                <w:kern w:val="0"/>
                <w:szCs w:val="21"/>
                <w:highlight w:val="none"/>
              </w:rPr>
              <w:t>，四周设有高1.45m防火堤，内部设4处高度为1.2m的隔堤分隔为5部分，隔堤内最多储罐数量为</w:t>
            </w:r>
            <w:r>
              <w:rPr>
                <w:rFonts w:hint="eastAsia"/>
                <w:color w:val="auto"/>
                <w:kern w:val="0"/>
                <w:szCs w:val="21"/>
                <w:highlight w:val="none"/>
                <w:lang w:val="en-US" w:eastAsia="zh-CN"/>
              </w:rPr>
              <w:t>2座</w:t>
            </w:r>
            <w:r>
              <w:rPr>
                <w:rFonts w:hint="eastAsia"/>
                <w:color w:val="auto"/>
                <w:kern w:val="0"/>
                <w:szCs w:val="21"/>
                <w:highlight w:val="none"/>
              </w:rPr>
              <w:t>。</w:t>
            </w:r>
          </w:p>
          <w:p w14:paraId="3502E59C">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五罐区：设置立式内浮顶罐6</w:t>
            </w:r>
            <w:r>
              <w:rPr>
                <w:rFonts w:hint="eastAsia"/>
                <w:color w:val="auto"/>
                <w:kern w:val="0"/>
                <w:szCs w:val="21"/>
                <w:highlight w:val="none"/>
                <w:lang w:val="en-US" w:eastAsia="zh-CN"/>
              </w:rPr>
              <w:t>座</w:t>
            </w:r>
            <w:r>
              <w:rPr>
                <w:rFonts w:hint="eastAsia"/>
                <w:color w:val="auto"/>
                <w:kern w:val="0"/>
                <w:szCs w:val="21"/>
                <w:highlight w:val="none"/>
              </w:rPr>
              <w:t>，四周设有高1.8m防火堤，内部设2处高度为1.2m的隔堤分隔为3部分，隔堤内最多储罐数量为2</w:t>
            </w:r>
            <w:r>
              <w:rPr>
                <w:rFonts w:hint="eastAsia"/>
                <w:color w:val="auto"/>
                <w:kern w:val="0"/>
                <w:szCs w:val="21"/>
                <w:highlight w:val="none"/>
                <w:lang w:val="en-US" w:eastAsia="zh-CN"/>
              </w:rPr>
              <w:t>座</w:t>
            </w:r>
            <w:r>
              <w:rPr>
                <w:rFonts w:hint="eastAsia"/>
                <w:color w:val="auto"/>
                <w:kern w:val="0"/>
                <w:szCs w:val="21"/>
                <w:highlight w:val="none"/>
              </w:rPr>
              <w:t>。</w:t>
            </w:r>
          </w:p>
          <w:p w14:paraId="6E8A81D6">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六罐区：设置立式内浮顶罐10</w:t>
            </w:r>
            <w:r>
              <w:rPr>
                <w:rFonts w:hint="eastAsia"/>
                <w:color w:val="auto"/>
                <w:kern w:val="0"/>
                <w:szCs w:val="21"/>
                <w:highlight w:val="none"/>
                <w:lang w:val="en-US" w:eastAsia="zh-CN"/>
              </w:rPr>
              <w:t>座</w:t>
            </w:r>
            <w:r>
              <w:rPr>
                <w:rFonts w:hint="eastAsia"/>
                <w:color w:val="auto"/>
                <w:kern w:val="0"/>
                <w:szCs w:val="21"/>
                <w:highlight w:val="none"/>
              </w:rPr>
              <w:t>，四周设有高1.</w:t>
            </w:r>
            <w:r>
              <w:rPr>
                <w:rFonts w:hint="eastAsia"/>
                <w:color w:val="auto"/>
                <w:kern w:val="0"/>
                <w:szCs w:val="21"/>
                <w:highlight w:val="none"/>
                <w:lang w:val="en-US" w:eastAsia="zh-CN"/>
              </w:rPr>
              <w:t>6</w:t>
            </w:r>
            <w:r>
              <w:rPr>
                <w:rFonts w:hint="eastAsia"/>
                <w:color w:val="auto"/>
                <w:kern w:val="0"/>
                <w:szCs w:val="21"/>
                <w:highlight w:val="none"/>
              </w:rPr>
              <w:t>m防火堤，内部设1处高度为1.</w:t>
            </w:r>
            <w:r>
              <w:rPr>
                <w:rFonts w:hint="eastAsia"/>
                <w:color w:val="auto"/>
                <w:kern w:val="0"/>
                <w:szCs w:val="21"/>
                <w:highlight w:val="none"/>
                <w:lang w:val="en-US" w:eastAsia="zh-CN"/>
              </w:rPr>
              <w:t>2</w:t>
            </w:r>
            <w:r>
              <w:rPr>
                <w:rFonts w:hint="eastAsia"/>
                <w:color w:val="auto"/>
                <w:kern w:val="0"/>
                <w:szCs w:val="21"/>
                <w:highlight w:val="none"/>
              </w:rPr>
              <w:t>m的隔堤分隔为2部分，隔堤内最多储罐数量为6</w:t>
            </w:r>
            <w:r>
              <w:rPr>
                <w:rFonts w:hint="eastAsia"/>
                <w:color w:val="auto"/>
                <w:kern w:val="0"/>
                <w:szCs w:val="21"/>
                <w:highlight w:val="none"/>
                <w:lang w:val="en-US" w:eastAsia="zh-CN"/>
              </w:rPr>
              <w:t>座</w:t>
            </w:r>
            <w:r>
              <w:rPr>
                <w:rFonts w:hint="eastAsia"/>
                <w:color w:val="auto"/>
                <w:kern w:val="0"/>
                <w:szCs w:val="21"/>
                <w:highlight w:val="none"/>
              </w:rPr>
              <w:t>。</w:t>
            </w:r>
          </w:p>
          <w:p w14:paraId="61A6418A">
            <w:pPr>
              <w:keepNext w:val="0"/>
              <w:keepLines w:val="0"/>
              <w:suppressLineNumbers w:val="0"/>
              <w:adjustRightInd w:val="0"/>
              <w:snapToGrid w:val="0"/>
              <w:spacing w:before="0" w:beforeAutospacing="0" w:after="0" w:afterAutospacing="0" w:line="360" w:lineRule="auto"/>
              <w:ind w:left="0" w:right="0" w:firstLine="422" w:firstLineChars="200"/>
              <w:rPr>
                <w:rFonts w:hint="eastAsia"/>
                <w:b/>
                <w:bCs/>
                <w:color w:val="auto"/>
                <w:kern w:val="0"/>
                <w:szCs w:val="21"/>
                <w:highlight w:val="none"/>
              </w:rPr>
            </w:pPr>
            <w:r>
              <w:rPr>
                <w:rFonts w:hint="eastAsia"/>
                <w:b/>
                <w:bCs/>
                <w:color w:val="auto"/>
                <w:kern w:val="0"/>
                <w:szCs w:val="21"/>
                <w:highlight w:val="none"/>
                <w:lang w:val="en-US" w:eastAsia="zh-CN"/>
              </w:rPr>
              <w:t>（2）</w:t>
            </w:r>
            <w:r>
              <w:rPr>
                <w:rFonts w:hint="eastAsia"/>
                <w:b/>
                <w:bCs/>
                <w:color w:val="auto"/>
                <w:kern w:val="0"/>
                <w:szCs w:val="21"/>
                <w:highlight w:val="none"/>
              </w:rPr>
              <w:t>行政管理区</w:t>
            </w:r>
          </w:p>
          <w:p w14:paraId="148FD0FF">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库区东侧设有办公楼、门卫室、开票室、综合用房、辅助用房、堆场等。</w:t>
            </w:r>
          </w:p>
          <w:p w14:paraId="1ED94FD9">
            <w:pPr>
              <w:keepNext w:val="0"/>
              <w:keepLines w:val="0"/>
              <w:suppressLineNumbers w:val="0"/>
              <w:adjustRightInd w:val="0"/>
              <w:snapToGrid w:val="0"/>
              <w:spacing w:before="0" w:beforeAutospacing="0" w:after="0" w:afterAutospacing="0" w:line="360" w:lineRule="auto"/>
              <w:ind w:left="0" w:right="0" w:firstLine="422" w:firstLineChars="200"/>
              <w:rPr>
                <w:rFonts w:hint="eastAsia"/>
                <w:b/>
                <w:bCs/>
                <w:color w:val="auto"/>
                <w:kern w:val="0"/>
                <w:szCs w:val="21"/>
                <w:highlight w:val="none"/>
              </w:rPr>
            </w:pPr>
            <w:r>
              <w:rPr>
                <w:rFonts w:hint="eastAsia"/>
                <w:b/>
                <w:bCs/>
                <w:color w:val="auto"/>
                <w:kern w:val="0"/>
                <w:szCs w:val="21"/>
                <w:highlight w:val="none"/>
                <w:lang w:val="en-US" w:eastAsia="zh-CN"/>
              </w:rPr>
              <w:t>（3）</w:t>
            </w:r>
            <w:r>
              <w:rPr>
                <w:rFonts w:hint="eastAsia"/>
                <w:b/>
                <w:bCs/>
                <w:color w:val="auto"/>
                <w:kern w:val="0"/>
                <w:szCs w:val="21"/>
                <w:highlight w:val="none"/>
              </w:rPr>
              <w:t>化工品装卸区</w:t>
            </w:r>
          </w:p>
          <w:p w14:paraId="0FC1CE60">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化工品装卸区主要位于库区西侧、二罐区南侧，包括装车站1座，布置</w:t>
            </w:r>
            <w:r>
              <w:rPr>
                <w:rFonts w:hint="eastAsia"/>
                <w:color w:val="auto"/>
                <w:kern w:val="0"/>
                <w:szCs w:val="21"/>
                <w:highlight w:val="none"/>
                <w:lang w:val="en-US" w:eastAsia="zh-CN"/>
              </w:rPr>
              <w:t>60</w:t>
            </w:r>
            <w:r>
              <w:rPr>
                <w:rFonts w:hint="eastAsia"/>
                <w:color w:val="auto"/>
                <w:kern w:val="0"/>
                <w:szCs w:val="21"/>
                <w:highlight w:val="none"/>
              </w:rPr>
              <w:t>个液体化工品装车位和8个液化烃装车位，使用鹤管/装卸臂进行装卸车作业。工业油脂装卸区位于三罐区泵房，设置卸车区和卸车泵棚1处。</w:t>
            </w:r>
          </w:p>
          <w:p w14:paraId="4DF864B7">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Cs w:val="21"/>
                <w:highlight w:val="none"/>
                <w:lang w:val="en-US"/>
              </w:rPr>
            </w:pPr>
            <w:r>
              <w:rPr>
                <w:rFonts w:hint="eastAsia"/>
                <w:color w:val="auto"/>
                <w:kern w:val="0"/>
                <w:szCs w:val="21"/>
                <w:highlight w:val="none"/>
              </w:rPr>
              <w:t>沥青卸车区位于五罐区东侧，设置卸车区和卸车泵棚各1处</w:t>
            </w:r>
            <w:r>
              <w:rPr>
                <w:rFonts w:hint="eastAsia"/>
                <w:color w:val="auto"/>
                <w:kern w:val="0"/>
                <w:szCs w:val="21"/>
                <w:highlight w:val="none"/>
                <w:lang w:eastAsia="zh-CN"/>
              </w:rPr>
              <w:t>，</w:t>
            </w:r>
            <w:r>
              <w:rPr>
                <w:rFonts w:hint="eastAsia"/>
                <w:color w:val="auto"/>
                <w:kern w:val="0"/>
                <w:szCs w:val="21"/>
                <w:highlight w:val="none"/>
                <w:lang w:val="en-US" w:eastAsia="zh-CN"/>
              </w:rPr>
              <w:t>本次改建项目在卸车区新增1套沥青装车撬装装置。</w:t>
            </w:r>
          </w:p>
          <w:p w14:paraId="68D0D0E7">
            <w:pPr>
              <w:keepNext w:val="0"/>
              <w:keepLines w:val="0"/>
              <w:suppressLineNumbers w:val="0"/>
              <w:adjustRightInd w:val="0"/>
              <w:snapToGrid w:val="0"/>
              <w:spacing w:before="0" w:beforeAutospacing="0" w:after="0" w:afterAutospacing="0" w:line="360" w:lineRule="auto"/>
              <w:ind w:left="0" w:right="0" w:firstLine="422" w:firstLineChars="200"/>
              <w:rPr>
                <w:rFonts w:hint="eastAsia"/>
                <w:b/>
                <w:bCs/>
                <w:color w:val="auto"/>
                <w:kern w:val="0"/>
                <w:szCs w:val="21"/>
                <w:highlight w:val="none"/>
              </w:rPr>
            </w:pPr>
            <w:r>
              <w:rPr>
                <w:rFonts w:hint="eastAsia"/>
                <w:b/>
                <w:bCs/>
                <w:color w:val="auto"/>
                <w:kern w:val="0"/>
                <w:szCs w:val="21"/>
                <w:highlight w:val="none"/>
                <w:lang w:val="en-US" w:eastAsia="zh-CN"/>
              </w:rPr>
              <w:t>（4）</w:t>
            </w:r>
            <w:r>
              <w:rPr>
                <w:rFonts w:hint="eastAsia"/>
                <w:b/>
                <w:bCs/>
                <w:color w:val="auto"/>
                <w:kern w:val="0"/>
                <w:szCs w:val="21"/>
                <w:highlight w:val="none"/>
              </w:rPr>
              <w:t>辅助生产区</w:t>
            </w:r>
          </w:p>
          <w:p w14:paraId="3E33763B">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辅助生产区集中布置于库区南侧和东侧。南侧设置制氮机房、化验室、消防泵房、喷淋泵房、配电室、五金库、应急物资装备库、维修间、制冷站等。五罐区东侧设置导热油炉房。另外污水处理设施位于三、四罐区之间，固废棚位于消防水池西侧，新建危废仓库（已建成，正在开展竣工环保验收）位于库区的西南角。</w:t>
            </w:r>
          </w:p>
          <w:p w14:paraId="130D687F">
            <w:pPr>
              <w:keepNext w:val="0"/>
              <w:keepLines w:val="0"/>
              <w:suppressLineNumbers w:val="0"/>
              <w:adjustRightInd w:val="0"/>
              <w:snapToGrid w:val="0"/>
              <w:spacing w:before="0" w:beforeAutospacing="0" w:after="0" w:afterAutospacing="0" w:line="360" w:lineRule="auto"/>
              <w:ind w:left="0" w:right="0" w:firstLine="422" w:firstLineChars="200"/>
              <w:rPr>
                <w:rFonts w:hint="eastAsia"/>
                <w:b/>
                <w:bCs/>
                <w:i w:val="0"/>
                <w:iCs w:val="0"/>
                <w:color w:val="auto"/>
                <w:kern w:val="0"/>
                <w:szCs w:val="21"/>
                <w:highlight w:val="none"/>
                <w:lang w:val="en-US" w:eastAsia="zh-CN"/>
              </w:rPr>
            </w:pPr>
            <w:r>
              <w:rPr>
                <w:rFonts w:hint="eastAsia"/>
                <w:b/>
                <w:bCs/>
                <w:i w:val="0"/>
                <w:iCs w:val="0"/>
                <w:color w:val="auto"/>
                <w:kern w:val="0"/>
                <w:szCs w:val="21"/>
                <w:highlight w:val="none"/>
                <w:lang w:val="en-US" w:eastAsia="zh-CN"/>
              </w:rPr>
              <w:t>（5）洗舱水处理及尾气处理设施区</w:t>
            </w:r>
          </w:p>
          <w:p w14:paraId="1D733A25">
            <w:pPr>
              <w:keepNext w:val="0"/>
              <w:keepLines w:val="0"/>
              <w:suppressLineNumbers w:val="0"/>
              <w:adjustRightInd w:val="0"/>
              <w:snapToGrid w:val="0"/>
              <w:spacing w:before="0" w:beforeAutospacing="0" w:after="0" w:afterAutospacing="0" w:line="360" w:lineRule="auto"/>
              <w:ind w:left="0" w:right="0" w:firstLine="420" w:firstLineChars="200"/>
              <w:rPr>
                <w:rFonts w:hint="eastAsia"/>
                <w:b w:val="0"/>
                <w:bCs w:val="0"/>
                <w:color w:val="auto"/>
                <w:kern w:val="0"/>
                <w:szCs w:val="21"/>
                <w:highlight w:val="none"/>
                <w:lang w:val="en-US" w:eastAsia="zh-CN"/>
              </w:rPr>
            </w:pPr>
            <w:r>
              <w:rPr>
                <w:rFonts w:hint="eastAsia"/>
                <w:b w:val="0"/>
                <w:bCs w:val="0"/>
                <w:color w:val="auto"/>
                <w:kern w:val="0"/>
                <w:szCs w:val="21"/>
                <w:highlight w:val="none"/>
                <w:lang w:val="en-US" w:eastAsia="zh-CN"/>
              </w:rPr>
              <w:t>洗舱水处理位于厂区西南部分，化学品装卸区南侧，呈东西向布置。由东往西依次为综合用房、供水站、洗舱水处理设施区域。</w:t>
            </w:r>
          </w:p>
          <w:p w14:paraId="7A8C0566">
            <w:pPr>
              <w:keepNext w:val="0"/>
              <w:keepLines w:val="0"/>
              <w:suppressLineNumbers w:val="0"/>
              <w:adjustRightInd w:val="0"/>
              <w:snapToGrid w:val="0"/>
              <w:spacing w:before="0" w:beforeAutospacing="0" w:after="0" w:afterAutospacing="0" w:line="360" w:lineRule="auto"/>
              <w:ind w:left="0" w:right="0" w:firstLine="420" w:firstLineChars="200"/>
              <w:rPr>
                <w:rFonts w:hint="eastAsia"/>
                <w:b w:val="0"/>
                <w:bCs w:val="0"/>
                <w:color w:val="auto"/>
                <w:kern w:val="0"/>
                <w:szCs w:val="21"/>
                <w:highlight w:val="yellow"/>
                <w:lang w:val="en-US" w:eastAsia="zh-CN"/>
              </w:rPr>
            </w:pPr>
            <w:r>
              <w:rPr>
                <w:rFonts w:hint="eastAsia"/>
                <w:b w:val="0"/>
                <w:bCs w:val="0"/>
                <w:color w:val="auto"/>
                <w:kern w:val="0"/>
                <w:szCs w:val="21"/>
                <w:highlight w:val="none"/>
                <w:lang w:val="en-US" w:eastAsia="zh-CN"/>
              </w:rPr>
              <w:t>尾气处理设施：位于洗舱站东侧，丽天公司2022年针对全厂尾气系统进行了改造，优化储罐顶部废气收集方式，采用呼吸阀呼口接管方式收集（非直接连通工艺），设置一台临氧裂解设备及一台25000m</w:t>
            </w:r>
            <w:r>
              <w:rPr>
                <w:rFonts w:hint="eastAsia"/>
                <w:b w:val="0"/>
                <w:bCs w:val="0"/>
                <w:color w:val="auto"/>
                <w:kern w:val="0"/>
                <w:szCs w:val="21"/>
                <w:highlight w:val="none"/>
                <w:vertAlign w:val="superscript"/>
                <w:lang w:val="en-US" w:eastAsia="zh-CN"/>
              </w:rPr>
              <w:t>3</w:t>
            </w:r>
            <w:r>
              <w:rPr>
                <w:rFonts w:hint="eastAsia"/>
                <w:b w:val="0"/>
                <w:bCs w:val="0"/>
                <w:color w:val="auto"/>
                <w:kern w:val="0"/>
                <w:szCs w:val="21"/>
                <w:highlight w:val="none"/>
                <w:lang w:val="en-US" w:eastAsia="zh-CN"/>
              </w:rPr>
              <w:t>/h的催化氧化装置，并配套深冷装置、水洗塔、碱洗塔、冷凝装置、引风机、阻爆轰阻火器等设备。日常废气回收处理设备保持常开，临氧裂解设备作为催化氧化装置的备用设备。</w:t>
            </w:r>
          </w:p>
          <w:p w14:paraId="310765E4">
            <w:pPr>
              <w:keepNext w:val="0"/>
              <w:keepLines w:val="0"/>
              <w:suppressLineNumbers w:val="0"/>
              <w:adjustRightInd w:val="0"/>
              <w:snapToGrid w:val="0"/>
              <w:spacing w:before="0" w:beforeAutospacing="0" w:after="0" w:afterAutospacing="0" w:line="360" w:lineRule="auto"/>
              <w:ind w:left="0" w:right="0" w:firstLine="422" w:firstLineChars="200"/>
              <w:rPr>
                <w:rFonts w:hint="default" w:eastAsia="宋体"/>
                <w:b/>
                <w:bCs/>
                <w:color w:val="auto"/>
                <w:kern w:val="0"/>
                <w:szCs w:val="21"/>
                <w:highlight w:val="none"/>
                <w:lang w:val="en-US" w:eastAsia="zh-CN"/>
              </w:rPr>
            </w:pPr>
            <w:r>
              <w:rPr>
                <w:rFonts w:hint="eastAsia"/>
                <w:b/>
                <w:bCs/>
                <w:color w:val="auto"/>
                <w:kern w:val="0"/>
                <w:szCs w:val="21"/>
                <w:highlight w:val="none"/>
                <w:lang w:val="en-US" w:eastAsia="zh-CN"/>
              </w:rPr>
              <w:t>2、码头总平面布置</w:t>
            </w:r>
          </w:p>
          <w:p w14:paraId="3314FE25">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Cs w:val="21"/>
                <w:highlight w:val="none"/>
                <w:lang w:val="en-US" w:eastAsia="zh-CN"/>
              </w:rPr>
            </w:pPr>
            <w:r>
              <w:rPr>
                <w:rFonts w:hint="eastAsia"/>
                <w:color w:val="auto"/>
                <w:kern w:val="0"/>
                <w:szCs w:val="21"/>
                <w:highlight w:val="none"/>
                <w:lang w:val="en-US" w:eastAsia="zh-CN"/>
              </w:rPr>
              <w:t>本次改建项目不改变现有码头平面布置。</w:t>
            </w:r>
          </w:p>
          <w:p w14:paraId="3524754B">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外档</w:t>
            </w:r>
            <w:r>
              <w:rPr>
                <w:rFonts w:hint="eastAsia" w:ascii="Times New Roman" w:hAnsi="Times New Roman" w:eastAsia="宋体" w:cs="Times New Roman"/>
                <w:color w:val="auto"/>
                <w:kern w:val="0"/>
                <w:szCs w:val="21"/>
                <w:highlight w:val="none"/>
                <w:lang w:val="en-US" w:eastAsia="zh-CN"/>
              </w:rPr>
              <w:t>自上游至下游</w:t>
            </w:r>
            <w:r>
              <w:rPr>
                <w:rFonts w:hint="default" w:ascii="Times New Roman" w:hAnsi="Times New Roman" w:eastAsia="宋体" w:cs="Times New Roman"/>
                <w:color w:val="auto"/>
                <w:kern w:val="0"/>
                <w:szCs w:val="21"/>
                <w:highlight w:val="none"/>
                <w:lang w:val="en-US" w:eastAsia="zh-CN"/>
              </w:rPr>
              <w:t>设</w:t>
            </w:r>
            <w:r>
              <w:rPr>
                <w:rFonts w:hint="eastAsia" w:ascii="Times New Roman" w:hAnsi="Times New Roman" w:eastAsia="宋体" w:cs="Times New Roman"/>
                <w:color w:val="auto"/>
                <w:kern w:val="0"/>
                <w:szCs w:val="21"/>
                <w:highlight w:val="none"/>
                <w:lang w:val="en-US" w:eastAsia="zh-CN"/>
              </w:rPr>
              <w:t>1个2</w:t>
            </w:r>
            <w:r>
              <w:rPr>
                <w:rFonts w:hint="default" w:ascii="Times New Roman" w:hAnsi="Times New Roman" w:eastAsia="宋体" w:cs="Times New Roman"/>
                <w:color w:val="auto"/>
                <w:kern w:val="0"/>
                <w:szCs w:val="21"/>
                <w:highlight w:val="none"/>
                <w:lang w:val="en-US" w:eastAsia="zh-CN"/>
              </w:rPr>
              <w:t>万吨级液体化工泊位</w:t>
            </w:r>
            <w:r>
              <w:rPr>
                <w:rFonts w:hint="eastAsia" w:ascii="Times New Roman" w:hAnsi="Times New Roman" w:eastAsia="宋体" w:cs="Times New Roman"/>
                <w:color w:val="auto"/>
                <w:kern w:val="0"/>
                <w:szCs w:val="21"/>
                <w:highlight w:val="none"/>
                <w:lang w:val="en-US" w:eastAsia="zh-CN"/>
              </w:rPr>
              <w:t>（1</w:t>
            </w:r>
            <w:r>
              <w:rPr>
                <w:rFonts w:hint="default" w:ascii="Times New Roman" w:hAnsi="Times New Roman" w:eastAsia="宋体" w:cs="Times New Roman"/>
                <w:color w:val="auto"/>
                <w:kern w:val="0"/>
                <w:szCs w:val="21"/>
                <w:highlight w:val="none"/>
                <w:lang w:val="en-US" w:eastAsia="zh-CN"/>
              </w:rPr>
              <w:t>#泊位</w:t>
            </w:r>
            <w:r>
              <w:rPr>
                <w:rFonts w:hint="eastAsia"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和</w:t>
            </w:r>
            <w:r>
              <w:rPr>
                <w:rFonts w:hint="eastAsia" w:ascii="Times New Roman" w:hAnsi="Times New Roman" w:eastAsia="宋体" w:cs="Times New Roman"/>
                <w:color w:val="auto"/>
                <w:kern w:val="0"/>
                <w:szCs w:val="21"/>
                <w:highlight w:val="none"/>
                <w:lang w:val="en-US" w:eastAsia="zh-CN"/>
              </w:rPr>
              <w:t>1个5</w:t>
            </w:r>
            <w:r>
              <w:rPr>
                <w:rFonts w:hint="default" w:ascii="Times New Roman" w:hAnsi="Times New Roman" w:eastAsia="宋体" w:cs="Times New Roman"/>
                <w:color w:val="auto"/>
                <w:kern w:val="0"/>
                <w:szCs w:val="21"/>
                <w:highlight w:val="none"/>
                <w:lang w:val="en-US" w:eastAsia="zh-CN"/>
              </w:rPr>
              <w:t>万吨级液体化工泊位</w:t>
            </w:r>
            <w:r>
              <w:rPr>
                <w:rFonts w:hint="eastAsia" w:ascii="Times New Roman" w:hAnsi="Times New Roman" w:eastAsia="宋体" w:cs="Times New Roman"/>
                <w:color w:val="auto"/>
                <w:kern w:val="0"/>
                <w:szCs w:val="21"/>
                <w:highlight w:val="none"/>
                <w:lang w:val="en-US" w:eastAsia="zh-CN"/>
              </w:rPr>
              <w:t>（2</w:t>
            </w:r>
            <w:r>
              <w:rPr>
                <w:rFonts w:hint="default" w:ascii="Times New Roman" w:hAnsi="Times New Roman" w:eastAsia="宋体" w:cs="Times New Roman"/>
                <w:color w:val="auto"/>
                <w:kern w:val="0"/>
                <w:szCs w:val="21"/>
                <w:highlight w:val="none"/>
                <w:lang w:val="en-US" w:eastAsia="zh-CN"/>
              </w:rPr>
              <w:t>#泊位</w:t>
            </w:r>
            <w:r>
              <w:rPr>
                <w:rFonts w:hint="eastAsia"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2万吨级液体化工泊位水工结构按靠泊5万吨级化学品船设计（上游或下游泊位靠泊一艘5万吨级化学品船时，另一个泊位靠泊一艘2万吨级以下化学品船），内档布置3个500吨级化工泊位（自上游至下游为3#泊位、4#泊位、5#泊位）。码头下游5万吨级液体化工泊位、内档5#泊位设置船舶洗舱设施及接收设施，在不进行危险货物装卸作业时可用于开展船舶洗舱作业。</w:t>
            </w:r>
          </w:p>
          <w:p w14:paraId="65C353B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码头呈“一”字型连片布置，总长445m，上游作业平台为86×20m，下游作业平台为180×25m，均为2016年改扩建项目新增平台；中部作业平台为179×20m。作业平台上设置有消防炮、软管吊机、紧急脱缆钩、激光靠泊等设备设施。码头为高桩墩式结构，通过1座引桥与后方陆域相连。</w:t>
            </w:r>
          </w:p>
          <w:p w14:paraId="434BB651">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引桥位于码头的中部，为297m×7m。化工管线靠作业平台后沿与引桥下游侧布置。引桥前方布置综合用房，码头下游和引桥下游侧设置防撞桩。码头面高程6.0m，固定引桥面高程6.0m-7.1m（后方大堤顶高程7.0m）。</w:t>
            </w:r>
          </w:p>
          <w:p w14:paraId="7DD1D787">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lang w:val="en-US" w:eastAsia="zh-CN"/>
              </w:rPr>
              <w:t>本项目位于丽天公司现有厂区内，本项目改建后不改变企业现有平面布置。建设项目平面布置图见附图8。</w:t>
            </w:r>
          </w:p>
        </w:tc>
      </w:tr>
      <w:tr w14:paraId="0C88F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noWrap w:val="0"/>
            <w:vAlign w:val="center"/>
          </w:tcPr>
          <w:p w14:paraId="025096C1">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施工方案</w:t>
            </w:r>
          </w:p>
        </w:tc>
        <w:tc>
          <w:tcPr>
            <w:tcW w:w="4772" w:type="pct"/>
            <w:noWrap w:val="0"/>
            <w:vAlign w:val="center"/>
          </w:tcPr>
          <w:p w14:paraId="12002620">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本项目对储运设施进行安全改造，施工内容主要包括对二罐区现有2505储罐进行安全改造、在现有煤焦沥青卸车区域安装1套装车撬装装置。施工过程仅为设备及管道的拆除及安装，不涉及土建施工，不涉及施工方案。</w:t>
            </w:r>
          </w:p>
        </w:tc>
      </w:tr>
      <w:tr w14:paraId="230B4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 w:type="pct"/>
            <w:noWrap w:val="0"/>
            <w:vAlign w:val="center"/>
          </w:tcPr>
          <w:p w14:paraId="666EA2D4">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rPr>
              <w:t>其他</w:t>
            </w:r>
          </w:p>
        </w:tc>
        <w:tc>
          <w:tcPr>
            <w:tcW w:w="4772" w:type="pct"/>
            <w:noWrap w:val="0"/>
            <w:vAlign w:val="center"/>
          </w:tcPr>
          <w:p w14:paraId="782E812C">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Cs w:val="21"/>
                <w:highlight w:val="none"/>
              </w:rPr>
              <w:t>无</w:t>
            </w:r>
          </w:p>
        </w:tc>
      </w:tr>
    </w:tbl>
    <w:p w14:paraId="130F83B5">
      <w:pPr>
        <w:pStyle w:val="19"/>
        <w:jc w:val="center"/>
        <w:outlineLvl w:val="0"/>
        <w:rPr>
          <w:rFonts w:eastAsia="仿宋_GB2312"/>
          <w:b/>
          <w:bCs/>
          <w:color w:val="auto"/>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79CE439E">
      <w:pPr>
        <w:pStyle w:val="19"/>
        <w:jc w:val="center"/>
        <w:outlineLvl w:val="0"/>
        <w:rPr>
          <w:rFonts w:ascii="黑体" w:hAnsi="黑体" w:eastAsia="黑体"/>
          <w:snapToGrid w:val="0"/>
          <w:color w:val="auto"/>
          <w:sz w:val="30"/>
          <w:szCs w:val="30"/>
        </w:rPr>
      </w:pPr>
      <w:bookmarkStart w:id="5" w:name="_Toc22144"/>
      <w:r>
        <w:rPr>
          <w:rFonts w:hint="eastAsia" w:ascii="黑体" w:hAnsi="黑体" w:eastAsia="黑体"/>
          <w:snapToGrid w:val="0"/>
          <w:color w:val="auto"/>
          <w:sz w:val="30"/>
          <w:szCs w:val="30"/>
        </w:rPr>
        <w:t>三、生态环境现状、保护目标及评价标准</w:t>
      </w:r>
      <w:bookmarkEnd w:id="5"/>
    </w:p>
    <w:tbl>
      <w:tblPr>
        <w:tblStyle w:val="21"/>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14:paraId="1D9C12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904" w:type="dxa"/>
            <w:noWrap w:val="0"/>
            <w:vAlign w:val="center"/>
          </w:tcPr>
          <w:p w14:paraId="44C6819A">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生态环境现状</w:t>
            </w:r>
          </w:p>
        </w:tc>
        <w:tc>
          <w:tcPr>
            <w:tcW w:w="8253" w:type="dxa"/>
            <w:noWrap w:val="0"/>
            <w:vAlign w:val="center"/>
          </w:tcPr>
          <w:p w14:paraId="27720F88">
            <w:pPr>
              <w:keepNext w:val="0"/>
              <w:keepLines w:val="0"/>
              <w:suppressLineNumbers w:val="0"/>
              <w:adjustRightInd w:val="0"/>
              <w:snapToGrid w:val="0"/>
              <w:spacing w:before="0" w:beforeAutospacing="0" w:after="0" w:afterAutospacing="0" w:line="360" w:lineRule="auto"/>
              <w:ind w:left="0" w:right="0"/>
              <w:jc w:val="left"/>
              <w:rPr>
                <w:rFonts w:hint="eastAsia"/>
                <w:b/>
                <w:color w:val="auto"/>
                <w:kern w:val="0"/>
                <w:szCs w:val="21"/>
              </w:rPr>
            </w:pPr>
            <w:r>
              <w:rPr>
                <w:rFonts w:hint="eastAsia"/>
                <w:b/>
                <w:color w:val="auto"/>
                <w:kern w:val="0"/>
                <w:szCs w:val="21"/>
                <w:lang w:val="en-US" w:eastAsia="zh-CN"/>
              </w:rPr>
              <w:t>1</w:t>
            </w:r>
            <w:r>
              <w:rPr>
                <w:rFonts w:hint="eastAsia"/>
                <w:b/>
                <w:color w:val="auto"/>
                <w:kern w:val="0"/>
                <w:szCs w:val="21"/>
              </w:rPr>
              <w:t>、生态环境现状</w:t>
            </w:r>
          </w:p>
          <w:p w14:paraId="68FFFBDB">
            <w:pPr>
              <w:keepNext w:val="0"/>
              <w:keepLines w:val="0"/>
              <w:suppressLineNumbers w:val="0"/>
              <w:adjustRightInd w:val="0"/>
              <w:snapToGrid w:val="0"/>
              <w:spacing w:before="0" w:beforeAutospacing="0" w:after="0" w:afterAutospacing="0" w:line="360" w:lineRule="auto"/>
              <w:ind w:left="0" w:right="0" w:firstLine="422" w:firstLineChars="200"/>
              <w:jc w:val="left"/>
              <w:rPr>
                <w:rFonts w:hint="eastAsia" w:ascii="Times New Roman" w:hAnsi="Times New Roman" w:eastAsia="宋体" w:cs="Times New Roman"/>
                <w:b/>
                <w:bCs/>
                <w:i w:val="0"/>
                <w:iCs w:val="0"/>
                <w:color w:val="auto"/>
                <w:kern w:val="0"/>
                <w:szCs w:val="21"/>
                <w:highlight w:val="none"/>
                <w:lang w:eastAsia="zh-CN"/>
              </w:rPr>
            </w:pPr>
            <w:r>
              <w:rPr>
                <w:rFonts w:hint="eastAsia" w:ascii="Times New Roman" w:hAnsi="Times New Roman" w:eastAsia="宋体" w:cs="Times New Roman"/>
                <w:b/>
                <w:bCs/>
                <w:i w:val="0"/>
                <w:iCs w:val="0"/>
                <w:color w:val="auto"/>
                <w:kern w:val="0"/>
                <w:szCs w:val="21"/>
                <w:highlight w:val="none"/>
                <w:lang w:eastAsia="zh-CN"/>
              </w:rPr>
              <w:t>（</w:t>
            </w:r>
            <w:r>
              <w:rPr>
                <w:rFonts w:hint="eastAsia" w:ascii="Times New Roman" w:hAnsi="Times New Roman" w:eastAsia="宋体" w:cs="Times New Roman"/>
                <w:b/>
                <w:bCs/>
                <w:i w:val="0"/>
                <w:iCs w:val="0"/>
                <w:color w:val="auto"/>
                <w:kern w:val="0"/>
                <w:szCs w:val="21"/>
                <w:highlight w:val="none"/>
                <w:lang w:val="en-US" w:eastAsia="zh-CN"/>
              </w:rPr>
              <w:t>1</w:t>
            </w:r>
            <w:r>
              <w:rPr>
                <w:rFonts w:hint="eastAsia" w:ascii="Times New Roman" w:hAnsi="Times New Roman" w:eastAsia="宋体" w:cs="Times New Roman"/>
                <w:b/>
                <w:bCs/>
                <w:i w:val="0"/>
                <w:iCs w:val="0"/>
                <w:color w:val="auto"/>
                <w:kern w:val="0"/>
                <w:szCs w:val="21"/>
                <w:highlight w:val="none"/>
                <w:lang w:eastAsia="zh-CN"/>
              </w:rPr>
              <w:t>）陆生生态</w:t>
            </w:r>
          </w:p>
          <w:p w14:paraId="2B5DDC85">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根据《江阴市志（1988-2007）》，江阴市气候温暖湿润，土壤肥沃，植物生长迅速，种类繁多，但人类开发较早。因此，该区域的自然陆生生态已为人工农业生态所取代，由于土地利用率极高，自然植被基本消失。</w:t>
            </w:r>
          </w:p>
          <w:p w14:paraId="36D5FC88">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人工植被以作物栽培为主，主要粮食作物是水稻、小麦和油菜；蔬菜主要有叶菜、果菜、茎菜、根菜和花菜等五大类几十个品种；经济作物主要有药材、桑和茶。</w:t>
            </w:r>
          </w:p>
          <w:p w14:paraId="487547EE">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道路和河道两旁，农民屋前宅后绿化种植的树木主要有槐、杉、松、桑、柳、杨等树种，竹类有燕竹、蔑竹、像竹和毛竹等品种。果树有桃、梅、橘、银、枇杷、杨梅、杏等。</w:t>
            </w:r>
          </w:p>
          <w:p w14:paraId="5545BF8C">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该区域现有野生植物主要是野生灌木和草本植物。常见的有紫花地丁、菟丝子、车前子、蒲公英、艾蒿、马鞭草等。</w:t>
            </w:r>
          </w:p>
          <w:p w14:paraId="5529C10B">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家养的牲畜主要有鸡、鸭、牛、羊、猪、狗等传统家畜，目前该地区主要野生动物有昆虫类、鼠类、蛇类和飞禽类等。</w:t>
            </w:r>
          </w:p>
          <w:p w14:paraId="50815B55">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Cs w:val="21"/>
                <w:highlight w:val="yellow"/>
                <w:lang w:eastAsia="zh-CN"/>
              </w:rPr>
            </w:pPr>
            <w:r>
              <w:rPr>
                <w:rFonts w:hint="eastAsia"/>
                <w:color w:val="auto"/>
                <w:kern w:val="0"/>
                <w:szCs w:val="21"/>
                <w:highlight w:val="none"/>
              </w:rPr>
              <w:t>本项目位于</w:t>
            </w:r>
            <w:r>
              <w:rPr>
                <w:rFonts w:hint="eastAsia" w:ascii="Times New Roman" w:hAnsi="Times New Roman" w:eastAsia="宋体" w:cs="Times New Roman"/>
                <w:color w:val="auto"/>
                <w:kern w:val="0"/>
                <w:szCs w:val="21"/>
                <w:lang w:val="en-US" w:eastAsia="zh-CN"/>
              </w:rPr>
              <w:t>江苏省</w:t>
            </w:r>
            <w:r>
              <w:rPr>
                <w:rFonts w:hint="default" w:ascii="Times New Roman" w:hAnsi="Times New Roman" w:eastAsia="宋体" w:cs="Times New Roman"/>
                <w:color w:val="auto"/>
                <w:kern w:val="0"/>
                <w:szCs w:val="21"/>
              </w:rPr>
              <w:t>无锡市江阴市</w:t>
            </w:r>
            <w:r>
              <w:rPr>
                <w:rFonts w:hint="eastAsia" w:ascii="Times New Roman" w:hAnsi="Times New Roman" w:eastAsia="宋体" w:cs="Times New Roman"/>
                <w:color w:val="auto"/>
                <w:kern w:val="0"/>
                <w:szCs w:val="21"/>
                <w:lang w:val="en-US" w:eastAsia="zh-CN"/>
              </w:rPr>
              <w:t>利港街道</w:t>
            </w:r>
            <w:r>
              <w:rPr>
                <w:rFonts w:hint="default" w:ascii="Times New Roman" w:hAnsi="Times New Roman" w:eastAsia="宋体" w:cs="Times New Roman"/>
                <w:color w:val="auto"/>
                <w:kern w:val="0"/>
                <w:szCs w:val="21"/>
              </w:rPr>
              <w:t>润华路</w:t>
            </w:r>
            <w:r>
              <w:rPr>
                <w:rFonts w:hint="eastAsia" w:ascii="Times New Roman" w:hAnsi="Times New Roman" w:eastAsia="宋体" w:cs="Times New Roman"/>
                <w:color w:val="auto"/>
                <w:kern w:val="0"/>
                <w:szCs w:val="21"/>
                <w:lang w:val="en-US" w:eastAsia="zh-CN"/>
              </w:rPr>
              <w:t>9</w:t>
            </w:r>
            <w:r>
              <w:rPr>
                <w:rFonts w:hint="default" w:ascii="Times New Roman" w:hAnsi="Times New Roman" w:eastAsia="宋体" w:cs="Times New Roman"/>
                <w:color w:val="auto"/>
                <w:kern w:val="0"/>
                <w:szCs w:val="21"/>
              </w:rPr>
              <w:t>号</w:t>
            </w:r>
            <w:r>
              <w:rPr>
                <w:rFonts w:hint="eastAsia"/>
                <w:color w:val="auto"/>
                <w:kern w:val="0"/>
                <w:szCs w:val="21"/>
                <w:highlight w:val="none"/>
              </w:rPr>
              <w:t>，</w:t>
            </w:r>
            <w:r>
              <w:rPr>
                <w:rFonts w:hint="eastAsia"/>
                <w:color w:val="auto"/>
                <w:kern w:val="0"/>
                <w:szCs w:val="21"/>
                <w:highlight w:val="none"/>
                <w:lang w:val="en-US" w:eastAsia="zh-CN"/>
              </w:rPr>
              <w:t>丽天</w:t>
            </w:r>
            <w:r>
              <w:rPr>
                <w:rFonts w:hint="eastAsia" w:ascii="Times New Roman" w:hAnsi="Times New Roman" w:eastAsia="宋体" w:cs="Times New Roman"/>
                <w:color w:val="auto"/>
                <w:kern w:val="0"/>
                <w:szCs w:val="21"/>
                <w:lang w:val="en-US" w:eastAsia="zh-CN"/>
              </w:rPr>
              <w:t>公司现有厂区，用地范围内</w:t>
            </w:r>
            <w:r>
              <w:rPr>
                <w:rFonts w:hint="eastAsia" w:ascii="Times New Roman" w:hAnsi="Times New Roman" w:eastAsia="宋体" w:cs="Times New Roman"/>
                <w:color w:val="auto"/>
                <w:kern w:val="0"/>
                <w:szCs w:val="21"/>
                <w:highlight w:val="none"/>
                <w:lang w:eastAsia="zh-CN"/>
              </w:rPr>
              <w:t>人类活动频繁，受人类的干扰影响，野生动物会发生明显的迁徙变化，区内除观察到少量鸟类、鼠类、蚁类、蛇类、蛙类等，</w:t>
            </w:r>
            <w:r>
              <w:rPr>
                <w:rFonts w:hint="eastAsia" w:ascii="Times New Roman" w:hAnsi="Times New Roman" w:eastAsia="宋体" w:cs="Times New Roman"/>
                <w:color w:val="auto"/>
                <w:kern w:val="0"/>
                <w:szCs w:val="21"/>
                <w:highlight w:val="none"/>
                <w:lang w:val="en-US" w:eastAsia="zh-CN"/>
              </w:rPr>
              <w:t>不涉及重点保护野生动植物及重要生境</w:t>
            </w:r>
            <w:r>
              <w:rPr>
                <w:rFonts w:hint="eastAsia" w:ascii="Times New Roman" w:hAnsi="Times New Roman" w:eastAsia="宋体" w:cs="Times New Roman"/>
                <w:color w:val="auto"/>
                <w:kern w:val="0"/>
                <w:szCs w:val="21"/>
                <w:highlight w:val="none"/>
                <w:lang w:eastAsia="zh-CN"/>
              </w:rPr>
              <w:t>。</w:t>
            </w:r>
          </w:p>
          <w:p w14:paraId="3AB6017E">
            <w:pPr>
              <w:keepNext w:val="0"/>
              <w:keepLines w:val="0"/>
              <w:suppressLineNumbers w:val="0"/>
              <w:adjustRightInd w:val="0"/>
              <w:snapToGrid w:val="0"/>
              <w:spacing w:before="0" w:beforeAutospacing="0" w:after="0" w:afterAutospacing="0" w:line="360" w:lineRule="auto"/>
              <w:ind w:left="0" w:right="0" w:firstLine="422" w:firstLineChars="200"/>
              <w:jc w:val="left"/>
              <w:rPr>
                <w:rFonts w:hint="eastAsia"/>
                <w:b/>
                <w:bCs/>
                <w:i w:val="0"/>
                <w:iCs w:val="0"/>
                <w:color w:val="auto"/>
                <w:kern w:val="0"/>
                <w:szCs w:val="21"/>
                <w:highlight w:val="none"/>
              </w:rPr>
            </w:pPr>
            <w:r>
              <w:rPr>
                <w:rFonts w:hint="eastAsia"/>
                <w:b/>
                <w:bCs/>
                <w:i w:val="0"/>
                <w:iCs w:val="0"/>
                <w:color w:val="auto"/>
                <w:kern w:val="0"/>
                <w:szCs w:val="21"/>
                <w:highlight w:val="none"/>
                <w:lang w:eastAsia="zh-CN"/>
              </w:rPr>
              <w:t>（</w:t>
            </w:r>
            <w:r>
              <w:rPr>
                <w:rFonts w:hint="eastAsia"/>
                <w:b/>
                <w:bCs/>
                <w:i w:val="0"/>
                <w:iCs w:val="0"/>
                <w:color w:val="auto"/>
                <w:kern w:val="0"/>
                <w:szCs w:val="21"/>
                <w:highlight w:val="none"/>
                <w:lang w:val="en-US" w:eastAsia="zh-CN"/>
              </w:rPr>
              <w:t>2</w:t>
            </w:r>
            <w:r>
              <w:rPr>
                <w:rFonts w:hint="eastAsia"/>
                <w:b/>
                <w:bCs/>
                <w:i w:val="0"/>
                <w:iCs w:val="0"/>
                <w:color w:val="auto"/>
                <w:kern w:val="0"/>
                <w:szCs w:val="21"/>
                <w:highlight w:val="none"/>
                <w:lang w:eastAsia="zh-CN"/>
              </w:rPr>
              <w:t>）</w:t>
            </w:r>
            <w:r>
              <w:rPr>
                <w:rFonts w:hint="eastAsia"/>
                <w:b/>
                <w:bCs/>
                <w:i w:val="0"/>
                <w:iCs w:val="0"/>
                <w:color w:val="auto"/>
                <w:kern w:val="0"/>
                <w:szCs w:val="21"/>
                <w:highlight w:val="none"/>
              </w:rPr>
              <w:t>水生生态</w:t>
            </w:r>
          </w:p>
          <w:p w14:paraId="25A8B650">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根据《江阴市志（1988-2007）》，江阴市水生生态情况如下：</w:t>
            </w:r>
          </w:p>
          <w:p w14:paraId="12DF7766">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①水生动物</w:t>
            </w:r>
          </w:p>
          <w:p w14:paraId="667E3F96">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长江江阴段主要经济鱼类和珍稀动物约91种，分别隶属于13目25科。其中鲤科鱼类为最多，共有46种，占51.1%；鮠科鱼类6种，占6.6%；银鱼科和</w:t>
            </w:r>
            <w:r>
              <w:rPr>
                <w:rFonts w:hint="eastAsia"/>
                <w:color w:val="auto"/>
                <w:kern w:val="0"/>
                <w:szCs w:val="21"/>
                <w:highlight w:val="none"/>
                <w:lang w:eastAsia="zh-CN"/>
              </w:rPr>
              <w:t>鲀</w:t>
            </w:r>
            <w:r>
              <w:rPr>
                <w:rFonts w:hint="eastAsia"/>
                <w:color w:val="auto"/>
                <w:kern w:val="0"/>
                <w:szCs w:val="21"/>
                <w:highlight w:val="none"/>
              </w:rPr>
              <w:t>科鱼类各4种（各占4.4%）；鳀科和鮨科鱼类各3种（各占3.3%）；鳅科﹑鳗鲡科﹑鲻鱼科﹑鳢科﹑塘鳢鱼﹑鰕虎鱼科各2种（各占2%）。属于国家一级保护的珍稀动物有白鳍豚、中华鲟、白鲟；属于二级保护种类的有江豚、胭脂鱼和花鳗鱼。</w:t>
            </w:r>
          </w:p>
          <w:p w14:paraId="12D24667">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由于长江水质变化、滥捕、水利工程等多种原因，青、草、鲢、鳙等四大家鱼的数量锐减，并已无法形成鱼汛。长江洄游鱼类，鲥、刀、河豚等也成了江中“名贵”。铜鱼、鳗鱼也呈小型化、幼龄化趋势。</w:t>
            </w:r>
          </w:p>
          <w:p w14:paraId="7416125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②浮游动物</w:t>
            </w:r>
          </w:p>
          <w:p w14:paraId="64C65106">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长江江段因水流冲击等原因，浮游动物种类不多，但在沿江（岸），生物种类较丰富，主要是轮虫﹑枝角类和桡足类动物，它们中多数是鱼类的天然饵料。该地区长江中，主要浮游动物约30种，为原生动物6种、轮虫9种、枝角类3种、桡足类12种。近岸段水流平缓，生物的种类和数量均多，距岸较远点（200米）种类和数量均少，丰水期和枯水期生物的种类和数量有差异，枯水期原生动物为丰水期的8倍，轮虫为30倍。</w:t>
            </w:r>
          </w:p>
          <w:p w14:paraId="22025F15">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③底栖无脊椎动物</w:t>
            </w:r>
          </w:p>
          <w:p w14:paraId="560C3C86">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长江江阴段有大量软体动物的螺类（为铜锈环棱螺，纹沼螺）、蚌类（楔蚌属等）、河蚬，环节动物的沙蚕、水蚯蚓，水生昆虫幼虫（蜉蝣、摇蚊），节肢动物的米虾属及中华绒螯蟹等动物。由于该江段为底质坚硬的沙质河床，加上长江水流快速，流量大，不利于底栖动物栖息。主要底栖无脊椎动物有10种，其中寡毛类、摇蚊幼虫、软体动物各3种，多毛类1种，主要有：寡毛类的沼丝蚓、巨毛水丝蚓、中华河蚓，摇蚊幼虫的脆弱隐摇蚊、斑点摇蚊、梯形多足摇蚊；软体动物纹沼螺、方形环棱螺、方格短沟蜷和环节动物吻沙蚕等。</w:t>
            </w:r>
          </w:p>
          <w:p w14:paraId="36CBD940">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④水生植物</w:t>
            </w:r>
          </w:p>
          <w:p w14:paraId="369F1D5D">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水生植物主要</w:t>
            </w:r>
            <w:r>
              <w:rPr>
                <w:rFonts w:hint="eastAsia"/>
                <w:color w:val="auto"/>
                <w:kern w:val="0"/>
                <w:szCs w:val="21"/>
                <w:highlight w:val="none"/>
                <w:lang w:val="en-US" w:eastAsia="zh-CN"/>
              </w:rPr>
              <w:t>由</w:t>
            </w:r>
            <w:r>
              <w:rPr>
                <w:rFonts w:hint="eastAsia"/>
                <w:color w:val="auto"/>
                <w:kern w:val="0"/>
                <w:szCs w:val="21"/>
                <w:highlight w:val="none"/>
              </w:rPr>
              <w:t>湿地沼泽植物和沉水植物构成。水生维管束植物中常见的有水花生、水车前、凤莲眼等；淀粉类植物有芡实、菱角等；主要沼泽植物有芦苇、菖蒲等。</w:t>
            </w:r>
          </w:p>
          <w:p w14:paraId="1553B1D5">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eastAsia="宋体"/>
                <w:color w:val="auto"/>
                <w:kern w:val="0"/>
                <w:szCs w:val="21"/>
                <w:highlight w:val="none"/>
                <w:lang w:eastAsia="zh-CN"/>
              </w:rPr>
            </w:pPr>
            <w:r>
              <w:rPr>
                <w:rFonts w:hint="eastAsia"/>
                <w:color w:val="auto"/>
                <w:kern w:val="0"/>
                <w:szCs w:val="21"/>
                <w:highlight w:val="none"/>
              </w:rPr>
              <w:t>根据江阴—靖江江段南半水域监测，该江段浮游植物和藻类共62～63属（种），其中绿藻门26属（种），硅藻门21属（种），蓝藻门10属（种），裸藻门3属（种），黄藻门、隐藻门和甲藻门各1属（种），且各断面种群基本相似，无明显变化；浮游动物共30～36种，其中原生生物6种，轮虫9种，枝角类3种，桡足类12种。桡足类中毛类7种，软体动物7种，水生昆虫及幼虫4种，其他5种。底栖动物群落结构和生物量差异显著，与江段生境、局部流态、营养物有关。由于南岸开发力度大，南半水域江段受有机污染影响（CODcr和凯氏氮超标）较重，江段为寡污段和β-中等污染带及α-中等污染带</w:t>
            </w:r>
            <w:r>
              <w:rPr>
                <w:rFonts w:hint="eastAsia"/>
                <w:color w:val="auto"/>
                <w:kern w:val="0"/>
                <w:szCs w:val="21"/>
                <w:highlight w:val="none"/>
                <w:lang w:eastAsia="zh-CN"/>
              </w:rPr>
              <w:t>。</w:t>
            </w:r>
          </w:p>
          <w:p w14:paraId="7959C9EF">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olor w:val="auto"/>
                <w:kern w:val="0"/>
                <w:szCs w:val="21"/>
                <w:highlight w:val="none"/>
                <w:lang w:val="en-US" w:eastAsia="zh-CN"/>
              </w:rPr>
            </w:pPr>
            <w:r>
              <w:rPr>
                <w:rFonts w:hint="eastAsia"/>
                <w:color w:val="auto"/>
                <w:kern w:val="0"/>
                <w:szCs w:val="21"/>
                <w:highlight w:val="none"/>
              </w:rPr>
              <w:t>本项目位于</w:t>
            </w:r>
            <w:r>
              <w:rPr>
                <w:rFonts w:hint="eastAsia" w:ascii="Times New Roman" w:hAnsi="Times New Roman" w:eastAsia="宋体" w:cs="Times New Roman"/>
                <w:color w:val="auto"/>
                <w:kern w:val="0"/>
                <w:szCs w:val="21"/>
                <w:lang w:val="en-US" w:eastAsia="zh-CN"/>
              </w:rPr>
              <w:t>江苏省</w:t>
            </w:r>
            <w:r>
              <w:rPr>
                <w:rFonts w:hint="default" w:ascii="Times New Roman" w:hAnsi="Times New Roman" w:eastAsia="宋体" w:cs="Times New Roman"/>
                <w:color w:val="auto"/>
                <w:kern w:val="0"/>
                <w:szCs w:val="21"/>
              </w:rPr>
              <w:t>无锡市江阴市</w:t>
            </w:r>
            <w:r>
              <w:rPr>
                <w:rFonts w:hint="eastAsia" w:ascii="Times New Roman" w:hAnsi="Times New Roman" w:eastAsia="宋体" w:cs="Times New Roman"/>
                <w:color w:val="auto"/>
                <w:kern w:val="0"/>
                <w:szCs w:val="21"/>
                <w:lang w:val="en-US" w:eastAsia="zh-CN"/>
              </w:rPr>
              <w:t>利港街道</w:t>
            </w:r>
            <w:r>
              <w:rPr>
                <w:rFonts w:hint="default" w:ascii="Times New Roman" w:hAnsi="Times New Roman" w:eastAsia="宋体" w:cs="Times New Roman"/>
                <w:color w:val="auto"/>
                <w:kern w:val="0"/>
                <w:szCs w:val="21"/>
              </w:rPr>
              <w:t>润华路</w:t>
            </w:r>
            <w:r>
              <w:rPr>
                <w:rFonts w:hint="eastAsia" w:ascii="Times New Roman" w:hAnsi="Times New Roman" w:eastAsia="宋体" w:cs="Times New Roman"/>
                <w:color w:val="auto"/>
                <w:kern w:val="0"/>
                <w:szCs w:val="21"/>
                <w:lang w:val="en-US" w:eastAsia="zh-CN"/>
              </w:rPr>
              <w:t>9</w:t>
            </w:r>
            <w:r>
              <w:rPr>
                <w:rFonts w:hint="default" w:ascii="Times New Roman" w:hAnsi="Times New Roman" w:eastAsia="宋体" w:cs="Times New Roman"/>
                <w:color w:val="auto"/>
                <w:kern w:val="0"/>
                <w:szCs w:val="21"/>
              </w:rPr>
              <w:t>号</w:t>
            </w:r>
            <w:r>
              <w:rPr>
                <w:rFonts w:hint="eastAsia"/>
                <w:color w:val="auto"/>
                <w:kern w:val="0"/>
                <w:szCs w:val="21"/>
                <w:highlight w:val="none"/>
              </w:rPr>
              <w:t>，</w:t>
            </w:r>
            <w:r>
              <w:rPr>
                <w:rFonts w:hint="eastAsia"/>
                <w:color w:val="auto"/>
                <w:kern w:val="0"/>
                <w:szCs w:val="21"/>
                <w:highlight w:val="none"/>
                <w:lang w:val="en-US" w:eastAsia="zh-CN"/>
              </w:rPr>
              <w:t>丽天</w:t>
            </w:r>
            <w:r>
              <w:rPr>
                <w:rFonts w:hint="eastAsia" w:ascii="Times New Roman" w:hAnsi="Times New Roman" w:eastAsia="宋体" w:cs="Times New Roman"/>
                <w:color w:val="auto"/>
                <w:kern w:val="0"/>
                <w:szCs w:val="21"/>
                <w:lang w:val="en-US" w:eastAsia="zh-CN"/>
              </w:rPr>
              <w:t>公司码头位于无锡（江阴）港</w:t>
            </w:r>
            <w:r>
              <w:rPr>
                <w:rFonts w:hint="eastAsia" w:ascii="Times New Roman" w:hAnsi="Times New Roman" w:eastAsia="宋体" w:cs="Times New Roman"/>
                <w:color w:val="auto"/>
                <w:kern w:val="0"/>
                <w:szCs w:val="21"/>
                <w:highlight w:val="none"/>
                <w:lang w:val="en-US" w:eastAsia="zh-CN"/>
              </w:rPr>
              <w:t>石利港区</w:t>
            </w:r>
            <w:r>
              <w:rPr>
                <w:rFonts w:hint="eastAsia" w:ascii="Times New Roman" w:hAnsi="Times New Roman" w:eastAsia="宋体" w:cs="Times New Roman"/>
                <w:color w:val="auto"/>
                <w:kern w:val="0"/>
                <w:szCs w:val="21"/>
                <w:lang w:val="en-US" w:eastAsia="zh-CN"/>
              </w:rPr>
              <w:t>，码头</w:t>
            </w:r>
            <w:r>
              <w:rPr>
                <w:rFonts w:hint="eastAsia"/>
                <w:color w:val="auto"/>
                <w:kern w:val="0"/>
                <w:szCs w:val="21"/>
                <w:highlight w:val="none"/>
              </w:rPr>
              <w:t>运输河流为长江</w:t>
            </w:r>
            <w:r>
              <w:rPr>
                <w:rFonts w:hint="eastAsia"/>
                <w:color w:val="auto"/>
                <w:kern w:val="0"/>
                <w:szCs w:val="21"/>
                <w:highlight w:val="none"/>
                <w:lang w:eastAsia="zh-CN"/>
              </w:rPr>
              <w:t>，</w:t>
            </w:r>
            <w:r>
              <w:rPr>
                <w:rFonts w:hint="eastAsia"/>
                <w:color w:val="auto"/>
                <w:kern w:val="0"/>
                <w:szCs w:val="21"/>
                <w:highlight w:val="none"/>
              </w:rPr>
              <w:t>不涉及</w:t>
            </w:r>
            <w:r>
              <w:rPr>
                <w:rFonts w:hint="eastAsia" w:ascii="Times New Roman" w:hAnsi="Times New Roman" w:eastAsia="宋体" w:cs="Times New Roman"/>
                <w:color w:val="auto"/>
                <w:kern w:val="0"/>
                <w:szCs w:val="21"/>
                <w:highlight w:val="none"/>
                <w:lang w:val="en-US" w:eastAsia="zh-CN"/>
              </w:rPr>
              <w:t>重点保护野生动植物及重要生境</w:t>
            </w:r>
            <w:r>
              <w:rPr>
                <w:rFonts w:hint="eastAsia"/>
                <w:color w:val="auto"/>
                <w:kern w:val="0"/>
                <w:szCs w:val="21"/>
                <w:highlight w:val="none"/>
                <w:lang w:val="en-US" w:eastAsia="zh-CN"/>
              </w:rPr>
              <w:t>。</w:t>
            </w:r>
          </w:p>
          <w:p w14:paraId="3BCC6F15">
            <w:pPr>
              <w:keepNext w:val="0"/>
              <w:keepLines w:val="0"/>
              <w:suppressLineNumbers w:val="0"/>
              <w:adjustRightInd w:val="0"/>
              <w:snapToGrid w:val="0"/>
              <w:spacing w:before="0" w:beforeAutospacing="0" w:after="0" w:afterAutospacing="0" w:line="360" w:lineRule="auto"/>
              <w:ind w:left="0" w:right="0"/>
              <w:jc w:val="left"/>
              <w:rPr>
                <w:rFonts w:hint="default"/>
                <w:b/>
                <w:color w:val="auto"/>
                <w:kern w:val="0"/>
                <w:szCs w:val="21"/>
              </w:rPr>
            </w:pPr>
            <w:r>
              <w:rPr>
                <w:rFonts w:hint="eastAsia"/>
                <w:b/>
                <w:color w:val="auto"/>
                <w:kern w:val="0"/>
                <w:szCs w:val="21"/>
                <w:lang w:val="en-US" w:eastAsia="zh-CN"/>
              </w:rPr>
              <w:t>2</w:t>
            </w:r>
            <w:r>
              <w:rPr>
                <w:rFonts w:hint="eastAsia"/>
                <w:b/>
                <w:color w:val="auto"/>
                <w:kern w:val="0"/>
                <w:szCs w:val="21"/>
              </w:rPr>
              <w:t>、</w:t>
            </w:r>
            <w:r>
              <w:rPr>
                <w:rFonts w:hint="eastAsia"/>
                <w:b/>
                <w:color w:val="auto"/>
                <w:kern w:val="0"/>
                <w:szCs w:val="21"/>
                <w:lang w:val="en-US" w:eastAsia="zh-CN"/>
              </w:rPr>
              <w:t>区域</w:t>
            </w:r>
            <w:r>
              <w:rPr>
                <w:rFonts w:hint="eastAsia"/>
                <w:b/>
                <w:color w:val="auto"/>
                <w:kern w:val="0"/>
                <w:szCs w:val="21"/>
              </w:rPr>
              <w:t>环境</w:t>
            </w:r>
            <w:r>
              <w:rPr>
                <w:rFonts w:hint="eastAsia"/>
                <w:b/>
                <w:color w:val="auto"/>
                <w:kern w:val="0"/>
                <w:szCs w:val="21"/>
                <w:lang w:val="en-US" w:eastAsia="zh-CN"/>
              </w:rPr>
              <w:t>质量</w:t>
            </w:r>
            <w:r>
              <w:rPr>
                <w:rFonts w:hint="eastAsia"/>
                <w:b/>
                <w:color w:val="auto"/>
                <w:kern w:val="0"/>
                <w:szCs w:val="21"/>
              </w:rPr>
              <w:t>现状</w:t>
            </w:r>
          </w:p>
          <w:p w14:paraId="05BBCD90">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1</w:t>
            </w:r>
            <w:r>
              <w:rPr>
                <w:rFonts w:hint="eastAsia" w:ascii="Times New Roman" w:hAnsi="Times New Roman" w:eastAsia="宋体" w:cs="Times New Roman"/>
                <w:b/>
                <w:bCs/>
                <w:color w:val="auto"/>
                <w:lang w:eastAsia="zh-CN"/>
              </w:rPr>
              <w:t>）大气环境质量现状</w:t>
            </w:r>
            <w:r>
              <w:rPr>
                <w:rFonts w:hint="eastAsia" w:ascii="Times New Roman" w:hAnsi="Times New Roman" w:eastAsia="宋体" w:cs="Times New Roman"/>
                <w:b/>
                <w:bCs/>
                <w:color w:val="auto"/>
                <w:lang w:val="en-US" w:eastAsia="zh-CN"/>
              </w:rPr>
              <w:t>调查与评价</w:t>
            </w:r>
          </w:p>
          <w:p w14:paraId="42E7B961">
            <w:pPr>
              <w:keepNext w:val="0"/>
              <w:keepLines w:val="0"/>
              <w:suppressLineNumbers w:val="0"/>
              <w:adjustRightInd w:val="0"/>
              <w:snapToGrid w:val="0"/>
              <w:spacing w:before="0" w:beforeAutospacing="0" w:after="0" w:afterAutospacing="0" w:line="360" w:lineRule="auto"/>
              <w:ind w:left="0" w:right="0" w:firstLine="420" w:firstLineChars="200"/>
              <w:rPr>
                <w:rFonts w:hint="eastAsia"/>
                <w:b w:val="0"/>
                <w:bCs w:val="0"/>
                <w:color w:val="auto"/>
                <w:lang w:val="en-US" w:eastAsia="zh-CN"/>
              </w:rPr>
            </w:pPr>
            <w:r>
              <w:rPr>
                <w:rFonts w:hint="eastAsia"/>
                <w:b w:val="0"/>
                <w:bCs w:val="0"/>
                <w:color w:val="auto"/>
                <w:lang w:val="en-US" w:eastAsia="zh-CN"/>
              </w:rPr>
              <w:t>本项目环境影响报告表含大气环境专项评价，本次按《环境影响评价技术导则 大气环境》（HJ2.2-2018）要求进行大气环境现状调查和评价，详见大气环境专项评价报告，本报告表仅填写大气环境质量现状调查和评价结果概要。</w:t>
            </w:r>
          </w:p>
          <w:p w14:paraId="2D6A67BA">
            <w:pPr>
              <w:keepNext w:val="0"/>
              <w:keepLines w:val="0"/>
              <w:suppressLineNumbers w:val="0"/>
              <w:adjustRightInd w:val="0"/>
              <w:snapToGrid w:val="0"/>
              <w:spacing w:before="0" w:beforeAutospacing="0" w:after="0" w:afterAutospacing="0" w:line="360" w:lineRule="auto"/>
              <w:ind w:left="0" w:right="0" w:firstLine="420" w:firstLineChars="200"/>
              <w:rPr>
                <w:rFonts w:hint="default"/>
                <w:b w:val="0"/>
                <w:bCs w:val="0"/>
                <w:color w:val="auto"/>
                <w:highlight w:val="yellow"/>
                <w:lang w:val="en-US" w:eastAsia="zh-CN"/>
              </w:rPr>
            </w:pPr>
            <w:r>
              <w:rPr>
                <w:rFonts w:hint="eastAsia"/>
                <w:b w:val="0"/>
                <w:bCs w:val="0"/>
                <w:color w:val="auto"/>
                <w:highlight w:val="none"/>
                <w:lang w:val="en-US" w:eastAsia="zh-CN"/>
              </w:rPr>
              <w:t>根据本项目大气环境专项评价报告，本项目大气评价等级为三级，评价基准年为2024年，三级评价项目不需设置大气环境影响评价范围。</w:t>
            </w:r>
          </w:p>
          <w:p w14:paraId="28FFAE7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highlight w:val="yellow"/>
              </w:rPr>
            </w:pPr>
            <w:r>
              <w:rPr>
                <w:rFonts w:hint="eastAsia"/>
                <w:color w:val="auto"/>
                <w:highlight w:val="none"/>
                <w:lang w:eastAsia="zh-CN"/>
              </w:rPr>
              <w:t>根据《202</w:t>
            </w:r>
            <w:r>
              <w:rPr>
                <w:rFonts w:hint="eastAsia"/>
                <w:color w:val="auto"/>
                <w:highlight w:val="none"/>
                <w:lang w:val="en-US" w:eastAsia="zh-CN"/>
              </w:rPr>
              <w:t>4</w:t>
            </w:r>
            <w:r>
              <w:rPr>
                <w:rFonts w:hint="eastAsia"/>
                <w:color w:val="auto"/>
                <w:highlight w:val="none"/>
                <w:lang w:eastAsia="zh-CN"/>
              </w:rPr>
              <w:t>年度江阴市生态环境状态公报》，</w:t>
            </w:r>
            <w:r>
              <w:rPr>
                <w:rFonts w:hint="eastAsia"/>
                <w:color w:val="auto"/>
                <w:szCs w:val="21"/>
                <w:highlight w:val="none"/>
              </w:rPr>
              <w:t>2024年，全市PM</w:t>
            </w:r>
            <w:r>
              <w:rPr>
                <w:rFonts w:hint="eastAsia"/>
                <w:color w:val="auto"/>
                <w:szCs w:val="21"/>
                <w:highlight w:val="none"/>
                <w:vertAlign w:val="subscript"/>
              </w:rPr>
              <w:t>2.5</w:t>
            </w:r>
            <w:r>
              <w:rPr>
                <w:rFonts w:hint="eastAsia"/>
                <w:color w:val="auto"/>
                <w:szCs w:val="21"/>
                <w:highlight w:val="none"/>
              </w:rPr>
              <w:t>年平均浓度32微克/立方米，完成省、市下达的目标任务。空气质量优良天数298天，优良天数比率达81.4%。全市空气SO</w:t>
            </w:r>
            <w:r>
              <w:rPr>
                <w:rFonts w:hint="eastAsia"/>
                <w:color w:val="auto"/>
                <w:szCs w:val="21"/>
                <w:highlight w:val="none"/>
                <w:vertAlign w:val="subscript"/>
              </w:rPr>
              <w:t>2</w:t>
            </w:r>
            <w:r>
              <w:rPr>
                <w:rFonts w:hint="eastAsia"/>
                <w:color w:val="auto"/>
                <w:szCs w:val="21"/>
                <w:highlight w:val="none"/>
              </w:rPr>
              <w:t>年平均浓度为8.0微克/立方米，达到一级标准；NO</w:t>
            </w:r>
            <w:r>
              <w:rPr>
                <w:rFonts w:hint="eastAsia"/>
                <w:color w:val="auto"/>
                <w:szCs w:val="21"/>
                <w:highlight w:val="none"/>
                <w:vertAlign w:val="subscript"/>
              </w:rPr>
              <w:t>2</w:t>
            </w:r>
            <w:r>
              <w:rPr>
                <w:rFonts w:hint="eastAsia"/>
                <w:color w:val="auto"/>
                <w:szCs w:val="21"/>
                <w:highlight w:val="none"/>
              </w:rPr>
              <w:t>年平均浓度为33.1微克/立方米，达到一级标准；PM</w:t>
            </w:r>
            <w:r>
              <w:rPr>
                <w:rFonts w:hint="eastAsia"/>
                <w:color w:val="auto"/>
                <w:szCs w:val="21"/>
                <w:highlight w:val="none"/>
                <w:vertAlign w:val="subscript"/>
              </w:rPr>
              <w:t>10</w:t>
            </w:r>
            <w:r>
              <w:rPr>
                <w:rFonts w:hint="eastAsia"/>
                <w:color w:val="auto"/>
                <w:szCs w:val="21"/>
                <w:highlight w:val="none"/>
              </w:rPr>
              <w:t>年平均浓度为51.7微克/立方米，达到二级标准；CO年平均浓度为1.134毫克/立方米，达到一级标准；O</w:t>
            </w:r>
            <w:r>
              <w:rPr>
                <w:rFonts w:hint="eastAsia"/>
                <w:color w:val="auto"/>
                <w:szCs w:val="21"/>
                <w:highlight w:val="none"/>
                <w:vertAlign w:val="subscript"/>
              </w:rPr>
              <w:t>3</w:t>
            </w:r>
            <w:r>
              <w:rPr>
                <w:rFonts w:hint="eastAsia"/>
                <w:color w:val="auto"/>
                <w:szCs w:val="21"/>
                <w:highlight w:val="none"/>
              </w:rPr>
              <w:t>年平均浓度为162微克/立方米，同比下降6.5%</w:t>
            </w:r>
            <w:r>
              <w:rPr>
                <w:rFonts w:hint="eastAsia"/>
                <w:color w:val="auto"/>
                <w:highlight w:val="none"/>
                <w:lang w:eastAsia="zh-CN"/>
              </w:rPr>
              <w:t>。因此判定为不达标区。</w:t>
            </w:r>
            <w:r>
              <w:rPr>
                <w:rFonts w:hint="default" w:ascii="Times New Roman" w:hAnsi="Times New Roman" w:eastAsia="宋体" w:cs="Times New Roman"/>
                <w:color w:val="auto"/>
                <w:highlight w:val="none"/>
              </w:rPr>
              <w:t>目前地方政府已经出具</w:t>
            </w:r>
            <w:r>
              <w:rPr>
                <w:rFonts w:hint="eastAsia" w:ascii="Times New Roman" w:hAnsi="Times New Roman" w:eastAsia="宋体" w:cs="Times New Roman"/>
                <w:color w:val="auto"/>
                <w:highlight w:val="none"/>
              </w:rPr>
              <w:t>大气</w:t>
            </w:r>
            <w:r>
              <w:rPr>
                <w:rFonts w:hint="default" w:ascii="Times New Roman" w:hAnsi="Times New Roman" w:eastAsia="宋体" w:cs="Times New Roman"/>
                <w:color w:val="auto"/>
                <w:highlight w:val="none"/>
              </w:rPr>
              <w:t>环境整治方案</w:t>
            </w:r>
            <w:r>
              <w:rPr>
                <w:rFonts w:hint="eastAsia" w:ascii="Times New Roman" w:hAnsi="Times New Roman" w:eastAsia="宋体" w:cs="Times New Roman"/>
                <w:color w:val="auto"/>
                <w:highlight w:val="none"/>
              </w:rPr>
              <w:t>及</w:t>
            </w:r>
            <w:r>
              <w:rPr>
                <w:rFonts w:hint="default" w:ascii="Times New Roman" w:hAnsi="Times New Roman" w:eastAsia="宋体" w:cs="Times New Roman"/>
                <w:color w:val="auto"/>
                <w:highlight w:val="none"/>
              </w:rPr>
              <w:t>《无锡市大气环境质量限期达标规划（正式稿）》。</w:t>
            </w:r>
          </w:p>
          <w:p w14:paraId="488C3ECE">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根据《无锡市大气环境质量限期达标规划（正式稿）》，无锡市达标规划的规划范围为：整个无锡市全市范围（4650平方公里），无锡市区面积1643.88平方公里，另有太湖水域397.8平方公里。下辖共5个区2个市（梁溪区、滨湖区、惠山区、锡山区、新吴区、江阴市、宜兴市）、7个镇、41个街道。</w:t>
            </w:r>
          </w:p>
          <w:p w14:paraId="596ACFD0">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达标期限：无锡市环境空气质量在2025年实现全面达标。</w:t>
            </w:r>
          </w:p>
          <w:p w14:paraId="6075653F">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远期目标：力争到2025年，无锡市环境空气质量达到国家二级标准要求，PM</w:t>
            </w:r>
            <w:r>
              <w:rPr>
                <w:rFonts w:hint="eastAsia" w:ascii="Times New Roman" w:hAnsi="Times New Roman" w:eastAsia="宋体" w:cs="Times New Roman"/>
                <w:color w:val="auto"/>
                <w:highlight w:val="none"/>
                <w:vertAlign w:val="subscript"/>
                <w:lang w:eastAsia="zh-CN"/>
              </w:rPr>
              <w:t>2.5</w:t>
            </w:r>
            <w:r>
              <w:rPr>
                <w:rFonts w:hint="eastAsia" w:ascii="Times New Roman" w:hAnsi="Times New Roman" w:eastAsia="宋体" w:cs="Times New Roman"/>
                <w:color w:val="auto"/>
                <w:highlight w:val="none"/>
                <w:lang w:eastAsia="zh-CN"/>
              </w:rPr>
              <w:t>浓度达到35µg/m</w:t>
            </w:r>
            <w:r>
              <w:rPr>
                <w:rFonts w:hint="eastAsia" w:ascii="Times New Roman" w:hAnsi="Times New Roman" w:eastAsia="宋体" w:cs="Times New Roman"/>
                <w:color w:val="auto"/>
                <w:highlight w:val="none"/>
                <w:vertAlign w:val="superscript"/>
                <w:lang w:eastAsia="zh-CN"/>
              </w:rPr>
              <w:t>3</w:t>
            </w:r>
            <w:r>
              <w:rPr>
                <w:rFonts w:hint="eastAsia" w:ascii="Times New Roman" w:hAnsi="Times New Roman" w:eastAsia="宋体" w:cs="Times New Roman"/>
                <w:color w:val="auto"/>
                <w:highlight w:val="none"/>
                <w:lang w:eastAsia="zh-CN"/>
              </w:rPr>
              <w:t>左右。</w:t>
            </w:r>
          </w:p>
          <w:p w14:paraId="0A1DF72D">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总体战略：以空气质量达标为核心目标，推进能源结构调整，优化产业结构和布局，加快推进挥发性有机物综合整治，深化火电行业超低排放和工业锅炉整治成果，推进热点整合，提高扬尘管理水平，促进PM</w:t>
            </w:r>
            <w:r>
              <w:rPr>
                <w:rFonts w:hint="eastAsia" w:ascii="Times New Roman" w:hAnsi="Times New Roman" w:eastAsia="宋体" w:cs="Times New Roman"/>
                <w:color w:val="auto"/>
                <w:highlight w:val="none"/>
                <w:vertAlign w:val="subscript"/>
                <w:lang w:eastAsia="zh-CN"/>
              </w:rPr>
              <w:t>2.5</w:t>
            </w:r>
            <w:r>
              <w:rPr>
                <w:rFonts w:hint="eastAsia" w:ascii="Times New Roman" w:hAnsi="Times New Roman" w:eastAsia="宋体" w:cs="Times New Roman"/>
                <w:color w:val="auto"/>
                <w:highlight w:val="none"/>
                <w:lang w:eastAsia="zh-CN"/>
              </w:rPr>
              <w:t>和臭氧协同控制，推进区域联防联控，提高大气污染精细化防控能力。</w:t>
            </w:r>
          </w:p>
          <w:p w14:paraId="5B88F29E">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到2025年，实施清洁能源利用，优化能源结构。推进低VOCs含量原辅料替代。大幅度提升新能源汽车特别是电动车比例。升级工艺技术，优化工艺流程，提高各行业清洁生产水平。实现PM</w:t>
            </w:r>
            <w:r>
              <w:rPr>
                <w:rFonts w:hint="eastAsia" w:ascii="Times New Roman" w:hAnsi="Times New Roman" w:eastAsia="宋体" w:cs="Times New Roman"/>
                <w:color w:val="auto"/>
                <w:highlight w:val="none"/>
                <w:vertAlign w:val="subscript"/>
                <w:lang w:eastAsia="zh-CN"/>
              </w:rPr>
              <w:t>2.5</w:t>
            </w:r>
            <w:r>
              <w:rPr>
                <w:rFonts w:hint="eastAsia" w:ascii="Times New Roman" w:hAnsi="Times New Roman" w:eastAsia="宋体" w:cs="Times New Roman"/>
                <w:color w:val="auto"/>
                <w:highlight w:val="none"/>
                <w:lang w:eastAsia="zh-CN"/>
              </w:rPr>
              <w:t>和臭氧的协调控制。</w:t>
            </w:r>
          </w:p>
          <w:p w14:paraId="0965A578">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通过采取以上措施，可以有效改善大气环境状况，本项目建成后不改变现有大气环境功能。</w:t>
            </w:r>
          </w:p>
          <w:p w14:paraId="563A8E09">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2</w:t>
            </w:r>
            <w:r>
              <w:rPr>
                <w:rFonts w:hint="eastAsia" w:ascii="Times New Roman" w:hAnsi="Times New Roman" w:eastAsia="宋体" w:cs="Times New Roman"/>
                <w:b/>
                <w:bCs/>
                <w:color w:val="auto"/>
                <w:lang w:eastAsia="zh-CN"/>
              </w:rPr>
              <w:t>）地表水环境质量</w:t>
            </w:r>
          </w:p>
          <w:p w14:paraId="2659851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rPr>
            </w:pPr>
            <w:r>
              <w:rPr>
                <w:rFonts w:hint="default"/>
                <w:color w:val="auto"/>
              </w:rPr>
              <w:t>根据《202</w:t>
            </w:r>
            <w:r>
              <w:rPr>
                <w:rFonts w:hint="eastAsia"/>
                <w:color w:val="auto"/>
                <w:lang w:val="en-US" w:eastAsia="zh-CN"/>
              </w:rPr>
              <w:t>4</w:t>
            </w:r>
            <w:r>
              <w:rPr>
                <w:rFonts w:hint="default"/>
                <w:color w:val="auto"/>
              </w:rPr>
              <w:t>年度江阴市生态环境</w:t>
            </w:r>
            <w:r>
              <w:rPr>
                <w:rFonts w:hint="eastAsia"/>
                <w:color w:val="auto"/>
                <w:lang w:val="en-US" w:eastAsia="zh-CN"/>
              </w:rPr>
              <w:t>状况</w:t>
            </w:r>
            <w:r>
              <w:rPr>
                <w:rFonts w:hint="default"/>
                <w:color w:val="auto"/>
              </w:rPr>
              <w:t>公报》，</w:t>
            </w:r>
            <w:r>
              <w:rPr>
                <w:rFonts w:hint="eastAsia"/>
                <w:color w:val="auto"/>
              </w:rPr>
              <w:t>2024年，全市国、省考河流断面水质优Ⅲ比例达到100%，长江三个集中式饮用水源地达标率100%，长江干流江阴段稳定达到Ⅱ类标准，地表水环境质量总体改善。</w:t>
            </w:r>
          </w:p>
          <w:p w14:paraId="1B1597CD">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rPr>
            </w:pPr>
            <w:r>
              <w:rPr>
                <w:rFonts w:hint="eastAsia"/>
                <w:color w:val="auto"/>
              </w:rPr>
              <w:t>全市6个国考断面全部达标，18个省考断面全部达标。西石桥饮用水源地水质良好，109项指标均满足《地表水环境质量标准》（GB3838-2002）中集中式生活饮用水地表水源地水质标准要求。</w:t>
            </w:r>
          </w:p>
          <w:p w14:paraId="249DD977">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rPr>
            </w:pPr>
            <w:r>
              <w:rPr>
                <w:rFonts w:hint="eastAsia"/>
                <w:color w:val="auto"/>
              </w:rPr>
              <w:t>16条重点河流中，长江、应天河、桃花港、石牌港、申港河、利港河、老夏港河、新夏港河、白屈港、锡澄运河、新沟河等11条河流水质状况为优；东横河、东清河、二干河、青祝运河、张家港河等5条河流水质状况为良好。</w:t>
            </w:r>
          </w:p>
          <w:p w14:paraId="14A8D8A3">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olor w:val="auto"/>
                <w:kern w:val="0"/>
                <w:szCs w:val="21"/>
              </w:rPr>
            </w:pPr>
            <w:r>
              <w:rPr>
                <w:rFonts w:hint="eastAsia"/>
                <w:color w:val="auto"/>
              </w:rPr>
              <w:t>与2023年相比，2024年全市16条重点河流中，白屈港、锡澄运河、新沟河、新夏港河水质由良好转为优</w:t>
            </w:r>
            <w:r>
              <w:rPr>
                <w:rFonts w:hint="default"/>
                <w:color w:val="auto"/>
                <w:highlight w:val="none"/>
              </w:rPr>
              <w:t>。</w:t>
            </w:r>
            <w:r>
              <w:rPr>
                <w:rFonts w:hint="eastAsia"/>
                <w:color w:val="auto"/>
                <w:lang w:val="en-US" w:eastAsia="zh-CN"/>
              </w:rPr>
              <w:t>区域水系图详见</w:t>
            </w:r>
            <w:r>
              <w:rPr>
                <w:rFonts w:hint="eastAsia"/>
                <w:color w:val="auto"/>
                <w:highlight w:val="none"/>
                <w:lang w:val="en-US" w:eastAsia="zh-CN"/>
              </w:rPr>
              <w:t>附图9</w:t>
            </w:r>
            <w:r>
              <w:rPr>
                <w:rFonts w:hint="eastAsia"/>
                <w:color w:val="auto"/>
                <w:kern w:val="0"/>
                <w:szCs w:val="21"/>
              </w:rPr>
              <w:t>。</w:t>
            </w:r>
          </w:p>
          <w:p w14:paraId="168631A5">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3</w:t>
            </w:r>
            <w:r>
              <w:rPr>
                <w:rFonts w:hint="eastAsia" w:ascii="Times New Roman" w:hAnsi="Times New Roman" w:eastAsia="宋体" w:cs="Times New Roman"/>
                <w:b/>
                <w:bCs/>
                <w:color w:val="auto"/>
                <w:lang w:eastAsia="zh-CN"/>
              </w:rPr>
              <w:t>）声环境质量</w:t>
            </w:r>
          </w:p>
          <w:p w14:paraId="1F7867B6">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color w:val="auto"/>
              </w:rPr>
            </w:pPr>
            <w:r>
              <w:rPr>
                <w:rFonts w:hint="default"/>
                <w:color w:val="auto"/>
              </w:rPr>
              <w:t>根据《202</w:t>
            </w:r>
            <w:r>
              <w:rPr>
                <w:rFonts w:hint="eastAsia"/>
                <w:color w:val="auto"/>
                <w:lang w:val="en-US" w:eastAsia="zh-CN"/>
              </w:rPr>
              <w:t>4</w:t>
            </w:r>
            <w:r>
              <w:rPr>
                <w:rFonts w:hint="default"/>
                <w:color w:val="auto"/>
              </w:rPr>
              <w:t>年度江阴市生态环境</w:t>
            </w:r>
            <w:r>
              <w:rPr>
                <w:rFonts w:hint="eastAsia"/>
                <w:color w:val="auto"/>
                <w:lang w:val="en-US" w:eastAsia="zh-CN"/>
              </w:rPr>
              <w:t>状况</w:t>
            </w:r>
            <w:r>
              <w:rPr>
                <w:rFonts w:hint="default"/>
                <w:color w:val="auto"/>
              </w:rPr>
              <w:t>公报》，202</w:t>
            </w:r>
            <w:r>
              <w:rPr>
                <w:rFonts w:hint="eastAsia"/>
                <w:color w:val="auto"/>
                <w:lang w:val="en-US" w:eastAsia="zh-CN"/>
              </w:rPr>
              <w:t>4</w:t>
            </w:r>
            <w:r>
              <w:rPr>
                <w:rFonts w:hint="default"/>
                <w:color w:val="auto"/>
              </w:rPr>
              <w:t>年，全市昼间和夜间声环境质量基本保持稳定，声环境质量总体较好。</w:t>
            </w:r>
          </w:p>
          <w:p w14:paraId="1B16309E">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（4）地下水环境质量</w:t>
            </w:r>
          </w:p>
          <w:p w14:paraId="275D5AC2">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highlight w:val="none"/>
                <w:lang w:eastAsia="zh-CN"/>
              </w:rPr>
            </w:pPr>
            <w:r>
              <w:rPr>
                <w:rFonts w:hint="eastAsia"/>
                <w:color w:val="auto"/>
                <w:highlight w:val="none"/>
              </w:rPr>
              <w:t>本次引用江苏智慧生态环境检测有限公司《工业油脂加工项目</w:t>
            </w:r>
            <w:r>
              <w:rPr>
                <w:rFonts w:hint="eastAsia"/>
                <w:color w:val="auto"/>
                <w:highlight w:val="none"/>
                <w:lang w:val="en-US" w:eastAsia="zh-CN"/>
              </w:rPr>
              <w:t>环境影响报告书</w:t>
            </w:r>
            <w:r>
              <w:rPr>
                <w:rFonts w:hint="eastAsia"/>
                <w:color w:val="auto"/>
                <w:highlight w:val="none"/>
              </w:rPr>
              <w:t>》（IET-JCBG-050084【2024】）中2024年3月24日的监测数据</w:t>
            </w:r>
            <w:r>
              <w:rPr>
                <w:rFonts w:hint="eastAsia"/>
                <w:color w:val="auto"/>
                <w:highlight w:val="none"/>
                <w:lang w:eastAsia="zh-CN"/>
              </w:rPr>
              <w:t>（</w:t>
            </w:r>
            <w:r>
              <w:rPr>
                <w:rFonts w:hint="eastAsia" w:ascii="Times New Roman" w:hAnsi="Times New Roman" w:eastAsia="宋体" w:cs="Times New Roman"/>
                <w:color w:val="auto"/>
                <w:lang w:val="en-US" w:eastAsia="zh-CN"/>
              </w:rPr>
              <w:t>详见附件</w:t>
            </w:r>
            <w:r>
              <w:rPr>
                <w:rFonts w:hint="eastAsia" w:ascii="Times New Roman" w:hAnsi="Times New Roman" w:eastAsia="宋体" w:cs="Times New Roman"/>
                <w:color w:val="auto"/>
                <w:highlight w:val="none"/>
                <w:lang w:val="en-US" w:eastAsia="zh-CN"/>
              </w:rPr>
              <w:t>8</w:t>
            </w:r>
            <w:r>
              <w:rPr>
                <w:rFonts w:hint="eastAsia"/>
                <w:color w:val="auto"/>
                <w:highlight w:val="none"/>
                <w:lang w:eastAsia="zh-CN"/>
              </w:rPr>
              <w:t>）。</w:t>
            </w:r>
          </w:p>
          <w:p w14:paraId="61A5C7F6">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highlight w:val="none"/>
                <w:lang w:eastAsia="zh-CN"/>
              </w:rPr>
            </w:pPr>
            <w:r>
              <w:rPr>
                <w:rFonts w:hint="eastAsia"/>
                <w:color w:val="auto"/>
                <w:highlight w:val="none"/>
                <w:lang w:val="en-US" w:eastAsia="zh-CN"/>
              </w:rPr>
              <w:t>本次引用的地下水</w:t>
            </w:r>
            <w:r>
              <w:rPr>
                <w:rFonts w:hint="eastAsia"/>
                <w:color w:val="auto"/>
                <w:highlight w:val="none"/>
                <w:lang w:eastAsia="zh-CN"/>
              </w:rPr>
              <w:t>监测点位情况详见表</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lang w:val="en-US" w:eastAsia="zh-CN"/>
              </w:rPr>
              <w:t>2，具体监测结果见表3-3</w:t>
            </w:r>
            <w:r>
              <w:rPr>
                <w:rFonts w:hint="eastAsia"/>
                <w:color w:val="auto"/>
                <w:highlight w:val="none"/>
                <w:lang w:eastAsia="zh-CN"/>
              </w:rPr>
              <w:t>。</w:t>
            </w:r>
          </w:p>
          <w:p w14:paraId="18D74C96">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表3-2 地下水水质监测布点</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3"/>
              <w:gridCol w:w="1650"/>
              <w:gridCol w:w="862"/>
              <w:gridCol w:w="881"/>
              <w:gridCol w:w="3621"/>
            </w:tblGrid>
            <w:tr w14:paraId="22E82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tblHeader/>
                <w:jc w:val="center"/>
              </w:trPr>
              <w:tc>
                <w:tcPr>
                  <w:tcW w:w="636" w:type="pct"/>
                  <w:tcBorders>
                    <w:tl2br w:val="nil"/>
                    <w:tr2bl w:val="nil"/>
                  </w:tcBorders>
                  <w:noWrap w:val="0"/>
                  <w:vAlign w:val="center"/>
                </w:tcPr>
                <w:p w14:paraId="2BC05F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检测点编号</w:t>
                  </w:r>
                </w:p>
              </w:tc>
              <w:tc>
                <w:tcPr>
                  <w:tcW w:w="1026" w:type="pct"/>
                  <w:tcBorders>
                    <w:tl2br w:val="nil"/>
                    <w:tr2bl w:val="nil"/>
                  </w:tcBorders>
                  <w:noWrap w:val="0"/>
                  <w:vAlign w:val="center"/>
                </w:tcPr>
                <w:p w14:paraId="3B2DC3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测点位置</w:t>
                  </w:r>
                </w:p>
              </w:tc>
              <w:tc>
                <w:tcPr>
                  <w:tcW w:w="536" w:type="pct"/>
                  <w:tcBorders>
                    <w:tl2br w:val="nil"/>
                    <w:tr2bl w:val="nil"/>
                  </w:tcBorders>
                  <w:noWrap w:val="0"/>
                  <w:vAlign w:val="center"/>
                </w:tcPr>
                <w:p w14:paraId="74095F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方位</w:t>
                  </w:r>
                </w:p>
              </w:tc>
              <w:tc>
                <w:tcPr>
                  <w:tcW w:w="548" w:type="pct"/>
                  <w:tcBorders>
                    <w:tl2br w:val="nil"/>
                    <w:tr2bl w:val="nil"/>
                  </w:tcBorders>
                  <w:noWrap w:val="0"/>
                  <w:vAlign w:val="center"/>
                </w:tcPr>
                <w:p w14:paraId="521607C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距离（m）</w:t>
                  </w:r>
                </w:p>
              </w:tc>
              <w:tc>
                <w:tcPr>
                  <w:tcW w:w="2252" w:type="pct"/>
                  <w:tcBorders>
                    <w:tl2br w:val="nil"/>
                    <w:tr2bl w:val="nil"/>
                  </w:tcBorders>
                  <w:noWrap w:val="0"/>
                  <w:vAlign w:val="center"/>
                </w:tcPr>
                <w:p w14:paraId="4D1AA1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检测项目</w:t>
                  </w:r>
                </w:p>
              </w:tc>
            </w:tr>
            <w:tr w14:paraId="3525C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0853DA3C">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D1</w:t>
                  </w:r>
                </w:p>
              </w:tc>
              <w:tc>
                <w:tcPr>
                  <w:tcW w:w="1026" w:type="pct"/>
                  <w:tcBorders>
                    <w:tl2br w:val="nil"/>
                    <w:tr2bl w:val="nil"/>
                  </w:tcBorders>
                  <w:noWrap w:val="0"/>
                  <w:vAlign w:val="center"/>
                </w:tcPr>
                <w:p w14:paraId="2A302377">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兴隆圩</w:t>
                  </w:r>
                </w:p>
              </w:tc>
              <w:tc>
                <w:tcPr>
                  <w:tcW w:w="536" w:type="pct"/>
                  <w:tcBorders>
                    <w:tl2br w:val="nil"/>
                    <w:tr2bl w:val="nil"/>
                  </w:tcBorders>
                  <w:noWrap w:val="0"/>
                  <w:vAlign w:val="center"/>
                </w:tcPr>
                <w:p w14:paraId="2D6A77FB">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西南</w:t>
                  </w:r>
                </w:p>
              </w:tc>
              <w:tc>
                <w:tcPr>
                  <w:tcW w:w="548" w:type="pct"/>
                  <w:tcBorders>
                    <w:tl2br w:val="nil"/>
                    <w:tr2bl w:val="nil"/>
                  </w:tcBorders>
                  <w:noWrap w:val="0"/>
                  <w:vAlign w:val="center"/>
                </w:tcPr>
                <w:p w14:paraId="37ADAE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1076</w:t>
                  </w:r>
                </w:p>
              </w:tc>
              <w:tc>
                <w:tcPr>
                  <w:tcW w:w="2252" w:type="pct"/>
                  <w:vMerge w:val="restart"/>
                  <w:tcBorders>
                    <w:tl2br w:val="nil"/>
                    <w:tr2bl w:val="nil"/>
                  </w:tcBorders>
                  <w:noWrap w:val="0"/>
                  <w:vAlign w:val="center"/>
                </w:tcPr>
                <w:p w14:paraId="47EEEB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sz w:val="18"/>
                      <w:szCs w:val="18"/>
                    </w:rPr>
                    <w:t>水位、水温、pH</w:t>
                  </w:r>
                  <w:r>
                    <w:rPr>
                      <w:rFonts w:hint="default" w:ascii="Times New Roman" w:hAnsi="Times New Roman" w:eastAsia="宋体" w:cs="Times New Roman"/>
                      <w:color w:val="auto"/>
                      <w:kern w:val="10"/>
                      <w:sz w:val="18"/>
                      <w:szCs w:val="18"/>
                    </w:rPr>
                    <w:t>、</w:t>
                  </w:r>
                  <w:r>
                    <w:rPr>
                      <w:rFonts w:hint="default" w:ascii="Times New Roman" w:hAnsi="Times New Roman" w:eastAsia="宋体" w:cs="Times New Roman"/>
                      <w:color w:val="auto"/>
                      <w:sz w:val="18"/>
                      <w:szCs w:val="18"/>
                    </w:rPr>
                    <w:t>K</w:t>
                  </w:r>
                  <w:r>
                    <w:rPr>
                      <w:rFonts w:hint="default" w:ascii="Times New Roman" w:hAnsi="Times New Roman" w:eastAsia="宋体" w:cs="Times New Roman"/>
                      <w:color w:val="auto"/>
                      <w:sz w:val="18"/>
                      <w:szCs w:val="18"/>
                      <w:vertAlign w:val="superscript"/>
                    </w:rPr>
                    <w:t>+</w:t>
                  </w:r>
                  <w:r>
                    <w:rPr>
                      <w:rFonts w:hint="default" w:ascii="Times New Roman" w:hAnsi="Times New Roman" w:eastAsia="宋体" w:cs="Times New Roman"/>
                      <w:color w:val="auto"/>
                      <w:sz w:val="18"/>
                      <w:szCs w:val="18"/>
                    </w:rPr>
                    <w:t>、Na</w:t>
                  </w:r>
                  <w:r>
                    <w:rPr>
                      <w:rFonts w:hint="default" w:ascii="Times New Roman" w:hAnsi="Times New Roman" w:eastAsia="宋体" w:cs="Times New Roman"/>
                      <w:color w:val="auto"/>
                      <w:sz w:val="18"/>
                      <w:szCs w:val="18"/>
                      <w:vertAlign w:val="superscript"/>
                    </w:rPr>
                    <w:t>+</w:t>
                  </w:r>
                  <w:r>
                    <w:rPr>
                      <w:rFonts w:hint="default" w:ascii="Times New Roman" w:hAnsi="Times New Roman" w:eastAsia="宋体" w:cs="Times New Roman"/>
                      <w:color w:val="auto"/>
                      <w:sz w:val="18"/>
                      <w:szCs w:val="18"/>
                    </w:rPr>
                    <w:t>、Ca</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、CO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、重碳酸根、Cl</w:t>
                  </w:r>
                  <w:r>
                    <w:rPr>
                      <w:rFonts w:hint="default" w:ascii="Times New Roman" w:hAnsi="Times New Roman" w:eastAsia="宋体" w:cs="Times New Roman"/>
                      <w:color w:val="auto"/>
                      <w:sz w:val="18"/>
                      <w:szCs w:val="18"/>
                      <w:vertAlign w:val="superscript"/>
                    </w:rPr>
                    <w:t>-</w:t>
                  </w: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z w:val="18"/>
                      <w:szCs w:val="18"/>
                      <w:vertAlign w:val="subscript"/>
                    </w:rPr>
                    <w:t>4</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、pH值、氨氮、硝酸盐（以N计）、亚硝酸盐（以N计）、挥发酚、氟化物、溶解性总固体、耗氧量、石油类、氰化物、砷、汞、铅、镉、铁、锰、总大肠菌群、</w:t>
                  </w:r>
                  <w:r>
                    <w:rPr>
                      <w:rFonts w:hint="eastAsia" w:cs="Times New Roman"/>
                      <w:color w:val="auto"/>
                      <w:sz w:val="18"/>
                      <w:szCs w:val="18"/>
                      <w:lang w:val="en-US" w:eastAsia="zh-CN"/>
                    </w:rPr>
                    <w:t>菌落</w:t>
                  </w:r>
                  <w:r>
                    <w:rPr>
                      <w:rFonts w:hint="default" w:ascii="Times New Roman" w:hAnsi="Times New Roman" w:eastAsia="宋体" w:cs="Times New Roman"/>
                      <w:color w:val="auto"/>
                      <w:sz w:val="18"/>
                      <w:szCs w:val="18"/>
                    </w:rPr>
                    <w:t>总数、六价铬。</w:t>
                  </w:r>
                </w:p>
              </w:tc>
            </w:tr>
            <w:tr w14:paraId="7F1B06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4898E48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D2</w:t>
                  </w:r>
                </w:p>
              </w:tc>
              <w:tc>
                <w:tcPr>
                  <w:tcW w:w="1026" w:type="pct"/>
                  <w:tcBorders>
                    <w:tl2br w:val="nil"/>
                    <w:tr2bl w:val="nil"/>
                  </w:tcBorders>
                  <w:noWrap w:val="0"/>
                  <w:vAlign w:val="center"/>
                </w:tcPr>
                <w:p w14:paraId="57CF652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正兴圩</w:t>
                  </w:r>
                </w:p>
              </w:tc>
              <w:tc>
                <w:tcPr>
                  <w:tcW w:w="536" w:type="pct"/>
                  <w:tcBorders>
                    <w:tl2br w:val="nil"/>
                    <w:tr2bl w:val="nil"/>
                  </w:tcBorders>
                  <w:noWrap w:val="0"/>
                  <w:vAlign w:val="center"/>
                </w:tcPr>
                <w:p w14:paraId="17DCFF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548" w:type="pct"/>
                  <w:tcBorders>
                    <w:tl2br w:val="nil"/>
                    <w:tr2bl w:val="nil"/>
                  </w:tcBorders>
                  <w:noWrap w:val="0"/>
                  <w:vAlign w:val="center"/>
                </w:tcPr>
                <w:p w14:paraId="54464A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1187</w:t>
                  </w:r>
                </w:p>
              </w:tc>
              <w:tc>
                <w:tcPr>
                  <w:tcW w:w="2252" w:type="pct"/>
                  <w:vMerge w:val="continue"/>
                  <w:tcBorders>
                    <w:tl2br w:val="nil"/>
                    <w:tr2bl w:val="nil"/>
                  </w:tcBorders>
                  <w:noWrap w:val="0"/>
                  <w:vAlign w:val="center"/>
                </w:tcPr>
                <w:p w14:paraId="49AC3D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r w14:paraId="14DD3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5C0D1C0E">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D3</w:t>
                  </w:r>
                </w:p>
              </w:tc>
              <w:tc>
                <w:tcPr>
                  <w:tcW w:w="1026" w:type="pct"/>
                  <w:tcBorders>
                    <w:tl2br w:val="nil"/>
                    <w:tr2bl w:val="nil"/>
                  </w:tcBorders>
                  <w:noWrap w:val="0"/>
                  <w:vAlign w:val="center"/>
                </w:tcPr>
                <w:p w14:paraId="67C62579">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西兴圩</w:t>
                  </w:r>
                </w:p>
              </w:tc>
              <w:tc>
                <w:tcPr>
                  <w:tcW w:w="536" w:type="pct"/>
                  <w:tcBorders>
                    <w:tl2br w:val="nil"/>
                    <w:tr2bl w:val="nil"/>
                  </w:tcBorders>
                  <w:noWrap w:val="0"/>
                  <w:vAlign w:val="center"/>
                </w:tcPr>
                <w:p w14:paraId="5B0154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西南</w:t>
                  </w:r>
                </w:p>
              </w:tc>
              <w:tc>
                <w:tcPr>
                  <w:tcW w:w="548" w:type="pct"/>
                  <w:tcBorders>
                    <w:tl2br w:val="nil"/>
                    <w:tr2bl w:val="nil"/>
                  </w:tcBorders>
                  <w:noWrap w:val="0"/>
                  <w:vAlign w:val="center"/>
                </w:tcPr>
                <w:p w14:paraId="602CBB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1956</w:t>
                  </w:r>
                </w:p>
              </w:tc>
              <w:tc>
                <w:tcPr>
                  <w:tcW w:w="2252" w:type="pct"/>
                  <w:vMerge w:val="continue"/>
                  <w:tcBorders>
                    <w:tl2br w:val="nil"/>
                    <w:tr2bl w:val="nil"/>
                  </w:tcBorders>
                  <w:noWrap w:val="0"/>
                  <w:vAlign w:val="center"/>
                </w:tcPr>
                <w:p w14:paraId="2D7FD3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r w14:paraId="5FB416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5451DAD2">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color w:val="auto"/>
                      <w:sz w:val="18"/>
                      <w:szCs w:val="18"/>
                    </w:rPr>
                  </w:pPr>
                  <w:r>
                    <w:rPr>
                      <w:rFonts w:hint="default" w:ascii="Times New Roman" w:hAnsi="Times New Roman" w:eastAsia="宋体" w:cs="Times New Roman"/>
                      <w:color w:val="auto"/>
                      <w:kern w:val="0"/>
                      <w:sz w:val="18"/>
                      <w:szCs w:val="18"/>
                    </w:rPr>
                    <w:t>D4</w:t>
                  </w:r>
                </w:p>
              </w:tc>
              <w:tc>
                <w:tcPr>
                  <w:tcW w:w="1026" w:type="pct"/>
                  <w:tcBorders>
                    <w:tl2br w:val="nil"/>
                    <w:tr2bl w:val="nil"/>
                  </w:tcBorders>
                  <w:noWrap w:val="0"/>
                  <w:vAlign w:val="center"/>
                </w:tcPr>
                <w:p w14:paraId="26706469">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六罐区旁</w:t>
                  </w:r>
                </w:p>
              </w:tc>
              <w:tc>
                <w:tcPr>
                  <w:tcW w:w="536" w:type="pct"/>
                  <w:tcBorders>
                    <w:tl2br w:val="nil"/>
                    <w:tr2bl w:val="nil"/>
                  </w:tcBorders>
                  <w:noWrap w:val="0"/>
                  <w:vAlign w:val="center"/>
                </w:tcPr>
                <w:p w14:paraId="155EE5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48" w:type="pct"/>
                  <w:tcBorders>
                    <w:tl2br w:val="nil"/>
                    <w:tr2bl w:val="nil"/>
                  </w:tcBorders>
                  <w:noWrap w:val="0"/>
                  <w:vAlign w:val="center"/>
                </w:tcPr>
                <w:p w14:paraId="71BAF6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2252" w:type="pct"/>
                  <w:vMerge w:val="continue"/>
                  <w:tcBorders>
                    <w:tl2br w:val="nil"/>
                    <w:tr2bl w:val="nil"/>
                  </w:tcBorders>
                  <w:noWrap w:val="0"/>
                  <w:vAlign w:val="center"/>
                </w:tcPr>
                <w:p w14:paraId="5BBC52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r w14:paraId="659641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04EF004E">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D5</w:t>
                  </w:r>
                </w:p>
              </w:tc>
              <w:tc>
                <w:tcPr>
                  <w:tcW w:w="1026" w:type="pct"/>
                  <w:tcBorders>
                    <w:tl2br w:val="nil"/>
                    <w:tr2bl w:val="nil"/>
                  </w:tcBorders>
                  <w:noWrap w:val="0"/>
                  <w:vAlign w:val="center"/>
                </w:tcPr>
                <w:p w14:paraId="0C4B16D1">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茅庵上</w:t>
                  </w:r>
                </w:p>
              </w:tc>
              <w:tc>
                <w:tcPr>
                  <w:tcW w:w="536" w:type="pct"/>
                  <w:tcBorders>
                    <w:tl2br w:val="nil"/>
                    <w:tr2bl w:val="nil"/>
                  </w:tcBorders>
                  <w:noWrap w:val="0"/>
                  <w:vAlign w:val="center"/>
                </w:tcPr>
                <w:p w14:paraId="39F83F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南</w:t>
                  </w:r>
                </w:p>
              </w:tc>
              <w:tc>
                <w:tcPr>
                  <w:tcW w:w="548" w:type="pct"/>
                  <w:tcBorders>
                    <w:tl2br w:val="nil"/>
                    <w:tr2bl w:val="nil"/>
                  </w:tcBorders>
                  <w:noWrap w:val="0"/>
                  <w:vAlign w:val="center"/>
                </w:tcPr>
                <w:p w14:paraId="1DF1C2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1955</w:t>
                  </w:r>
                </w:p>
              </w:tc>
              <w:tc>
                <w:tcPr>
                  <w:tcW w:w="2252" w:type="pct"/>
                  <w:vMerge w:val="continue"/>
                  <w:tcBorders>
                    <w:tl2br w:val="nil"/>
                    <w:tr2bl w:val="nil"/>
                  </w:tcBorders>
                  <w:noWrap w:val="0"/>
                  <w:vAlign w:val="center"/>
                </w:tcPr>
                <w:p w14:paraId="589283B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r w14:paraId="32EC0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05588DBE">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D6</w:t>
                  </w:r>
                </w:p>
              </w:tc>
              <w:tc>
                <w:tcPr>
                  <w:tcW w:w="1026" w:type="pct"/>
                  <w:tcBorders>
                    <w:tl2br w:val="nil"/>
                    <w:tr2bl w:val="nil"/>
                  </w:tcBorders>
                  <w:noWrap w:val="0"/>
                  <w:vAlign w:val="top"/>
                </w:tcPr>
                <w:p w14:paraId="268286A7">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永丰圩</w:t>
                  </w:r>
                </w:p>
              </w:tc>
              <w:tc>
                <w:tcPr>
                  <w:tcW w:w="536" w:type="pct"/>
                  <w:tcBorders>
                    <w:tl2br w:val="nil"/>
                    <w:tr2bl w:val="nil"/>
                  </w:tcBorders>
                  <w:noWrap w:val="0"/>
                  <w:vAlign w:val="center"/>
                </w:tcPr>
                <w:p w14:paraId="722826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w:t>
                  </w:r>
                </w:p>
              </w:tc>
              <w:tc>
                <w:tcPr>
                  <w:tcW w:w="548" w:type="pct"/>
                  <w:tcBorders>
                    <w:tl2br w:val="nil"/>
                    <w:tr2bl w:val="nil"/>
                  </w:tcBorders>
                  <w:noWrap w:val="0"/>
                  <w:vAlign w:val="center"/>
                </w:tcPr>
                <w:p w14:paraId="02C5089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2009</w:t>
                  </w:r>
                </w:p>
              </w:tc>
              <w:tc>
                <w:tcPr>
                  <w:tcW w:w="2252" w:type="pct"/>
                  <w:vMerge w:val="restart"/>
                  <w:tcBorders>
                    <w:tl2br w:val="nil"/>
                    <w:tr2bl w:val="nil"/>
                  </w:tcBorders>
                  <w:noWrap w:val="0"/>
                  <w:vAlign w:val="center"/>
                </w:tcPr>
                <w:p w14:paraId="660E8B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仅测定水位、水温</w:t>
                  </w:r>
                </w:p>
              </w:tc>
            </w:tr>
            <w:tr w14:paraId="1F87FD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5D802C9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D7</w:t>
                  </w:r>
                </w:p>
              </w:tc>
              <w:tc>
                <w:tcPr>
                  <w:tcW w:w="1026" w:type="pct"/>
                  <w:tcBorders>
                    <w:tl2br w:val="nil"/>
                    <w:tr2bl w:val="nil"/>
                  </w:tcBorders>
                  <w:noWrap w:val="0"/>
                  <w:vAlign w:val="top"/>
                </w:tcPr>
                <w:p w14:paraId="185DE14D">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中兴圩</w:t>
                  </w:r>
                </w:p>
              </w:tc>
              <w:tc>
                <w:tcPr>
                  <w:tcW w:w="536" w:type="pct"/>
                  <w:tcBorders>
                    <w:tl2br w:val="nil"/>
                    <w:tr2bl w:val="nil"/>
                  </w:tcBorders>
                  <w:noWrap w:val="0"/>
                  <w:vAlign w:val="center"/>
                </w:tcPr>
                <w:p w14:paraId="031AAF5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东南</w:t>
                  </w:r>
                </w:p>
              </w:tc>
              <w:tc>
                <w:tcPr>
                  <w:tcW w:w="548" w:type="pct"/>
                  <w:tcBorders>
                    <w:tl2br w:val="nil"/>
                    <w:tr2bl w:val="nil"/>
                  </w:tcBorders>
                  <w:noWrap w:val="0"/>
                  <w:vAlign w:val="center"/>
                </w:tcPr>
                <w:p w14:paraId="4F50CE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1169</w:t>
                  </w:r>
                </w:p>
              </w:tc>
              <w:tc>
                <w:tcPr>
                  <w:tcW w:w="2252" w:type="pct"/>
                  <w:vMerge w:val="continue"/>
                  <w:tcBorders>
                    <w:tl2br w:val="nil"/>
                    <w:tr2bl w:val="nil"/>
                  </w:tcBorders>
                  <w:noWrap w:val="0"/>
                  <w:vAlign w:val="center"/>
                </w:tcPr>
                <w:p w14:paraId="761E8E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r w14:paraId="2335C0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1F2903BB">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D8</w:t>
                  </w:r>
                </w:p>
              </w:tc>
              <w:tc>
                <w:tcPr>
                  <w:tcW w:w="1026" w:type="pct"/>
                  <w:tcBorders>
                    <w:tl2br w:val="nil"/>
                    <w:tr2bl w:val="nil"/>
                  </w:tcBorders>
                  <w:noWrap w:val="0"/>
                  <w:vAlign w:val="top"/>
                </w:tcPr>
                <w:p w14:paraId="0A5D62BA">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滨江西路</w:t>
                  </w:r>
                  <w:r>
                    <w:rPr>
                      <w:rFonts w:hint="eastAsia" w:ascii="Times New Roman" w:hAnsi="Times New Roman" w:eastAsia="宋体" w:cs="Times New Roman"/>
                      <w:color w:val="auto"/>
                      <w:kern w:val="0"/>
                      <w:sz w:val="18"/>
                      <w:szCs w:val="18"/>
                      <w:lang w:val="en-US" w:eastAsia="zh-CN"/>
                    </w:rPr>
                    <w:t>与</w:t>
                  </w:r>
                  <w:r>
                    <w:rPr>
                      <w:rFonts w:hint="default" w:ascii="Times New Roman" w:hAnsi="Times New Roman" w:eastAsia="宋体" w:cs="Times New Roman"/>
                      <w:color w:val="auto"/>
                      <w:kern w:val="0"/>
                      <w:sz w:val="18"/>
                      <w:szCs w:val="18"/>
                    </w:rPr>
                    <w:t>申庄路交叉口东南角</w:t>
                  </w:r>
                </w:p>
              </w:tc>
              <w:tc>
                <w:tcPr>
                  <w:tcW w:w="536" w:type="pct"/>
                  <w:tcBorders>
                    <w:tl2br w:val="nil"/>
                    <w:tr2bl w:val="nil"/>
                  </w:tcBorders>
                  <w:noWrap w:val="0"/>
                  <w:vAlign w:val="center"/>
                </w:tcPr>
                <w:p w14:paraId="12FC67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东南</w:t>
                  </w:r>
                </w:p>
              </w:tc>
              <w:tc>
                <w:tcPr>
                  <w:tcW w:w="548" w:type="pct"/>
                  <w:tcBorders>
                    <w:tl2br w:val="nil"/>
                    <w:tr2bl w:val="nil"/>
                  </w:tcBorders>
                  <w:noWrap w:val="0"/>
                  <w:vAlign w:val="center"/>
                </w:tcPr>
                <w:p w14:paraId="08AF7B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2071</w:t>
                  </w:r>
                </w:p>
              </w:tc>
              <w:tc>
                <w:tcPr>
                  <w:tcW w:w="2252" w:type="pct"/>
                  <w:vMerge w:val="continue"/>
                  <w:tcBorders>
                    <w:tl2br w:val="nil"/>
                    <w:tr2bl w:val="nil"/>
                  </w:tcBorders>
                  <w:noWrap w:val="0"/>
                  <w:vAlign w:val="center"/>
                </w:tcPr>
                <w:p w14:paraId="2E8F7B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r w14:paraId="56C35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5B5F34A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D9</w:t>
                  </w:r>
                </w:p>
              </w:tc>
              <w:tc>
                <w:tcPr>
                  <w:tcW w:w="1026" w:type="pct"/>
                  <w:tcBorders>
                    <w:tl2br w:val="nil"/>
                    <w:tr2bl w:val="nil"/>
                  </w:tcBorders>
                  <w:noWrap w:val="0"/>
                  <w:vAlign w:val="top"/>
                </w:tcPr>
                <w:p w14:paraId="40EC1F98">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工业油脂加工项目</w:t>
                  </w:r>
                </w:p>
              </w:tc>
              <w:tc>
                <w:tcPr>
                  <w:tcW w:w="536" w:type="pct"/>
                  <w:tcBorders>
                    <w:tl2br w:val="nil"/>
                    <w:tr2bl w:val="nil"/>
                  </w:tcBorders>
                  <w:noWrap w:val="0"/>
                  <w:vAlign w:val="center"/>
                </w:tcPr>
                <w:p w14:paraId="7DEE2E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东</w:t>
                  </w:r>
                </w:p>
              </w:tc>
              <w:tc>
                <w:tcPr>
                  <w:tcW w:w="548" w:type="pct"/>
                  <w:tcBorders>
                    <w:tl2br w:val="nil"/>
                    <w:tr2bl w:val="nil"/>
                  </w:tcBorders>
                  <w:noWrap w:val="0"/>
                  <w:vAlign w:val="center"/>
                </w:tcPr>
                <w:p w14:paraId="363872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紧邻</w:t>
                  </w:r>
                </w:p>
              </w:tc>
              <w:tc>
                <w:tcPr>
                  <w:tcW w:w="2252" w:type="pct"/>
                  <w:vMerge w:val="continue"/>
                  <w:tcBorders>
                    <w:tl2br w:val="nil"/>
                    <w:tr2bl w:val="nil"/>
                  </w:tcBorders>
                  <w:noWrap w:val="0"/>
                  <w:vAlign w:val="center"/>
                </w:tcPr>
                <w:p w14:paraId="4EFD8C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r w14:paraId="4AC99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83" w:hRule="atLeast"/>
                <w:jc w:val="center"/>
              </w:trPr>
              <w:tc>
                <w:tcPr>
                  <w:tcW w:w="636" w:type="pct"/>
                  <w:tcBorders>
                    <w:tl2br w:val="nil"/>
                    <w:tr2bl w:val="nil"/>
                  </w:tcBorders>
                  <w:noWrap w:val="0"/>
                  <w:vAlign w:val="center"/>
                </w:tcPr>
                <w:p w14:paraId="580619B4">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D10</w:t>
                  </w:r>
                </w:p>
              </w:tc>
              <w:tc>
                <w:tcPr>
                  <w:tcW w:w="1026" w:type="pct"/>
                  <w:tcBorders>
                    <w:tl2br w:val="nil"/>
                    <w:tr2bl w:val="nil"/>
                  </w:tcBorders>
                  <w:noWrap w:val="0"/>
                  <w:vAlign w:val="top"/>
                </w:tcPr>
                <w:p w14:paraId="459756D0">
                  <w:pPr>
                    <w:keepNext w:val="0"/>
                    <w:keepLines w:val="0"/>
                    <w:widowControl/>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王家丹</w:t>
                  </w:r>
                </w:p>
              </w:tc>
              <w:tc>
                <w:tcPr>
                  <w:tcW w:w="536" w:type="pct"/>
                  <w:tcBorders>
                    <w:tl2br w:val="nil"/>
                    <w:tr2bl w:val="nil"/>
                  </w:tcBorders>
                  <w:noWrap w:val="0"/>
                  <w:vAlign w:val="center"/>
                </w:tcPr>
                <w:p w14:paraId="250BF8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西南</w:t>
                  </w:r>
                </w:p>
              </w:tc>
              <w:tc>
                <w:tcPr>
                  <w:tcW w:w="548" w:type="pct"/>
                  <w:tcBorders>
                    <w:tl2br w:val="nil"/>
                    <w:tr2bl w:val="nil"/>
                  </w:tcBorders>
                  <w:noWrap w:val="0"/>
                  <w:vAlign w:val="center"/>
                </w:tcPr>
                <w:p w14:paraId="47CA3F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1793</w:t>
                  </w:r>
                </w:p>
              </w:tc>
              <w:tc>
                <w:tcPr>
                  <w:tcW w:w="2252" w:type="pct"/>
                  <w:vMerge w:val="continue"/>
                  <w:tcBorders>
                    <w:tl2br w:val="nil"/>
                    <w:tr2bl w:val="nil"/>
                  </w:tcBorders>
                  <w:noWrap w:val="0"/>
                  <w:vAlign w:val="center"/>
                </w:tcPr>
                <w:p w14:paraId="6A511D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18"/>
                      <w:szCs w:val="18"/>
                    </w:rPr>
                  </w:pPr>
                </w:p>
              </w:tc>
            </w:tr>
          </w:tbl>
          <w:p w14:paraId="0E3B47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color w:val="auto"/>
                <w:sz w:val="15"/>
                <w:szCs w:val="15"/>
                <w:highlight w:val="none"/>
                <w:lang w:eastAsia="zh-CN"/>
              </w:rPr>
            </w:pPr>
          </w:p>
          <w:p w14:paraId="70C81D31">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表3-3 地下水水质监测结果（单位：mg/L，pH无量纲）</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945"/>
              <w:gridCol w:w="1292"/>
              <w:gridCol w:w="1199"/>
              <w:gridCol w:w="1199"/>
              <w:gridCol w:w="1199"/>
              <w:gridCol w:w="1203"/>
            </w:tblGrid>
            <w:tr w14:paraId="09B8B7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1210" w:type="pct"/>
                  <w:vMerge w:val="restart"/>
                  <w:tcBorders>
                    <w:tl2br w:val="nil"/>
                    <w:tr2bl w:val="nil"/>
                  </w:tcBorders>
                  <w:noWrap w:val="0"/>
                  <w:vAlign w:val="center"/>
                </w:tcPr>
                <w:p w14:paraId="4D6FEA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3790" w:type="pct"/>
                  <w:gridSpan w:val="5"/>
                  <w:tcBorders>
                    <w:tl2br w:val="nil"/>
                    <w:tr2bl w:val="nil"/>
                  </w:tcBorders>
                  <w:noWrap w:val="0"/>
                  <w:vAlign w:val="center"/>
                </w:tcPr>
                <w:p w14:paraId="0DC5CE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测点编号</w:t>
                  </w:r>
                </w:p>
              </w:tc>
            </w:tr>
            <w:tr w14:paraId="3E4B34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1210" w:type="pct"/>
                  <w:vMerge w:val="continue"/>
                  <w:tcBorders>
                    <w:tl2br w:val="nil"/>
                    <w:tr2bl w:val="nil"/>
                  </w:tcBorders>
                  <w:noWrap w:val="0"/>
                  <w:vAlign w:val="center"/>
                </w:tcPr>
                <w:p w14:paraId="33CF15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p>
              </w:tc>
              <w:tc>
                <w:tcPr>
                  <w:tcW w:w="804" w:type="pct"/>
                  <w:tcBorders>
                    <w:tl2br w:val="nil"/>
                    <w:tr2bl w:val="nil"/>
                  </w:tcBorders>
                  <w:noWrap w:val="0"/>
                  <w:vAlign w:val="center"/>
                </w:tcPr>
                <w:p w14:paraId="0B7AAE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D1</w:t>
                  </w:r>
                </w:p>
              </w:tc>
              <w:tc>
                <w:tcPr>
                  <w:tcW w:w="746" w:type="pct"/>
                  <w:tcBorders>
                    <w:tl2br w:val="nil"/>
                    <w:tr2bl w:val="nil"/>
                  </w:tcBorders>
                  <w:noWrap w:val="0"/>
                  <w:vAlign w:val="center"/>
                </w:tcPr>
                <w:p w14:paraId="0B73F8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D2</w:t>
                  </w:r>
                </w:p>
              </w:tc>
              <w:tc>
                <w:tcPr>
                  <w:tcW w:w="746" w:type="pct"/>
                  <w:tcBorders>
                    <w:tl2br w:val="nil"/>
                    <w:tr2bl w:val="nil"/>
                  </w:tcBorders>
                  <w:noWrap w:val="0"/>
                  <w:vAlign w:val="center"/>
                </w:tcPr>
                <w:p w14:paraId="64A18A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D3</w:t>
                  </w:r>
                </w:p>
              </w:tc>
              <w:tc>
                <w:tcPr>
                  <w:tcW w:w="746" w:type="pct"/>
                  <w:tcBorders>
                    <w:tl2br w:val="nil"/>
                    <w:tr2bl w:val="nil"/>
                  </w:tcBorders>
                  <w:noWrap w:val="0"/>
                  <w:vAlign w:val="center"/>
                </w:tcPr>
                <w:p w14:paraId="5E6D31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D4</w:t>
                  </w:r>
                </w:p>
              </w:tc>
              <w:tc>
                <w:tcPr>
                  <w:tcW w:w="748" w:type="pct"/>
                  <w:tcBorders>
                    <w:tl2br w:val="nil"/>
                    <w:tr2bl w:val="nil"/>
                  </w:tcBorders>
                  <w:noWrap w:val="0"/>
                  <w:vAlign w:val="center"/>
                </w:tcPr>
                <w:p w14:paraId="653BEB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D5</w:t>
                  </w:r>
                </w:p>
              </w:tc>
            </w:tr>
            <w:tr w14:paraId="5D5A23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755E91C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804" w:type="pct"/>
                  <w:tcBorders>
                    <w:tl2br w:val="nil"/>
                    <w:tr2bl w:val="nil"/>
                  </w:tcBorders>
                  <w:noWrap w:val="0"/>
                  <w:vAlign w:val="center"/>
                </w:tcPr>
                <w:p w14:paraId="01827C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7.4，Ⅰ类</w:t>
                  </w:r>
                </w:p>
              </w:tc>
              <w:tc>
                <w:tcPr>
                  <w:tcW w:w="746" w:type="pct"/>
                  <w:tcBorders>
                    <w:tl2br w:val="nil"/>
                    <w:tr2bl w:val="nil"/>
                  </w:tcBorders>
                  <w:noWrap w:val="0"/>
                  <w:vAlign w:val="center"/>
                </w:tcPr>
                <w:p w14:paraId="5D0059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7.3，Ⅰ类</w:t>
                  </w:r>
                </w:p>
              </w:tc>
              <w:tc>
                <w:tcPr>
                  <w:tcW w:w="746" w:type="pct"/>
                  <w:tcBorders>
                    <w:tl2br w:val="nil"/>
                    <w:tr2bl w:val="nil"/>
                  </w:tcBorders>
                  <w:noWrap w:val="0"/>
                  <w:vAlign w:val="center"/>
                </w:tcPr>
                <w:p w14:paraId="313C7D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7.8，Ⅰ类</w:t>
                  </w:r>
                </w:p>
              </w:tc>
              <w:tc>
                <w:tcPr>
                  <w:tcW w:w="746" w:type="pct"/>
                  <w:tcBorders>
                    <w:tl2br w:val="nil"/>
                    <w:tr2bl w:val="nil"/>
                  </w:tcBorders>
                  <w:noWrap w:val="0"/>
                  <w:vAlign w:val="center"/>
                </w:tcPr>
                <w:p w14:paraId="0B009A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7.3，Ⅰ类</w:t>
                  </w:r>
                </w:p>
              </w:tc>
              <w:tc>
                <w:tcPr>
                  <w:tcW w:w="748" w:type="pct"/>
                  <w:tcBorders>
                    <w:tl2br w:val="nil"/>
                    <w:tr2bl w:val="nil"/>
                  </w:tcBorders>
                  <w:noWrap w:val="0"/>
                  <w:vAlign w:val="center"/>
                </w:tcPr>
                <w:p w14:paraId="79A6D3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7.1，Ⅰ类</w:t>
                  </w:r>
                </w:p>
              </w:tc>
            </w:tr>
            <w:tr w14:paraId="4A401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02D254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K</w:t>
                  </w:r>
                  <w:r>
                    <w:rPr>
                      <w:rFonts w:hint="default" w:ascii="Times New Roman" w:hAnsi="Times New Roman" w:eastAsia="宋体" w:cs="Times New Roman"/>
                      <w:color w:val="auto"/>
                      <w:sz w:val="18"/>
                      <w:szCs w:val="18"/>
                      <w:vertAlign w:val="superscript"/>
                    </w:rPr>
                    <w:t>+</w:t>
                  </w:r>
                </w:p>
              </w:tc>
              <w:tc>
                <w:tcPr>
                  <w:tcW w:w="804" w:type="pct"/>
                  <w:tcBorders>
                    <w:tl2br w:val="nil"/>
                    <w:tr2bl w:val="nil"/>
                  </w:tcBorders>
                  <w:noWrap w:val="0"/>
                  <w:vAlign w:val="center"/>
                </w:tcPr>
                <w:p w14:paraId="4CF9AD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3.23</w:t>
                  </w:r>
                </w:p>
              </w:tc>
              <w:tc>
                <w:tcPr>
                  <w:tcW w:w="746" w:type="pct"/>
                  <w:tcBorders>
                    <w:tl2br w:val="nil"/>
                    <w:tr2bl w:val="nil"/>
                  </w:tcBorders>
                  <w:noWrap w:val="0"/>
                  <w:vAlign w:val="center"/>
                </w:tcPr>
                <w:p w14:paraId="331E77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0.28</w:t>
                  </w:r>
                </w:p>
              </w:tc>
              <w:tc>
                <w:tcPr>
                  <w:tcW w:w="746" w:type="pct"/>
                  <w:tcBorders>
                    <w:tl2br w:val="nil"/>
                    <w:tr2bl w:val="nil"/>
                  </w:tcBorders>
                  <w:noWrap w:val="0"/>
                  <w:vAlign w:val="center"/>
                </w:tcPr>
                <w:p w14:paraId="59EE6A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4.37</w:t>
                  </w:r>
                </w:p>
              </w:tc>
              <w:tc>
                <w:tcPr>
                  <w:tcW w:w="746" w:type="pct"/>
                  <w:tcBorders>
                    <w:tl2br w:val="nil"/>
                    <w:tr2bl w:val="nil"/>
                  </w:tcBorders>
                  <w:noWrap w:val="0"/>
                  <w:vAlign w:val="center"/>
                </w:tcPr>
                <w:p w14:paraId="31140C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2.07</w:t>
                  </w:r>
                </w:p>
              </w:tc>
              <w:tc>
                <w:tcPr>
                  <w:tcW w:w="748" w:type="pct"/>
                  <w:tcBorders>
                    <w:tl2br w:val="nil"/>
                    <w:tr2bl w:val="nil"/>
                  </w:tcBorders>
                  <w:noWrap w:val="0"/>
                  <w:vAlign w:val="center"/>
                </w:tcPr>
                <w:p w14:paraId="5166E1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5.52</w:t>
                  </w:r>
                </w:p>
              </w:tc>
            </w:tr>
            <w:tr w14:paraId="13079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5C6E9E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Na</w:t>
                  </w:r>
                  <w:r>
                    <w:rPr>
                      <w:rFonts w:hint="default" w:ascii="Times New Roman" w:hAnsi="Times New Roman" w:eastAsia="宋体" w:cs="Times New Roman"/>
                      <w:color w:val="auto"/>
                      <w:sz w:val="18"/>
                      <w:szCs w:val="18"/>
                      <w:vertAlign w:val="superscript"/>
                    </w:rPr>
                    <w:t>+</w:t>
                  </w:r>
                </w:p>
              </w:tc>
              <w:tc>
                <w:tcPr>
                  <w:tcW w:w="804" w:type="pct"/>
                  <w:tcBorders>
                    <w:tl2br w:val="nil"/>
                    <w:tr2bl w:val="nil"/>
                  </w:tcBorders>
                  <w:noWrap w:val="0"/>
                  <w:vAlign w:val="center"/>
                </w:tcPr>
                <w:p w14:paraId="474F4C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18.9，Ⅰ类</w:t>
                  </w:r>
                </w:p>
              </w:tc>
              <w:tc>
                <w:tcPr>
                  <w:tcW w:w="746" w:type="pct"/>
                  <w:tcBorders>
                    <w:tl2br w:val="nil"/>
                    <w:tr2bl w:val="nil"/>
                  </w:tcBorders>
                  <w:noWrap w:val="0"/>
                  <w:vAlign w:val="center"/>
                </w:tcPr>
                <w:p w14:paraId="5074C7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18.8，Ⅰ类</w:t>
                  </w:r>
                </w:p>
              </w:tc>
              <w:tc>
                <w:tcPr>
                  <w:tcW w:w="746" w:type="pct"/>
                  <w:tcBorders>
                    <w:tl2br w:val="nil"/>
                    <w:tr2bl w:val="nil"/>
                  </w:tcBorders>
                  <w:noWrap w:val="0"/>
                  <w:vAlign w:val="center"/>
                </w:tcPr>
                <w:p w14:paraId="6AF609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33.2，Ⅰ类</w:t>
                  </w:r>
                </w:p>
              </w:tc>
              <w:tc>
                <w:tcPr>
                  <w:tcW w:w="746" w:type="pct"/>
                  <w:tcBorders>
                    <w:tl2br w:val="nil"/>
                    <w:tr2bl w:val="nil"/>
                  </w:tcBorders>
                  <w:noWrap w:val="0"/>
                  <w:vAlign w:val="center"/>
                </w:tcPr>
                <w:p w14:paraId="73C6283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12.4，Ⅰ类</w:t>
                  </w:r>
                </w:p>
              </w:tc>
              <w:tc>
                <w:tcPr>
                  <w:tcW w:w="748" w:type="pct"/>
                  <w:tcBorders>
                    <w:tl2br w:val="nil"/>
                    <w:tr2bl w:val="nil"/>
                  </w:tcBorders>
                  <w:noWrap w:val="0"/>
                  <w:vAlign w:val="center"/>
                </w:tcPr>
                <w:p w14:paraId="65A571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14.7，Ⅰ类</w:t>
                  </w:r>
                </w:p>
              </w:tc>
            </w:tr>
            <w:tr w14:paraId="2B14F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6713F7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Ca</w:t>
                  </w:r>
                  <w:r>
                    <w:rPr>
                      <w:rFonts w:hint="default" w:ascii="Times New Roman" w:hAnsi="Times New Roman" w:eastAsia="宋体" w:cs="Times New Roman"/>
                      <w:color w:val="auto"/>
                      <w:sz w:val="18"/>
                      <w:szCs w:val="18"/>
                      <w:vertAlign w:val="superscript"/>
                    </w:rPr>
                    <w:t>2+</w:t>
                  </w:r>
                </w:p>
              </w:tc>
              <w:tc>
                <w:tcPr>
                  <w:tcW w:w="804" w:type="pct"/>
                  <w:tcBorders>
                    <w:tl2br w:val="nil"/>
                    <w:tr2bl w:val="nil"/>
                  </w:tcBorders>
                  <w:noWrap w:val="0"/>
                  <w:vAlign w:val="center"/>
                </w:tcPr>
                <w:p w14:paraId="01EC60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101</w:t>
                  </w:r>
                </w:p>
              </w:tc>
              <w:tc>
                <w:tcPr>
                  <w:tcW w:w="746" w:type="pct"/>
                  <w:tcBorders>
                    <w:tl2br w:val="nil"/>
                    <w:tr2bl w:val="nil"/>
                  </w:tcBorders>
                  <w:noWrap w:val="0"/>
                  <w:vAlign w:val="center"/>
                </w:tcPr>
                <w:p w14:paraId="32081A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60.8</w:t>
                  </w:r>
                </w:p>
              </w:tc>
              <w:tc>
                <w:tcPr>
                  <w:tcW w:w="746" w:type="pct"/>
                  <w:tcBorders>
                    <w:tl2br w:val="nil"/>
                    <w:tr2bl w:val="nil"/>
                  </w:tcBorders>
                  <w:noWrap w:val="0"/>
                  <w:vAlign w:val="center"/>
                </w:tcPr>
                <w:p w14:paraId="1D028B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261</w:t>
                  </w:r>
                </w:p>
              </w:tc>
              <w:tc>
                <w:tcPr>
                  <w:tcW w:w="746" w:type="pct"/>
                  <w:tcBorders>
                    <w:tl2br w:val="nil"/>
                    <w:tr2bl w:val="nil"/>
                  </w:tcBorders>
                  <w:noWrap w:val="0"/>
                  <w:vAlign w:val="center"/>
                </w:tcPr>
                <w:p w14:paraId="58ADA0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53.2</w:t>
                  </w:r>
                </w:p>
              </w:tc>
              <w:tc>
                <w:tcPr>
                  <w:tcW w:w="748" w:type="pct"/>
                  <w:tcBorders>
                    <w:tl2br w:val="nil"/>
                    <w:tr2bl w:val="nil"/>
                  </w:tcBorders>
                  <w:noWrap w:val="0"/>
                  <w:vAlign w:val="center"/>
                </w:tcPr>
                <w:p w14:paraId="456B49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38.8</w:t>
                  </w:r>
                </w:p>
              </w:tc>
            </w:tr>
            <w:tr w14:paraId="2C0DA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60F9D4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w:t>
                  </w:r>
                  <w:r>
                    <w:rPr>
                      <w:rFonts w:hint="default" w:ascii="Times New Roman" w:hAnsi="Times New Roman" w:eastAsia="宋体" w:cs="Times New Roman"/>
                      <w:color w:val="auto"/>
                      <w:sz w:val="18"/>
                      <w:szCs w:val="18"/>
                      <w:vertAlign w:val="superscript"/>
                    </w:rPr>
                    <w:t>2+</w:t>
                  </w:r>
                </w:p>
              </w:tc>
              <w:tc>
                <w:tcPr>
                  <w:tcW w:w="804" w:type="pct"/>
                  <w:tcBorders>
                    <w:tl2br w:val="nil"/>
                    <w:tr2bl w:val="nil"/>
                  </w:tcBorders>
                  <w:noWrap w:val="0"/>
                  <w:vAlign w:val="center"/>
                </w:tcPr>
                <w:p w14:paraId="0BC654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24.9</w:t>
                  </w:r>
                </w:p>
              </w:tc>
              <w:tc>
                <w:tcPr>
                  <w:tcW w:w="746" w:type="pct"/>
                  <w:tcBorders>
                    <w:tl2br w:val="nil"/>
                    <w:tr2bl w:val="nil"/>
                  </w:tcBorders>
                  <w:noWrap w:val="0"/>
                  <w:vAlign w:val="center"/>
                </w:tcPr>
                <w:p w14:paraId="1DE0F4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746" w:type="pct"/>
                  <w:tcBorders>
                    <w:tl2br w:val="nil"/>
                    <w:tr2bl w:val="nil"/>
                  </w:tcBorders>
                  <w:noWrap w:val="0"/>
                  <w:vAlign w:val="center"/>
                </w:tcPr>
                <w:p w14:paraId="262EA6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23.6</w:t>
                  </w:r>
                </w:p>
              </w:tc>
              <w:tc>
                <w:tcPr>
                  <w:tcW w:w="746" w:type="pct"/>
                  <w:tcBorders>
                    <w:tl2br w:val="nil"/>
                    <w:tr2bl w:val="nil"/>
                  </w:tcBorders>
                  <w:noWrap w:val="0"/>
                  <w:vAlign w:val="center"/>
                </w:tcPr>
                <w:p w14:paraId="1FB932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14.0</w:t>
                  </w:r>
                </w:p>
              </w:tc>
              <w:tc>
                <w:tcPr>
                  <w:tcW w:w="748" w:type="pct"/>
                  <w:tcBorders>
                    <w:tl2br w:val="nil"/>
                    <w:tr2bl w:val="nil"/>
                  </w:tcBorders>
                  <w:noWrap w:val="0"/>
                  <w:vAlign w:val="center"/>
                </w:tcPr>
                <w:p w14:paraId="6DF77B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13.6</w:t>
                  </w:r>
                </w:p>
              </w:tc>
            </w:tr>
            <w:tr w14:paraId="3146D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12C418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氟化物</w:t>
                  </w:r>
                </w:p>
              </w:tc>
              <w:tc>
                <w:tcPr>
                  <w:tcW w:w="804" w:type="pct"/>
                  <w:tcBorders>
                    <w:tl2br w:val="nil"/>
                    <w:tr2bl w:val="nil"/>
                  </w:tcBorders>
                  <w:noWrap w:val="0"/>
                  <w:vAlign w:val="center"/>
                </w:tcPr>
                <w:p w14:paraId="386DA39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0.43，Ⅰ类</w:t>
                  </w:r>
                </w:p>
              </w:tc>
              <w:tc>
                <w:tcPr>
                  <w:tcW w:w="746" w:type="pct"/>
                  <w:tcBorders>
                    <w:tl2br w:val="nil"/>
                    <w:tr2bl w:val="nil"/>
                  </w:tcBorders>
                  <w:noWrap w:val="0"/>
                  <w:vAlign w:val="center"/>
                </w:tcPr>
                <w:p w14:paraId="7246C6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0.26，Ⅰ类</w:t>
                  </w:r>
                </w:p>
              </w:tc>
              <w:tc>
                <w:tcPr>
                  <w:tcW w:w="746" w:type="pct"/>
                  <w:tcBorders>
                    <w:tl2br w:val="nil"/>
                    <w:tr2bl w:val="nil"/>
                  </w:tcBorders>
                  <w:noWrap w:val="0"/>
                  <w:vAlign w:val="center"/>
                </w:tcPr>
                <w:p w14:paraId="26BA09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0.50，Ⅰ类</w:t>
                  </w:r>
                </w:p>
              </w:tc>
              <w:tc>
                <w:tcPr>
                  <w:tcW w:w="746" w:type="pct"/>
                  <w:tcBorders>
                    <w:tl2br w:val="nil"/>
                    <w:tr2bl w:val="nil"/>
                  </w:tcBorders>
                  <w:noWrap w:val="0"/>
                  <w:vAlign w:val="center"/>
                </w:tcPr>
                <w:p w14:paraId="226866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0.25，Ⅰ类</w:t>
                  </w:r>
                </w:p>
              </w:tc>
              <w:tc>
                <w:tcPr>
                  <w:tcW w:w="748" w:type="pct"/>
                  <w:tcBorders>
                    <w:tl2br w:val="nil"/>
                    <w:tr2bl w:val="nil"/>
                  </w:tcBorders>
                  <w:noWrap w:val="0"/>
                  <w:vAlign w:val="center"/>
                </w:tcPr>
                <w:p w14:paraId="3016B1A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0.44，Ⅰ类</w:t>
                  </w:r>
                </w:p>
              </w:tc>
            </w:tr>
            <w:tr w14:paraId="73296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6D6144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Cl</w:t>
                  </w:r>
                  <w:r>
                    <w:rPr>
                      <w:rFonts w:hint="default" w:ascii="Times New Roman" w:hAnsi="Times New Roman" w:eastAsia="宋体" w:cs="Times New Roman"/>
                      <w:color w:val="auto"/>
                      <w:sz w:val="18"/>
                      <w:szCs w:val="18"/>
                      <w:vertAlign w:val="superscript"/>
                    </w:rPr>
                    <w:t>-</w:t>
                  </w:r>
                </w:p>
              </w:tc>
              <w:tc>
                <w:tcPr>
                  <w:tcW w:w="804" w:type="pct"/>
                  <w:tcBorders>
                    <w:tl2br w:val="nil"/>
                    <w:tr2bl w:val="nil"/>
                  </w:tcBorders>
                  <w:noWrap w:val="0"/>
                  <w:vAlign w:val="center"/>
                </w:tcPr>
                <w:p w14:paraId="2AADEB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67.2</w:t>
                  </w:r>
                </w:p>
              </w:tc>
              <w:tc>
                <w:tcPr>
                  <w:tcW w:w="746" w:type="pct"/>
                  <w:tcBorders>
                    <w:tl2br w:val="nil"/>
                    <w:tr2bl w:val="nil"/>
                  </w:tcBorders>
                  <w:noWrap w:val="0"/>
                  <w:vAlign w:val="center"/>
                </w:tcPr>
                <w:p w14:paraId="4F2944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118</w:t>
                  </w:r>
                </w:p>
              </w:tc>
              <w:tc>
                <w:tcPr>
                  <w:tcW w:w="746" w:type="pct"/>
                  <w:tcBorders>
                    <w:tl2br w:val="nil"/>
                    <w:tr2bl w:val="nil"/>
                  </w:tcBorders>
                  <w:noWrap w:val="0"/>
                  <w:vAlign w:val="center"/>
                </w:tcPr>
                <w:p w14:paraId="69F9B8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114</w:t>
                  </w:r>
                </w:p>
              </w:tc>
              <w:tc>
                <w:tcPr>
                  <w:tcW w:w="746" w:type="pct"/>
                  <w:tcBorders>
                    <w:tl2br w:val="nil"/>
                    <w:tr2bl w:val="nil"/>
                  </w:tcBorders>
                  <w:noWrap w:val="0"/>
                  <w:vAlign w:val="center"/>
                </w:tcPr>
                <w:p w14:paraId="632E72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37.8</w:t>
                  </w:r>
                </w:p>
              </w:tc>
              <w:tc>
                <w:tcPr>
                  <w:tcW w:w="748" w:type="pct"/>
                  <w:tcBorders>
                    <w:tl2br w:val="nil"/>
                    <w:tr2bl w:val="nil"/>
                  </w:tcBorders>
                  <w:noWrap w:val="0"/>
                  <w:vAlign w:val="center"/>
                </w:tcPr>
                <w:p w14:paraId="07AE88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39.7</w:t>
                  </w:r>
                </w:p>
              </w:tc>
            </w:tr>
            <w:tr w14:paraId="3586F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0C298F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亚硝酸盐（以N计）</w:t>
                  </w:r>
                </w:p>
              </w:tc>
              <w:tc>
                <w:tcPr>
                  <w:tcW w:w="804" w:type="pct"/>
                  <w:tcBorders>
                    <w:tl2br w:val="nil"/>
                    <w:tr2bl w:val="nil"/>
                  </w:tcBorders>
                  <w:noWrap w:val="0"/>
                  <w:vAlign w:val="center"/>
                </w:tcPr>
                <w:p w14:paraId="42AC580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0.030，Ⅱ类</w:t>
                  </w:r>
                </w:p>
              </w:tc>
              <w:tc>
                <w:tcPr>
                  <w:tcW w:w="746" w:type="pct"/>
                  <w:tcBorders>
                    <w:tl2br w:val="nil"/>
                    <w:tr2bl w:val="nil"/>
                  </w:tcBorders>
                  <w:noWrap w:val="0"/>
                  <w:vAlign w:val="center"/>
                </w:tcPr>
                <w:p w14:paraId="4B10FB8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0.094，Ⅱ类</w:t>
                  </w:r>
                </w:p>
              </w:tc>
              <w:tc>
                <w:tcPr>
                  <w:tcW w:w="746" w:type="pct"/>
                  <w:tcBorders>
                    <w:tl2br w:val="nil"/>
                    <w:tr2bl w:val="nil"/>
                  </w:tcBorders>
                  <w:noWrap w:val="0"/>
                  <w:vAlign w:val="center"/>
                </w:tcPr>
                <w:p w14:paraId="319EA2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0.014，Ⅱ类</w:t>
                  </w:r>
                </w:p>
              </w:tc>
              <w:tc>
                <w:tcPr>
                  <w:tcW w:w="746" w:type="pct"/>
                  <w:tcBorders>
                    <w:tl2br w:val="nil"/>
                    <w:tr2bl w:val="nil"/>
                  </w:tcBorders>
                  <w:noWrap w:val="0"/>
                  <w:vAlign w:val="center"/>
                </w:tcPr>
                <w:p w14:paraId="45C42E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1.59，Ⅳ类</w:t>
                  </w:r>
                </w:p>
              </w:tc>
              <w:tc>
                <w:tcPr>
                  <w:tcW w:w="748" w:type="pct"/>
                  <w:tcBorders>
                    <w:tl2br w:val="nil"/>
                    <w:tr2bl w:val="nil"/>
                  </w:tcBorders>
                  <w:noWrap w:val="0"/>
                  <w:vAlign w:val="center"/>
                </w:tcPr>
                <w:p w14:paraId="1504531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0.031，Ⅱ类</w:t>
                  </w:r>
                </w:p>
              </w:tc>
            </w:tr>
            <w:tr w14:paraId="3DD64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3D612D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硝酸盐（以N计）</w:t>
                  </w:r>
                </w:p>
              </w:tc>
              <w:tc>
                <w:tcPr>
                  <w:tcW w:w="804" w:type="pct"/>
                  <w:tcBorders>
                    <w:tl2br w:val="nil"/>
                    <w:tr2bl w:val="nil"/>
                  </w:tcBorders>
                  <w:noWrap w:val="0"/>
                  <w:vAlign w:val="center"/>
                </w:tcPr>
                <w:p w14:paraId="768F3E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7.22，Ⅰ类</w:t>
                  </w:r>
                </w:p>
              </w:tc>
              <w:tc>
                <w:tcPr>
                  <w:tcW w:w="746" w:type="pct"/>
                  <w:tcBorders>
                    <w:tl2br w:val="nil"/>
                    <w:tr2bl w:val="nil"/>
                  </w:tcBorders>
                  <w:noWrap w:val="0"/>
                  <w:vAlign w:val="center"/>
                </w:tcPr>
                <w:p w14:paraId="1242EE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2.20，Ⅰ类</w:t>
                  </w:r>
                </w:p>
              </w:tc>
              <w:tc>
                <w:tcPr>
                  <w:tcW w:w="746" w:type="pct"/>
                  <w:tcBorders>
                    <w:tl2br w:val="nil"/>
                    <w:tr2bl w:val="nil"/>
                  </w:tcBorders>
                  <w:noWrap w:val="0"/>
                  <w:vAlign w:val="center"/>
                </w:tcPr>
                <w:p w14:paraId="506190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1.81，Ⅰ类</w:t>
                  </w:r>
                </w:p>
              </w:tc>
              <w:tc>
                <w:tcPr>
                  <w:tcW w:w="746" w:type="pct"/>
                  <w:tcBorders>
                    <w:tl2br w:val="nil"/>
                    <w:tr2bl w:val="nil"/>
                  </w:tcBorders>
                  <w:noWrap w:val="0"/>
                  <w:vAlign w:val="center"/>
                </w:tcPr>
                <w:p w14:paraId="4322A0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13.3，Ⅰ类</w:t>
                  </w:r>
                </w:p>
              </w:tc>
              <w:tc>
                <w:tcPr>
                  <w:tcW w:w="748" w:type="pct"/>
                  <w:tcBorders>
                    <w:tl2br w:val="nil"/>
                    <w:tr2bl w:val="nil"/>
                  </w:tcBorders>
                  <w:noWrap w:val="0"/>
                  <w:vAlign w:val="center"/>
                </w:tcPr>
                <w:p w14:paraId="014BB9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3.15，Ⅰ类</w:t>
                  </w:r>
                </w:p>
              </w:tc>
            </w:tr>
            <w:tr w14:paraId="1C24B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475150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硫酸盐（SO</w:t>
                  </w:r>
                  <w:r>
                    <w:rPr>
                      <w:rFonts w:hint="default" w:ascii="Times New Roman" w:hAnsi="Times New Roman" w:eastAsia="宋体" w:cs="Times New Roman"/>
                      <w:color w:val="auto"/>
                      <w:sz w:val="18"/>
                      <w:szCs w:val="18"/>
                      <w:vertAlign w:val="subscript"/>
                    </w:rPr>
                    <w:t>4</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w:t>
                  </w:r>
                </w:p>
              </w:tc>
              <w:tc>
                <w:tcPr>
                  <w:tcW w:w="804" w:type="pct"/>
                  <w:tcBorders>
                    <w:tl2br w:val="nil"/>
                    <w:tr2bl w:val="nil"/>
                  </w:tcBorders>
                  <w:noWrap w:val="0"/>
                  <w:vAlign w:val="center"/>
                </w:tcPr>
                <w:p w14:paraId="5EA078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25.2，Ⅰ类</w:t>
                  </w:r>
                </w:p>
              </w:tc>
              <w:tc>
                <w:tcPr>
                  <w:tcW w:w="746" w:type="pct"/>
                  <w:tcBorders>
                    <w:tl2br w:val="nil"/>
                    <w:tr2bl w:val="nil"/>
                  </w:tcBorders>
                  <w:noWrap w:val="0"/>
                  <w:vAlign w:val="center"/>
                </w:tcPr>
                <w:p w14:paraId="38A9E2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31.5，Ⅰ类</w:t>
                  </w:r>
                </w:p>
              </w:tc>
              <w:tc>
                <w:tcPr>
                  <w:tcW w:w="746" w:type="pct"/>
                  <w:tcBorders>
                    <w:tl2br w:val="nil"/>
                    <w:tr2bl w:val="nil"/>
                  </w:tcBorders>
                  <w:noWrap w:val="0"/>
                  <w:vAlign w:val="center"/>
                </w:tcPr>
                <w:p w14:paraId="7FE28B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484，Ⅴ类</w:t>
                  </w:r>
                </w:p>
              </w:tc>
              <w:tc>
                <w:tcPr>
                  <w:tcW w:w="746" w:type="pct"/>
                  <w:tcBorders>
                    <w:tl2br w:val="nil"/>
                    <w:tr2bl w:val="nil"/>
                  </w:tcBorders>
                  <w:noWrap w:val="0"/>
                  <w:vAlign w:val="center"/>
                </w:tcPr>
                <w:p w14:paraId="789C49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13.3，Ⅰ类</w:t>
                  </w:r>
                </w:p>
              </w:tc>
              <w:tc>
                <w:tcPr>
                  <w:tcW w:w="748" w:type="pct"/>
                  <w:tcBorders>
                    <w:tl2br w:val="nil"/>
                    <w:tr2bl w:val="nil"/>
                  </w:tcBorders>
                  <w:noWrap w:val="0"/>
                  <w:vAlign w:val="center"/>
                </w:tcPr>
                <w:p w14:paraId="3350C42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79.0，Ⅱ类</w:t>
                  </w:r>
                </w:p>
              </w:tc>
            </w:tr>
            <w:tr w14:paraId="31351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6A9EC3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p>
              </w:tc>
              <w:tc>
                <w:tcPr>
                  <w:tcW w:w="804" w:type="pct"/>
                  <w:tcBorders>
                    <w:tl2br w:val="nil"/>
                    <w:tr2bl w:val="nil"/>
                  </w:tcBorders>
                  <w:noWrap w:val="0"/>
                  <w:vAlign w:val="center"/>
                </w:tcPr>
                <w:p w14:paraId="17BF0D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1.98，Ⅴ类</w:t>
                  </w:r>
                </w:p>
              </w:tc>
              <w:tc>
                <w:tcPr>
                  <w:tcW w:w="746" w:type="pct"/>
                  <w:tcBorders>
                    <w:tl2br w:val="nil"/>
                    <w:tr2bl w:val="nil"/>
                  </w:tcBorders>
                  <w:noWrap w:val="0"/>
                  <w:vAlign w:val="center"/>
                </w:tcPr>
                <w:p w14:paraId="65A8D9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0.302，Ⅲ类</w:t>
                  </w:r>
                </w:p>
              </w:tc>
              <w:tc>
                <w:tcPr>
                  <w:tcW w:w="746" w:type="pct"/>
                  <w:tcBorders>
                    <w:tl2br w:val="nil"/>
                    <w:tr2bl w:val="nil"/>
                  </w:tcBorders>
                  <w:noWrap w:val="0"/>
                  <w:vAlign w:val="center"/>
                </w:tcPr>
                <w:p w14:paraId="0AEC6D7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1.31，Ⅳ类</w:t>
                  </w:r>
                </w:p>
              </w:tc>
              <w:tc>
                <w:tcPr>
                  <w:tcW w:w="746" w:type="pct"/>
                  <w:tcBorders>
                    <w:tl2br w:val="nil"/>
                    <w:tr2bl w:val="nil"/>
                  </w:tcBorders>
                  <w:noWrap w:val="0"/>
                  <w:vAlign w:val="center"/>
                </w:tcPr>
                <w:p w14:paraId="1296F8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2.39，Ⅴ类</w:t>
                  </w:r>
                </w:p>
              </w:tc>
              <w:tc>
                <w:tcPr>
                  <w:tcW w:w="748" w:type="pct"/>
                  <w:tcBorders>
                    <w:tl2br w:val="nil"/>
                    <w:tr2bl w:val="nil"/>
                  </w:tcBorders>
                  <w:noWrap w:val="0"/>
                  <w:vAlign w:val="center"/>
                </w:tcPr>
                <w:p w14:paraId="2721D2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0.898，Ⅳ类</w:t>
                  </w:r>
                </w:p>
              </w:tc>
            </w:tr>
            <w:tr w14:paraId="09505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44C029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vertAlign w:val="superscript"/>
                    </w:rPr>
                    <w:t>2-</w:t>
                  </w:r>
                </w:p>
              </w:tc>
              <w:tc>
                <w:tcPr>
                  <w:tcW w:w="804" w:type="pct"/>
                  <w:tcBorders>
                    <w:tl2br w:val="nil"/>
                    <w:tr2bl w:val="nil"/>
                  </w:tcBorders>
                  <w:noWrap w:val="0"/>
                  <w:vAlign w:val="center"/>
                </w:tcPr>
                <w:p w14:paraId="2EB1D5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6" w:type="pct"/>
                  <w:tcBorders>
                    <w:tl2br w:val="nil"/>
                    <w:tr2bl w:val="nil"/>
                  </w:tcBorders>
                  <w:noWrap w:val="0"/>
                  <w:vAlign w:val="center"/>
                </w:tcPr>
                <w:p w14:paraId="5FDB34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6" w:type="pct"/>
                  <w:tcBorders>
                    <w:tl2br w:val="nil"/>
                    <w:tr2bl w:val="nil"/>
                  </w:tcBorders>
                  <w:noWrap w:val="0"/>
                  <w:vAlign w:val="center"/>
                </w:tcPr>
                <w:p w14:paraId="3CB033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6" w:type="pct"/>
                  <w:tcBorders>
                    <w:tl2br w:val="nil"/>
                    <w:tr2bl w:val="nil"/>
                  </w:tcBorders>
                  <w:noWrap w:val="0"/>
                  <w:vAlign w:val="center"/>
                </w:tcPr>
                <w:p w14:paraId="3FC4DC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8" w:type="pct"/>
                  <w:tcBorders>
                    <w:tl2br w:val="nil"/>
                    <w:tr2bl w:val="nil"/>
                  </w:tcBorders>
                  <w:noWrap w:val="0"/>
                  <w:vAlign w:val="center"/>
                </w:tcPr>
                <w:p w14:paraId="5B5B8BC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r>
            <w:tr w14:paraId="4A4AA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678949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HCO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vertAlign w:val="superscript"/>
                    </w:rPr>
                    <w:t>-</w:t>
                  </w:r>
                </w:p>
              </w:tc>
              <w:tc>
                <w:tcPr>
                  <w:tcW w:w="804" w:type="pct"/>
                  <w:tcBorders>
                    <w:tl2br w:val="nil"/>
                    <w:tr2bl w:val="nil"/>
                  </w:tcBorders>
                  <w:noWrap w:val="0"/>
                  <w:vAlign w:val="center"/>
                </w:tcPr>
                <w:p w14:paraId="197C7B6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1.60×10</w:t>
                  </w:r>
                  <w:r>
                    <w:rPr>
                      <w:rFonts w:hint="default" w:ascii="Times New Roman" w:hAnsi="Times New Roman" w:eastAsia="宋体" w:cs="Times New Roman"/>
                      <w:color w:val="auto"/>
                      <w:sz w:val="18"/>
                      <w:szCs w:val="18"/>
                      <w:vertAlign w:val="superscript"/>
                    </w:rPr>
                    <w:t>3</w:t>
                  </w:r>
                </w:p>
              </w:tc>
              <w:tc>
                <w:tcPr>
                  <w:tcW w:w="746" w:type="pct"/>
                  <w:tcBorders>
                    <w:tl2br w:val="nil"/>
                    <w:tr2bl w:val="nil"/>
                  </w:tcBorders>
                  <w:noWrap w:val="0"/>
                  <w:vAlign w:val="center"/>
                </w:tcPr>
                <w:p w14:paraId="6726872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850</w:t>
                  </w:r>
                </w:p>
              </w:tc>
              <w:tc>
                <w:tcPr>
                  <w:tcW w:w="746" w:type="pct"/>
                  <w:tcBorders>
                    <w:tl2br w:val="nil"/>
                    <w:tr2bl w:val="nil"/>
                  </w:tcBorders>
                  <w:noWrap w:val="0"/>
                  <w:vAlign w:val="center"/>
                </w:tcPr>
                <w:p w14:paraId="3AFEB03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441</w:t>
                  </w:r>
                </w:p>
              </w:tc>
              <w:tc>
                <w:tcPr>
                  <w:tcW w:w="746" w:type="pct"/>
                  <w:tcBorders>
                    <w:tl2br w:val="nil"/>
                    <w:tr2bl w:val="nil"/>
                  </w:tcBorders>
                  <w:noWrap w:val="0"/>
                  <w:vAlign w:val="center"/>
                </w:tcPr>
                <w:p w14:paraId="6512249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108</w:t>
                  </w:r>
                </w:p>
              </w:tc>
              <w:tc>
                <w:tcPr>
                  <w:tcW w:w="748" w:type="pct"/>
                  <w:tcBorders>
                    <w:tl2br w:val="nil"/>
                    <w:tr2bl w:val="nil"/>
                  </w:tcBorders>
                  <w:noWrap w:val="0"/>
                  <w:vAlign w:val="center"/>
                </w:tcPr>
                <w:p w14:paraId="7B7D7A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593</w:t>
                  </w:r>
                </w:p>
              </w:tc>
            </w:tr>
            <w:tr w14:paraId="7667E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76BFC7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挥发酚</w:t>
                  </w:r>
                </w:p>
              </w:tc>
              <w:tc>
                <w:tcPr>
                  <w:tcW w:w="804" w:type="pct"/>
                  <w:tcBorders>
                    <w:tl2br w:val="nil"/>
                    <w:tr2bl w:val="nil"/>
                  </w:tcBorders>
                  <w:noWrap w:val="0"/>
                  <w:vAlign w:val="center"/>
                </w:tcPr>
                <w:p w14:paraId="34DD9E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0.0008，Ⅰ类</w:t>
                  </w:r>
                </w:p>
              </w:tc>
              <w:tc>
                <w:tcPr>
                  <w:tcW w:w="746" w:type="pct"/>
                  <w:tcBorders>
                    <w:tl2br w:val="nil"/>
                    <w:tr2bl w:val="nil"/>
                  </w:tcBorders>
                  <w:noWrap w:val="0"/>
                  <w:vAlign w:val="center"/>
                </w:tcPr>
                <w:p w14:paraId="3A0329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0.0022，Ⅳ类</w:t>
                  </w:r>
                </w:p>
              </w:tc>
              <w:tc>
                <w:tcPr>
                  <w:tcW w:w="746" w:type="pct"/>
                  <w:tcBorders>
                    <w:tl2br w:val="nil"/>
                    <w:tr2bl w:val="nil"/>
                  </w:tcBorders>
                  <w:noWrap w:val="0"/>
                  <w:vAlign w:val="center"/>
                </w:tcPr>
                <w:p w14:paraId="5E08B0C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0.0006，Ⅰ类</w:t>
                  </w:r>
                </w:p>
              </w:tc>
              <w:tc>
                <w:tcPr>
                  <w:tcW w:w="746" w:type="pct"/>
                  <w:tcBorders>
                    <w:tl2br w:val="nil"/>
                    <w:tr2bl w:val="nil"/>
                  </w:tcBorders>
                  <w:noWrap w:val="0"/>
                  <w:vAlign w:val="center"/>
                </w:tcPr>
                <w:p w14:paraId="6A3AB48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0.0026，Ⅳ类</w:t>
                  </w:r>
                </w:p>
              </w:tc>
              <w:tc>
                <w:tcPr>
                  <w:tcW w:w="748" w:type="pct"/>
                  <w:tcBorders>
                    <w:tl2br w:val="nil"/>
                    <w:tr2bl w:val="nil"/>
                  </w:tcBorders>
                  <w:noWrap w:val="0"/>
                  <w:vAlign w:val="center"/>
                </w:tcPr>
                <w:p w14:paraId="253209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0.0011，Ⅲ类</w:t>
                  </w:r>
                </w:p>
              </w:tc>
            </w:tr>
            <w:tr w14:paraId="4ECFA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086A23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氯化物</w:t>
                  </w:r>
                </w:p>
              </w:tc>
              <w:tc>
                <w:tcPr>
                  <w:tcW w:w="804" w:type="pct"/>
                  <w:tcBorders>
                    <w:tl2br w:val="nil"/>
                    <w:tr2bl w:val="nil"/>
                  </w:tcBorders>
                  <w:noWrap w:val="0"/>
                  <w:vAlign w:val="center"/>
                </w:tcPr>
                <w:p w14:paraId="2E530CF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0.43，Ⅰ类</w:t>
                  </w:r>
                </w:p>
              </w:tc>
              <w:tc>
                <w:tcPr>
                  <w:tcW w:w="746" w:type="pct"/>
                  <w:tcBorders>
                    <w:tl2br w:val="nil"/>
                    <w:tr2bl w:val="nil"/>
                  </w:tcBorders>
                  <w:noWrap w:val="0"/>
                  <w:vAlign w:val="center"/>
                </w:tcPr>
                <w:p w14:paraId="60A8C6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0.26，Ⅰ类</w:t>
                  </w:r>
                </w:p>
              </w:tc>
              <w:tc>
                <w:tcPr>
                  <w:tcW w:w="746" w:type="pct"/>
                  <w:tcBorders>
                    <w:tl2br w:val="nil"/>
                    <w:tr2bl w:val="nil"/>
                  </w:tcBorders>
                  <w:noWrap w:val="0"/>
                  <w:vAlign w:val="center"/>
                </w:tcPr>
                <w:p w14:paraId="181DD75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0.50，Ⅰ类</w:t>
                  </w:r>
                </w:p>
              </w:tc>
              <w:tc>
                <w:tcPr>
                  <w:tcW w:w="746" w:type="pct"/>
                  <w:tcBorders>
                    <w:tl2br w:val="nil"/>
                    <w:tr2bl w:val="nil"/>
                  </w:tcBorders>
                  <w:noWrap w:val="0"/>
                  <w:vAlign w:val="center"/>
                </w:tcPr>
                <w:p w14:paraId="782418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0.25，Ⅰ类</w:t>
                  </w:r>
                </w:p>
              </w:tc>
              <w:tc>
                <w:tcPr>
                  <w:tcW w:w="748" w:type="pct"/>
                  <w:tcBorders>
                    <w:tl2br w:val="nil"/>
                    <w:tr2bl w:val="nil"/>
                  </w:tcBorders>
                  <w:noWrap w:val="0"/>
                  <w:vAlign w:val="center"/>
                </w:tcPr>
                <w:p w14:paraId="7CF481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0.44，Ⅰ类</w:t>
                  </w:r>
                </w:p>
              </w:tc>
            </w:tr>
            <w:tr w14:paraId="4D2A8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4064C9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r>
                    <w:rPr>
                      <w:rFonts w:hint="default" w:ascii="Times New Roman" w:hAnsi="Times New Roman" w:eastAsia="宋体" w:cs="Times New Roman"/>
                      <w:color w:val="auto"/>
                      <w:kern w:val="0"/>
                      <w:sz w:val="18"/>
                      <w:szCs w:val="18"/>
                    </w:rPr>
                    <w:t>μg/L</w:t>
                  </w:r>
                  <w:r>
                    <w:rPr>
                      <w:rFonts w:hint="default" w:ascii="Times New Roman" w:hAnsi="Times New Roman" w:eastAsia="宋体" w:cs="Times New Roman"/>
                      <w:color w:val="auto"/>
                      <w:sz w:val="18"/>
                      <w:szCs w:val="18"/>
                    </w:rPr>
                    <w:t>）</w:t>
                  </w:r>
                </w:p>
              </w:tc>
              <w:tc>
                <w:tcPr>
                  <w:tcW w:w="804" w:type="pct"/>
                  <w:tcBorders>
                    <w:tl2br w:val="nil"/>
                    <w:tr2bl w:val="nil"/>
                  </w:tcBorders>
                  <w:noWrap w:val="0"/>
                  <w:vAlign w:val="center"/>
                </w:tcPr>
                <w:p w14:paraId="1EBF4B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5.8，Ⅳ类</w:t>
                  </w:r>
                </w:p>
              </w:tc>
              <w:tc>
                <w:tcPr>
                  <w:tcW w:w="746" w:type="pct"/>
                  <w:tcBorders>
                    <w:tl2br w:val="nil"/>
                    <w:tr2bl w:val="nil"/>
                  </w:tcBorders>
                  <w:noWrap w:val="0"/>
                  <w:vAlign w:val="center"/>
                </w:tcPr>
                <w:p w14:paraId="701F35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1.0，Ⅰ类</w:t>
                  </w:r>
                </w:p>
              </w:tc>
              <w:tc>
                <w:tcPr>
                  <w:tcW w:w="746" w:type="pct"/>
                  <w:tcBorders>
                    <w:tl2br w:val="nil"/>
                    <w:tr2bl w:val="nil"/>
                  </w:tcBorders>
                  <w:noWrap w:val="0"/>
                  <w:vAlign w:val="center"/>
                </w:tcPr>
                <w:p w14:paraId="2DF5F8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2.2，Ⅲ类</w:t>
                  </w:r>
                </w:p>
              </w:tc>
              <w:tc>
                <w:tcPr>
                  <w:tcW w:w="746" w:type="pct"/>
                  <w:tcBorders>
                    <w:tl2br w:val="nil"/>
                    <w:tr2bl w:val="nil"/>
                  </w:tcBorders>
                  <w:noWrap w:val="0"/>
                  <w:vAlign w:val="center"/>
                </w:tcPr>
                <w:p w14:paraId="1695E1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15.2，Ⅲ类</w:t>
                  </w:r>
                </w:p>
              </w:tc>
              <w:tc>
                <w:tcPr>
                  <w:tcW w:w="748" w:type="pct"/>
                  <w:tcBorders>
                    <w:tl2br w:val="nil"/>
                    <w:tr2bl w:val="nil"/>
                  </w:tcBorders>
                  <w:noWrap w:val="0"/>
                  <w:vAlign w:val="center"/>
                </w:tcPr>
                <w:p w14:paraId="32CD67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0.6，Ⅰ类</w:t>
                  </w:r>
                </w:p>
              </w:tc>
            </w:tr>
            <w:tr w14:paraId="49908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3A69EF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r>
                    <w:rPr>
                      <w:rFonts w:hint="default" w:ascii="Times New Roman" w:hAnsi="Times New Roman" w:eastAsia="宋体" w:cs="Times New Roman"/>
                      <w:color w:val="auto"/>
                      <w:kern w:val="0"/>
                      <w:sz w:val="18"/>
                      <w:szCs w:val="18"/>
                    </w:rPr>
                    <w:t>μg/L</w:t>
                  </w:r>
                  <w:r>
                    <w:rPr>
                      <w:rFonts w:hint="default" w:ascii="Times New Roman" w:hAnsi="Times New Roman" w:eastAsia="宋体" w:cs="Times New Roman"/>
                      <w:color w:val="auto"/>
                      <w:sz w:val="18"/>
                      <w:szCs w:val="18"/>
                    </w:rPr>
                    <w:t>）</w:t>
                  </w:r>
                </w:p>
              </w:tc>
              <w:tc>
                <w:tcPr>
                  <w:tcW w:w="804" w:type="pct"/>
                  <w:tcBorders>
                    <w:tl2br w:val="nil"/>
                    <w:tr2bl w:val="nil"/>
                  </w:tcBorders>
                  <w:noWrap w:val="0"/>
                  <w:vAlign w:val="center"/>
                </w:tcPr>
                <w:p w14:paraId="30005E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423AAD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2B9ADF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66BC73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8" w:type="pct"/>
                  <w:tcBorders>
                    <w:tl2br w:val="nil"/>
                    <w:tr2bl w:val="nil"/>
                  </w:tcBorders>
                  <w:noWrap w:val="0"/>
                  <w:vAlign w:val="center"/>
                </w:tcPr>
                <w:p w14:paraId="60629E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r>
            <w:tr w14:paraId="3E1DC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77CA66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804" w:type="pct"/>
                  <w:tcBorders>
                    <w:tl2br w:val="nil"/>
                    <w:tr2bl w:val="nil"/>
                  </w:tcBorders>
                  <w:noWrap w:val="0"/>
                  <w:vAlign w:val="center"/>
                </w:tcPr>
                <w:p w14:paraId="4426B2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057693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0.006，Ⅱ类</w:t>
                  </w:r>
                </w:p>
              </w:tc>
              <w:tc>
                <w:tcPr>
                  <w:tcW w:w="746" w:type="pct"/>
                  <w:tcBorders>
                    <w:tl2br w:val="nil"/>
                    <w:tr2bl w:val="nil"/>
                  </w:tcBorders>
                  <w:noWrap w:val="0"/>
                  <w:vAlign w:val="center"/>
                </w:tcPr>
                <w:p w14:paraId="01F0FE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7A9DFA0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0.012，Ⅲ类</w:t>
                  </w:r>
                </w:p>
              </w:tc>
              <w:tc>
                <w:tcPr>
                  <w:tcW w:w="748" w:type="pct"/>
                  <w:tcBorders>
                    <w:tl2br w:val="nil"/>
                    <w:tr2bl w:val="nil"/>
                  </w:tcBorders>
                  <w:noWrap w:val="0"/>
                  <w:vAlign w:val="center"/>
                </w:tcPr>
                <w:p w14:paraId="408874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0.005，Ⅰ类</w:t>
                  </w:r>
                </w:p>
              </w:tc>
            </w:tr>
            <w:tr w14:paraId="0A53C3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611E32E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总硬度（以CaCO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计）</w:t>
                  </w:r>
                </w:p>
              </w:tc>
              <w:tc>
                <w:tcPr>
                  <w:tcW w:w="804" w:type="pct"/>
                  <w:tcBorders>
                    <w:tl2br w:val="nil"/>
                    <w:tr2bl w:val="nil"/>
                  </w:tcBorders>
                  <w:noWrap w:val="0"/>
                  <w:vAlign w:val="center"/>
                </w:tcPr>
                <w:p w14:paraId="18893F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348，Ⅲ类</w:t>
                  </w:r>
                </w:p>
              </w:tc>
              <w:tc>
                <w:tcPr>
                  <w:tcW w:w="746" w:type="pct"/>
                  <w:tcBorders>
                    <w:tl2br w:val="nil"/>
                    <w:tr2bl w:val="nil"/>
                  </w:tcBorders>
                  <w:noWrap w:val="0"/>
                  <w:vAlign w:val="center"/>
                </w:tcPr>
                <w:p w14:paraId="6AF6474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284，Ⅱ类</w:t>
                  </w:r>
                </w:p>
              </w:tc>
              <w:tc>
                <w:tcPr>
                  <w:tcW w:w="746" w:type="pct"/>
                  <w:tcBorders>
                    <w:tl2br w:val="nil"/>
                    <w:tr2bl w:val="nil"/>
                  </w:tcBorders>
                  <w:noWrap w:val="0"/>
                  <w:vAlign w:val="center"/>
                </w:tcPr>
                <w:p w14:paraId="0111E0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699，Ⅴ类</w:t>
                  </w:r>
                </w:p>
              </w:tc>
              <w:tc>
                <w:tcPr>
                  <w:tcW w:w="746" w:type="pct"/>
                  <w:tcBorders>
                    <w:tl2br w:val="nil"/>
                    <w:tr2bl w:val="nil"/>
                  </w:tcBorders>
                  <w:noWrap w:val="0"/>
                  <w:vAlign w:val="center"/>
                </w:tcPr>
                <w:p w14:paraId="0C95A2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216，Ⅱ类</w:t>
                  </w:r>
                </w:p>
              </w:tc>
              <w:tc>
                <w:tcPr>
                  <w:tcW w:w="748" w:type="pct"/>
                  <w:tcBorders>
                    <w:tl2br w:val="nil"/>
                    <w:tr2bl w:val="nil"/>
                  </w:tcBorders>
                  <w:noWrap w:val="0"/>
                  <w:vAlign w:val="center"/>
                </w:tcPr>
                <w:p w14:paraId="6438D5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196，Ⅱ类</w:t>
                  </w:r>
                </w:p>
              </w:tc>
            </w:tr>
            <w:tr w14:paraId="293A0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61EC72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r>
                    <w:rPr>
                      <w:rFonts w:hint="default" w:ascii="Times New Roman" w:hAnsi="Times New Roman" w:eastAsia="宋体" w:cs="Times New Roman"/>
                      <w:color w:val="auto"/>
                      <w:kern w:val="0"/>
                      <w:sz w:val="18"/>
                      <w:szCs w:val="18"/>
                    </w:rPr>
                    <w:t>μg/L</w:t>
                  </w:r>
                  <w:r>
                    <w:rPr>
                      <w:rFonts w:hint="default" w:ascii="Times New Roman" w:hAnsi="Times New Roman" w:eastAsia="宋体" w:cs="Times New Roman"/>
                      <w:color w:val="auto"/>
                      <w:sz w:val="18"/>
                      <w:szCs w:val="18"/>
                    </w:rPr>
                    <w:t>）</w:t>
                  </w:r>
                </w:p>
              </w:tc>
              <w:tc>
                <w:tcPr>
                  <w:tcW w:w="804" w:type="pct"/>
                  <w:tcBorders>
                    <w:tl2br w:val="nil"/>
                    <w:tr2bl w:val="nil"/>
                  </w:tcBorders>
                  <w:noWrap w:val="0"/>
                  <w:vAlign w:val="center"/>
                </w:tcPr>
                <w:p w14:paraId="2E4E3B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20E150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70DCA8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5707F1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8" w:type="pct"/>
                  <w:tcBorders>
                    <w:tl2br w:val="nil"/>
                    <w:tr2bl w:val="nil"/>
                  </w:tcBorders>
                  <w:noWrap w:val="0"/>
                  <w:vAlign w:val="center"/>
                </w:tcPr>
                <w:p w14:paraId="5A1668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r>
            <w:tr w14:paraId="1BA33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7DE5C5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铁</w:t>
                  </w:r>
                </w:p>
              </w:tc>
              <w:tc>
                <w:tcPr>
                  <w:tcW w:w="804" w:type="pct"/>
                  <w:tcBorders>
                    <w:tl2br w:val="nil"/>
                    <w:tr2bl w:val="nil"/>
                  </w:tcBorders>
                  <w:noWrap w:val="0"/>
                  <w:vAlign w:val="center"/>
                </w:tcPr>
                <w:p w14:paraId="335E8C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0.48，Ⅳ类</w:t>
                  </w:r>
                </w:p>
              </w:tc>
              <w:tc>
                <w:tcPr>
                  <w:tcW w:w="746" w:type="pct"/>
                  <w:tcBorders>
                    <w:tl2br w:val="nil"/>
                    <w:tr2bl w:val="nil"/>
                  </w:tcBorders>
                  <w:noWrap w:val="0"/>
                  <w:vAlign w:val="center"/>
                </w:tcPr>
                <w:p w14:paraId="76C6EB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0.12，Ⅱ类</w:t>
                  </w:r>
                </w:p>
              </w:tc>
              <w:tc>
                <w:tcPr>
                  <w:tcW w:w="746" w:type="pct"/>
                  <w:tcBorders>
                    <w:tl2br w:val="nil"/>
                    <w:tr2bl w:val="nil"/>
                  </w:tcBorders>
                  <w:noWrap w:val="0"/>
                  <w:vAlign w:val="center"/>
                </w:tcPr>
                <w:p w14:paraId="25121F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0.31，Ⅳ类</w:t>
                  </w:r>
                </w:p>
              </w:tc>
              <w:tc>
                <w:tcPr>
                  <w:tcW w:w="746" w:type="pct"/>
                  <w:tcBorders>
                    <w:tl2br w:val="nil"/>
                    <w:tr2bl w:val="nil"/>
                  </w:tcBorders>
                  <w:noWrap w:val="0"/>
                  <w:vAlign w:val="center"/>
                </w:tcPr>
                <w:p w14:paraId="2CB736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0.13，Ⅱ类</w:t>
                  </w:r>
                </w:p>
              </w:tc>
              <w:tc>
                <w:tcPr>
                  <w:tcW w:w="748" w:type="pct"/>
                  <w:tcBorders>
                    <w:tl2br w:val="nil"/>
                    <w:tr2bl w:val="nil"/>
                  </w:tcBorders>
                  <w:noWrap w:val="0"/>
                  <w:vAlign w:val="center"/>
                </w:tcPr>
                <w:p w14:paraId="5A6BAD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0.05，Ⅰ类</w:t>
                  </w:r>
                </w:p>
              </w:tc>
            </w:tr>
            <w:tr w14:paraId="06649E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12D306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锰</w:t>
                  </w:r>
                </w:p>
              </w:tc>
              <w:tc>
                <w:tcPr>
                  <w:tcW w:w="804" w:type="pct"/>
                  <w:tcBorders>
                    <w:tl2br w:val="nil"/>
                    <w:tr2bl w:val="nil"/>
                  </w:tcBorders>
                  <w:noWrap w:val="0"/>
                  <w:vAlign w:val="center"/>
                </w:tcPr>
                <w:p w14:paraId="0AE7D9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1.51，Ⅴ类</w:t>
                  </w:r>
                </w:p>
              </w:tc>
              <w:tc>
                <w:tcPr>
                  <w:tcW w:w="746" w:type="pct"/>
                  <w:tcBorders>
                    <w:tl2br w:val="nil"/>
                    <w:tr2bl w:val="nil"/>
                  </w:tcBorders>
                  <w:noWrap w:val="0"/>
                  <w:vAlign w:val="center"/>
                </w:tcPr>
                <w:p w14:paraId="2352F0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0.199，Ⅳ类</w:t>
                  </w:r>
                </w:p>
              </w:tc>
              <w:tc>
                <w:tcPr>
                  <w:tcW w:w="746" w:type="pct"/>
                  <w:tcBorders>
                    <w:tl2br w:val="nil"/>
                    <w:tr2bl w:val="nil"/>
                  </w:tcBorders>
                  <w:noWrap w:val="0"/>
                  <w:vAlign w:val="center"/>
                </w:tcPr>
                <w:p w14:paraId="61B3CD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0.404，Ⅳ类</w:t>
                  </w:r>
                </w:p>
              </w:tc>
              <w:tc>
                <w:tcPr>
                  <w:tcW w:w="746" w:type="pct"/>
                  <w:tcBorders>
                    <w:tl2br w:val="nil"/>
                    <w:tr2bl w:val="nil"/>
                  </w:tcBorders>
                  <w:noWrap w:val="0"/>
                  <w:vAlign w:val="center"/>
                </w:tcPr>
                <w:p w14:paraId="0E1064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0.542，Ⅳ类</w:t>
                  </w:r>
                </w:p>
              </w:tc>
              <w:tc>
                <w:tcPr>
                  <w:tcW w:w="748" w:type="pct"/>
                  <w:tcBorders>
                    <w:tl2br w:val="nil"/>
                    <w:tr2bl w:val="nil"/>
                  </w:tcBorders>
                  <w:noWrap w:val="0"/>
                  <w:vAlign w:val="center"/>
                </w:tcPr>
                <w:p w14:paraId="347AB4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0.024，Ⅰ类</w:t>
                  </w:r>
                </w:p>
              </w:tc>
            </w:tr>
            <w:tr w14:paraId="5D9DC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7C7250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溶解性总固体</w:t>
                  </w:r>
                </w:p>
              </w:tc>
              <w:tc>
                <w:tcPr>
                  <w:tcW w:w="804" w:type="pct"/>
                  <w:tcBorders>
                    <w:tl2br w:val="nil"/>
                    <w:tr2bl w:val="nil"/>
                  </w:tcBorders>
                  <w:noWrap w:val="0"/>
                  <w:vAlign w:val="center"/>
                </w:tcPr>
                <w:p w14:paraId="1C472C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784，Ⅲ类</w:t>
                  </w:r>
                </w:p>
              </w:tc>
              <w:tc>
                <w:tcPr>
                  <w:tcW w:w="746" w:type="pct"/>
                  <w:tcBorders>
                    <w:tl2br w:val="nil"/>
                    <w:tr2bl w:val="nil"/>
                  </w:tcBorders>
                  <w:noWrap w:val="0"/>
                  <w:vAlign w:val="center"/>
                </w:tcPr>
                <w:p w14:paraId="507E3AD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644，Ⅲ类</w:t>
                  </w:r>
                </w:p>
              </w:tc>
              <w:tc>
                <w:tcPr>
                  <w:tcW w:w="746" w:type="pct"/>
                  <w:tcBorders>
                    <w:tl2br w:val="nil"/>
                    <w:tr2bl w:val="nil"/>
                  </w:tcBorders>
                  <w:noWrap w:val="0"/>
                  <w:vAlign w:val="center"/>
                </w:tcPr>
                <w:p w14:paraId="242044E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2.26×10</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，Ⅴ类</w:t>
                  </w:r>
                </w:p>
              </w:tc>
              <w:tc>
                <w:tcPr>
                  <w:tcW w:w="746" w:type="pct"/>
                  <w:tcBorders>
                    <w:tl2br w:val="nil"/>
                    <w:tr2bl w:val="nil"/>
                  </w:tcBorders>
                  <w:noWrap w:val="0"/>
                  <w:vAlign w:val="center"/>
                </w:tcPr>
                <w:p w14:paraId="4E5E73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510，Ⅲ类</w:t>
                  </w:r>
                </w:p>
              </w:tc>
              <w:tc>
                <w:tcPr>
                  <w:tcW w:w="748" w:type="pct"/>
                  <w:tcBorders>
                    <w:tl2br w:val="nil"/>
                    <w:tr2bl w:val="nil"/>
                  </w:tcBorders>
                  <w:noWrap w:val="0"/>
                  <w:vAlign w:val="center"/>
                </w:tcPr>
                <w:p w14:paraId="3BEC2B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472，Ⅱ类</w:t>
                  </w:r>
                </w:p>
              </w:tc>
            </w:tr>
            <w:tr w14:paraId="002C8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0C5BC0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804" w:type="pct"/>
                  <w:tcBorders>
                    <w:tl2br w:val="nil"/>
                    <w:tr2bl w:val="nil"/>
                  </w:tcBorders>
                  <w:noWrap w:val="0"/>
                  <w:vAlign w:val="center"/>
                </w:tcPr>
                <w:p w14:paraId="6B1A27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0F43CA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0825953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1EA8D0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8" w:type="pct"/>
                  <w:tcBorders>
                    <w:tl2br w:val="nil"/>
                    <w:tr2bl w:val="nil"/>
                  </w:tcBorders>
                  <w:noWrap w:val="0"/>
                  <w:vAlign w:val="center"/>
                </w:tcPr>
                <w:p w14:paraId="0BFBD6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r>
            <w:tr w14:paraId="3D0AE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5977963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氰化物</w:t>
                  </w:r>
                </w:p>
              </w:tc>
              <w:tc>
                <w:tcPr>
                  <w:tcW w:w="804" w:type="pct"/>
                  <w:tcBorders>
                    <w:tl2br w:val="nil"/>
                    <w:tr2bl w:val="nil"/>
                  </w:tcBorders>
                  <w:noWrap w:val="0"/>
                  <w:vAlign w:val="center"/>
                </w:tcPr>
                <w:p w14:paraId="78DD8D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2473B8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0B9854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c>
                <w:tcPr>
                  <w:tcW w:w="746" w:type="pct"/>
                  <w:tcBorders>
                    <w:tl2br w:val="nil"/>
                    <w:tr2bl w:val="nil"/>
                  </w:tcBorders>
                  <w:noWrap w:val="0"/>
                  <w:vAlign w:val="center"/>
                </w:tcPr>
                <w:p w14:paraId="539385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0.003，Ⅰ类</w:t>
                  </w:r>
                </w:p>
              </w:tc>
              <w:tc>
                <w:tcPr>
                  <w:tcW w:w="748" w:type="pct"/>
                  <w:tcBorders>
                    <w:tl2br w:val="nil"/>
                    <w:tr2bl w:val="nil"/>
                  </w:tcBorders>
                  <w:noWrap w:val="0"/>
                  <w:vAlign w:val="center"/>
                </w:tcPr>
                <w:p w14:paraId="576A92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ND，Ⅰ类</w:t>
                  </w:r>
                </w:p>
              </w:tc>
            </w:tr>
            <w:tr w14:paraId="374D4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3A2440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耗氧量</w:t>
                  </w:r>
                </w:p>
              </w:tc>
              <w:tc>
                <w:tcPr>
                  <w:tcW w:w="804" w:type="pct"/>
                  <w:tcBorders>
                    <w:tl2br w:val="nil"/>
                    <w:tr2bl w:val="nil"/>
                  </w:tcBorders>
                  <w:noWrap w:val="0"/>
                  <w:vAlign w:val="center"/>
                </w:tcPr>
                <w:p w14:paraId="09C783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3.8，Ⅳ类</w:t>
                  </w:r>
                </w:p>
              </w:tc>
              <w:tc>
                <w:tcPr>
                  <w:tcW w:w="746" w:type="pct"/>
                  <w:tcBorders>
                    <w:tl2br w:val="nil"/>
                    <w:tr2bl w:val="nil"/>
                  </w:tcBorders>
                  <w:noWrap w:val="0"/>
                  <w:vAlign w:val="center"/>
                </w:tcPr>
                <w:p w14:paraId="582814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1.2，Ⅱ类</w:t>
                  </w:r>
                </w:p>
              </w:tc>
              <w:tc>
                <w:tcPr>
                  <w:tcW w:w="746" w:type="pct"/>
                  <w:tcBorders>
                    <w:tl2br w:val="nil"/>
                    <w:tr2bl w:val="nil"/>
                  </w:tcBorders>
                  <w:noWrap w:val="0"/>
                  <w:vAlign w:val="center"/>
                </w:tcPr>
                <w:p w14:paraId="6EA7B6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7.8，Ⅳ类</w:t>
                  </w:r>
                </w:p>
              </w:tc>
              <w:tc>
                <w:tcPr>
                  <w:tcW w:w="746" w:type="pct"/>
                  <w:tcBorders>
                    <w:tl2br w:val="nil"/>
                    <w:tr2bl w:val="nil"/>
                  </w:tcBorders>
                  <w:noWrap w:val="0"/>
                  <w:vAlign w:val="center"/>
                </w:tcPr>
                <w:p w14:paraId="3123F1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7.8，Ⅳ类</w:t>
                  </w:r>
                </w:p>
              </w:tc>
              <w:tc>
                <w:tcPr>
                  <w:tcW w:w="748" w:type="pct"/>
                  <w:tcBorders>
                    <w:tl2br w:val="nil"/>
                    <w:tr2bl w:val="nil"/>
                  </w:tcBorders>
                  <w:noWrap w:val="0"/>
                  <w:vAlign w:val="center"/>
                </w:tcPr>
                <w:p w14:paraId="382080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1.9，Ⅱ类</w:t>
                  </w:r>
                </w:p>
              </w:tc>
            </w:tr>
            <w:tr w14:paraId="5B558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26870C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菌</w:t>
                  </w:r>
                  <w:r>
                    <w:rPr>
                      <w:rFonts w:hint="eastAsia" w:cs="Times New Roman"/>
                      <w:color w:val="auto"/>
                      <w:sz w:val="18"/>
                      <w:szCs w:val="18"/>
                      <w:lang w:val="en-US" w:eastAsia="zh-CN"/>
                    </w:rPr>
                    <w:t>落</w:t>
                  </w:r>
                  <w:r>
                    <w:rPr>
                      <w:rFonts w:hint="default" w:ascii="Times New Roman" w:hAnsi="Times New Roman" w:eastAsia="宋体" w:cs="Times New Roman"/>
                      <w:color w:val="auto"/>
                      <w:sz w:val="18"/>
                      <w:szCs w:val="18"/>
                    </w:rPr>
                    <w:t>总数（CFU/mL）</w:t>
                  </w:r>
                </w:p>
              </w:tc>
              <w:tc>
                <w:tcPr>
                  <w:tcW w:w="804" w:type="pct"/>
                  <w:tcBorders>
                    <w:tl2br w:val="nil"/>
                    <w:tr2bl w:val="nil"/>
                  </w:tcBorders>
                  <w:noWrap w:val="0"/>
                  <w:vAlign w:val="center"/>
                </w:tcPr>
                <w:p w14:paraId="52C6C3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5.0×10</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，Ⅳ类</w:t>
                  </w:r>
                </w:p>
              </w:tc>
              <w:tc>
                <w:tcPr>
                  <w:tcW w:w="746" w:type="pct"/>
                  <w:tcBorders>
                    <w:tl2br w:val="nil"/>
                    <w:tr2bl w:val="nil"/>
                  </w:tcBorders>
                  <w:noWrap w:val="0"/>
                  <w:vAlign w:val="center"/>
                </w:tcPr>
                <w:p w14:paraId="7283BB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5.6×10</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，Ⅳ类</w:t>
                  </w:r>
                </w:p>
              </w:tc>
              <w:tc>
                <w:tcPr>
                  <w:tcW w:w="746" w:type="pct"/>
                  <w:tcBorders>
                    <w:tl2br w:val="nil"/>
                    <w:tr2bl w:val="nil"/>
                  </w:tcBorders>
                  <w:noWrap w:val="0"/>
                  <w:vAlign w:val="center"/>
                </w:tcPr>
                <w:p w14:paraId="1C5EAB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8.8×10</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，Ⅳ类</w:t>
                  </w:r>
                </w:p>
              </w:tc>
              <w:tc>
                <w:tcPr>
                  <w:tcW w:w="746" w:type="pct"/>
                  <w:tcBorders>
                    <w:tl2br w:val="nil"/>
                    <w:tr2bl w:val="nil"/>
                  </w:tcBorders>
                  <w:noWrap w:val="0"/>
                  <w:vAlign w:val="center"/>
                </w:tcPr>
                <w:p w14:paraId="2BD31F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5.4×10</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，Ⅳ类</w:t>
                  </w:r>
                </w:p>
              </w:tc>
              <w:tc>
                <w:tcPr>
                  <w:tcW w:w="748" w:type="pct"/>
                  <w:tcBorders>
                    <w:tl2br w:val="nil"/>
                    <w:tr2bl w:val="nil"/>
                  </w:tcBorders>
                  <w:noWrap w:val="0"/>
                  <w:vAlign w:val="center"/>
                </w:tcPr>
                <w:p w14:paraId="75D150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4.4×10</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，Ⅳ类</w:t>
                  </w:r>
                </w:p>
              </w:tc>
            </w:tr>
            <w:tr w14:paraId="4C22D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7066AD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总大肠菌群（MPN/L）</w:t>
                  </w:r>
                </w:p>
              </w:tc>
              <w:tc>
                <w:tcPr>
                  <w:tcW w:w="804" w:type="pct"/>
                  <w:tcBorders>
                    <w:tl2br w:val="nil"/>
                    <w:tr2bl w:val="nil"/>
                  </w:tcBorders>
                  <w:noWrap w:val="0"/>
                  <w:vAlign w:val="center"/>
                </w:tcPr>
                <w:p w14:paraId="240A7D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80，Ⅳ类</w:t>
                  </w:r>
                </w:p>
              </w:tc>
              <w:tc>
                <w:tcPr>
                  <w:tcW w:w="746" w:type="pct"/>
                  <w:tcBorders>
                    <w:tl2br w:val="nil"/>
                    <w:tr2bl w:val="nil"/>
                  </w:tcBorders>
                  <w:noWrap w:val="0"/>
                  <w:vAlign w:val="center"/>
                </w:tcPr>
                <w:p w14:paraId="7B9D19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60，Ⅳ类</w:t>
                  </w:r>
                </w:p>
              </w:tc>
              <w:tc>
                <w:tcPr>
                  <w:tcW w:w="746" w:type="pct"/>
                  <w:tcBorders>
                    <w:tl2br w:val="nil"/>
                    <w:tr2bl w:val="nil"/>
                  </w:tcBorders>
                  <w:noWrap w:val="0"/>
                  <w:vAlign w:val="center"/>
                </w:tcPr>
                <w:p w14:paraId="292BCDE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90，Ⅳ类</w:t>
                  </w:r>
                </w:p>
              </w:tc>
              <w:tc>
                <w:tcPr>
                  <w:tcW w:w="746" w:type="pct"/>
                  <w:tcBorders>
                    <w:tl2br w:val="nil"/>
                    <w:tr2bl w:val="nil"/>
                  </w:tcBorders>
                  <w:noWrap w:val="0"/>
                  <w:vAlign w:val="center"/>
                </w:tcPr>
                <w:p w14:paraId="1A5552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40，Ⅳ类</w:t>
                  </w:r>
                </w:p>
              </w:tc>
              <w:tc>
                <w:tcPr>
                  <w:tcW w:w="748" w:type="pct"/>
                  <w:tcBorders>
                    <w:tl2br w:val="nil"/>
                    <w:tr2bl w:val="nil"/>
                  </w:tcBorders>
                  <w:noWrap w:val="0"/>
                  <w:vAlign w:val="center"/>
                </w:tcPr>
                <w:p w14:paraId="3F42A7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60，Ⅳ类</w:t>
                  </w:r>
                </w:p>
              </w:tc>
            </w:tr>
            <w:tr w14:paraId="26CD8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0DAAA0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石油类</w:t>
                  </w:r>
                </w:p>
              </w:tc>
              <w:tc>
                <w:tcPr>
                  <w:tcW w:w="804" w:type="pct"/>
                  <w:tcBorders>
                    <w:tl2br w:val="nil"/>
                    <w:tr2bl w:val="nil"/>
                  </w:tcBorders>
                  <w:noWrap w:val="0"/>
                  <w:vAlign w:val="center"/>
                </w:tcPr>
                <w:p w14:paraId="41F4FD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w:t>
                  </w:r>
                </w:p>
              </w:tc>
              <w:tc>
                <w:tcPr>
                  <w:tcW w:w="746" w:type="pct"/>
                  <w:tcBorders>
                    <w:tl2br w:val="nil"/>
                    <w:tr2bl w:val="nil"/>
                  </w:tcBorders>
                  <w:noWrap w:val="0"/>
                  <w:vAlign w:val="center"/>
                </w:tcPr>
                <w:p w14:paraId="22DC61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0.04</w:t>
                  </w:r>
                </w:p>
              </w:tc>
              <w:tc>
                <w:tcPr>
                  <w:tcW w:w="746" w:type="pct"/>
                  <w:tcBorders>
                    <w:tl2br w:val="nil"/>
                    <w:tr2bl w:val="nil"/>
                  </w:tcBorders>
                  <w:noWrap w:val="0"/>
                  <w:vAlign w:val="center"/>
                </w:tcPr>
                <w:p w14:paraId="411729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746" w:type="pct"/>
                  <w:tcBorders>
                    <w:tl2br w:val="nil"/>
                    <w:tr2bl w:val="nil"/>
                  </w:tcBorders>
                  <w:noWrap w:val="0"/>
                  <w:vAlign w:val="center"/>
                </w:tcPr>
                <w:p w14:paraId="2F7701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748" w:type="pct"/>
                  <w:tcBorders>
                    <w:tl2br w:val="nil"/>
                    <w:tr2bl w:val="nil"/>
                  </w:tcBorders>
                  <w:noWrap w:val="0"/>
                  <w:vAlign w:val="center"/>
                </w:tcPr>
                <w:p w14:paraId="08B804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w:t>
                  </w:r>
                </w:p>
              </w:tc>
            </w:tr>
            <w:tr w14:paraId="130B6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1210" w:type="pct"/>
                  <w:tcBorders>
                    <w:tl2br w:val="nil"/>
                    <w:tr2bl w:val="nil"/>
                  </w:tcBorders>
                  <w:noWrap w:val="0"/>
                  <w:vAlign w:val="center"/>
                </w:tcPr>
                <w:p w14:paraId="4EB068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动植物油</w:t>
                  </w:r>
                </w:p>
              </w:tc>
              <w:tc>
                <w:tcPr>
                  <w:tcW w:w="804" w:type="pct"/>
                  <w:tcBorders>
                    <w:tl2br w:val="nil"/>
                    <w:tr2bl w:val="nil"/>
                  </w:tcBorders>
                  <w:noWrap w:val="0"/>
                  <w:vAlign w:val="center"/>
                </w:tcPr>
                <w:p w14:paraId="7758F2B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6" w:type="pct"/>
                  <w:tcBorders>
                    <w:tl2br w:val="nil"/>
                    <w:tr2bl w:val="nil"/>
                  </w:tcBorders>
                  <w:noWrap w:val="0"/>
                  <w:vAlign w:val="center"/>
                </w:tcPr>
                <w:p w14:paraId="0DE26D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6" w:type="pct"/>
                  <w:tcBorders>
                    <w:tl2br w:val="nil"/>
                    <w:tr2bl w:val="nil"/>
                  </w:tcBorders>
                  <w:noWrap w:val="0"/>
                  <w:vAlign w:val="center"/>
                </w:tcPr>
                <w:p w14:paraId="218CFA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6" w:type="pct"/>
                  <w:tcBorders>
                    <w:tl2br w:val="nil"/>
                    <w:tr2bl w:val="nil"/>
                  </w:tcBorders>
                  <w:noWrap w:val="0"/>
                  <w:vAlign w:val="center"/>
                </w:tcPr>
                <w:p w14:paraId="7E505D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748" w:type="pct"/>
                  <w:tcBorders>
                    <w:tl2br w:val="nil"/>
                    <w:tr2bl w:val="nil"/>
                  </w:tcBorders>
                  <w:noWrap w:val="0"/>
                  <w:vAlign w:val="center"/>
                </w:tcPr>
                <w:p w14:paraId="3DF408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r>
          </w:tbl>
          <w:p w14:paraId="191EF8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rPr>
              <w:t>注：ND表示未检出，本方法中，碳酸根的检出限为5mg/L，汞的检出限为0.04μg/L，六价铬的检出限为0.004mg/L，铅的检出限为0.07mg/L，镉的检出限为0.005mg/L，氰化物的检出限为0.002mg/L，动植物油的检出限为0.06mg/L</w:t>
            </w:r>
            <w:r>
              <w:rPr>
                <w:rFonts w:hint="eastAsia" w:ascii="Times New Roman" w:hAnsi="Times New Roman" w:eastAsia="宋体" w:cs="Times New Roman"/>
                <w:color w:val="auto"/>
                <w:kern w:val="0"/>
                <w:sz w:val="18"/>
                <w:szCs w:val="18"/>
                <w:lang w:eastAsia="zh-CN"/>
              </w:rPr>
              <w:t>。</w:t>
            </w:r>
          </w:p>
          <w:p w14:paraId="091F69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color w:val="auto"/>
                <w:kern w:val="0"/>
                <w:sz w:val="15"/>
                <w:szCs w:val="15"/>
                <w:lang w:eastAsia="zh-CN"/>
              </w:rPr>
            </w:pPr>
          </w:p>
          <w:p w14:paraId="1D7C7504">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由</w:t>
            </w:r>
            <w:r>
              <w:rPr>
                <w:rFonts w:hint="default" w:ascii="Times New Roman" w:hAnsi="Times New Roman" w:eastAsia="宋体" w:cs="Times New Roman"/>
                <w:color w:val="auto"/>
                <w:highlight w:val="none"/>
                <w:lang w:val="en-US" w:eastAsia="zh-CN"/>
              </w:rPr>
              <w:t>上</w:t>
            </w:r>
            <w:r>
              <w:rPr>
                <w:rFonts w:hint="default" w:ascii="Times New Roman" w:hAnsi="Times New Roman" w:eastAsia="宋体" w:cs="Times New Roman"/>
                <w:color w:val="auto"/>
                <w:highlight w:val="none"/>
              </w:rPr>
              <w:t>表可知，D1点的氨氮、锰符合《地下水质量标准》（GB/T14848-2017）中Ⅴ类标准，其他因子均符合Ⅳ类及以上标准，D1点质量综合类别定为Ⅴ类，Ⅴ类指标为氨氮、锰；D2点的挥发酚、锰、</w:t>
            </w:r>
            <w:r>
              <w:rPr>
                <w:rFonts w:hint="eastAsia" w:cs="Times New Roman"/>
                <w:color w:val="auto"/>
                <w:highlight w:val="none"/>
                <w:lang w:val="en-US" w:eastAsia="zh-CN"/>
              </w:rPr>
              <w:t>菌落</w:t>
            </w:r>
            <w:r>
              <w:rPr>
                <w:rFonts w:hint="default" w:ascii="Times New Roman" w:hAnsi="Times New Roman" w:eastAsia="宋体" w:cs="Times New Roman"/>
                <w:color w:val="auto"/>
                <w:highlight w:val="none"/>
              </w:rPr>
              <w:t>总数、总大肠菌群符合《地下水质量标准》（GB/T14848-2017）中Ⅳ类标准，其他因子均符合Ⅲ类及以上标准，D2点质量综合类别定为Ⅳ类，Ⅳ类指标为挥发酚、锰、</w:t>
            </w:r>
            <w:r>
              <w:rPr>
                <w:rFonts w:hint="eastAsia" w:cs="Times New Roman"/>
                <w:color w:val="auto"/>
                <w:highlight w:val="none"/>
                <w:lang w:val="en-US" w:eastAsia="zh-CN"/>
              </w:rPr>
              <w:t>菌落</w:t>
            </w:r>
            <w:r>
              <w:rPr>
                <w:rFonts w:hint="default" w:ascii="Times New Roman" w:hAnsi="Times New Roman" w:eastAsia="宋体" w:cs="Times New Roman"/>
                <w:color w:val="auto"/>
                <w:highlight w:val="none"/>
              </w:rPr>
              <w:t>总数、总大肠菌群；D3点的氨氮符合《地下水质量标准》（GB/T14848-2017）中Ⅴ类标准，其他因子均符合Ⅳ类及以上标准，D3点质量综合类别定为Ⅴ类，Ⅴ类指标为氨氮；D4点的氨氮符合《地下水质量标准》（GB/T14848-2017）中Ⅴ类标准，其他因子均符合Ⅳ类及以上标准，D4点质量综合类别定为Ⅴ类，Ⅴ类指标为氨氮；D5点的氨氮、</w:t>
            </w:r>
            <w:r>
              <w:rPr>
                <w:rFonts w:hint="eastAsia" w:cs="Times New Roman"/>
                <w:color w:val="auto"/>
                <w:highlight w:val="none"/>
                <w:lang w:val="en-US" w:eastAsia="zh-CN"/>
              </w:rPr>
              <w:t>菌落</w:t>
            </w:r>
            <w:r>
              <w:rPr>
                <w:rFonts w:hint="default" w:ascii="Times New Roman" w:hAnsi="Times New Roman" w:eastAsia="宋体" w:cs="Times New Roman"/>
                <w:color w:val="auto"/>
                <w:highlight w:val="none"/>
              </w:rPr>
              <w:t>总数、总大肠菌群符合《地下水质量标准》（GB/T14848-2017）中Ⅳ类标准，其他因子均符合Ⅲ类及以上标准，D5点质量综合类别定为Ⅳ类，Ⅳ类指标为氨氮、</w:t>
            </w:r>
            <w:r>
              <w:rPr>
                <w:rFonts w:hint="eastAsia" w:cs="Times New Roman"/>
                <w:color w:val="auto"/>
                <w:highlight w:val="none"/>
                <w:lang w:val="en-US" w:eastAsia="zh-CN"/>
              </w:rPr>
              <w:t>菌落</w:t>
            </w:r>
            <w:r>
              <w:rPr>
                <w:rFonts w:hint="default" w:ascii="Times New Roman" w:hAnsi="Times New Roman" w:eastAsia="宋体" w:cs="Times New Roman"/>
                <w:color w:val="auto"/>
                <w:highlight w:val="none"/>
              </w:rPr>
              <w:t>总数、总大肠菌群</w:t>
            </w:r>
            <w:r>
              <w:rPr>
                <w:rFonts w:hint="default" w:ascii="Times New Roman" w:hAnsi="Times New Roman" w:eastAsia="宋体" w:cs="Times New Roman"/>
                <w:color w:val="auto"/>
                <w:highlight w:val="none"/>
                <w:lang w:eastAsia="zh-CN"/>
              </w:rPr>
              <w:t>。经过地下水污染成因初步分析，推测氨氮</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锰</w:t>
            </w:r>
            <w:r>
              <w:rPr>
                <w:rFonts w:hint="eastAsia" w:cs="Times New Roman"/>
                <w:color w:val="auto"/>
                <w:highlight w:val="none"/>
                <w:lang w:val="en-US" w:eastAsia="zh-CN"/>
              </w:rPr>
              <w:t>超过</w:t>
            </w:r>
            <w:r>
              <w:rPr>
                <w:rFonts w:hint="default" w:ascii="Times New Roman" w:hAnsi="Times New Roman" w:eastAsia="宋体" w:cs="Times New Roman"/>
                <w:color w:val="auto"/>
                <w:highlight w:val="none"/>
              </w:rPr>
              <w:t>Ⅳ类</w:t>
            </w:r>
            <w:r>
              <w:rPr>
                <w:rFonts w:hint="eastAsia" w:cs="Times New Roman"/>
                <w:color w:val="auto"/>
                <w:highlight w:val="none"/>
                <w:lang w:val="en-US" w:eastAsia="zh-CN"/>
              </w:rPr>
              <w:t>标准</w:t>
            </w:r>
            <w:r>
              <w:rPr>
                <w:rFonts w:hint="default" w:ascii="Times New Roman" w:hAnsi="Times New Roman" w:eastAsia="宋体" w:cs="Times New Roman"/>
                <w:color w:val="auto"/>
                <w:highlight w:val="none"/>
                <w:lang w:eastAsia="zh-CN"/>
              </w:rPr>
              <w:t>可能受区域原生地质环境条件的影响。</w:t>
            </w:r>
          </w:p>
          <w:p w14:paraId="0367CF58">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（5）土壤环境质量</w:t>
            </w:r>
          </w:p>
          <w:p w14:paraId="6E341544">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color w:val="auto"/>
                <w:highlight w:val="yellow"/>
                <w:lang w:val="en-US" w:eastAsia="zh-CN"/>
              </w:rPr>
            </w:pPr>
            <w:r>
              <w:rPr>
                <w:rFonts w:hint="eastAsia"/>
                <w:color w:val="auto"/>
                <w:highlight w:val="none"/>
              </w:rPr>
              <w:t>本次</w:t>
            </w:r>
            <w:r>
              <w:rPr>
                <w:rFonts w:hint="eastAsia"/>
                <w:color w:val="auto"/>
                <w:highlight w:val="none"/>
                <w:lang w:val="en-US" w:eastAsia="zh-CN"/>
              </w:rPr>
              <w:t>在项目地及周边共设置11个土壤质量监测点位，5个柱状样点、6个表层样点。其中2个表层样引用《工业油脂加工项目环境影响报告书》（IET-JCBG-050084【2024】）中的监测数据</w:t>
            </w:r>
            <w:r>
              <w:rPr>
                <w:rFonts w:hint="eastAsia"/>
                <w:color w:val="auto"/>
                <w:highlight w:val="none"/>
                <w:lang w:eastAsia="zh-CN"/>
              </w:rPr>
              <w:t>（</w:t>
            </w:r>
            <w:r>
              <w:rPr>
                <w:rFonts w:hint="eastAsia" w:ascii="Times New Roman" w:hAnsi="Times New Roman" w:eastAsia="宋体" w:cs="Times New Roman"/>
                <w:color w:val="auto"/>
                <w:lang w:val="en-US" w:eastAsia="zh-CN"/>
              </w:rPr>
              <w:t>详见附件</w:t>
            </w:r>
            <w:r>
              <w:rPr>
                <w:rFonts w:hint="eastAsia" w:ascii="Times New Roman" w:hAnsi="Times New Roman" w:eastAsia="宋体" w:cs="Times New Roman"/>
                <w:color w:val="auto"/>
                <w:highlight w:val="none"/>
                <w:lang w:val="en-US" w:eastAsia="zh-CN"/>
              </w:rPr>
              <w:t>8</w:t>
            </w:r>
            <w:r>
              <w:rPr>
                <w:rFonts w:hint="eastAsia"/>
                <w:color w:val="auto"/>
                <w:highlight w:val="none"/>
                <w:lang w:eastAsia="zh-CN"/>
              </w:rPr>
              <w:t>）</w:t>
            </w:r>
            <w:r>
              <w:rPr>
                <w:rFonts w:hint="eastAsia"/>
                <w:color w:val="auto"/>
                <w:highlight w:val="none"/>
                <w:lang w:val="en-US" w:eastAsia="zh-CN"/>
              </w:rPr>
              <w:t>，监测时间为2024年3月22日；其余5个柱状样点和4个表层样点引用</w:t>
            </w:r>
            <w:r>
              <w:rPr>
                <w:rFonts w:hint="eastAsia"/>
                <w:color w:val="auto"/>
                <w:highlight w:val="none"/>
                <w:lang w:eastAsia="zh-CN"/>
              </w:rPr>
              <w:t>《8000吨/年废矿物油收集项目</w:t>
            </w:r>
            <w:r>
              <w:rPr>
                <w:rFonts w:hint="eastAsia"/>
                <w:color w:val="auto"/>
                <w:highlight w:val="none"/>
                <w:lang w:val="en-US" w:eastAsia="zh-CN"/>
              </w:rPr>
              <w:t>环境影响报告书</w:t>
            </w:r>
            <w:r>
              <w:rPr>
                <w:rFonts w:hint="eastAsia"/>
                <w:color w:val="auto"/>
                <w:highlight w:val="none"/>
                <w:lang w:eastAsia="zh-CN"/>
              </w:rPr>
              <w:t>》</w:t>
            </w:r>
            <w:r>
              <w:rPr>
                <w:rFonts w:hint="eastAsia"/>
                <w:color w:val="auto"/>
                <w:highlight w:val="none"/>
                <w:lang w:val="en-US" w:eastAsia="zh-CN"/>
              </w:rPr>
              <w:t>（报告编号GE2405061401BI）</w:t>
            </w:r>
            <w:r>
              <w:rPr>
                <w:rFonts w:hint="eastAsia"/>
                <w:color w:val="auto"/>
                <w:highlight w:val="none"/>
                <w:lang w:eastAsia="zh-CN"/>
              </w:rPr>
              <w:t>（</w:t>
            </w:r>
            <w:r>
              <w:rPr>
                <w:rFonts w:hint="eastAsia" w:ascii="Times New Roman" w:hAnsi="Times New Roman" w:eastAsia="宋体" w:cs="Times New Roman"/>
                <w:color w:val="auto"/>
                <w:lang w:val="en-US" w:eastAsia="zh-CN"/>
              </w:rPr>
              <w:t>详见附件</w:t>
            </w:r>
            <w:r>
              <w:rPr>
                <w:rFonts w:hint="eastAsia" w:ascii="Times New Roman" w:hAnsi="Times New Roman" w:eastAsia="宋体" w:cs="Times New Roman"/>
                <w:color w:val="auto"/>
                <w:highlight w:val="none"/>
                <w:lang w:val="en-US" w:eastAsia="zh-CN"/>
              </w:rPr>
              <w:t>8</w:t>
            </w:r>
            <w:r>
              <w:rPr>
                <w:rFonts w:hint="eastAsia"/>
                <w:color w:val="auto"/>
                <w:highlight w:val="none"/>
                <w:lang w:eastAsia="zh-CN"/>
              </w:rPr>
              <w:t>）</w:t>
            </w:r>
            <w:r>
              <w:rPr>
                <w:rFonts w:hint="eastAsia"/>
                <w:color w:val="auto"/>
                <w:highlight w:val="none"/>
                <w:lang w:val="en-US" w:eastAsia="zh-CN"/>
              </w:rPr>
              <w:t>中监测数据，监测时间2024年5月23日。</w:t>
            </w:r>
          </w:p>
          <w:p w14:paraId="5080E16B">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highlight w:val="none"/>
                <w:lang w:eastAsia="zh-CN"/>
              </w:rPr>
            </w:pPr>
            <w:r>
              <w:rPr>
                <w:rFonts w:hint="eastAsia"/>
                <w:color w:val="auto"/>
                <w:highlight w:val="none"/>
                <w:lang w:val="en-US" w:eastAsia="zh-CN"/>
              </w:rPr>
              <w:t>具体监测结果见表3-4</w:t>
            </w:r>
            <w:r>
              <w:rPr>
                <w:rFonts w:hint="eastAsia"/>
                <w:color w:val="auto"/>
                <w:highlight w:val="none"/>
                <w:lang w:eastAsia="zh-CN"/>
              </w:rPr>
              <w:t>。</w:t>
            </w:r>
          </w:p>
          <w:p w14:paraId="41645D05">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表3-4 土壤环境质量现状监测结果及评价表（监测结果：mg/kg）</w:t>
            </w:r>
          </w:p>
          <w:tbl>
            <w:tblPr>
              <w:tblStyle w:val="21"/>
              <w:tblW w:w="8082"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11"/>
              <w:gridCol w:w="1733"/>
              <w:gridCol w:w="717"/>
              <w:gridCol w:w="750"/>
              <w:gridCol w:w="717"/>
              <w:gridCol w:w="631"/>
              <w:gridCol w:w="702"/>
              <w:gridCol w:w="689"/>
              <w:gridCol w:w="826"/>
              <w:gridCol w:w="506"/>
            </w:tblGrid>
            <w:tr w14:paraId="58916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restart"/>
                  <w:tcBorders>
                    <w:tl2br w:val="nil"/>
                    <w:tr2bl w:val="nil"/>
                  </w:tcBorders>
                  <w:noWrap w:val="0"/>
                  <w:vAlign w:val="center"/>
                </w:tcPr>
                <w:p w14:paraId="073854C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监测点位</w:t>
                  </w:r>
                </w:p>
              </w:tc>
              <w:tc>
                <w:tcPr>
                  <w:tcW w:w="443" w:type="pct"/>
                  <w:vMerge w:val="restart"/>
                  <w:tcBorders>
                    <w:tl2br w:val="nil"/>
                    <w:tr2bl w:val="nil"/>
                  </w:tcBorders>
                  <w:noWrap w:val="0"/>
                  <w:vAlign w:val="center"/>
                </w:tcPr>
                <w:p w14:paraId="27FEA215">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检出限</w:t>
                  </w:r>
                </w:p>
              </w:tc>
              <w:tc>
                <w:tcPr>
                  <w:tcW w:w="2669" w:type="pct"/>
                  <w:gridSpan w:val="6"/>
                  <w:tcBorders>
                    <w:tl2br w:val="nil"/>
                    <w:tr2bl w:val="nil"/>
                  </w:tcBorders>
                  <w:noWrap w:val="0"/>
                  <w:vAlign w:val="center"/>
                </w:tcPr>
                <w:p w14:paraId="49873D08">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厂区内T1项目拟建地</w:t>
                  </w:r>
                </w:p>
              </w:tc>
              <w:tc>
                <w:tcPr>
                  <w:tcW w:w="313" w:type="pct"/>
                  <w:vMerge w:val="restart"/>
                  <w:tcBorders>
                    <w:tl2br w:val="nil"/>
                    <w:tr2bl w:val="nil"/>
                  </w:tcBorders>
                  <w:noWrap w:val="0"/>
                  <w:vAlign w:val="center"/>
                </w:tcPr>
                <w:p w14:paraId="2AD72F2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筛选值</w:t>
                  </w:r>
                </w:p>
              </w:tc>
            </w:tr>
            <w:tr w14:paraId="2503A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continue"/>
                  <w:tcBorders>
                    <w:tl2br w:val="nil"/>
                    <w:tr2bl w:val="nil"/>
                  </w:tcBorders>
                  <w:noWrap w:val="0"/>
                  <w:vAlign w:val="center"/>
                </w:tcPr>
                <w:p w14:paraId="36F83F87">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43" w:type="pct"/>
                  <w:vMerge w:val="continue"/>
                  <w:tcBorders>
                    <w:tl2br w:val="nil"/>
                    <w:tr2bl w:val="nil"/>
                  </w:tcBorders>
                  <w:noWrap w:val="0"/>
                  <w:vAlign w:val="center"/>
                </w:tcPr>
                <w:p w14:paraId="6336E62D">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907" w:type="pct"/>
                  <w:gridSpan w:val="2"/>
                  <w:tcBorders>
                    <w:tl2br w:val="nil"/>
                    <w:tr2bl w:val="nil"/>
                  </w:tcBorders>
                  <w:noWrap w:val="0"/>
                  <w:vAlign w:val="center"/>
                </w:tcPr>
                <w:p w14:paraId="2ADA2EDB">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0-0.5m</w:t>
                  </w:r>
                </w:p>
              </w:tc>
              <w:tc>
                <w:tcPr>
                  <w:tcW w:w="824" w:type="pct"/>
                  <w:gridSpan w:val="2"/>
                  <w:tcBorders>
                    <w:tl2br w:val="nil"/>
                    <w:tr2bl w:val="nil"/>
                  </w:tcBorders>
                  <w:noWrap w:val="0"/>
                  <w:vAlign w:val="center"/>
                </w:tcPr>
                <w:p w14:paraId="4545F1F0">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0.5-1.5m</w:t>
                  </w:r>
                </w:p>
              </w:tc>
              <w:tc>
                <w:tcPr>
                  <w:tcW w:w="937" w:type="pct"/>
                  <w:gridSpan w:val="2"/>
                  <w:tcBorders>
                    <w:tl2br w:val="nil"/>
                    <w:tr2bl w:val="nil"/>
                  </w:tcBorders>
                  <w:noWrap w:val="0"/>
                  <w:vAlign w:val="center"/>
                </w:tcPr>
                <w:p w14:paraId="72E5DA8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1.5-3.0m</w:t>
                  </w:r>
                </w:p>
              </w:tc>
              <w:tc>
                <w:tcPr>
                  <w:tcW w:w="313" w:type="pct"/>
                  <w:vMerge w:val="continue"/>
                  <w:tcBorders>
                    <w:tl2br w:val="nil"/>
                    <w:tr2bl w:val="nil"/>
                  </w:tcBorders>
                  <w:noWrap w:val="0"/>
                  <w:vAlign w:val="center"/>
                </w:tcPr>
                <w:p w14:paraId="03E01276">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3FFD3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tcBorders>
                    <w:tl2br w:val="nil"/>
                    <w:tr2bl w:val="nil"/>
                  </w:tcBorders>
                  <w:noWrap w:val="0"/>
                  <w:vAlign w:val="center"/>
                </w:tcPr>
                <w:p w14:paraId="03DAE5A8">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监测项目</w:t>
                  </w:r>
                </w:p>
              </w:tc>
              <w:tc>
                <w:tcPr>
                  <w:tcW w:w="443" w:type="pct"/>
                  <w:vMerge w:val="continue"/>
                  <w:tcBorders>
                    <w:tl2br w:val="nil"/>
                    <w:tr2bl w:val="nil"/>
                  </w:tcBorders>
                  <w:noWrap w:val="0"/>
                  <w:vAlign w:val="center"/>
                </w:tcPr>
                <w:p w14:paraId="16C03A3E">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63" w:type="pct"/>
                  <w:tcBorders>
                    <w:tl2br w:val="nil"/>
                    <w:tr2bl w:val="nil"/>
                  </w:tcBorders>
                  <w:noWrap w:val="0"/>
                  <w:vAlign w:val="center"/>
                </w:tcPr>
                <w:p w14:paraId="58DA76F4">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43" w:type="pct"/>
                  <w:tcBorders>
                    <w:tl2br w:val="nil"/>
                    <w:tr2bl w:val="nil"/>
                  </w:tcBorders>
                  <w:noWrap w:val="0"/>
                  <w:vAlign w:val="center"/>
                </w:tcPr>
                <w:p w14:paraId="2F97DF7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90" w:type="pct"/>
                  <w:tcBorders>
                    <w:tl2br w:val="nil"/>
                    <w:tr2bl w:val="nil"/>
                  </w:tcBorders>
                  <w:noWrap w:val="0"/>
                  <w:vAlign w:val="center"/>
                </w:tcPr>
                <w:p w14:paraId="593A7F8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34" w:type="pct"/>
                  <w:tcBorders>
                    <w:tl2br w:val="nil"/>
                    <w:tr2bl w:val="nil"/>
                  </w:tcBorders>
                  <w:noWrap w:val="0"/>
                  <w:vAlign w:val="center"/>
                </w:tcPr>
                <w:p w14:paraId="773F4E56">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426" w:type="pct"/>
                  <w:tcBorders>
                    <w:tl2br w:val="nil"/>
                    <w:tr2bl w:val="nil"/>
                  </w:tcBorders>
                  <w:noWrap w:val="0"/>
                  <w:vAlign w:val="center"/>
                </w:tcPr>
                <w:p w14:paraId="5164DE01">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511" w:type="pct"/>
                  <w:tcBorders>
                    <w:tl2br w:val="nil"/>
                    <w:tr2bl w:val="nil"/>
                  </w:tcBorders>
                  <w:noWrap w:val="0"/>
                  <w:vAlign w:val="center"/>
                </w:tcPr>
                <w:p w14:paraId="017503D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13" w:type="pct"/>
                  <w:vMerge w:val="continue"/>
                  <w:tcBorders>
                    <w:tl2br w:val="nil"/>
                    <w:tr2bl w:val="nil"/>
                  </w:tcBorders>
                  <w:noWrap w:val="0"/>
                  <w:vAlign w:val="center"/>
                </w:tcPr>
                <w:p w14:paraId="3BE4E51F">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34264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68F729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c>
                <w:tcPr>
                  <w:tcW w:w="1072" w:type="pct"/>
                  <w:tcBorders>
                    <w:tl2br w:val="nil"/>
                    <w:tr2bl w:val="nil"/>
                  </w:tcBorders>
                  <w:noWrap w:val="0"/>
                  <w:vAlign w:val="center"/>
                </w:tcPr>
                <w:p w14:paraId="35884D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443" w:type="pct"/>
                  <w:tcBorders>
                    <w:tl2br w:val="nil"/>
                    <w:tr2bl w:val="nil"/>
                  </w:tcBorders>
                  <w:noWrap w:val="0"/>
                  <w:vAlign w:val="center"/>
                </w:tcPr>
                <w:p w14:paraId="622303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63" w:type="pct"/>
                  <w:tcBorders>
                    <w:tl2br w:val="nil"/>
                    <w:tr2bl w:val="nil"/>
                  </w:tcBorders>
                  <w:noWrap w:val="0"/>
                  <w:vAlign w:val="center"/>
                </w:tcPr>
                <w:p w14:paraId="4156474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7.42</w:t>
                  </w:r>
                </w:p>
              </w:tc>
              <w:tc>
                <w:tcPr>
                  <w:tcW w:w="443" w:type="pct"/>
                  <w:tcBorders>
                    <w:tl2br w:val="nil"/>
                    <w:tr2bl w:val="nil"/>
                  </w:tcBorders>
                  <w:noWrap w:val="0"/>
                  <w:vAlign w:val="center"/>
                </w:tcPr>
                <w:p w14:paraId="4116C3B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11058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7.45</w:t>
                  </w:r>
                </w:p>
              </w:tc>
              <w:tc>
                <w:tcPr>
                  <w:tcW w:w="434" w:type="pct"/>
                  <w:tcBorders>
                    <w:tl2br w:val="nil"/>
                    <w:tr2bl w:val="nil"/>
                  </w:tcBorders>
                  <w:noWrap w:val="0"/>
                  <w:vAlign w:val="center"/>
                </w:tcPr>
                <w:p w14:paraId="29F5C3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0357B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7.34</w:t>
                  </w:r>
                </w:p>
              </w:tc>
              <w:tc>
                <w:tcPr>
                  <w:tcW w:w="511" w:type="pct"/>
                  <w:tcBorders>
                    <w:tl2br w:val="nil"/>
                    <w:tr2bl w:val="nil"/>
                  </w:tcBorders>
                  <w:noWrap w:val="0"/>
                  <w:vAlign w:val="center"/>
                </w:tcPr>
                <w:p w14:paraId="3B2158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ign w:val="center"/>
                </w:tcPr>
                <w:p w14:paraId="549BF3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34BC5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124A0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BE14E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43" w:type="pct"/>
                  <w:tcBorders>
                    <w:tl2br w:val="nil"/>
                    <w:tr2bl w:val="nil"/>
                  </w:tcBorders>
                  <w:noWrap w:val="0"/>
                  <w:vAlign w:val="center"/>
                </w:tcPr>
                <w:p w14:paraId="4458E3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6F2B9B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12.4</w:t>
                  </w:r>
                </w:p>
              </w:tc>
              <w:tc>
                <w:tcPr>
                  <w:tcW w:w="443" w:type="pct"/>
                  <w:tcBorders>
                    <w:tl2br w:val="nil"/>
                    <w:tr2bl w:val="nil"/>
                  </w:tcBorders>
                  <w:noWrap w:val="0"/>
                  <w:vAlign w:val="center"/>
                </w:tcPr>
                <w:p w14:paraId="5A3D95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0.2067</w:t>
                  </w:r>
                </w:p>
              </w:tc>
              <w:tc>
                <w:tcPr>
                  <w:tcW w:w="390" w:type="pct"/>
                  <w:tcBorders>
                    <w:tl2br w:val="nil"/>
                    <w:tr2bl w:val="nil"/>
                  </w:tcBorders>
                  <w:noWrap w:val="0"/>
                  <w:vAlign w:val="center"/>
                </w:tcPr>
                <w:p w14:paraId="79F31E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18.6</w:t>
                  </w:r>
                </w:p>
              </w:tc>
              <w:tc>
                <w:tcPr>
                  <w:tcW w:w="434" w:type="pct"/>
                  <w:tcBorders>
                    <w:tl2br w:val="nil"/>
                    <w:tr2bl w:val="nil"/>
                  </w:tcBorders>
                  <w:noWrap w:val="0"/>
                  <w:vAlign w:val="center"/>
                </w:tcPr>
                <w:p w14:paraId="1B8C2F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0.3100</w:t>
                  </w:r>
                </w:p>
              </w:tc>
              <w:tc>
                <w:tcPr>
                  <w:tcW w:w="426" w:type="pct"/>
                  <w:tcBorders>
                    <w:tl2br w:val="nil"/>
                    <w:tr2bl w:val="nil"/>
                  </w:tcBorders>
                  <w:noWrap w:val="0"/>
                  <w:vAlign w:val="center"/>
                </w:tcPr>
                <w:p w14:paraId="0E2BF6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14.6</w:t>
                  </w:r>
                </w:p>
              </w:tc>
              <w:tc>
                <w:tcPr>
                  <w:tcW w:w="511" w:type="pct"/>
                  <w:tcBorders>
                    <w:tl2br w:val="nil"/>
                    <w:tr2bl w:val="nil"/>
                  </w:tcBorders>
                  <w:noWrap w:val="0"/>
                  <w:vAlign w:val="center"/>
                </w:tcPr>
                <w:p w14:paraId="23B8BF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0.2433</w:t>
                  </w:r>
                </w:p>
              </w:tc>
              <w:tc>
                <w:tcPr>
                  <w:tcW w:w="313" w:type="pct"/>
                  <w:tcBorders>
                    <w:tl2br w:val="nil"/>
                    <w:tr2bl w:val="nil"/>
                  </w:tcBorders>
                  <w:noWrap w:val="0"/>
                  <w:vAlign w:val="center"/>
                </w:tcPr>
                <w:p w14:paraId="102661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r>
            <w:tr w14:paraId="39588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D2A12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E9930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43" w:type="pct"/>
                  <w:tcBorders>
                    <w:tl2br w:val="nil"/>
                    <w:tr2bl w:val="nil"/>
                  </w:tcBorders>
                  <w:noWrap w:val="0"/>
                  <w:vAlign w:val="center"/>
                </w:tcPr>
                <w:p w14:paraId="6241C7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7F834F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0.16</w:t>
                  </w:r>
                </w:p>
              </w:tc>
              <w:tc>
                <w:tcPr>
                  <w:tcW w:w="443" w:type="pct"/>
                  <w:tcBorders>
                    <w:tl2br w:val="nil"/>
                    <w:tr2bl w:val="nil"/>
                  </w:tcBorders>
                  <w:noWrap w:val="0"/>
                  <w:vAlign w:val="center"/>
                </w:tcPr>
                <w:p w14:paraId="25B780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0.0025</w:t>
                  </w:r>
                </w:p>
              </w:tc>
              <w:tc>
                <w:tcPr>
                  <w:tcW w:w="390" w:type="pct"/>
                  <w:tcBorders>
                    <w:tl2br w:val="nil"/>
                    <w:tr2bl w:val="nil"/>
                  </w:tcBorders>
                  <w:noWrap w:val="0"/>
                  <w:vAlign w:val="center"/>
                </w:tcPr>
                <w:p w14:paraId="3856CF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0.16</w:t>
                  </w:r>
                </w:p>
              </w:tc>
              <w:tc>
                <w:tcPr>
                  <w:tcW w:w="434" w:type="pct"/>
                  <w:tcBorders>
                    <w:tl2br w:val="nil"/>
                    <w:tr2bl w:val="nil"/>
                  </w:tcBorders>
                  <w:noWrap w:val="0"/>
                  <w:vAlign w:val="center"/>
                </w:tcPr>
                <w:p w14:paraId="67D6A5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0.0025</w:t>
                  </w:r>
                </w:p>
              </w:tc>
              <w:tc>
                <w:tcPr>
                  <w:tcW w:w="426" w:type="pct"/>
                  <w:tcBorders>
                    <w:tl2br w:val="nil"/>
                    <w:tr2bl w:val="nil"/>
                  </w:tcBorders>
                  <w:noWrap w:val="0"/>
                  <w:vAlign w:val="center"/>
                </w:tcPr>
                <w:p w14:paraId="64ED3C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w:t>
                  </w:r>
                </w:p>
              </w:tc>
              <w:tc>
                <w:tcPr>
                  <w:tcW w:w="511" w:type="pct"/>
                  <w:tcBorders>
                    <w:tl2br w:val="nil"/>
                    <w:tr2bl w:val="nil"/>
                  </w:tcBorders>
                  <w:noWrap w:val="0"/>
                  <w:vAlign w:val="center"/>
                </w:tcPr>
                <w:p w14:paraId="2E5CCE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0.0018</w:t>
                  </w:r>
                </w:p>
              </w:tc>
              <w:tc>
                <w:tcPr>
                  <w:tcW w:w="313" w:type="pct"/>
                  <w:tcBorders>
                    <w:tl2br w:val="nil"/>
                    <w:tr2bl w:val="nil"/>
                  </w:tcBorders>
                  <w:noWrap w:val="0"/>
                  <w:vAlign w:val="center"/>
                </w:tcPr>
                <w:p w14:paraId="3D5817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r>
            <w:tr w14:paraId="11B45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2209D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B68CA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43" w:type="pct"/>
                  <w:tcBorders>
                    <w:tl2br w:val="nil"/>
                    <w:tr2bl w:val="nil"/>
                  </w:tcBorders>
                  <w:noWrap w:val="0"/>
                  <w:vAlign w:val="center"/>
                </w:tcPr>
                <w:p w14:paraId="6A14C5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63" w:type="pct"/>
                  <w:tcBorders>
                    <w:tl2br w:val="nil"/>
                    <w:tr2bl w:val="nil"/>
                  </w:tcBorders>
                  <w:noWrap w:val="0"/>
                  <w:vAlign w:val="center"/>
                </w:tcPr>
                <w:p w14:paraId="05E0E7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w:t>
                  </w:r>
                </w:p>
              </w:tc>
              <w:tc>
                <w:tcPr>
                  <w:tcW w:w="443" w:type="pct"/>
                  <w:tcBorders>
                    <w:tl2br w:val="nil"/>
                    <w:tr2bl w:val="nil"/>
                  </w:tcBorders>
                  <w:noWrap w:val="0"/>
                  <w:vAlign w:val="center"/>
                </w:tcPr>
                <w:p w14:paraId="17A4C1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390" w:type="pct"/>
                  <w:tcBorders>
                    <w:tl2br w:val="nil"/>
                    <w:tr2bl w:val="nil"/>
                  </w:tcBorders>
                  <w:noWrap w:val="0"/>
                  <w:vAlign w:val="center"/>
                </w:tcPr>
                <w:p w14:paraId="2850A9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w:t>
                  </w:r>
                </w:p>
              </w:tc>
              <w:tc>
                <w:tcPr>
                  <w:tcW w:w="434" w:type="pct"/>
                  <w:tcBorders>
                    <w:tl2br w:val="nil"/>
                    <w:tr2bl w:val="nil"/>
                  </w:tcBorders>
                  <w:noWrap w:val="0"/>
                  <w:vAlign w:val="center"/>
                </w:tcPr>
                <w:p w14:paraId="7B6E1D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26" w:type="pct"/>
                  <w:tcBorders>
                    <w:tl2br w:val="nil"/>
                    <w:tr2bl w:val="nil"/>
                  </w:tcBorders>
                  <w:noWrap w:val="0"/>
                  <w:vAlign w:val="center"/>
                </w:tcPr>
                <w:p w14:paraId="7903FE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tc>
              <w:tc>
                <w:tcPr>
                  <w:tcW w:w="511" w:type="pct"/>
                  <w:tcBorders>
                    <w:tl2br w:val="nil"/>
                    <w:tr2bl w:val="nil"/>
                  </w:tcBorders>
                  <w:noWrap w:val="0"/>
                  <w:vAlign w:val="center"/>
                </w:tcPr>
                <w:p w14:paraId="7D076A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313" w:type="pct"/>
                  <w:tcBorders>
                    <w:tl2br w:val="nil"/>
                    <w:tr2bl w:val="nil"/>
                  </w:tcBorders>
                  <w:noWrap w:val="0"/>
                  <w:vAlign w:val="center"/>
                </w:tcPr>
                <w:p w14:paraId="51CD27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r>
            <w:tr w14:paraId="7D9D36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E4148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71061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43" w:type="pct"/>
                  <w:tcBorders>
                    <w:tl2br w:val="nil"/>
                    <w:tr2bl w:val="nil"/>
                  </w:tcBorders>
                  <w:noWrap w:val="0"/>
                  <w:vAlign w:val="center"/>
                </w:tcPr>
                <w:p w14:paraId="73DA2C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63" w:type="pct"/>
                  <w:tcBorders>
                    <w:tl2br w:val="nil"/>
                    <w:tr2bl w:val="nil"/>
                  </w:tcBorders>
                  <w:noWrap w:val="0"/>
                  <w:vAlign w:val="center"/>
                </w:tcPr>
                <w:p w14:paraId="42A796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9.4</w:t>
                  </w:r>
                </w:p>
              </w:tc>
              <w:tc>
                <w:tcPr>
                  <w:tcW w:w="443" w:type="pct"/>
                  <w:tcBorders>
                    <w:tl2br w:val="nil"/>
                    <w:tr2bl w:val="nil"/>
                  </w:tcBorders>
                  <w:noWrap w:val="0"/>
                  <w:vAlign w:val="center"/>
                </w:tcPr>
                <w:p w14:paraId="218CBD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0.0118</w:t>
                  </w:r>
                </w:p>
              </w:tc>
              <w:tc>
                <w:tcPr>
                  <w:tcW w:w="390" w:type="pct"/>
                  <w:tcBorders>
                    <w:tl2br w:val="nil"/>
                    <w:tr2bl w:val="nil"/>
                  </w:tcBorders>
                  <w:noWrap w:val="0"/>
                  <w:vAlign w:val="center"/>
                </w:tcPr>
                <w:p w14:paraId="3B02AE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12.5</w:t>
                  </w:r>
                </w:p>
              </w:tc>
              <w:tc>
                <w:tcPr>
                  <w:tcW w:w="434" w:type="pct"/>
                  <w:tcBorders>
                    <w:tl2br w:val="nil"/>
                    <w:tr2bl w:val="nil"/>
                  </w:tcBorders>
                  <w:noWrap w:val="0"/>
                  <w:vAlign w:val="center"/>
                </w:tcPr>
                <w:p w14:paraId="0BB0B9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0.0156</w:t>
                  </w:r>
                </w:p>
              </w:tc>
              <w:tc>
                <w:tcPr>
                  <w:tcW w:w="426" w:type="pct"/>
                  <w:tcBorders>
                    <w:tl2br w:val="nil"/>
                    <w:tr2bl w:val="nil"/>
                  </w:tcBorders>
                  <w:noWrap w:val="0"/>
                  <w:vAlign w:val="center"/>
                </w:tcPr>
                <w:p w14:paraId="24C3DB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w:t>
                  </w:r>
                </w:p>
              </w:tc>
              <w:tc>
                <w:tcPr>
                  <w:tcW w:w="511" w:type="pct"/>
                  <w:tcBorders>
                    <w:tl2br w:val="nil"/>
                    <w:tr2bl w:val="nil"/>
                  </w:tcBorders>
                  <w:noWrap w:val="0"/>
                  <w:vAlign w:val="center"/>
                </w:tcPr>
                <w:p w14:paraId="70391D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0.0139</w:t>
                  </w:r>
                </w:p>
              </w:tc>
              <w:tc>
                <w:tcPr>
                  <w:tcW w:w="313" w:type="pct"/>
                  <w:tcBorders>
                    <w:tl2br w:val="nil"/>
                    <w:tr2bl w:val="nil"/>
                  </w:tcBorders>
                  <w:noWrap w:val="0"/>
                  <w:vAlign w:val="center"/>
                </w:tcPr>
                <w:p w14:paraId="4CFA08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r>
            <w:tr w14:paraId="2FF45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9476F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18218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43" w:type="pct"/>
                  <w:tcBorders>
                    <w:tl2br w:val="nil"/>
                    <w:tr2bl w:val="nil"/>
                  </w:tcBorders>
                  <w:noWrap w:val="0"/>
                  <w:vAlign w:val="center"/>
                </w:tcPr>
                <w:p w14:paraId="3D768C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63" w:type="pct"/>
                  <w:tcBorders>
                    <w:tl2br w:val="nil"/>
                    <w:tr2bl w:val="nil"/>
                  </w:tcBorders>
                  <w:noWrap w:val="0"/>
                  <w:vAlign w:val="center"/>
                </w:tcPr>
                <w:p w14:paraId="084D1E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0.097</w:t>
                  </w:r>
                </w:p>
              </w:tc>
              <w:tc>
                <w:tcPr>
                  <w:tcW w:w="443" w:type="pct"/>
                  <w:tcBorders>
                    <w:tl2br w:val="nil"/>
                    <w:tr2bl w:val="nil"/>
                  </w:tcBorders>
                  <w:noWrap w:val="0"/>
                  <w:vAlign w:val="center"/>
                </w:tcPr>
                <w:p w14:paraId="2659CD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0.0026</w:t>
                  </w:r>
                </w:p>
              </w:tc>
              <w:tc>
                <w:tcPr>
                  <w:tcW w:w="390" w:type="pct"/>
                  <w:tcBorders>
                    <w:tl2br w:val="nil"/>
                    <w:tr2bl w:val="nil"/>
                  </w:tcBorders>
                  <w:noWrap w:val="0"/>
                  <w:vAlign w:val="center"/>
                </w:tcPr>
                <w:p w14:paraId="74BA3C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0.142</w:t>
                  </w:r>
                </w:p>
              </w:tc>
              <w:tc>
                <w:tcPr>
                  <w:tcW w:w="434" w:type="pct"/>
                  <w:tcBorders>
                    <w:tl2br w:val="nil"/>
                    <w:tr2bl w:val="nil"/>
                  </w:tcBorders>
                  <w:noWrap w:val="0"/>
                  <w:vAlign w:val="center"/>
                </w:tcPr>
                <w:p w14:paraId="3A8E66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0.0037</w:t>
                  </w:r>
                </w:p>
              </w:tc>
              <w:tc>
                <w:tcPr>
                  <w:tcW w:w="426" w:type="pct"/>
                  <w:tcBorders>
                    <w:tl2br w:val="nil"/>
                    <w:tr2bl w:val="nil"/>
                  </w:tcBorders>
                  <w:noWrap w:val="0"/>
                  <w:vAlign w:val="center"/>
                </w:tcPr>
                <w:p w14:paraId="542DDC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0.124</w:t>
                  </w:r>
                </w:p>
              </w:tc>
              <w:tc>
                <w:tcPr>
                  <w:tcW w:w="511" w:type="pct"/>
                  <w:tcBorders>
                    <w:tl2br w:val="nil"/>
                    <w:tr2bl w:val="nil"/>
                  </w:tcBorders>
                  <w:noWrap w:val="0"/>
                  <w:vAlign w:val="center"/>
                </w:tcPr>
                <w:p w14:paraId="59C68A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0.0033</w:t>
                  </w:r>
                </w:p>
              </w:tc>
              <w:tc>
                <w:tcPr>
                  <w:tcW w:w="313" w:type="pct"/>
                  <w:tcBorders>
                    <w:tl2br w:val="nil"/>
                    <w:tr2bl w:val="nil"/>
                  </w:tcBorders>
                  <w:noWrap w:val="0"/>
                  <w:vAlign w:val="center"/>
                </w:tcPr>
                <w:p w14:paraId="271671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r>
            <w:tr w14:paraId="3A62F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FBD1E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1C2FC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43" w:type="pct"/>
                  <w:tcBorders>
                    <w:tl2br w:val="nil"/>
                    <w:tr2bl w:val="nil"/>
                  </w:tcBorders>
                  <w:noWrap w:val="0"/>
                  <w:vAlign w:val="center"/>
                </w:tcPr>
                <w:p w14:paraId="0FC1A9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 w:type="pct"/>
                  <w:tcBorders>
                    <w:tl2br w:val="nil"/>
                    <w:tr2bl w:val="nil"/>
                  </w:tcBorders>
                  <w:noWrap w:val="0"/>
                  <w:vAlign w:val="center"/>
                </w:tcPr>
                <w:p w14:paraId="13A44B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w:t>
                  </w:r>
                </w:p>
              </w:tc>
              <w:tc>
                <w:tcPr>
                  <w:tcW w:w="443" w:type="pct"/>
                  <w:tcBorders>
                    <w:tl2br w:val="nil"/>
                    <w:tr2bl w:val="nil"/>
                  </w:tcBorders>
                  <w:noWrap w:val="0"/>
                  <w:vAlign w:val="center"/>
                </w:tcPr>
                <w:p w14:paraId="24109C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0.0289</w:t>
                  </w:r>
                </w:p>
              </w:tc>
              <w:tc>
                <w:tcPr>
                  <w:tcW w:w="390" w:type="pct"/>
                  <w:tcBorders>
                    <w:tl2br w:val="nil"/>
                    <w:tr2bl w:val="nil"/>
                  </w:tcBorders>
                  <w:noWrap w:val="0"/>
                  <w:vAlign w:val="center"/>
                </w:tcPr>
                <w:p w14:paraId="14A7A2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434" w:type="pct"/>
                  <w:tcBorders>
                    <w:tl2br w:val="nil"/>
                    <w:tr2bl w:val="nil"/>
                  </w:tcBorders>
                  <w:noWrap w:val="0"/>
                  <w:vAlign w:val="center"/>
                </w:tcPr>
                <w:p w14:paraId="4CF1C1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0.0444</w:t>
                  </w:r>
                </w:p>
              </w:tc>
              <w:tc>
                <w:tcPr>
                  <w:tcW w:w="426" w:type="pct"/>
                  <w:tcBorders>
                    <w:tl2br w:val="nil"/>
                    <w:tr2bl w:val="nil"/>
                  </w:tcBorders>
                  <w:noWrap w:val="0"/>
                  <w:vAlign w:val="center"/>
                </w:tcPr>
                <w:p w14:paraId="6EB325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29</w:t>
                  </w:r>
                </w:p>
              </w:tc>
              <w:tc>
                <w:tcPr>
                  <w:tcW w:w="511" w:type="pct"/>
                  <w:tcBorders>
                    <w:tl2br w:val="nil"/>
                    <w:tr2bl w:val="nil"/>
                  </w:tcBorders>
                  <w:noWrap w:val="0"/>
                  <w:vAlign w:val="center"/>
                </w:tcPr>
                <w:p w14:paraId="0E900D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0.0322</w:t>
                  </w:r>
                </w:p>
              </w:tc>
              <w:tc>
                <w:tcPr>
                  <w:tcW w:w="313" w:type="pct"/>
                  <w:tcBorders>
                    <w:tl2br w:val="nil"/>
                    <w:tr2bl w:val="nil"/>
                  </w:tcBorders>
                  <w:noWrap w:val="0"/>
                  <w:vAlign w:val="center"/>
                </w:tcPr>
                <w:p w14:paraId="10097F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r>
            <w:tr w14:paraId="08E4DD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4B8F6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0A2FE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443" w:type="pct"/>
                  <w:tcBorders>
                    <w:tl2br w:val="nil"/>
                    <w:tr2bl w:val="nil"/>
                  </w:tcBorders>
                  <w:noWrap w:val="0"/>
                  <w:vAlign w:val="center"/>
                </w:tcPr>
                <w:p w14:paraId="7CD6A0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463" w:type="pct"/>
                  <w:tcBorders>
                    <w:tl2br w:val="nil"/>
                    <w:tr2bl w:val="nil"/>
                  </w:tcBorders>
                  <w:noWrap w:val="0"/>
                  <w:vAlign w:val="center"/>
                </w:tcPr>
                <w:p w14:paraId="771178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B4B4E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A72D5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81228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A27E2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D142B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EE080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r>
            <w:tr w14:paraId="62EC3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2945AE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c>
                <w:tcPr>
                  <w:tcW w:w="1072" w:type="pct"/>
                  <w:tcBorders>
                    <w:tl2br w:val="nil"/>
                    <w:tr2bl w:val="nil"/>
                  </w:tcBorders>
                  <w:noWrap w:val="0"/>
                  <w:vAlign w:val="center"/>
                </w:tcPr>
                <w:p w14:paraId="15BB53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443" w:type="pct"/>
                  <w:tcBorders>
                    <w:tl2br w:val="nil"/>
                    <w:tr2bl w:val="nil"/>
                  </w:tcBorders>
                  <w:noWrap/>
                  <w:vAlign w:val="center"/>
                </w:tcPr>
                <w:p w14:paraId="5A7834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1DAA87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FC7B8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6F3B8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39C05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D88B9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C9090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79470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r>
            <w:tr w14:paraId="34970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02888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56448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443" w:type="pct"/>
                  <w:tcBorders>
                    <w:tl2br w:val="nil"/>
                    <w:tr2bl w:val="nil"/>
                  </w:tcBorders>
                  <w:noWrap/>
                  <w:vAlign w:val="center"/>
                </w:tcPr>
                <w:p w14:paraId="6766A8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261AF0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CD022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200B2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074F87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FDF95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96D4E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82900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r>
            <w:tr w14:paraId="00A93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1" w:type="pct"/>
                  <w:vMerge w:val="continue"/>
                  <w:tcBorders>
                    <w:tl2br w:val="nil"/>
                    <w:tr2bl w:val="nil"/>
                  </w:tcBorders>
                  <w:noWrap w:val="0"/>
                  <w:vAlign w:val="center"/>
                </w:tcPr>
                <w:p w14:paraId="2A31FD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BD6D2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443" w:type="pct"/>
                  <w:tcBorders>
                    <w:tl2br w:val="nil"/>
                    <w:tr2bl w:val="nil"/>
                  </w:tcBorders>
                  <w:noWrap/>
                  <w:vAlign w:val="center"/>
                </w:tcPr>
                <w:p w14:paraId="36AF51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1BB0FB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C6A38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9F2E6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581EA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13D38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1106B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A50D1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r>
            <w:tr w14:paraId="6AADB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FAF2F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89E84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443" w:type="pct"/>
                  <w:tcBorders>
                    <w:tl2br w:val="nil"/>
                    <w:tr2bl w:val="nil"/>
                  </w:tcBorders>
                  <w:noWrap/>
                  <w:vAlign w:val="center"/>
                </w:tcPr>
                <w:p w14:paraId="4F096C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597A5B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0.0287</w:t>
                  </w:r>
                </w:p>
              </w:tc>
              <w:tc>
                <w:tcPr>
                  <w:tcW w:w="443" w:type="pct"/>
                  <w:tcBorders>
                    <w:tl2br w:val="nil"/>
                    <w:tr2bl w:val="nil"/>
                  </w:tcBorders>
                  <w:noWrap w:val="0"/>
                  <w:vAlign w:val="center"/>
                </w:tcPr>
                <w:p w14:paraId="3F8B7D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0.00005</w:t>
                  </w:r>
                </w:p>
              </w:tc>
              <w:tc>
                <w:tcPr>
                  <w:tcW w:w="390" w:type="pct"/>
                  <w:tcBorders>
                    <w:tl2br w:val="nil"/>
                    <w:tr2bl w:val="nil"/>
                  </w:tcBorders>
                  <w:noWrap w:val="0"/>
                  <w:vAlign w:val="center"/>
                </w:tcPr>
                <w:p w14:paraId="640E37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5C11E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2EEE1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0.0266</w:t>
                  </w:r>
                </w:p>
              </w:tc>
              <w:tc>
                <w:tcPr>
                  <w:tcW w:w="511" w:type="pct"/>
                  <w:tcBorders>
                    <w:tl2br w:val="nil"/>
                    <w:tr2bl w:val="nil"/>
                  </w:tcBorders>
                  <w:noWrap w:val="0"/>
                  <w:vAlign w:val="center"/>
                </w:tcPr>
                <w:p w14:paraId="2D6494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0.00004</w:t>
                  </w:r>
                </w:p>
              </w:tc>
              <w:tc>
                <w:tcPr>
                  <w:tcW w:w="313" w:type="pct"/>
                  <w:tcBorders>
                    <w:tl2br w:val="nil"/>
                    <w:tr2bl w:val="nil"/>
                  </w:tcBorders>
                  <w:noWrap w:val="0"/>
                  <w:vAlign w:val="center"/>
                </w:tcPr>
                <w:p w14:paraId="36EFE2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r>
            <w:tr w14:paraId="30F1E8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A67AE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8C2E4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反式-1，2-二氯乙烯</w:t>
                  </w:r>
                </w:p>
              </w:tc>
              <w:tc>
                <w:tcPr>
                  <w:tcW w:w="443" w:type="pct"/>
                  <w:tcBorders>
                    <w:tl2br w:val="nil"/>
                    <w:tr2bl w:val="nil"/>
                  </w:tcBorders>
                  <w:noWrap/>
                  <w:vAlign w:val="center"/>
                </w:tcPr>
                <w:p w14:paraId="79AD40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2FEE46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FE730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76B91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3E6DD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EEDFA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8DEA1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4326F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r>
            <w:tr w14:paraId="3C787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4DF83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1601C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443" w:type="pct"/>
                  <w:tcBorders>
                    <w:tl2br w:val="nil"/>
                    <w:tr2bl w:val="nil"/>
                  </w:tcBorders>
                  <w:noWrap/>
                  <w:vAlign w:val="center"/>
                </w:tcPr>
                <w:p w14:paraId="6E6502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A585A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513CE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0C1F2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582B0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4D6DE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B5D3E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E5A89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r>
            <w:tr w14:paraId="1C682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35B79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3440D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顺式-1，2-二氯乙烯</w:t>
                  </w:r>
                </w:p>
              </w:tc>
              <w:tc>
                <w:tcPr>
                  <w:tcW w:w="443" w:type="pct"/>
                  <w:tcBorders>
                    <w:tl2br w:val="nil"/>
                    <w:tr2bl w:val="nil"/>
                  </w:tcBorders>
                  <w:noWrap/>
                  <w:vAlign w:val="center"/>
                </w:tcPr>
                <w:p w14:paraId="5403B6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1076B7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96CC6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B781D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8B194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F31CA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5E5DE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EB19A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r>
            <w:tr w14:paraId="6227B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54478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6F354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443" w:type="pct"/>
                  <w:tcBorders>
                    <w:tl2br w:val="nil"/>
                    <w:tr2bl w:val="nil"/>
                  </w:tcBorders>
                  <w:noWrap/>
                  <w:vAlign w:val="center"/>
                </w:tcPr>
                <w:p w14:paraId="36FE1B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1B5A7E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0.0038</w:t>
                  </w:r>
                </w:p>
              </w:tc>
              <w:tc>
                <w:tcPr>
                  <w:tcW w:w="443" w:type="pct"/>
                  <w:tcBorders>
                    <w:tl2br w:val="nil"/>
                    <w:tr2bl w:val="nil"/>
                  </w:tcBorders>
                  <w:noWrap w:val="0"/>
                  <w:vAlign w:val="center"/>
                </w:tcPr>
                <w:p w14:paraId="1EFFD0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0.0042</w:t>
                  </w:r>
                </w:p>
              </w:tc>
              <w:tc>
                <w:tcPr>
                  <w:tcW w:w="390" w:type="pct"/>
                  <w:tcBorders>
                    <w:tl2br w:val="nil"/>
                    <w:tr2bl w:val="nil"/>
                  </w:tcBorders>
                  <w:noWrap w:val="0"/>
                  <w:vAlign w:val="center"/>
                </w:tcPr>
                <w:p w14:paraId="304D50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0.0035</w:t>
                  </w:r>
                </w:p>
              </w:tc>
              <w:tc>
                <w:tcPr>
                  <w:tcW w:w="434" w:type="pct"/>
                  <w:tcBorders>
                    <w:tl2br w:val="nil"/>
                    <w:tr2bl w:val="nil"/>
                  </w:tcBorders>
                  <w:noWrap w:val="0"/>
                  <w:vAlign w:val="center"/>
                </w:tcPr>
                <w:p w14:paraId="6A83EC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0.0039</w:t>
                  </w:r>
                </w:p>
              </w:tc>
              <w:tc>
                <w:tcPr>
                  <w:tcW w:w="426" w:type="pct"/>
                  <w:tcBorders>
                    <w:tl2br w:val="nil"/>
                    <w:tr2bl w:val="nil"/>
                  </w:tcBorders>
                  <w:noWrap w:val="0"/>
                  <w:vAlign w:val="center"/>
                </w:tcPr>
                <w:p w14:paraId="5328DA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0.0031</w:t>
                  </w:r>
                </w:p>
              </w:tc>
              <w:tc>
                <w:tcPr>
                  <w:tcW w:w="511" w:type="pct"/>
                  <w:tcBorders>
                    <w:tl2br w:val="nil"/>
                    <w:tr2bl w:val="nil"/>
                  </w:tcBorders>
                  <w:noWrap w:val="0"/>
                  <w:vAlign w:val="center"/>
                </w:tcPr>
                <w:p w14:paraId="27E292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0.0034</w:t>
                  </w:r>
                </w:p>
              </w:tc>
              <w:tc>
                <w:tcPr>
                  <w:tcW w:w="313" w:type="pct"/>
                  <w:tcBorders>
                    <w:tl2br w:val="nil"/>
                    <w:tr2bl w:val="nil"/>
                  </w:tcBorders>
                  <w:noWrap w:val="0"/>
                  <w:vAlign w:val="center"/>
                </w:tcPr>
                <w:p w14:paraId="67F803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r>
            <w:tr w14:paraId="58BC7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8495D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2212F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443" w:type="pct"/>
                  <w:tcBorders>
                    <w:tl2br w:val="nil"/>
                    <w:tr2bl w:val="nil"/>
                  </w:tcBorders>
                  <w:noWrap/>
                  <w:vAlign w:val="center"/>
                </w:tcPr>
                <w:p w14:paraId="02082A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34060A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8B1C1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F6696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A203B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3E305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D3FB4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A71F8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123C48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F13C8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4D6AE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443" w:type="pct"/>
                  <w:tcBorders>
                    <w:tl2br w:val="nil"/>
                    <w:tr2bl w:val="nil"/>
                  </w:tcBorders>
                  <w:noWrap/>
                  <w:vAlign w:val="center"/>
                </w:tcPr>
                <w:p w14:paraId="12DBF5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77B79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DEC72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79517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71773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C4850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C8FEF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8459A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37385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F18CB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80E7AD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443" w:type="pct"/>
                  <w:tcBorders>
                    <w:tl2br w:val="nil"/>
                    <w:tr2bl w:val="nil"/>
                  </w:tcBorders>
                  <w:noWrap/>
                  <w:vAlign w:val="center"/>
                </w:tcPr>
                <w:p w14:paraId="7925E3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2DBD44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4A2F7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9EED9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691E5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C9C33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4D84D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CDA06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07805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06C75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24410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443" w:type="pct"/>
                  <w:tcBorders>
                    <w:tl2br w:val="nil"/>
                    <w:tr2bl w:val="nil"/>
                  </w:tcBorders>
                  <w:noWrap/>
                  <w:vAlign w:val="center"/>
                </w:tcPr>
                <w:p w14:paraId="28F0EF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0.0019</w:t>
                  </w:r>
                </w:p>
              </w:tc>
              <w:tc>
                <w:tcPr>
                  <w:tcW w:w="463" w:type="pct"/>
                  <w:tcBorders>
                    <w:tl2br w:val="nil"/>
                    <w:tr2bl w:val="nil"/>
                  </w:tcBorders>
                  <w:noWrap w:val="0"/>
                  <w:vAlign w:val="center"/>
                </w:tcPr>
                <w:p w14:paraId="67E9AE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0E53C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1D777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3B918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C5B5E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B2CAA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49892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3D6C6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6A81C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AE0B1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443" w:type="pct"/>
                  <w:tcBorders>
                    <w:tl2br w:val="nil"/>
                    <w:tr2bl w:val="nil"/>
                  </w:tcBorders>
                  <w:noWrap/>
                  <w:vAlign w:val="center"/>
                </w:tcPr>
                <w:p w14:paraId="7C1712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E179D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C6432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29401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6D191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44025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60130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A00FF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2BF34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F855F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BFABF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443" w:type="pct"/>
                  <w:tcBorders>
                    <w:tl2br w:val="nil"/>
                    <w:tr2bl w:val="nil"/>
                  </w:tcBorders>
                  <w:noWrap/>
                  <w:vAlign w:val="center"/>
                </w:tcPr>
                <w:p w14:paraId="0898E3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744699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C5A89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1E1BC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BCEFF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16AC8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99D7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27B60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6C2E3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F07D8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0594D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443" w:type="pct"/>
                  <w:tcBorders>
                    <w:tl2br w:val="nil"/>
                    <w:tr2bl w:val="nil"/>
                  </w:tcBorders>
                  <w:noWrap/>
                  <w:vAlign w:val="center"/>
                </w:tcPr>
                <w:p w14:paraId="2B13C8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55692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2A9039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2708C2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3ED29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1AEFD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B53D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248FA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315D1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9C9FD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F2283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443" w:type="pct"/>
                  <w:tcBorders>
                    <w:tl2br w:val="nil"/>
                    <w:tr2bl w:val="nil"/>
                  </w:tcBorders>
                  <w:noWrap/>
                  <w:vAlign w:val="center"/>
                </w:tcPr>
                <w:p w14:paraId="4F7A17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00CC49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4ECB9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A8C50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AFAA6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70C54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2EE9B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6962B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143C3F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1985A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2692C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443" w:type="pct"/>
                  <w:tcBorders>
                    <w:tl2br w:val="nil"/>
                    <w:tr2bl w:val="nil"/>
                  </w:tcBorders>
                  <w:noWrap/>
                  <w:vAlign w:val="center"/>
                </w:tcPr>
                <w:p w14:paraId="36A9F6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1BD051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1C610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898D7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643DC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048D8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789E8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C56CF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r>
            <w:tr w14:paraId="583D1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E79BA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73FF2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443" w:type="pct"/>
                  <w:tcBorders>
                    <w:tl2br w:val="nil"/>
                    <w:tr2bl w:val="nil"/>
                  </w:tcBorders>
                  <w:noWrap/>
                  <w:vAlign w:val="center"/>
                </w:tcPr>
                <w:p w14:paraId="4644FE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7EE32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82D3C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B29FB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FFBE1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27E4D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159B3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ADA6E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r>
            <w:tr w14:paraId="102E5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EC3D3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872C4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443" w:type="pct"/>
                  <w:tcBorders>
                    <w:tl2br w:val="nil"/>
                    <w:tr2bl w:val="nil"/>
                  </w:tcBorders>
                  <w:noWrap/>
                  <w:vAlign w:val="center"/>
                </w:tcPr>
                <w:p w14:paraId="68060D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8AD07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18678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A58BE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F029E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BE204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789D4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B3544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05207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ADC25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0DC70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443" w:type="pct"/>
                  <w:tcBorders>
                    <w:tl2br w:val="nil"/>
                    <w:tr2bl w:val="nil"/>
                  </w:tcBorders>
                  <w:noWrap/>
                  <w:vAlign w:val="center"/>
                </w:tcPr>
                <w:p w14:paraId="12E51E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C1587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8D372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D53F9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28268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FA21B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3D896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AC04B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36257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3C40B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83EF9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对，间二甲苯</w:t>
                  </w:r>
                </w:p>
              </w:tc>
              <w:tc>
                <w:tcPr>
                  <w:tcW w:w="443" w:type="pct"/>
                  <w:tcBorders>
                    <w:tl2br w:val="nil"/>
                    <w:tr2bl w:val="nil"/>
                  </w:tcBorders>
                  <w:noWrap/>
                  <w:vAlign w:val="center"/>
                </w:tcPr>
                <w:p w14:paraId="12DF79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141008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C2EFB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7006B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FFB9F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6F13C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E9C8F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82FD2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002EA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FC146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590D5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443" w:type="pct"/>
                  <w:tcBorders>
                    <w:tl2br w:val="nil"/>
                    <w:tr2bl w:val="nil"/>
                  </w:tcBorders>
                  <w:noWrap/>
                  <w:vAlign w:val="center"/>
                </w:tcPr>
                <w:p w14:paraId="638CE6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A4940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92ADE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C64CF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65BD2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C04CD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256D9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AF2D6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6E9CC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E7CB0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DE689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443" w:type="pct"/>
                  <w:tcBorders>
                    <w:tl2br w:val="nil"/>
                    <w:tr2bl w:val="nil"/>
                  </w:tcBorders>
                  <w:noWrap/>
                  <w:vAlign w:val="center"/>
                </w:tcPr>
                <w:p w14:paraId="60B02C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512429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7D776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C5E91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2D3ED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6DD52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8B716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3255B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4F4E6F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451DE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A7C01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443" w:type="pct"/>
                  <w:tcBorders>
                    <w:tl2br w:val="nil"/>
                    <w:tr2bl w:val="nil"/>
                  </w:tcBorders>
                  <w:noWrap/>
                  <w:vAlign w:val="center"/>
                </w:tcPr>
                <w:p w14:paraId="279EAB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F134C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F2066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3C102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E686C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AF2F0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203FC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1290A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r>
            <w:tr w14:paraId="02992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F9D3F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47127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443" w:type="pct"/>
                  <w:tcBorders>
                    <w:tl2br w:val="nil"/>
                    <w:tr2bl w:val="nil"/>
                  </w:tcBorders>
                  <w:noWrap/>
                  <w:vAlign w:val="center"/>
                </w:tcPr>
                <w:p w14:paraId="6E116A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3C6BA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44186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66BE4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95218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A2B27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9F4E8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9B3D6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r>
            <w:tr w14:paraId="3F694A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5D261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EB407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443" w:type="pct"/>
                  <w:tcBorders>
                    <w:tl2br w:val="nil"/>
                    <w:tr2bl w:val="nil"/>
                  </w:tcBorders>
                  <w:noWrap/>
                  <w:vAlign w:val="center"/>
                </w:tcPr>
                <w:p w14:paraId="6F9231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784C4F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2537D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82336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C748B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68522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0F1FD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6D938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319A9F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9D594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2C566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443" w:type="pct"/>
                  <w:tcBorders>
                    <w:tl2br w:val="nil"/>
                    <w:tr2bl w:val="nil"/>
                  </w:tcBorders>
                  <w:noWrap/>
                  <w:vAlign w:val="center"/>
                </w:tcPr>
                <w:p w14:paraId="091DBC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07D34F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57CB3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30561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05533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9E5E3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9E28A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E427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54BC4E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5F44A3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c>
                <w:tcPr>
                  <w:tcW w:w="1072" w:type="pct"/>
                  <w:tcBorders>
                    <w:tl2br w:val="nil"/>
                    <w:tr2bl w:val="nil"/>
                  </w:tcBorders>
                  <w:noWrap w:val="0"/>
                  <w:vAlign w:val="center"/>
                </w:tcPr>
                <w:p w14:paraId="027840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443" w:type="pct"/>
                  <w:tcBorders>
                    <w:tl2br w:val="nil"/>
                    <w:tr2bl w:val="nil"/>
                  </w:tcBorders>
                  <w:noWrap/>
                  <w:vAlign w:val="center"/>
                </w:tcPr>
                <w:p w14:paraId="4C5D37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63" w:type="pct"/>
                  <w:tcBorders>
                    <w:tl2br w:val="nil"/>
                    <w:tr2bl w:val="nil"/>
                  </w:tcBorders>
                  <w:noWrap w:val="0"/>
                  <w:vAlign w:val="center"/>
                </w:tcPr>
                <w:p w14:paraId="40D2E2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D48A7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51555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D5AC3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7BD2F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F5A8E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7C5B8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r>
            <w:tr w14:paraId="361A5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48FB0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ADA1A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2-氯苯酚</w:t>
                  </w:r>
                </w:p>
              </w:tc>
              <w:tc>
                <w:tcPr>
                  <w:tcW w:w="443" w:type="pct"/>
                  <w:tcBorders>
                    <w:tl2br w:val="nil"/>
                    <w:tr2bl w:val="nil"/>
                  </w:tcBorders>
                  <w:noWrap/>
                  <w:vAlign w:val="center"/>
                </w:tcPr>
                <w:p w14:paraId="40E664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3" w:type="pct"/>
                  <w:tcBorders>
                    <w:tl2br w:val="nil"/>
                    <w:tr2bl w:val="nil"/>
                  </w:tcBorders>
                  <w:noWrap w:val="0"/>
                  <w:vAlign w:val="center"/>
                </w:tcPr>
                <w:p w14:paraId="2F2608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2E05A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339F8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9F3AA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063F4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17DCD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204B8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r>
            <w:tr w14:paraId="59D7F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F5FA8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B92AB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443" w:type="pct"/>
                  <w:tcBorders>
                    <w:tl2br w:val="nil"/>
                    <w:tr2bl w:val="nil"/>
                  </w:tcBorders>
                  <w:noWrap/>
                  <w:vAlign w:val="center"/>
                </w:tcPr>
                <w:p w14:paraId="128E0E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13FED2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ABC38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1F398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BBB3A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769FA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B3F13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5F56F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0B9E9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B1361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2C11B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443" w:type="pct"/>
                  <w:tcBorders>
                    <w:tl2br w:val="nil"/>
                    <w:tr2bl w:val="nil"/>
                  </w:tcBorders>
                  <w:noWrap/>
                  <w:vAlign w:val="center"/>
                </w:tcPr>
                <w:p w14:paraId="45D74A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1F4910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80AD0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E0284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76A30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F71FA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7FF1C3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82E87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r>
            <w:tr w14:paraId="6FF287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ABFA6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A1B5A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443" w:type="pct"/>
                  <w:tcBorders>
                    <w:tl2br w:val="nil"/>
                    <w:tr2bl w:val="nil"/>
                  </w:tcBorders>
                  <w:noWrap/>
                  <w:vAlign w:val="center"/>
                </w:tcPr>
                <w:p w14:paraId="18FD55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0C5B4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BFA23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583EC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8FBFA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6B68A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280614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63050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348A7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BBC5B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B1012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443" w:type="pct"/>
                  <w:tcBorders>
                    <w:tl2br w:val="nil"/>
                    <w:tr2bl w:val="nil"/>
                  </w:tcBorders>
                  <w:noWrap/>
                  <w:vAlign w:val="center"/>
                </w:tcPr>
                <w:p w14:paraId="0DCA99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6A1C8F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24EB6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BB963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D05EE8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D19F3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B07C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84BD4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r>
            <w:tr w14:paraId="240CC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44A62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41C43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443" w:type="pct"/>
                  <w:tcBorders>
                    <w:tl2br w:val="nil"/>
                    <w:tr2bl w:val="nil"/>
                  </w:tcBorders>
                  <w:noWrap/>
                  <w:vAlign w:val="center"/>
                </w:tcPr>
                <w:p w14:paraId="072768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463" w:type="pct"/>
                  <w:tcBorders>
                    <w:tl2br w:val="nil"/>
                    <w:tr2bl w:val="nil"/>
                  </w:tcBorders>
                  <w:noWrap w:val="0"/>
                  <w:vAlign w:val="center"/>
                </w:tcPr>
                <w:p w14:paraId="0F28A1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59CDB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3DB7B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651CD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F5660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DFF8E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6895D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76DB0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AFA88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FD0F0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443" w:type="pct"/>
                  <w:tcBorders>
                    <w:tl2br w:val="nil"/>
                    <w:tr2bl w:val="nil"/>
                  </w:tcBorders>
                  <w:noWrap/>
                  <w:vAlign w:val="center"/>
                </w:tcPr>
                <w:p w14:paraId="3FBA01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0ABFF6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E90D7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98532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6370D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83C08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33CCA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A8407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2E04BE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382C4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B92A4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443" w:type="pct"/>
                  <w:tcBorders>
                    <w:tl2br w:val="nil"/>
                    <w:tr2bl w:val="nil"/>
                  </w:tcBorders>
                  <w:noWrap/>
                  <w:vAlign w:val="center"/>
                </w:tcPr>
                <w:p w14:paraId="7E9660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7A0E4D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DD525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C062B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5A18B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3B755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A9268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F1B9C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6E9223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4DE0C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E022C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443" w:type="pct"/>
                  <w:tcBorders>
                    <w:tl2br w:val="nil"/>
                    <w:tr2bl w:val="nil"/>
                  </w:tcBorders>
                  <w:noWrap/>
                  <w:vAlign w:val="center"/>
                </w:tcPr>
                <w:p w14:paraId="066233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3978E1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76322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415A7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CA6C0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435D0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EFC30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EA54C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232D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CFBCF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19DFA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443" w:type="pct"/>
                  <w:tcBorders>
                    <w:tl2br w:val="nil"/>
                    <w:tr2bl w:val="nil"/>
                  </w:tcBorders>
                  <w:noWrap/>
                  <w:vAlign w:val="center"/>
                </w:tcPr>
                <w:p w14:paraId="3FE276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78549C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59CF3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BBB6B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FC154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87A5D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73C75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4A771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47D72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tcBorders>
                    <w:tl2br w:val="nil"/>
                    <w:tr2bl w:val="nil"/>
                  </w:tcBorders>
                  <w:noWrap w:val="0"/>
                  <w:vAlign w:val="center"/>
                </w:tcPr>
                <w:p w14:paraId="1278BA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石油烃类</w:t>
                  </w:r>
                </w:p>
              </w:tc>
              <w:tc>
                <w:tcPr>
                  <w:tcW w:w="1072" w:type="pct"/>
                  <w:tcBorders>
                    <w:tl2br w:val="nil"/>
                    <w:tr2bl w:val="nil"/>
                  </w:tcBorders>
                  <w:noWrap w:val="0"/>
                  <w:vAlign w:val="center"/>
                </w:tcPr>
                <w:p w14:paraId="44EDE1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石油烃（C</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vertAlign w:val="subscript"/>
                    </w:rPr>
                    <w:t>40</w:t>
                  </w:r>
                  <w:r>
                    <w:rPr>
                      <w:rFonts w:hint="default" w:ascii="Times New Roman" w:hAnsi="Times New Roman" w:eastAsia="宋体" w:cs="Times New Roman"/>
                      <w:color w:val="auto"/>
                      <w:sz w:val="18"/>
                      <w:szCs w:val="18"/>
                    </w:rPr>
                    <w:t>）</w:t>
                  </w:r>
                </w:p>
              </w:tc>
              <w:tc>
                <w:tcPr>
                  <w:tcW w:w="443" w:type="pct"/>
                  <w:tcBorders>
                    <w:tl2br w:val="nil"/>
                    <w:tr2bl w:val="nil"/>
                  </w:tcBorders>
                  <w:noWrap/>
                  <w:vAlign w:val="center"/>
                </w:tcPr>
                <w:p w14:paraId="7EB8B4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63" w:type="pct"/>
                  <w:tcBorders>
                    <w:tl2br w:val="nil"/>
                    <w:tr2bl w:val="nil"/>
                  </w:tcBorders>
                  <w:noWrap w:val="0"/>
                  <w:vAlign w:val="center"/>
                </w:tcPr>
                <w:p w14:paraId="7815BF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443" w:type="pct"/>
                  <w:tcBorders>
                    <w:tl2br w:val="nil"/>
                    <w:tr2bl w:val="nil"/>
                  </w:tcBorders>
                  <w:noWrap w:val="0"/>
                  <w:vAlign w:val="center"/>
                </w:tcPr>
                <w:p w14:paraId="6DCB7E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0.0047</w:t>
                  </w:r>
                </w:p>
              </w:tc>
              <w:tc>
                <w:tcPr>
                  <w:tcW w:w="390" w:type="pct"/>
                  <w:tcBorders>
                    <w:tl2br w:val="nil"/>
                    <w:tr2bl w:val="nil"/>
                  </w:tcBorders>
                  <w:noWrap w:val="0"/>
                  <w:vAlign w:val="center"/>
                </w:tcPr>
                <w:p w14:paraId="49561E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c>
                <w:tcPr>
                  <w:tcW w:w="434" w:type="pct"/>
                  <w:tcBorders>
                    <w:tl2br w:val="nil"/>
                    <w:tr2bl w:val="nil"/>
                  </w:tcBorders>
                  <w:noWrap w:val="0"/>
                  <w:vAlign w:val="center"/>
                </w:tcPr>
                <w:p w14:paraId="53FDEF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0.0127</w:t>
                  </w:r>
                </w:p>
              </w:tc>
              <w:tc>
                <w:tcPr>
                  <w:tcW w:w="426" w:type="pct"/>
                  <w:tcBorders>
                    <w:tl2br w:val="nil"/>
                    <w:tr2bl w:val="nil"/>
                  </w:tcBorders>
                  <w:noWrap w:val="0"/>
                  <w:vAlign w:val="center"/>
                </w:tcPr>
                <w:p w14:paraId="1290E9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tc>
              <w:tc>
                <w:tcPr>
                  <w:tcW w:w="511" w:type="pct"/>
                  <w:tcBorders>
                    <w:tl2br w:val="nil"/>
                    <w:tr2bl w:val="nil"/>
                  </w:tcBorders>
                  <w:noWrap w:val="0"/>
                  <w:vAlign w:val="center"/>
                </w:tcPr>
                <w:p w14:paraId="579AE7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0.0053</w:t>
                  </w:r>
                </w:p>
              </w:tc>
              <w:tc>
                <w:tcPr>
                  <w:tcW w:w="313" w:type="pct"/>
                  <w:tcBorders>
                    <w:tl2br w:val="nil"/>
                    <w:tr2bl w:val="nil"/>
                  </w:tcBorders>
                  <w:noWrap w:val="0"/>
                  <w:vAlign w:val="center"/>
                </w:tcPr>
                <w:p w14:paraId="2D9825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r w14:paraId="5BAC4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restart"/>
                  <w:tcBorders>
                    <w:tl2br w:val="nil"/>
                    <w:tr2bl w:val="nil"/>
                  </w:tcBorders>
                  <w:noWrap w:val="0"/>
                  <w:vAlign w:val="center"/>
                </w:tcPr>
                <w:p w14:paraId="5B95C4B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监测点位</w:t>
                  </w:r>
                </w:p>
              </w:tc>
              <w:tc>
                <w:tcPr>
                  <w:tcW w:w="443" w:type="pct"/>
                  <w:vMerge w:val="restart"/>
                  <w:tcBorders>
                    <w:tl2br w:val="nil"/>
                    <w:tr2bl w:val="nil"/>
                  </w:tcBorders>
                  <w:noWrap w:val="0"/>
                  <w:vAlign w:val="center"/>
                </w:tcPr>
                <w:p w14:paraId="4EF56E39">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检出限</w:t>
                  </w:r>
                </w:p>
              </w:tc>
              <w:tc>
                <w:tcPr>
                  <w:tcW w:w="2669" w:type="pct"/>
                  <w:gridSpan w:val="6"/>
                  <w:tcBorders>
                    <w:tl2br w:val="nil"/>
                    <w:tr2bl w:val="nil"/>
                  </w:tcBorders>
                  <w:noWrap w:val="0"/>
                  <w:vAlign w:val="center"/>
                </w:tcPr>
                <w:p w14:paraId="004C722B">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厂区内T2洗车站东侧</w:t>
                  </w:r>
                </w:p>
              </w:tc>
              <w:tc>
                <w:tcPr>
                  <w:tcW w:w="313" w:type="pct"/>
                  <w:vMerge w:val="restart"/>
                  <w:tcBorders>
                    <w:tl2br w:val="nil"/>
                    <w:tr2bl w:val="nil"/>
                  </w:tcBorders>
                  <w:noWrap w:val="0"/>
                  <w:vAlign w:val="center"/>
                </w:tcPr>
                <w:p w14:paraId="26356E0A">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筛选值</w:t>
                  </w:r>
                </w:p>
              </w:tc>
            </w:tr>
            <w:tr w14:paraId="18644B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continue"/>
                  <w:tcBorders>
                    <w:tl2br w:val="nil"/>
                    <w:tr2bl w:val="nil"/>
                  </w:tcBorders>
                  <w:noWrap w:val="0"/>
                  <w:vAlign w:val="center"/>
                </w:tcPr>
                <w:p w14:paraId="7AD389E8">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43" w:type="pct"/>
                  <w:vMerge w:val="continue"/>
                  <w:tcBorders>
                    <w:tl2br w:val="nil"/>
                    <w:tr2bl w:val="nil"/>
                  </w:tcBorders>
                  <w:noWrap w:val="0"/>
                  <w:vAlign w:val="center"/>
                </w:tcPr>
                <w:p w14:paraId="33C06E74">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907" w:type="pct"/>
                  <w:gridSpan w:val="2"/>
                  <w:tcBorders>
                    <w:tl2br w:val="nil"/>
                    <w:tr2bl w:val="nil"/>
                  </w:tcBorders>
                  <w:noWrap w:val="0"/>
                  <w:vAlign w:val="center"/>
                </w:tcPr>
                <w:p w14:paraId="34D1D9E9">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0-0.5m</w:t>
                  </w:r>
                </w:p>
              </w:tc>
              <w:tc>
                <w:tcPr>
                  <w:tcW w:w="824" w:type="pct"/>
                  <w:gridSpan w:val="2"/>
                  <w:tcBorders>
                    <w:tl2br w:val="nil"/>
                    <w:tr2bl w:val="nil"/>
                  </w:tcBorders>
                  <w:noWrap w:val="0"/>
                  <w:vAlign w:val="center"/>
                </w:tcPr>
                <w:p w14:paraId="3F9D68D0">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0.5-1.5m</w:t>
                  </w:r>
                </w:p>
              </w:tc>
              <w:tc>
                <w:tcPr>
                  <w:tcW w:w="937" w:type="pct"/>
                  <w:gridSpan w:val="2"/>
                  <w:tcBorders>
                    <w:tl2br w:val="nil"/>
                    <w:tr2bl w:val="nil"/>
                  </w:tcBorders>
                  <w:noWrap w:val="0"/>
                  <w:vAlign w:val="center"/>
                </w:tcPr>
                <w:p w14:paraId="76B986CA">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1.5-3.0m</w:t>
                  </w:r>
                </w:p>
              </w:tc>
              <w:tc>
                <w:tcPr>
                  <w:tcW w:w="313" w:type="pct"/>
                  <w:vMerge w:val="continue"/>
                  <w:tcBorders>
                    <w:tl2br w:val="nil"/>
                    <w:tr2bl w:val="nil"/>
                  </w:tcBorders>
                  <w:noWrap w:val="0"/>
                  <w:vAlign w:val="center"/>
                </w:tcPr>
                <w:p w14:paraId="6FDD349A">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37841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tcBorders>
                    <w:tl2br w:val="nil"/>
                    <w:tr2bl w:val="nil"/>
                  </w:tcBorders>
                  <w:noWrap w:val="0"/>
                  <w:vAlign w:val="center"/>
                </w:tcPr>
                <w:p w14:paraId="13176E0C">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监测项目</w:t>
                  </w:r>
                </w:p>
              </w:tc>
              <w:tc>
                <w:tcPr>
                  <w:tcW w:w="443" w:type="pct"/>
                  <w:vMerge w:val="continue"/>
                  <w:tcBorders>
                    <w:tl2br w:val="nil"/>
                    <w:tr2bl w:val="nil"/>
                  </w:tcBorders>
                  <w:noWrap w:val="0"/>
                  <w:vAlign w:val="center"/>
                </w:tcPr>
                <w:p w14:paraId="4A6A2450">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63" w:type="pct"/>
                  <w:tcBorders>
                    <w:tl2br w:val="nil"/>
                    <w:tr2bl w:val="nil"/>
                  </w:tcBorders>
                  <w:noWrap w:val="0"/>
                  <w:vAlign w:val="center"/>
                </w:tcPr>
                <w:p w14:paraId="2EFE9005">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43" w:type="pct"/>
                  <w:tcBorders>
                    <w:tl2br w:val="nil"/>
                    <w:tr2bl w:val="nil"/>
                  </w:tcBorders>
                  <w:noWrap w:val="0"/>
                  <w:vAlign w:val="center"/>
                </w:tcPr>
                <w:p w14:paraId="1309EC2D">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90" w:type="pct"/>
                  <w:tcBorders>
                    <w:tl2br w:val="nil"/>
                    <w:tr2bl w:val="nil"/>
                  </w:tcBorders>
                  <w:noWrap w:val="0"/>
                  <w:vAlign w:val="center"/>
                </w:tcPr>
                <w:p w14:paraId="53CE2855">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34" w:type="pct"/>
                  <w:tcBorders>
                    <w:tl2br w:val="nil"/>
                    <w:tr2bl w:val="nil"/>
                  </w:tcBorders>
                  <w:noWrap w:val="0"/>
                  <w:vAlign w:val="center"/>
                </w:tcPr>
                <w:p w14:paraId="48E56FD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426" w:type="pct"/>
                  <w:tcBorders>
                    <w:tl2br w:val="nil"/>
                    <w:tr2bl w:val="nil"/>
                  </w:tcBorders>
                  <w:noWrap w:val="0"/>
                  <w:vAlign w:val="center"/>
                </w:tcPr>
                <w:p w14:paraId="462E2526">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511" w:type="pct"/>
                  <w:tcBorders>
                    <w:tl2br w:val="nil"/>
                    <w:tr2bl w:val="nil"/>
                  </w:tcBorders>
                  <w:noWrap w:val="0"/>
                  <w:vAlign w:val="center"/>
                </w:tcPr>
                <w:p w14:paraId="4106D816">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13" w:type="pct"/>
                  <w:vMerge w:val="continue"/>
                  <w:tcBorders>
                    <w:tl2br w:val="nil"/>
                    <w:tr2bl w:val="nil"/>
                  </w:tcBorders>
                  <w:noWrap w:val="0"/>
                  <w:vAlign w:val="center"/>
                </w:tcPr>
                <w:p w14:paraId="32DC3BBB">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590CC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2A4A0A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c>
                <w:tcPr>
                  <w:tcW w:w="1072" w:type="pct"/>
                  <w:tcBorders>
                    <w:tl2br w:val="nil"/>
                    <w:tr2bl w:val="nil"/>
                  </w:tcBorders>
                  <w:noWrap w:val="0"/>
                  <w:vAlign w:val="center"/>
                </w:tcPr>
                <w:p w14:paraId="0E3FD8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443" w:type="pct"/>
                  <w:tcBorders>
                    <w:tl2br w:val="nil"/>
                    <w:tr2bl w:val="nil"/>
                  </w:tcBorders>
                  <w:noWrap w:val="0"/>
                  <w:vAlign w:val="center"/>
                </w:tcPr>
                <w:p w14:paraId="5BBEC7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63" w:type="pct"/>
                  <w:tcBorders>
                    <w:tl2br w:val="nil"/>
                    <w:tr2bl w:val="nil"/>
                  </w:tcBorders>
                  <w:noWrap w:val="0"/>
                  <w:vAlign w:val="center"/>
                </w:tcPr>
                <w:p w14:paraId="5187DA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7.47</w:t>
                  </w:r>
                </w:p>
              </w:tc>
              <w:tc>
                <w:tcPr>
                  <w:tcW w:w="443" w:type="pct"/>
                  <w:tcBorders>
                    <w:tl2br w:val="nil"/>
                    <w:tr2bl w:val="nil"/>
                  </w:tcBorders>
                  <w:noWrap w:val="0"/>
                  <w:vAlign w:val="center"/>
                </w:tcPr>
                <w:p w14:paraId="388C64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268B7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8.52</w:t>
                  </w:r>
                </w:p>
              </w:tc>
              <w:tc>
                <w:tcPr>
                  <w:tcW w:w="434" w:type="pct"/>
                  <w:tcBorders>
                    <w:tl2br w:val="nil"/>
                    <w:tr2bl w:val="nil"/>
                  </w:tcBorders>
                  <w:noWrap w:val="0"/>
                  <w:vAlign w:val="center"/>
                </w:tcPr>
                <w:p w14:paraId="32C00A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1583F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8.74</w:t>
                  </w:r>
                </w:p>
              </w:tc>
              <w:tc>
                <w:tcPr>
                  <w:tcW w:w="511" w:type="pct"/>
                  <w:tcBorders>
                    <w:tl2br w:val="nil"/>
                    <w:tr2bl w:val="nil"/>
                  </w:tcBorders>
                  <w:noWrap w:val="0"/>
                  <w:vAlign w:val="center"/>
                </w:tcPr>
                <w:p w14:paraId="0260A9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ign w:val="center"/>
                </w:tcPr>
                <w:p w14:paraId="7B11BD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3DC49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4FE33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D239F7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43" w:type="pct"/>
                  <w:tcBorders>
                    <w:tl2br w:val="nil"/>
                    <w:tr2bl w:val="nil"/>
                  </w:tcBorders>
                  <w:noWrap w:val="0"/>
                  <w:vAlign w:val="center"/>
                </w:tcPr>
                <w:p w14:paraId="05D07C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12CF0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20.6</w:t>
                  </w:r>
                </w:p>
              </w:tc>
              <w:tc>
                <w:tcPr>
                  <w:tcW w:w="443" w:type="pct"/>
                  <w:tcBorders>
                    <w:tl2br w:val="nil"/>
                    <w:tr2bl w:val="nil"/>
                  </w:tcBorders>
                  <w:noWrap w:val="0"/>
                  <w:vAlign w:val="center"/>
                </w:tcPr>
                <w:p w14:paraId="539527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0.3433</w:t>
                  </w:r>
                </w:p>
              </w:tc>
              <w:tc>
                <w:tcPr>
                  <w:tcW w:w="390" w:type="pct"/>
                  <w:tcBorders>
                    <w:tl2br w:val="nil"/>
                    <w:tr2bl w:val="nil"/>
                  </w:tcBorders>
                  <w:noWrap w:val="0"/>
                  <w:vAlign w:val="center"/>
                </w:tcPr>
                <w:p w14:paraId="42A743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15.1</w:t>
                  </w:r>
                </w:p>
              </w:tc>
              <w:tc>
                <w:tcPr>
                  <w:tcW w:w="434" w:type="pct"/>
                  <w:tcBorders>
                    <w:tl2br w:val="nil"/>
                    <w:tr2bl w:val="nil"/>
                  </w:tcBorders>
                  <w:noWrap w:val="0"/>
                  <w:vAlign w:val="center"/>
                </w:tcPr>
                <w:p w14:paraId="05CC4B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0.2517</w:t>
                  </w:r>
                </w:p>
              </w:tc>
              <w:tc>
                <w:tcPr>
                  <w:tcW w:w="426" w:type="pct"/>
                  <w:tcBorders>
                    <w:tl2br w:val="nil"/>
                    <w:tr2bl w:val="nil"/>
                  </w:tcBorders>
                  <w:noWrap w:val="0"/>
                  <w:vAlign w:val="center"/>
                </w:tcPr>
                <w:p w14:paraId="41897F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18.1</w:t>
                  </w:r>
                </w:p>
              </w:tc>
              <w:tc>
                <w:tcPr>
                  <w:tcW w:w="511" w:type="pct"/>
                  <w:tcBorders>
                    <w:tl2br w:val="nil"/>
                    <w:tr2bl w:val="nil"/>
                  </w:tcBorders>
                  <w:noWrap w:val="0"/>
                  <w:vAlign w:val="center"/>
                </w:tcPr>
                <w:p w14:paraId="0BEDA4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0.3017</w:t>
                  </w:r>
                </w:p>
              </w:tc>
              <w:tc>
                <w:tcPr>
                  <w:tcW w:w="313" w:type="pct"/>
                  <w:tcBorders>
                    <w:tl2br w:val="nil"/>
                    <w:tr2bl w:val="nil"/>
                  </w:tcBorders>
                  <w:noWrap w:val="0"/>
                  <w:vAlign w:val="center"/>
                </w:tcPr>
                <w:p w14:paraId="4D6836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r>
            <w:tr w14:paraId="7E7AC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ECBAD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96EAD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43" w:type="pct"/>
                  <w:tcBorders>
                    <w:tl2br w:val="nil"/>
                    <w:tr2bl w:val="nil"/>
                  </w:tcBorders>
                  <w:noWrap w:val="0"/>
                  <w:vAlign w:val="center"/>
                </w:tcPr>
                <w:p w14:paraId="7A0996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41F9D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0.19</w:t>
                  </w:r>
                </w:p>
              </w:tc>
              <w:tc>
                <w:tcPr>
                  <w:tcW w:w="443" w:type="pct"/>
                  <w:tcBorders>
                    <w:tl2br w:val="nil"/>
                    <w:tr2bl w:val="nil"/>
                  </w:tcBorders>
                  <w:noWrap w:val="0"/>
                  <w:vAlign w:val="center"/>
                </w:tcPr>
                <w:p w14:paraId="7E0DDD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0.0029</w:t>
                  </w:r>
                </w:p>
              </w:tc>
              <w:tc>
                <w:tcPr>
                  <w:tcW w:w="390" w:type="pct"/>
                  <w:tcBorders>
                    <w:tl2br w:val="nil"/>
                    <w:tr2bl w:val="nil"/>
                  </w:tcBorders>
                  <w:noWrap w:val="0"/>
                  <w:vAlign w:val="center"/>
                </w:tcPr>
                <w:p w14:paraId="25DC42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0.12</w:t>
                  </w:r>
                </w:p>
              </w:tc>
              <w:tc>
                <w:tcPr>
                  <w:tcW w:w="434" w:type="pct"/>
                  <w:tcBorders>
                    <w:tl2br w:val="nil"/>
                    <w:tr2bl w:val="nil"/>
                  </w:tcBorders>
                  <w:noWrap w:val="0"/>
                  <w:vAlign w:val="center"/>
                </w:tcPr>
                <w:p w14:paraId="245CBE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0.0018</w:t>
                  </w:r>
                </w:p>
              </w:tc>
              <w:tc>
                <w:tcPr>
                  <w:tcW w:w="426" w:type="pct"/>
                  <w:tcBorders>
                    <w:tl2br w:val="nil"/>
                    <w:tr2bl w:val="nil"/>
                  </w:tcBorders>
                  <w:noWrap w:val="0"/>
                  <w:vAlign w:val="center"/>
                </w:tcPr>
                <w:p w14:paraId="1EF7E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0.18</w:t>
                  </w:r>
                </w:p>
              </w:tc>
              <w:tc>
                <w:tcPr>
                  <w:tcW w:w="511" w:type="pct"/>
                  <w:tcBorders>
                    <w:tl2br w:val="nil"/>
                    <w:tr2bl w:val="nil"/>
                  </w:tcBorders>
                  <w:noWrap w:val="0"/>
                  <w:vAlign w:val="center"/>
                </w:tcPr>
                <w:p w14:paraId="17684A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0.0028</w:t>
                  </w:r>
                </w:p>
              </w:tc>
              <w:tc>
                <w:tcPr>
                  <w:tcW w:w="313" w:type="pct"/>
                  <w:tcBorders>
                    <w:tl2br w:val="nil"/>
                    <w:tr2bl w:val="nil"/>
                  </w:tcBorders>
                  <w:noWrap w:val="0"/>
                  <w:vAlign w:val="center"/>
                </w:tcPr>
                <w:p w14:paraId="1B4821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r>
            <w:tr w14:paraId="0D8074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0535A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11996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43" w:type="pct"/>
                  <w:tcBorders>
                    <w:tl2br w:val="nil"/>
                    <w:tr2bl w:val="nil"/>
                  </w:tcBorders>
                  <w:noWrap w:val="0"/>
                  <w:vAlign w:val="center"/>
                </w:tcPr>
                <w:p w14:paraId="5C1AD6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63" w:type="pct"/>
                  <w:tcBorders>
                    <w:tl2br w:val="nil"/>
                    <w:tr2bl w:val="nil"/>
                  </w:tcBorders>
                  <w:noWrap w:val="0"/>
                  <w:vAlign w:val="center"/>
                </w:tcPr>
                <w:p w14:paraId="677054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23</w:t>
                  </w:r>
                </w:p>
              </w:tc>
              <w:tc>
                <w:tcPr>
                  <w:tcW w:w="443" w:type="pct"/>
                  <w:tcBorders>
                    <w:tl2br w:val="nil"/>
                    <w:tr2bl w:val="nil"/>
                  </w:tcBorders>
                  <w:noWrap w:val="0"/>
                  <w:vAlign w:val="center"/>
                </w:tcPr>
                <w:p w14:paraId="5CB9BF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0.0013</w:t>
                  </w:r>
                </w:p>
              </w:tc>
              <w:tc>
                <w:tcPr>
                  <w:tcW w:w="390" w:type="pct"/>
                  <w:tcBorders>
                    <w:tl2br w:val="nil"/>
                    <w:tr2bl w:val="nil"/>
                  </w:tcBorders>
                  <w:noWrap w:val="0"/>
                  <w:vAlign w:val="center"/>
                </w:tcPr>
                <w:p w14:paraId="786EF59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24</w:t>
                  </w:r>
                </w:p>
              </w:tc>
              <w:tc>
                <w:tcPr>
                  <w:tcW w:w="434" w:type="pct"/>
                  <w:tcBorders>
                    <w:tl2br w:val="nil"/>
                    <w:tr2bl w:val="nil"/>
                  </w:tcBorders>
                  <w:noWrap w:val="0"/>
                  <w:vAlign w:val="center"/>
                </w:tcPr>
                <w:p w14:paraId="23E111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0.0013</w:t>
                  </w:r>
                </w:p>
              </w:tc>
              <w:tc>
                <w:tcPr>
                  <w:tcW w:w="426" w:type="pct"/>
                  <w:tcBorders>
                    <w:tl2br w:val="nil"/>
                    <w:tr2bl w:val="nil"/>
                  </w:tcBorders>
                  <w:noWrap w:val="0"/>
                  <w:vAlign w:val="center"/>
                </w:tcPr>
                <w:p w14:paraId="1A4B81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36</w:t>
                  </w:r>
                </w:p>
              </w:tc>
              <w:tc>
                <w:tcPr>
                  <w:tcW w:w="511" w:type="pct"/>
                  <w:tcBorders>
                    <w:tl2br w:val="nil"/>
                    <w:tr2bl w:val="nil"/>
                  </w:tcBorders>
                  <w:noWrap w:val="0"/>
                  <w:vAlign w:val="center"/>
                </w:tcPr>
                <w:p w14:paraId="5F681B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0.0020</w:t>
                  </w:r>
                </w:p>
              </w:tc>
              <w:tc>
                <w:tcPr>
                  <w:tcW w:w="313" w:type="pct"/>
                  <w:tcBorders>
                    <w:tl2br w:val="nil"/>
                    <w:tr2bl w:val="nil"/>
                  </w:tcBorders>
                  <w:noWrap w:val="0"/>
                  <w:vAlign w:val="center"/>
                </w:tcPr>
                <w:p w14:paraId="32E475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r>
            <w:tr w14:paraId="71D44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D3A51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17DAA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43" w:type="pct"/>
                  <w:tcBorders>
                    <w:tl2br w:val="nil"/>
                    <w:tr2bl w:val="nil"/>
                  </w:tcBorders>
                  <w:noWrap w:val="0"/>
                  <w:vAlign w:val="center"/>
                </w:tcPr>
                <w:p w14:paraId="12E198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63" w:type="pct"/>
                  <w:tcBorders>
                    <w:tl2br w:val="nil"/>
                    <w:tr2bl w:val="nil"/>
                  </w:tcBorders>
                  <w:noWrap w:val="0"/>
                  <w:vAlign w:val="center"/>
                </w:tcPr>
                <w:p w14:paraId="41CDE4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8.1</w:t>
                  </w:r>
                </w:p>
              </w:tc>
              <w:tc>
                <w:tcPr>
                  <w:tcW w:w="443" w:type="pct"/>
                  <w:tcBorders>
                    <w:tl2br w:val="nil"/>
                    <w:tr2bl w:val="nil"/>
                  </w:tcBorders>
                  <w:noWrap w:val="0"/>
                  <w:vAlign w:val="center"/>
                </w:tcPr>
                <w:p w14:paraId="09144B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0.0101</w:t>
                  </w:r>
                </w:p>
              </w:tc>
              <w:tc>
                <w:tcPr>
                  <w:tcW w:w="390" w:type="pct"/>
                  <w:tcBorders>
                    <w:tl2br w:val="nil"/>
                    <w:tr2bl w:val="nil"/>
                  </w:tcBorders>
                  <w:noWrap w:val="0"/>
                  <w:vAlign w:val="center"/>
                </w:tcPr>
                <w:p w14:paraId="18ADF4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5.9</w:t>
                  </w:r>
                </w:p>
              </w:tc>
              <w:tc>
                <w:tcPr>
                  <w:tcW w:w="434" w:type="pct"/>
                  <w:tcBorders>
                    <w:tl2br w:val="nil"/>
                    <w:tr2bl w:val="nil"/>
                  </w:tcBorders>
                  <w:noWrap w:val="0"/>
                  <w:vAlign w:val="center"/>
                </w:tcPr>
                <w:p w14:paraId="26FFBA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0.0074</w:t>
                  </w:r>
                </w:p>
              </w:tc>
              <w:tc>
                <w:tcPr>
                  <w:tcW w:w="426" w:type="pct"/>
                  <w:tcBorders>
                    <w:tl2br w:val="nil"/>
                    <w:tr2bl w:val="nil"/>
                  </w:tcBorders>
                  <w:noWrap w:val="0"/>
                  <w:vAlign w:val="center"/>
                </w:tcPr>
                <w:p w14:paraId="46ACA8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6.7</w:t>
                  </w:r>
                </w:p>
              </w:tc>
              <w:tc>
                <w:tcPr>
                  <w:tcW w:w="511" w:type="pct"/>
                  <w:tcBorders>
                    <w:tl2br w:val="nil"/>
                    <w:tr2bl w:val="nil"/>
                  </w:tcBorders>
                  <w:noWrap w:val="0"/>
                  <w:vAlign w:val="center"/>
                </w:tcPr>
                <w:p w14:paraId="794D5C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0.0084</w:t>
                  </w:r>
                </w:p>
              </w:tc>
              <w:tc>
                <w:tcPr>
                  <w:tcW w:w="313" w:type="pct"/>
                  <w:tcBorders>
                    <w:tl2br w:val="nil"/>
                    <w:tr2bl w:val="nil"/>
                  </w:tcBorders>
                  <w:noWrap w:val="0"/>
                  <w:vAlign w:val="center"/>
                </w:tcPr>
                <w:p w14:paraId="428942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r>
            <w:tr w14:paraId="1750B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3360B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90603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43" w:type="pct"/>
                  <w:tcBorders>
                    <w:tl2br w:val="nil"/>
                    <w:tr2bl w:val="nil"/>
                  </w:tcBorders>
                  <w:noWrap w:val="0"/>
                  <w:vAlign w:val="center"/>
                </w:tcPr>
                <w:p w14:paraId="6C681F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63" w:type="pct"/>
                  <w:tcBorders>
                    <w:tl2br w:val="nil"/>
                    <w:tr2bl w:val="nil"/>
                  </w:tcBorders>
                  <w:noWrap w:val="0"/>
                  <w:vAlign w:val="center"/>
                </w:tcPr>
                <w:p w14:paraId="200C61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0.095</w:t>
                  </w:r>
                </w:p>
              </w:tc>
              <w:tc>
                <w:tcPr>
                  <w:tcW w:w="443" w:type="pct"/>
                  <w:tcBorders>
                    <w:tl2br w:val="nil"/>
                    <w:tr2bl w:val="nil"/>
                  </w:tcBorders>
                  <w:noWrap w:val="0"/>
                  <w:vAlign w:val="center"/>
                </w:tcPr>
                <w:p w14:paraId="74F5CA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0.0025</w:t>
                  </w:r>
                </w:p>
              </w:tc>
              <w:tc>
                <w:tcPr>
                  <w:tcW w:w="390" w:type="pct"/>
                  <w:tcBorders>
                    <w:tl2br w:val="nil"/>
                    <w:tr2bl w:val="nil"/>
                  </w:tcBorders>
                  <w:noWrap w:val="0"/>
                  <w:vAlign w:val="center"/>
                </w:tcPr>
                <w:p w14:paraId="02C31C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0.145</w:t>
                  </w:r>
                </w:p>
              </w:tc>
              <w:tc>
                <w:tcPr>
                  <w:tcW w:w="434" w:type="pct"/>
                  <w:tcBorders>
                    <w:tl2br w:val="nil"/>
                    <w:tr2bl w:val="nil"/>
                  </w:tcBorders>
                  <w:noWrap w:val="0"/>
                  <w:vAlign w:val="center"/>
                </w:tcPr>
                <w:p w14:paraId="016311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0.0038</w:t>
                  </w:r>
                </w:p>
              </w:tc>
              <w:tc>
                <w:tcPr>
                  <w:tcW w:w="426" w:type="pct"/>
                  <w:tcBorders>
                    <w:tl2br w:val="nil"/>
                    <w:tr2bl w:val="nil"/>
                  </w:tcBorders>
                  <w:noWrap w:val="0"/>
                  <w:vAlign w:val="center"/>
                </w:tcPr>
                <w:p w14:paraId="767A65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0.159</w:t>
                  </w:r>
                </w:p>
              </w:tc>
              <w:tc>
                <w:tcPr>
                  <w:tcW w:w="511" w:type="pct"/>
                  <w:tcBorders>
                    <w:tl2br w:val="nil"/>
                    <w:tr2bl w:val="nil"/>
                  </w:tcBorders>
                  <w:noWrap w:val="0"/>
                  <w:vAlign w:val="center"/>
                </w:tcPr>
                <w:p w14:paraId="1F5812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0.0042</w:t>
                  </w:r>
                </w:p>
              </w:tc>
              <w:tc>
                <w:tcPr>
                  <w:tcW w:w="313" w:type="pct"/>
                  <w:tcBorders>
                    <w:tl2br w:val="nil"/>
                    <w:tr2bl w:val="nil"/>
                  </w:tcBorders>
                  <w:noWrap w:val="0"/>
                  <w:vAlign w:val="center"/>
                </w:tcPr>
                <w:p w14:paraId="0899FB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r>
            <w:tr w14:paraId="44BDD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16DD8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EA4E5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43" w:type="pct"/>
                  <w:tcBorders>
                    <w:tl2br w:val="nil"/>
                    <w:tr2bl w:val="nil"/>
                  </w:tcBorders>
                  <w:noWrap w:val="0"/>
                  <w:vAlign w:val="center"/>
                </w:tcPr>
                <w:p w14:paraId="25FC59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 w:type="pct"/>
                  <w:tcBorders>
                    <w:tl2br w:val="nil"/>
                    <w:tr2bl w:val="nil"/>
                  </w:tcBorders>
                  <w:noWrap w:val="0"/>
                  <w:vAlign w:val="center"/>
                </w:tcPr>
                <w:p w14:paraId="2FA763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w:t>
                  </w:r>
                </w:p>
              </w:tc>
              <w:tc>
                <w:tcPr>
                  <w:tcW w:w="443" w:type="pct"/>
                  <w:tcBorders>
                    <w:tl2br w:val="nil"/>
                    <w:tr2bl w:val="nil"/>
                  </w:tcBorders>
                  <w:noWrap w:val="0"/>
                  <w:vAlign w:val="center"/>
                </w:tcPr>
                <w:p w14:paraId="688C28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0.0167</w:t>
                  </w:r>
                </w:p>
              </w:tc>
              <w:tc>
                <w:tcPr>
                  <w:tcW w:w="390" w:type="pct"/>
                  <w:tcBorders>
                    <w:tl2br w:val="nil"/>
                    <w:tr2bl w:val="nil"/>
                  </w:tcBorders>
                  <w:noWrap w:val="0"/>
                  <w:vAlign w:val="center"/>
                </w:tcPr>
                <w:p w14:paraId="415684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32</w:t>
                  </w:r>
                </w:p>
              </w:tc>
              <w:tc>
                <w:tcPr>
                  <w:tcW w:w="434" w:type="pct"/>
                  <w:tcBorders>
                    <w:tl2br w:val="nil"/>
                    <w:tr2bl w:val="nil"/>
                  </w:tcBorders>
                  <w:noWrap w:val="0"/>
                  <w:vAlign w:val="center"/>
                </w:tcPr>
                <w:p w14:paraId="037D59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0.0356</w:t>
                  </w:r>
                </w:p>
              </w:tc>
              <w:tc>
                <w:tcPr>
                  <w:tcW w:w="426" w:type="pct"/>
                  <w:tcBorders>
                    <w:tl2br w:val="nil"/>
                    <w:tr2bl w:val="nil"/>
                  </w:tcBorders>
                  <w:noWrap w:val="0"/>
                  <w:vAlign w:val="center"/>
                </w:tcPr>
                <w:p w14:paraId="2D1CB4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43</w:t>
                  </w:r>
                </w:p>
              </w:tc>
              <w:tc>
                <w:tcPr>
                  <w:tcW w:w="511" w:type="pct"/>
                  <w:tcBorders>
                    <w:tl2br w:val="nil"/>
                    <w:tr2bl w:val="nil"/>
                  </w:tcBorders>
                  <w:noWrap w:val="0"/>
                  <w:vAlign w:val="center"/>
                </w:tcPr>
                <w:p w14:paraId="4C68376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0.0478</w:t>
                  </w:r>
                </w:p>
              </w:tc>
              <w:tc>
                <w:tcPr>
                  <w:tcW w:w="313" w:type="pct"/>
                  <w:tcBorders>
                    <w:tl2br w:val="nil"/>
                    <w:tr2bl w:val="nil"/>
                  </w:tcBorders>
                  <w:noWrap w:val="0"/>
                  <w:vAlign w:val="center"/>
                </w:tcPr>
                <w:p w14:paraId="2D2E66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r>
            <w:tr w14:paraId="3D368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6EAC0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58BA4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443" w:type="pct"/>
                  <w:tcBorders>
                    <w:tl2br w:val="nil"/>
                    <w:tr2bl w:val="nil"/>
                  </w:tcBorders>
                  <w:noWrap w:val="0"/>
                  <w:vAlign w:val="center"/>
                </w:tcPr>
                <w:p w14:paraId="469B0C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463" w:type="pct"/>
                  <w:tcBorders>
                    <w:tl2br w:val="nil"/>
                    <w:tr2bl w:val="nil"/>
                  </w:tcBorders>
                  <w:noWrap w:val="0"/>
                  <w:vAlign w:val="center"/>
                </w:tcPr>
                <w:p w14:paraId="162F63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65414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DABE1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1201C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D6015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F8DCE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6C5B6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r>
            <w:tr w14:paraId="08533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491D8B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c>
                <w:tcPr>
                  <w:tcW w:w="1072" w:type="pct"/>
                  <w:tcBorders>
                    <w:tl2br w:val="nil"/>
                    <w:tr2bl w:val="nil"/>
                  </w:tcBorders>
                  <w:noWrap w:val="0"/>
                  <w:vAlign w:val="center"/>
                </w:tcPr>
                <w:p w14:paraId="249C4B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443" w:type="pct"/>
                  <w:tcBorders>
                    <w:tl2br w:val="nil"/>
                    <w:tr2bl w:val="nil"/>
                  </w:tcBorders>
                  <w:noWrap/>
                  <w:vAlign w:val="center"/>
                </w:tcPr>
                <w:p w14:paraId="117FF7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0F3A41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w:t>
                  </w:r>
                </w:p>
              </w:tc>
              <w:tc>
                <w:tcPr>
                  <w:tcW w:w="443" w:type="pct"/>
                  <w:tcBorders>
                    <w:tl2br w:val="nil"/>
                    <w:tr2bl w:val="nil"/>
                  </w:tcBorders>
                  <w:noWrap w:val="0"/>
                  <w:vAlign w:val="center"/>
                </w:tcPr>
                <w:p w14:paraId="0767A1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0.0001</w:t>
                  </w:r>
                </w:p>
              </w:tc>
              <w:tc>
                <w:tcPr>
                  <w:tcW w:w="390" w:type="pct"/>
                  <w:tcBorders>
                    <w:tl2br w:val="nil"/>
                    <w:tr2bl w:val="nil"/>
                  </w:tcBorders>
                  <w:noWrap w:val="0"/>
                  <w:vAlign w:val="center"/>
                </w:tcPr>
                <w:p w14:paraId="68E12AC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BB186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D9F05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A1401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3B741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r>
            <w:tr w14:paraId="4DEB9A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CBE7F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2A10F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443" w:type="pct"/>
                  <w:tcBorders>
                    <w:tl2br w:val="nil"/>
                    <w:tr2bl w:val="nil"/>
                  </w:tcBorders>
                  <w:noWrap/>
                  <w:vAlign w:val="center"/>
                </w:tcPr>
                <w:p w14:paraId="655132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3408D6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43" w:type="pct"/>
                  <w:tcBorders>
                    <w:tl2br w:val="nil"/>
                    <w:tr2bl w:val="nil"/>
                  </w:tcBorders>
                  <w:noWrap w:val="0"/>
                  <w:vAlign w:val="center"/>
                </w:tcPr>
                <w:p w14:paraId="37BF43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0.0023</w:t>
                  </w:r>
                </w:p>
              </w:tc>
              <w:tc>
                <w:tcPr>
                  <w:tcW w:w="390" w:type="pct"/>
                  <w:tcBorders>
                    <w:tl2br w:val="nil"/>
                    <w:tr2bl w:val="nil"/>
                  </w:tcBorders>
                  <w:noWrap w:val="0"/>
                  <w:vAlign w:val="center"/>
                </w:tcPr>
                <w:p w14:paraId="25A0EE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E640A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AC972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CDD7C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564AE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r>
            <w:tr w14:paraId="25CF2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C64D8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C0A4D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443" w:type="pct"/>
                  <w:tcBorders>
                    <w:tl2br w:val="nil"/>
                    <w:tr2bl w:val="nil"/>
                  </w:tcBorders>
                  <w:noWrap/>
                  <w:vAlign w:val="center"/>
                </w:tcPr>
                <w:p w14:paraId="266B57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609AC7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2AD54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BA2E7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DC63A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57B10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94B3B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6184F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r>
            <w:tr w14:paraId="008A89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99E15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2C933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443" w:type="pct"/>
                  <w:tcBorders>
                    <w:tl2br w:val="nil"/>
                    <w:tr2bl w:val="nil"/>
                  </w:tcBorders>
                  <w:noWrap/>
                  <w:vAlign w:val="center"/>
                </w:tcPr>
                <w:p w14:paraId="35974A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03C1AB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0.0561</w:t>
                  </w:r>
                </w:p>
              </w:tc>
              <w:tc>
                <w:tcPr>
                  <w:tcW w:w="443" w:type="pct"/>
                  <w:tcBorders>
                    <w:tl2br w:val="nil"/>
                    <w:tr2bl w:val="nil"/>
                  </w:tcBorders>
                  <w:noWrap w:val="0"/>
                  <w:vAlign w:val="center"/>
                </w:tcPr>
                <w:p w14:paraId="458F98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0.0001</w:t>
                  </w:r>
                </w:p>
              </w:tc>
              <w:tc>
                <w:tcPr>
                  <w:tcW w:w="390" w:type="pct"/>
                  <w:tcBorders>
                    <w:tl2br w:val="nil"/>
                    <w:tr2bl w:val="nil"/>
                  </w:tcBorders>
                  <w:noWrap w:val="0"/>
                  <w:vAlign w:val="center"/>
                </w:tcPr>
                <w:p w14:paraId="256DBB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0.0035</w:t>
                  </w:r>
                </w:p>
              </w:tc>
              <w:tc>
                <w:tcPr>
                  <w:tcW w:w="434" w:type="pct"/>
                  <w:tcBorders>
                    <w:tl2br w:val="nil"/>
                    <w:tr2bl w:val="nil"/>
                  </w:tcBorders>
                  <w:noWrap w:val="0"/>
                  <w:vAlign w:val="center"/>
                </w:tcPr>
                <w:p w14:paraId="41FCCB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0.00001</w:t>
                  </w:r>
                </w:p>
              </w:tc>
              <w:tc>
                <w:tcPr>
                  <w:tcW w:w="426" w:type="pct"/>
                  <w:tcBorders>
                    <w:tl2br w:val="nil"/>
                    <w:tr2bl w:val="nil"/>
                  </w:tcBorders>
                  <w:noWrap w:val="0"/>
                  <w:vAlign w:val="center"/>
                </w:tcPr>
                <w:p w14:paraId="27C695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0.0019</w:t>
                  </w:r>
                </w:p>
              </w:tc>
              <w:tc>
                <w:tcPr>
                  <w:tcW w:w="511" w:type="pct"/>
                  <w:tcBorders>
                    <w:tl2br w:val="nil"/>
                    <w:tr2bl w:val="nil"/>
                  </w:tcBorders>
                  <w:noWrap w:val="0"/>
                  <w:vAlign w:val="center"/>
                </w:tcPr>
                <w:p w14:paraId="1E23FF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0.000003</w:t>
                  </w:r>
                </w:p>
              </w:tc>
              <w:tc>
                <w:tcPr>
                  <w:tcW w:w="313" w:type="pct"/>
                  <w:tcBorders>
                    <w:tl2br w:val="nil"/>
                    <w:tr2bl w:val="nil"/>
                  </w:tcBorders>
                  <w:noWrap w:val="0"/>
                  <w:vAlign w:val="center"/>
                </w:tcPr>
                <w:p w14:paraId="391246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r>
            <w:tr w14:paraId="72734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9270E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6812F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反式-1，2-二氯乙烯</w:t>
                  </w:r>
                </w:p>
              </w:tc>
              <w:tc>
                <w:tcPr>
                  <w:tcW w:w="443" w:type="pct"/>
                  <w:tcBorders>
                    <w:tl2br w:val="nil"/>
                    <w:tr2bl w:val="nil"/>
                  </w:tcBorders>
                  <w:noWrap/>
                  <w:vAlign w:val="center"/>
                </w:tcPr>
                <w:p w14:paraId="3D15CB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5A0756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4D071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9D0C5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AAC60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73BE9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06186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B9748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r>
            <w:tr w14:paraId="3D034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FEEE3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FED62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443" w:type="pct"/>
                  <w:tcBorders>
                    <w:tl2br w:val="nil"/>
                    <w:tr2bl w:val="nil"/>
                  </w:tcBorders>
                  <w:noWrap/>
                  <w:vAlign w:val="center"/>
                </w:tcPr>
                <w:p w14:paraId="2F4B638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0E7C11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2943E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E53A4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8E123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604C0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E9C74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19D62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r>
            <w:tr w14:paraId="1DF9A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132A1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BC705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顺式-1，2-二氯乙烯</w:t>
                  </w:r>
                </w:p>
              </w:tc>
              <w:tc>
                <w:tcPr>
                  <w:tcW w:w="443" w:type="pct"/>
                  <w:tcBorders>
                    <w:tl2br w:val="nil"/>
                    <w:tr2bl w:val="nil"/>
                  </w:tcBorders>
                  <w:noWrap/>
                  <w:vAlign w:val="center"/>
                </w:tcPr>
                <w:p w14:paraId="79D43B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3F52E3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619FE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BBB0D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E2838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B0336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95A20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A2BA2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r>
            <w:tr w14:paraId="51933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5D475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DB91A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443" w:type="pct"/>
                  <w:tcBorders>
                    <w:tl2br w:val="nil"/>
                    <w:tr2bl w:val="nil"/>
                  </w:tcBorders>
                  <w:noWrap/>
                  <w:vAlign w:val="center"/>
                </w:tcPr>
                <w:p w14:paraId="5996B5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10C5FA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0.0075</w:t>
                  </w:r>
                </w:p>
              </w:tc>
              <w:tc>
                <w:tcPr>
                  <w:tcW w:w="443" w:type="pct"/>
                  <w:tcBorders>
                    <w:tl2br w:val="nil"/>
                    <w:tr2bl w:val="nil"/>
                  </w:tcBorders>
                  <w:noWrap w:val="0"/>
                  <w:vAlign w:val="center"/>
                </w:tcPr>
                <w:p w14:paraId="682A03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0.0083</w:t>
                  </w:r>
                </w:p>
              </w:tc>
              <w:tc>
                <w:tcPr>
                  <w:tcW w:w="390" w:type="pct"/>
                  <w:tcBorders>
                    <w:tl2br w:val="nil"/>
                    <w:tr2bl w:val="nil"/>
                  </w:tcBorders>
                  <w:noWrap w:val="0"/>
                  <w:vAlign w:val="center"/>
                </w:tcPr>
                <w:p w14:paraId="0CA00D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0.0031</w:t>
                  </w:r>
                </w:p>
              </w:tc>
              <w:tc>
                <w:tcPr>
                  <w:tcW w:w="434" w:type="pct"/>
                  <w:tcBorders>
                    <w:tl2br w:val="nil"/>
                    <w:tr2bl w:val="nil"/>
                  </w:tcBorders>
                  <w:noWrap w:val="0"/>
                  <w:vAlign w:val="center"/>
                </w:tcPr>
                <w:p w14:paraId="083786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0.0034</w:t>
                  </w:r>
                </w:p>
              </w:tc>
              <w:tc>
                <w:tcPr>
                  <w:tcW w:w="426" w:type="pct"/>
                  <w:tcBorders>
                    <w:tl2br w:val="nil"/>
                    <w:tr2bl w:val="nil"/>
                  </w:tcBorders>
                  <w:noWrap w:val="0"/>
                  <w:vAlign w:val="center"/>
                </w:tcPr>
                <w:p w14:paraId="3675F2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0.0036</w:t>
                  </w:r>
                </w:p>
              </w:tc>
              <w:tc>
                <w:tcPr>
                  <w:tcW w:w="511" w:type="pct"/>
                  <w:tcBorders>
                    <w:tl2br w:val="nil"/>
                    <w:tr2bl w:val="nil"/>
                  </w:tcBorders>
                  <w:noWrap w:val="0"/>
                  <w:vAlign w:val="center"/>
                </w:tcPr>
                <w:p w14:paraId="4D0379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0.0040</w:t>
                  </w:r>
                </w:p>
              </w:tc>
              <w:tc>
                <w:tcPr>
                  <w:tcW w:w="313" w:type="pct"/>
                  <w:tcBorders>
                    <w:tl2br w:val="nil"/>
                    <w:tr2bl w:val="nil"/>
                  </w:tcBorders>
                  <w:noWrap w:val="0"/>
                  <w:vAlign w:val="center"/>
                </w:tcPr>
                <w:p w14:paraId="3E4CA5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r>
            <w:tr w14:paraId="29653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11266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A2A50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443" w:type="pct"/>
                  <w:tcBorders>
                    <w:tl2br w:val="nil"/>
                    <w:tr2bl w:val="nil"/>
                  </w:tcBorders>
                  <w:noWrap/>
                  <w:vAlign w:val="center"/>
                </w:tcPr>
                <w:p w14:paraId="3C45CF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34BA1E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85F10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FD8DB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299A8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ACCCF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D5F8A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734B8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4450E6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0C02D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DAE25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443" w:type="pct"/>
                  <w:tcBorders>
                    <w:tl2br w:val="nil"/>
                    <w:tr2bl w:val="nil"/>
                  </w:tcBorders>
                  <w:noWrap/>
                  <w:vAlign w:val="center"/>
                </w:tcPr>
                <w:p w14:paraId="73249D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73A86A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7DDFFC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62ACB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13FA5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1BC12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94891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36D3D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43323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A7CCF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0808F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443" w:type="pct"/>
                  <w:tcBorders>
                    <w:tl2br w:val="nil"/>
                    <w:tr2bl w:val="nil"/>
                  </w:tcBorders>
                  <w:noWrap/>
                  <w:vAlign w:val="center"/>
                </w:tcPr>
                <w:p w14:paraId="0B58EF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2CFA2A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AA3A9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5F8EC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FC79D1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F6FCA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511" w:type="pct"/>
                  <w:tcBorders>
                    <w:tl2br w:val="nil"/>
                    <w:tr2bl w:val="nil"/>
                  </w:tcBorders>
                  <w:noWrap w:val="0"/>
                  <w:vAlign w:val="center"/>
                </w:tcPr>
                <w:p w14:paraId="21AEEC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0.0003</w:t>
                  </w:r>
                </w:p>
              </w:tc>
              <w:tc>
                <w:tcPr>
                  <w:tcW w:w="313" w:type="pct"/>
                  <w:tcBorders>
                    <w:tl2br w:val="nil"/>
                    <w:tr2bl w:val="nil"/>
                  </w:tcBorders>
                  <w:noWrap w:val="0"/>
                  <w:vAlign w:val="center"/>
                </w:tcPr>
                <w:p w14:paraId="5E23AC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389AC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E3225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D7209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443" w:type="pct"/>
                  <w:tcBorders>
                    <w:tl2br w:val="nil"/>
                    <w:tr2bl w:val="nil"/>
                  </w:tcBorders>
                  <w:noWrap/>
                  <w:vAlign w:val="center"/>
                </w:tcPr>
                <w:p w14:paraId="2867B2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0.0019</w:t>
                  </w:r>
                </w:p>
              </w:tc>
              <w:tc>
                <w:tcPr>
                  <w:tcW w:w="463" w:type="pct"/>
                  <w:tcBorders>
                    <w:tl2br w:val="nil"/>
                    <w:tr2bl w:val="nil"/>
                  </w:tcBorders>
                  <w:noWrap w:val="0"/>
                  <w:vAlign w:val="center"/>
                </w:tcPr>
                <w:p w14:paraId="78D633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CEFF0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31110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B2027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F102B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604A5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E264F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1E66C1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AD513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9BA25F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443" w:type="pct"/>
                  <w:tcBorders>
                    <w:tl2br w:val="nil"/>
                    <w:tr2bl w:val="nil"/>
                  </w:tcBorders>
                  <w:noWrap/>
                  <w:vAlign w:val="center"/>
                </w:tcPr>
                <w:p w14:paraId="502B0A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CD172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AE640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ADBDF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2DC80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AAE89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F3D08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4E968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691E67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988FE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BDD36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443" w:type="pct"/>
                  <w:tcBorders>
                    <w:tl2br w:val="nil"/>
                    <w:tr2bl w:val="nil"/>
                  </w:tcBorders>
                  <w:noWrap/>
                  <w:vAlign w:val="center"/>
                </w:tcPr>
                <w:p w14:paraId="5E0596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1EC1B9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CB04B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6DB45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AD704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B6F02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0C5C7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1574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0DC758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E4280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CB6AF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443" w:type="pct"/>
                  <w:tcBorders>
                    <w:tl2br w:val="nil"/>
                    <w:tr2bl w:val="nil"/>
                  </w:tcBorders>
                  <w:noWrap/>
                  <w:vAlign w:val="center"/>
                </w:tcPr>
                <w:p w14:paraId="1862CE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FDCB7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47A55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E7702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E6105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4787E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51EFB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19D28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3CC2C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8EA45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4425F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443" w:type="pct"/>
                  <w:tcBorders>
                    <w:tl2br w:val="nil"/>
                    <w:tr2bl w:val="nil"/>
                  </w:tcBorders>
                  <w:noWrap/>
                  <w:vAlign w:val="center"/>
                </w:tcPr>
                <w:p w14:paraId="49BE63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3F959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514BE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82919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E2105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BFD2C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7E2BB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921F5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138DB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6E2E5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0C2481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443" w:type="pct"/>
                  <w:tcBorders>
                    <w:tl2br w:val="nil"/>
                    <w:tr2bl w:val="nil"/>
                  </w:tcBorders>
                  <w:noWrap/>
                  <w:vAlign w:val="center"/>
                </w:tcPr>
                <w:p w14:paraId="1EBCA6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77D256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334E4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D400E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AD4AD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1E55F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D6570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9C06A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r>
            <w:tr w14:paraId="58289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A603D1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AFCBB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443" w:type="pct"/>
                  <w:tcBorders>
                    <w:tl2br w:val="nil"/>
                    <w:tr2bl w:val="nil"/>
                  </w:tcBorders>
                  <w:noWrap/>
                  <w:vAlign w:val="center"/>
                </w:tcPr>
                <w:p w14:paraId="299ECF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18E1E4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40B7B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C5C5B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E4FB6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5244A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5971A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4E380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r>
            <w:tr w14:paraId="44CF35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D03F0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E4999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443" w:type="pct"/>
                  <w:tcBorders>
                    <w:tl2br w:val="nil"/>
                    <w:tr2bl w:val="nil"/>
                  </w:tcBorders>
                  <w:noWrap/>
                  <w:vAlign w:val="center"/>
                </w:tcPr>
                <w:p w14:paraId="2C5953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0BF3D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5CCC4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37D79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99C8C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8C7B0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10649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70296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285A8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656ED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41C7F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443" w:type="pct"/>
                  <w:tcBorders>
                    <w:tl2br w:val="nil"/>
                    <w:tr2bl w:val="nil"/>
                  </w:tcBorders>
                  <w:noWrap/>
                  <w:vAlign w:val="center"/>
                </w:tcPr>
                <w:p w14:paraId="79971E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5D129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C5551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D7B26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6752D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3105D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8B44F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3D080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357DAF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314E9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C21F9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对，间二甲苯</w:t>
                  </w:r>
                </w:p>
              </w:tc>
              <w:tc>
                <w:tcPr>
                  <w:tcW w:w="443" w:type="pct"/>
                  <w:tcBorders>
                    <w:tl2br w:val="nil"/>
                    <w:tr2bl w:val="nil"/>
                  </w:tcBorders>
                  <w:noWrap/>
                  <w:vAlign w:val="center"/>
                </w:tcPr>
                <w:p w14:paraId="35F036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5A0861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2349C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E1ADB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47383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F8FBC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D7097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48804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16605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3E687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63CD8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443" w:type="pct"/>
                  <w:tcBorders>
                    <w:tl2br w:val="nil"/>
                    <w:tr2bl w:val="nil"/>
                  </w:tcBorders>
                  <w:noWrap/>
                  <w:vAlign w:val="center"/>
                </w:tcPr>
                <w:p w14:paraId="7EF8649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B4CFE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CA1C8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44A27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B90E6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31BB0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B2CCF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B6C92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2BD4D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E63FD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F3186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443" w:type="pct"/>
                  <w:tcBorders>
                    <w:tl2br w:val="nil"/>
                    <w:tr2bl w:val="nil"/>
                  </w:tcBorders>
                  <w:noWrap/>
                  <w:vAlign w:val="center"/>
                </w:tcPr>
                <w:p w14:paraId="455BA1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7631AC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806D5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9E74F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A7802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387B1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3F846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1235B4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60B6F8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0CE6B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3849B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443" w:type="pct"/>
                  <w:tcBorders>
                    <w:tl2br w:val="nil"/>
                    <w:tr2bl w:val="nil"/>
                  </w:tcBorders>
                  <w:noWrap/>
                  <w:vAlign w:val="center"/>
                </w:tcPr>
                <w:p w14:paraId="733CB0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04322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803CC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C38A6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ECC86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22554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9D04D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A3F27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r>
            <w:tr w14:paraId="6105F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F6B2B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732D1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443" w:type="pct"/>
                  <w:tcBorders>
                    <w:tl2br w:val="nil"/>
                    <w:tr2bl w:val="nil"/>
                  </w:tcBorders>
                  <w:noWrap/>
                  <w:vAlign w:val="center"/>
                </w:tcPr>
                <w:p w14:paraId="2063F5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05CF44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492B5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0E849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D9FE5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C0536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95748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C8848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r>
            <w:tr w14:paraId="74D45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B2CA7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AC360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443" w:type="pct"/>
                  <w:tcBorders>
                    <w:tl2br w:val="nil"/>
                    <w:tr2bl w:val="nil"/>
                  </w:tcBorders>
                  <w:noWrap/>
                  <w:vAlign w:val="center"/>
                </w:tcPr>
                <w:p w14:paraId="2C2C04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7F0C18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42AD9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D1683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433AD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A39144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C3955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3F967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4A4965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0060BC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E3BA8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443" w:type="pct"/>
                  <w:tcBorders>
                    <w:tl2br w:val="nil"/>
                    <w:tr2bl w:val="nil"/>
                  </w:tcBorders>
                  <w:noWrap/>
                  <w:vAlign w:val="center"/>
                </w:tcPr>
                <w:p w14:paraId="42D163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5B4622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9B213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7ABF7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B004D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34B44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7044BD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E2EE53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3D668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77C04D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c>
                <w:tcPr>
                  <w:tcW w:w="1072" w:type="pct"/>
                  <w:tcBorders>
                    <w:tl2br w:val="nil"/>
                    <w:tr2bl w:val="nil"/>
                  </w:tcBorders>
                  <w:noWrap w:val="0"/>
                  <w:vAlign w:val="center"/>
                </w:tcPr>
                <w:p w14:paraId="151E07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443" w:type="pct"/>
                  <w:tcBorders>
                    <w:tl2br w:val="nil"/>
                    <w:tr2bl w:val="nil"/>
                  </w:tcBorders>
                  <w:noWrap/>
                  <w:vAlign w:val="center"/>
                </w:tcPr>
                <w:p w14:paraId="6A594A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63" w:type="pct"/>
                  <w:tcBorders>
                    <w:tl2br w:val="nil"/>
                    <w:tr2bl w:val="nil"/>
                  </w:tcBorders>
                  <w:noWrap w:val="0"/>
                  <w:vAlign w:val="center"/>
                </w:tcPr>
                <w:p w14:paraId="21652D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40A96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E7EB5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02998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9DA8AD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D3D6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EA295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r>
            <w:tr w14:paraId="49250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1F4A3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618D1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2-氯苯酚</w:t>
                  </w:r>
                </w:p>
              </w:tc>
              <w:tc>
                <w:tcPr>
                  <w:tcW w:w="443" w:type="pct"/>
                  <w:tcBorders>
                    <w:tl2br w:val="nil"/>
                    <w:tr2bl w:val="nil"/>
                  </w:tcBorders>
                  <w:noWrap/>
                  <w:vAlign w:val="center"/>
                </w:tcPr>
                <w:p w14:paraId="52B87D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3" w:type="pct"/>
                  <w:tcBorders>
                    <w:tl2br w:val="nil"/>
                    <w:tr2bl w:val="nil"/>
                  </w:tcBorders>
                  <w:noWrap w:val="0"/>
                  <w:vAlign w:val="center"/>
                </w:tcPr>
                <w:p w14:paraId="3CC273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43ED9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38848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F67C1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FC82F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FE4DE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17AF9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r>
            <w:tr w14:paraId="59AA8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C533A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EAA28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443" w:type="pct"/>
                  <w:tcBorders>
                    <w:tl2br w:val="nil"/>
                    <w:tr2bl w:val="nil"/>
                  </w:tcBorders>
                  <w:noWrap/>
                  <w:vAlign w:val="center"/>
                </w:tcPr>
                <w:p w14:paraId="4ABCED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39CDA4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9BCB7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90A81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030B2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C9A51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7EA53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093B1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5E8AB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75570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55392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443" w:type="pct"/>
                  <w:tcBorders>
                    <w:tl2br w:val="nil"/>
                    <w:tr2bl w:val="nil"/>
                  </w:tcBorders>
                  <w:noWrap/>
                  <w:vAlign w:val="center"/>
                </w:tcPr>
                <w:p w14:paraId="06CCB4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2FD5A0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41F29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CECFD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1CF97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A2F51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EC0B7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60DBC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r>
            <w:tr w14:paraId="63834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6A041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FF6B9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443" w:type="pct"/>
                  <w:tcBorders>
                    <w:tl2br w:val="nil"/>
                    <w:tr2bl w:val="nil"/>
                  </w:tcBorders>
                  <w:noWrap/>
                  <w:vAlign w:val="center"/>
                </w:tcPr>
                <w:p w14:paraId="73DD18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6C1737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11A84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2FC18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022BA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DFB4D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C0898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9C101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5B23C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CB820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E3AF6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443" w:type="pct"/>
                  <w:tcBorders>
                    <w:tl2br w:val="nil"/>
                    <w:tr2bl w:val="nil"/>
                  </w:tcBorders>
                  <w:noWrap/>
                  <w:vAlign w:val="center"/>
                </w:tcPr>
                <w:p w14:paraId="7DF43E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EFDA9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A4FCB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CF64C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AA66C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7338C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7F6E7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9C0B5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r>
            <w:tr w14:paraId="69F1B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0C0D43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FC173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443" w:type="pct"/>
                  <w:tcBorders>
                    <w:tl2br w:val="nil"/>
                    <w:tr2bl w:val="nil"/>
                  </w:tcBorders>
                  <w:noWrap/>
                  <w:vAlign w:val="center"/>
                </w:tcPr>
                <w:p w14:paraId="43E38A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463" w:type="pct"/>
                  <w:tcBorders>
                    <w:tl2br w:val="nil"/>
                    <w:tr2bl w:val="nil"/>
                  </w:tcBorders>
                  <w:noWrap w:val="0"/>
                  <w:vAlign w:val="center"/>
                </w:tcPr>
                <w:p w14:paraId="51E3B2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E8AE7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08125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13F63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E0602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E4262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88057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D052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0E268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C8EF8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443" w:type="pct"/>
                  <w:tcBorders>
                    <w:tl2br w:val="nil"/>
                    <w:tr2bl w:val="nil"/>
                  </w:tcBorders>
                  <w:noWrap/>
                  <w:vAlign w:val="center"/>
                </w:tcPr>
                <w:p w14:paraId="2583FC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5483BB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04C641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F5DD2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233E3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D93E9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F0E6C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BA5EE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2C0796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89399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7323C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443" w:type="pct"/>
                  <w:tcBorders>
                    <w:tl2br w:val="nil"/>
                    <w:tr2bl w:val="nil"/>
                  </w:tcBorders>
                  <w:noWrap/>
                  <w:vAlign w:val="center"/>
                </w:tcPr>
                <w:p w14:paraId="559FBC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994C9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4143E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B6D85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B8656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9DAAF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D1C663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306F4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06DCF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33D44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0FC43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443" w:type="pct"/>
                  <w:tcBorders>
                    <w:tl2br w:val="nil"/>
                    <w:tr2bl w:val="nil"/>
                  </w:tcBorders>
                  <w:noWrap/>
                  <w:vAlign w:val="center"/>
                </w:tcPr>
                <w:p w14:paraId="5C7072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0FDC98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1F395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93ADB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A4BA0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4EEE9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93223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3AF6B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238C7F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C8B61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845CC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443" w:type="pct"/>
                  <w:tcBorders>
                    <w:tl2br w:val="nil"/>
                    <w:tr2bl w:val="nil"/>
                  </w:tcBorders>
                  <w:noWrap/>
                  <w:vAlign w:val="center"/>
                </w:tcPr>
                <w:p w14:paraId="72C3BD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442D1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82574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9B51D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16AFB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4B09B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30981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3A3D5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7FDD78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tcBorders>
                    <w:tl2br w:val="nil"/>
                    <w:tr2bl w:val="nil"/>
                  </w:tcBorders>
                  <w:noWrap w:val="0"/>
                  <w:vAlign w:val="center"/>
                </w:tcPr>
                <w:p w14:paraId="16FE73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石油烃类</w:t>
                  </w:r>
                </w:p>
              </w:tc>
              <w:tc>
                <w:tcPr>
                  <w:tcW w:w="1072" w:type="pct"/>
                  <w:tcBorders>
                    <w:tl2br w:val="nil"/>
                    <w:tr2bl w:val="nil"/>
                  </w:tcBorders>
                  <w:noWrap w:val="0"/>
                  <w:vAlign w:val="center"/>
                </w:tcPr>
                <w:p w14:paraId="6B990A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石油烃（C</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vertAlign w:val="subscript"/>
                    </w:rPr>
                    <w:t>40</w:t>
                  </w:r>
                  <w:r>
                    <w:rPr>
                      <w:rFonts w:hint="default" w:ascii="Times New Roman" w:hAnsi="Times New Roman" w:eastAsia="宋体" w:cs="Times New Roman"/>
                      <w:color w:val="auto"/>
                      <w:sz w:val="18"/>
                      <w:szCs w:val="18"/>
                    </w:rPr>
                    <w:t>）</w:t>
                  </w:r>
                </w:p>
              </w:tc>
              <w:tc>
                <w:tcPr>
                  <w:tcW w:w="443" w:type="pct"/>
                  <w:tcBorders>
                    <w:tl2br w:val="nil"/>
                    <w:tr2bl w:val="nil"/>
                  </w:tcBorders>
                  <w:noWrap/>
                  <w:vAlign w:val="center"/>
                </w:tcPr>
                <w:p w14:paraId="5B000F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63" w:type="pct"/>
                  <w:tcBorders>
                    <w:tl2br w:val="nil"/>
                    <w:tr2bl w:val="nil"/>
                  </w:tcBorders>
                  <w:noWrap w:val="0"/>
                  <w:vAlign w:val="center"/>
                </w:tcPr>
                <w:p w14:paraId="49B508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w:t>
                  </w:r>
                </w:p>
              </w:tc>
              <w:tc>
                <w:tcPr>
                  <w:tcW w:w="443" w:type="pct"/>
                  <w:tcBorders>
                    <w:tl2br w:val="nil"/>
                    <w:tr2bl w:val="nil"/>
                  </w:tcBorders>
                  <w:noWrap w:val="0"/>
                  <w:vAlign w:val="center"/>
                </w:tcPr>
                <w:p w14:paraId="1F6FA3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0.0060</w:t>
                  </w:r>
                </w:p>
              </w:tc>
              <w:tc>
                <w:tcPr>
                  <w:tcW w:w="390" w:type="pct"/>
                  <w:tcBorders>
                    <w:tl2br w:val="nil"/>
                    <w:tr2bl w:val="nil"/>
                  </w:tcBorders>
                  <w:noWrap w:val="0"/>
                  <w:vAlign w:val="center"/>
                </w:tcPr>
                <w:p w14:paraId="519016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34" w:type="pct"/>
                  <w:tcBorders>
                    <w:tl2br w:val="nil"/>
                    <w:tr2bl w:val="nil"/>
                  </w:tcBorders>
                  <w:noWrap w:val="0"/>
                  <w:vAlign w:val="center"/>
                </w:tcPr>
                <w:p w14:paraId="3A8171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0.0022</w:t>
                  </w:r>
                </w:p>
              </w:tc>
              <w:tc>
                <w:tcPr>
                  <w:tcW w:w="426" w:type="pct"/>
                  <w:tcBorders>
                    <w:tl2br w:val="nil"/>
                    <w:tr2bl w:val="nil"/>
                  </w:tcBorders>
                  <w:noWrap w:val="0"/>
                  <w:vAlign w:val="center"/>
                </w:tcPr>
                <w:p w14:paraId="22F9D4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w:t>
                  </w:r>
                </w:p>
              </w:tc>
              <w:tc>
                <w:tcPr>
                  <w:tcW w:w="511" w:type="pct"/>
                  <w:tcBorders>
                    <w:tl2br w:val="nil"/>
                    <w:tr2bl w:val="nil"/>
                  </w:tcBorders>
                  <w:noWrap w:val="0"/>
                  <w:vAlign w:val="center"/>
                </w:tcPr>
                <w:p w14:paraId="5F0966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0.0036</w:t>
                  </w:r>
                </w:p>
              </w:tc>
              <w:tc>
                <w:tcPr>
                  <w:tcW w:w="313" w:type="pct"/>
                  <w:tcBorders>
                    <w:tl2br w:val="nil"/>
                    <w:tr2bl w:val="nil"/>
                  </w:tcBorders>
                  <w:noWrap w:val="0"/>
                  <w:vAlign w:val="center"/>
                </w:tcPr>
                <w:p w14:paraId="0F00DF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r w14:paraId="5BA97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restart"/>
                  <w:tcBorders>
                    <w:tl2br w:val="nil"/>
                    <w:tr2bl w:val="nil"/>
                  </w:tcBorders>
                  <w:noWrap w:val="0"/>
                  <w:vAlign w:val="center"/>
                </w:tcPr>
                <w:p w14:paraId="0A886CE8">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监测点位</w:t>
                  </w:r>
                </w:p>
              </w:tc>
              <w:tc>
                <w:tcPr>
                  <w:tcW w:w="443" w:type="pct"/>
                  <w:vMerge w:val="restart"/>
                  <w:tcBorders>
                    <w:tl2br w:val="nil"/>
                    <w:tr2bl w:val="nil"/>
                  </w:tcBorders>
                  <w:noWrap w:val="0"/>
                  <w:vAlign w:val="center"/>
                </w:tcPr>
                <w:p w14:paraId="2BDCE320">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检出限</w:t>
                  </w:r>
                </w:p>
              </w:tc>
              <w:tc>
                <w:tcPr>
                  <w:tcW w:w="2669" w:type="pct"/>
                  <w:gridSpan w:val="6"/>
                  <w:tcBorders>
                    <w:tl2br w:val="nil"/>
                    <w:tr2bl w:val="nil"/>
                  </w:tcBorders>
                  <w:noWrap w:val="0"/>
                  <w:vAlign w:val="center"/>
                </w:tcPr>
                <w:p w14:paraId="4CA02EAB">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厂区内T3一期二罐区</w:t>
                  </w:r>
                </w:p>
              </w:tc>
              <w:tc>
                <w:tcPr>
                  <w:tcW w:w="313" w:type="pct"/>
                  <w:vMerge w:val="restart"/>
                  <w:tcBorders>
                    <w:tl2br w:val="nil"/>
                    <w:tr2bl w:val="nil"/>
                  </w:tcBorders>
                  <w:noWrap w:val="0"/>
                  <w:vAlign w:val="center"/>
                </w:tcPr>
                <w:p w14:paraId="198246FB">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筛选值</w:t>
                  </w:r>
                </w:p>
              </w:tc>
            </w:tr>
            <w:tr w14:paraId="28DEF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continue"/>
                  <w:tcBorders>
                    <w:tl2br w:val="nil"/>
                    <w:tr2bl w:val="nil"/>
                  </w:tcBorders>
                  <w:noWrap w:val="0"/>
                  <w:vAlign w:val="center"/>
                </w:tcPr>
                <w:p w14:paraId="3E2AAA8E">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43" w:type="pct"/>
                  <w:vMerge w:val="continue"/>
                  <w:tcBorders>
                    <w:tl2br w:val="nil"/>
                    <w:tr2bl w:val="nil"/>
                  </w:tcBorders>
                  <w:noWrap w:val="0"/>
                  <w:vAlign w:val="center"/>
                </w:tcPr>
                <w:p w14:paraId="3B4F77B9">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907" w:type="pct"/>
                  <w:gridSpan w:val="2"/>
                  <w:tcBorders>
                    <w:tl2br w:val="nil"/>
                    <w:tr2bl w:val="nil"/>
                  </w:tcBorders>
                  <w:noWrap w:val="0"/>
                  <w:vAlign w:val="center"/>
                </w:tcPr>
                <w:p w14:paraId="47C669F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0-0.5m</w:t>
                  </w:r>
                </w:p>
              </w:tc>
              <w:tc>
                <w:tcPr>
                  <w:tcW w:w="824" w:type="pct"/>
                  <w:gridSpan w:val="2"/>
                  <w:tcBorders>
                    <w:tl2br w:val="nil"/>
                    <w:tr2bl w:val="nil"/>
                  </w:tcBorders>
                  <w:noWrap w:val="0"/>
                  <w:vAlign w:val="center"/>
                </w:tcPr>
                <w:p w14:paraId="1F86D5C7">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0.5-1.5m</w:t>
                  </w:r>
                </w:p>
              </w:tc>
              <w:tc>
                <w:tcPr>
                  <w:tcW w:w="937" w:type="pct"/>
                  <w:gridSpan w:val="2"/>
                  <w:tcBorders>
                    <w:tl2br w:val="nil"/>
                    <w:tr2bl w:val="nil"/>
                  </w:tcBorders>
                  <w:noWrap w:val="0"/>
                  <w:vAlign w:val="center"/>
                </w:tcPr>
                <w:p w14:paraId="41766559">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1.5-3.0m</w:t>
                  </w:r>
                </w:p>
              </w:tc>
              <w:tc>
                <w:tcPr>
                  <w:tcW w:w="313" w:type="pct"/>
                  <w:vMerge w:val="continue"/>
                  <w:tcBorders>
                    <w:tl2br w:val="nil"/>
                    <w:tr2bl w:val="nil"/>
                  </w:tcBorders>
                  <w:noWrap w:val="0"/>
                  <w:vAlign w:val="center"/>
                </w:tcPr>
                <w:p w14:paraId="69ABADCA">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1E747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tcBorders>
                    <w:tl2br w:val="nil"/>
                    <w:tr2bl w:val="nil"/>
                  </w:tcBorders>
                  <w:noWrap w:val="0"/>
                  <w:vAlign w:val="center"/>
                </w:tcPr>
                <w:p w14:paraId="2088FE5D">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监测项目</w:t>
                  </w:r>
                </w:p>
              </w:tc>
              <w:tc>
                <w:tcPr>
                  <w:tcW w:w="443" w:type="pct"/>
                  <w:vMerge w:val="continue"/>
                  <w:tcBorders>
                    <w:tl2br w:val="nil"/>
                    <w:tr2bl w:val="nil"/>
                  </w:tcBorders>
                  <w:noWrap w:val="0"/>
                  <w:vAlign w:val="center"/>
                </w:tcPr>
                <w:p w14:paraId="721279D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63" w:type="pct"/>
                  <w:tcBorders>
                    <w:tl2br w:val="nil"/>
                    <w:tr2bl w:val="nil"/>
                  </w:tcBorders>
                  <w:noWrap w:val="0"/>
                  <w:vAlign w:val="center"/>
                </w:tcPr>
                <w:p w14:paraId="549FCF24">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43" w:type="pct"/>
                  <w:tcBorders>
                    <w:tl2br w:val="nil"/>
                    <w:tr2bl w:val="nil"/>
                  </w:tcBorders>
                  <w:noWrap w:val="0"/>
                  <w:vAlign w:val="center"/>
                </w:tcPr>
                <w:p w14:paraId="6897ABC0">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90" w:type="pct"/>
                  <w:tcBorders>
                    <w:tl2br w:val="nil"/>
                    <w:tr2bl w:val="nil"/>
                  </w:tcBorders>
                  <w:noWrap w:val="0"/>
                  <w:vAlign w:val="center"/>
                </w:tcPr>
                <w:p w14:paraId="2F355D16">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34" w:type="pct"/>
                  <w:tcBorders>
                    <w:tl2br w:val="nil"/>
                    <w:tr2bl w:val="nil"/>
                  </w:tcBorders>
                  <w:noWrap w:val="0"/>
                  <w:vAlign w:val="center"/>
                </w:tcPr>
                <w:p w14:paraId="27CA0A7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426" w:type="pct"/>
                  <w:tcBorders>
                    <w:tl2br w:val="nil"/>
                    <w:tr2bl w:val="nil"/>
                  </w:tcBorders>
                  <w:noWrap w:val="0"/>
                  <w:vAlign w:val="center"/>
                </w:tcPr>
                <w:p w14:paraId="1C0497B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511" w:type="pct"/>
                  <w:tcBorders>
                    <w:tl2br w:val="nil"/>
                    <w:tr2bl w:val="nil"/>
                  </w:tcBorders>
                  <w:noWrap w:val="0"/>
                  <w:vAlign w:val="center"/>
                </w:tcPr>
                <w:p w14:paraId="269FFF0C">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13" w:type="pct"/>
                  <w:vMerge w:val="continue"/>
                  <w:tcBorders>
                    <w:tl2br w:val="nil"/>
                    <w:tr2bl w:val="nil"/>
                  </w:tcBorders>
                  <w:noWrap w:val="0"/>
                  <w:vAlign w:val="center"/>
                </w:tcPr>
                <w:p w14:paraId="38CA7F07">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02FE5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030982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c>
                <w:tcPr>
                  <w:tcW w:w="1072" w:type="pct"/>
                  <w:tcBorders>
                    <w:tl2br w:val="nil"/>
                    <w:tr2bl w:val="nil"/>
                  </w:tcBorders>
                  <w:noWrap w:val="0"/>
                  <w:vAlign w:val="center"/>
                </w:tcPr>
                <w:p w14:paraId="0D1189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443" w:type="pct"/>
                  <w:tcBorders>
                    <w:tl2br w:val="nil"/>
                    <w:tr2bl w:val="nil"/>
                  </w:tcBorders>
                  <w:noWrap w:val="0"/>
                  <w:vAlign w:val="center"/>
                </w:tcPr>
                <w:p w14:paraId="7DDE19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63" w:type="pct"/>
                  <w:tcBorders>
                    <w:tl2br w:val="nil"/>
                    <w:tr2bl w:val="nil"/>
                  </w:tcBorders>
                  <w:noWrap w:val="0"/>
                  <w:vAlign w:val="center"/>
                </w:tcPr>
                <w:p w14:paraId="7C7F90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8.22</w:t>
                  </w:r>
                </w:p>
              </w:tc>
              <w:tc>
                <w:tcPr>
                  <w:tcW w:w="443" w:type="pct"/>
                  <w:tcBorders>
                    <w:tl2br w:val="nil"/>
                    <w:tr2bl w:val="nil"/>
                  </w:tcBorders>
                  <w:noWrap w:val="0"/>
                  <w:vAlign w:val="center"/>
                </w:tcPr>
                <w:p w14:paraId="565F9E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F54F6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8.31</w:t>
                  </w:r>
                </w:p>
              </w:tc>
              <w:tc>
                <w:tcPr>
                  <w:tcW w:w="434" w:type="pct"/>
                  <w:tcBorders>
                    <w:tl2br w:val="nil"/>
                    <w:tr2bl w:val="nil"/>
                  </w:tcBorders>
                  <w:noWrap w:val="0"/>
                  <w:vAlign w:val="center"/>
                </w:tcPr>
                <w:p w14:paraId="3B5E51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931E8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8.30</w:t>
                  </w:r>
                </w:p>
              </w:tc>
              <w:tc>
                <w:tcPr>
                  <w:tcW w:w="511" w:type="pct"/>
                  <w:tcBorders>
                    <w:tl2br w:val="nil"/>
                    <w:tr2bl w:val="nil"/>
                  </w:tcBorders>
                  <w:noWrap w:val="0"/>
                  <w:vAlign w:val="center"/>
                </w:tcPr>
                <w:p w14:paraId="3E7DAE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ign w:val="center"/>
                </w:tcPr>
                <w:p w14:paraId="24179F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45508E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617F9C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5B945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43" w:type="pct"/>
                  <w:tcBorders>
                    <w:tl2br w:val="nil"/>
                    <w:tr2bl w:val="nil"/>
                  </w:tcBorders>
                  <w:noWrap w:val="0"/>
                  <w:vAlign w:val="center"/>
                </w:tcPr>
                <w:p w14:paraId="404697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2A652D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15</w:t>
                  </w:r>
                </w:p>
              </w:tc>
              <w:tc>
                <w:tcPr>
                  <w:tcW w:w="443" w:type="pct"/>
                  <w:tcBorders>
                    <w:tl2br w:val="nil"/>
                    <w:tr2bl w:val="nil"/>
                  </w:tcBorders>
                  <w:noWrap w:val="0"/>
                  <w:vAlign w:val="center"/>
                </w:tcPr>
                <w:p w14:paraId="2ACC26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0.2500</w:t>
                  </w:r>
                </w:p>
              </w:tc>
              <w:tc>
                <w:tcPr>
                  <w:tcW w:w="390" w:type="pct"/>
                  <w:tcBorders>
                    <w:tl2br w:val="nil"/>
                    <w:tr2bl w:val="nil"/>
                  </w:tcBorders>
                  <w:noWrap w:val="0"/>
                  <w:vAlign w:val="center"/>
                </w:tcPr>
                <w:p w14:paraId="03713E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10.9</w:t>
                  </w:r>
                </w:p>
              </w:tc>
              <w:tc>
                <w:tcPr>
                  <w:tcW w:w="434" w:type="pct"/>
                  <w:tcBorders>
                    <w:tl2br w:val="nil"/>
                    <w:tr2bl w:val="nil"/>
                  </w:tcBorders>
                  <w:noWrap w:val="0"/>
                  <w:vAlign w:val="center"/>
                </w:tcPr>
                <w:p w14:paraId="7DC19C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0.1817</w:t>
                  </w:r>
                </w:p>
              </w:tc>
              <w:tc>
                <w:tcPr>
                  <w:tcW w:w="426" w:type="pct"/>
                  <w:tcBorders>
                    <w:tl2br w:val="nil"/>
                    <w:tr2bl w:val="nil"/>
                  </w:tcBorders>
                  <w:noWrap w:val="0"/>
                  <w:vAlign w:val="center"/>
                </w:tcPr>
                <w:p w14:paraId="7506A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17.4</w:t>
                  </w:r>
                </w:p>
              </w:tc>
              <w:tc>
                <w:tcPr>
                  <w:tcW w:w="511" w:type="pct"/>
                  <w:tcBorders>
                    <w:tl2br w:val="nil"/>
                    <w:tr2bl w:val="nil"/>
                  </w:tcBorders>
                  <w:noWrap w:val="0"/>
                  <w:vAlign w:val="center"/>
                </w:tcPr>
                <w:p w14:paraId="4B7165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0.2900</w:t>
                  </w:r>
                </w:p>
              </w:tc>
              <w:tc>
                <w:tcPr>
                  <w:tcW w:w="313" w:type="pct"/>
                  <w:tcBorders>
                    <w:tl2br w:val="nil"/>
                    <w:tr2bl w:val="nil"/>
                  </w:tcBorders>
                  <w:noWrap w:val="0"/>
                  <w:vAlign w:val="center"/>
                </w:tcPr>
                <w:p w14:paraId="39FACF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r>
            <w:tr w14:paraId="25300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D0717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48E37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43" w:type="pct"/>
                  <w:tcBorders>
                    <w:tl2br w:val="nil"/>
                    <w:tr2bl w:val="nil"/>
                  </w:tcBorders>
                  <w:noWrap w:val="0"/>
                  <w:vAlign w:val="center"/>
                </w:tcPr>
                <w:p w14:paraId="1B83F9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4218FF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0.16</w:t>
                  </w:r>
                </w:p>
              </w:tc>
              <w:tc>
                <w:tcPr>
                  <w:tcW w:w="443" w:type="pct"/>
                  <w:tcBorders>
                    <w:tl2br w:val="nil"/>
                    <w:tr2bl w:val="nil"/>
                  </w:tcBorders>
                  <w:noWrap w:val="0"/>
                  <w:vAlign w:val="center"/>
                </w:tcPr>
                <w:p w14:paraId="0EC36C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0.0025</w:t>
                  </w:r>
                </w:p>
              </w:tc>
              <w:tc>
                <w:tcPr>
                  <w:tcW w:w="390" w:type="pct"/>
                  <w:tcBorders>
                    <w:tl2br w:val="nil"/>
                    <w:tr2bl w:val="nil"/>
                  </w:tcBorders>
                  <w:noWrap w:val="0"/>
                  <w:vAlign w:val="center"/>
                </w:tcPr>
                <w:p w14:paraId="296B36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0.11</w:t>
                  </w:r>
                </w:p>
              </w:tc>
              <w:tc>
                <w:tcPr>
                  <w:tcW w:w="434" w:type="pct"/>
                  <w:tcBorders>
                    <w:tl2br w:val="nil"/>
                    <w:tr2bl w:val="nil"/>
                  </w:tcBorders>
                  <w:noWrap w:val="0"/>
                  <w:vAlign w:val="center"/>
                </w:tcPr>
                <w:p w14:paraId="3F6DF9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0.0017</w:t>
                  </w:r>
                </w:p>
              </w:tc>
              <w:tc>
                <w:tcPr>
                  <w:tcW w:w="426" w:type="pct"/>
                  <w:tcBorders>
                    <w:tl2br w:val="nil"/>
                    <w:tr2bl w:val="nil"/>
                  </w:tcBorders>
                  <w:noWrap w:val="0"/>
                  <w:vAlign w:val="center"/>
                </w:tcPr>
                <w:p w14:paraId="2BDE1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0.13</w:t>
                  </w:r>
                </w:p>
              </w:tc>
              <w:tc>
                <w:tcPr>
                  <w:tcW w:w="511" w:type="pct"/>
                  <w:tcBorders>
                    <w:tl2br w:val="nil"/>
                    <w:tr2bl w:val="nil"/>
                  </w:tcBorders>
                  <w:noWrap w:val="0"/>
                  <w:vAlign w:val="center"/>
                </w:tcPr>
                <w:p w14:paraId="228613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0.0020</w:t>
                  </w:r>
                </w:p>
              </w:tc>
              <w:tc>
                <w:tcPr>
                  <w:tcW w:w="313" w:type="pct"/>
                  <w:tcBorders>
                    <w:tl2br w:val="nil"/>
                    <w:tr2bl w:val="nil"/>
                  </w:tcBorders>
                  <w:noWrap w:val="0"/>
                  <w:vAlign w:val="center"/>
                </w:tcPr>
                <w:p w14:paraId="121014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r>
            <w:tr w14:paraId="4AD7C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9FCA77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8B086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43" w:type="pct"/>
                  <w:tcBorders>
                    <w:tl2br w:val="nil"/>
                    <w:tr2bl w:val="nil"/>
                  </w:tcBorders>
                  <w:noWrap w:val="0"/>
                  <w:vAlign w:val="center"/>
                </w:tcPr>
                <w:p w14:paraId="11846B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63" w:type="pct"/>
                  <w:tcBorders>
                    <w:tl2br w:val="nil"/>
                    <w:tr2bl w:val="nil"/>
                  </w:tcBorders>
                  <w:noWrap w:val="0"/>
                  <w:vAlign w:val="center"/>
                </w:tcPr>
                <w:p w14:paraId="4B0D0C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29</w:t>
                  </w:r>
                </w:p>
              </w:tc>
              <w:tc>
                <w:tcPr>
                  <w:tcW w:w="443" w:type="pct"/>
                  <w:tcBorders>
                    <w:tl2br w:val="nil"/>
                    <w:tr2bl w:val="nil"/>
                  </w:tcBorders>
                  <w:noWrap w:val="0"/>
                  <w:vAlign w:val="center"/>
                </w:tcPr>
                <w:p w14:paraId="69609C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0.0016</w:t>
                  </w:r>
                </w:p>
              </w:tc>
              <w:tc>
                <w:tcPr>
                  <w:tcW w:w="390" w:type="pct"/>
                  <w:tcBorders>
                    <w:tl2br w:val="nil"/>
                    <w:tr2bl w:val="nil"/>
                  </w:tcBorders>
                  <w:noWrap w:val="0"/>
                  <w:vAlign w:val="center"/>
                </w:tcPr>
                <w:p w14:paraId="59F75A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17</w:t>
                  </w:r>
                </w:p>
              </w:tc>
              <w:tc>
                <w:tcPr>
                  <w:tcW w:w="434" w:type="pct"/>
                  <w:tcBorders>
                    <w:tl2br w:val="nil"/>
                    <w:tr2bl w:val="nil"/>
                  </w:tcBorders>
                  <w:noWrap w:val="0"/>
                  <w:vAlign w:val="center"/>
                </w:tcPr>
                <w:p w14:paraId="283159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0.0009</w:t>
                  </w:r>
                </w:p>
              </w:tc>
              <w:tc>
                <w:tcPr>
                  <w:tcW w:w="426" w:type="pct"/>
                  <w:tcBorders>
                    <w:tl2br w:val="nil"/>
                    <w:tr2bl w:val="nil"/>
                  </w:tcBorders>
                  <w:noWrap w:val="0"/>
                  <w:vAlign w:val="center"/>
                </w:tcPr>
                <w:p w14:paraId="36B0D8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29</w:t>
                  </w:r>
                </w:p>
              </w:tc>
              <w:tc>
                <w:tcPr>
                  <w:tcW w:w="511" w:type="pct"/>
                  <w:tcBorders>
                    <w:tl2br w:val="nil"/>
                    <w:tr2bl w:val="nil"/>
                  </w:tcBorders>
                  <w:noWrap w:val="0"/>
                  <w:vAlign w:val="center"/>
                </w:tcPr>
                <w:p w14:paraId="38F690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0.0016</w:t>
                  </w:r>
                </w:p>
              </w:tc>
              <w:tc>
                <w:tcPr>
                  <w:tcW w:w="313" w:type="pct"/>
                  <w:tcBorders>
                    <w:tl2br w:val="nil"/>
                    <w:tr2bl w:val="nil"/>
                  </w:tcBorders>
                  <w:noWrap w:val="0"/>
                  <w:vAlign w:val="center"/>
                </w:tcPr>
                <w:p w14:paraId="611B46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r>
            <w:tr w14:paraId="5EADD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B5CBA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CAE2D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43" w:type="pct"/>
                  <w:tcBorders>
                    <w:tl2br w:val="nil"/>
                    <w:tr2bl w:val="nil"/>
                  </w:tcBorders>
                  <w:noWrap w:val="0"/>
                  <w:vAlign w:val="center"/>
                </w:tcPr>
                <w:p w14:paraId="178D3C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63" w:type="pct"/>
                  <w:tcBorders>
                    <w:tl2br w:val="nil"/>
                    <w:tr2bl w:val="nil"/>
                  </w:tcBorders>
                  <w:noWrap w:val="0"/>
                  <w:vAlign w:val="center"/>
                </w:tcPr>
                <w:p w14:paraId="25FD63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6.2</w:t>
                  </w:r>
                </w:p>
              </w:tc>
              <w:tc>
                <w:tcPr>
                  <w:tcW w:w="443" w:type="pct"/>
                  <w:tcBorders>
                    <w:tl2br w:val="nil"/>
                    <w:tr2bl w:val="nil"/>
                  </w:tcBorders>
                  <w:noWrap w:val="0"/>
                  <w:vAlign w:val="center"/>
                </w:tcPr>
                <w:p w14:paraId="14BFF5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0.0078</w:t>
                  </w:r>
                </w:p>
              </w:tc>
              <w:tc>
                <w:tcPr>
                  <w:tcW w:w="390" w:type="pct"/>
                  <w:tcBorders>
                    <w:tl2br w:val="nil"/>
                    <w:tr2bl w:val="nil"/>
                  </w:tcBorders>
                  <w:noWrap w:val="0"/>
                  <w:vAlign w:val="center"/>
                </w:tcPr>
                <w:p w14:paraId="416E14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3.4</w:t>
                  </w:r>
                </w:p>
              </w:tc>
              <w:tc>
                <w:tcPr>
                  <w:tcW w:w="434" w:type="pct"/>
                  <w:tcBorders>
                    <w:tl2br w:val="nil"/>
                    <w:tr2bl w:val="nil"/>
                  </w:tcBorders>
                  <w:noWrap w:val="0"/>
                  <w:vAlign w:val="center"/>
                </w:tcPr>
                <w:p w14:paraId="4249FF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0.0043</w:t>
                  </w:r>
                </w:p>
              </w:tc>
              <w:tc>
                <w:tcPr>
                  <w:tcW w:w="426" w:type="pct"/>
                  <w:tcBorders>
                    <w:tl2br w:val="nil"/>
                    <w:tr2bl w:val="nil"/>
                  </w:tcBorders>
                  <w:noWrap w:val="0"/>
                  <w:vAlign w:val="center"/>
                </w:tcPr>
                <w:p w14:paraId="430BAB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13.1</w:t>
                  </w:r>
                </w:p>
              </w:tc>
              <w:tc>
                <w:tcPr>
                  <w:tcW w:w="511" w:type="pct"/>
                  <w:tcBorders>
                    <w:tl2br w:val="nil"/>
                    <w:tr2bl w:val="nil"/>
                  </w:tcBorders>
                  <w:noWrap w:val="0"/>
                  <w:vAlign w:val="center"/>
                </w:tcPr>
                <w:p w14:paraId="3D4EE3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0.0164</w:t>
                  </w:r>
                </w:p>
              </w:tc>
              <w:tc>
                <w:tcPr>
                  <w:tcW w:w="313" w:type="pct"/>
                  <w:tcBorders>
                    <w:tl2br w:val="nil"/>
                    <w:tr2bl w:val="nil"/>
                  </w:tcBorders>
                  <w:noWrap w:val="0"/>
                  <w:vAlign w:val="center"/>
                </w:tcPr>
                <w:p w14:paraId="3F0B20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r>
            <w:tr w14:paraId="26107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9C08F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4BA8D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43" w:type="pct"/>
                  <w:tcBorders>
                    <w:tl2br w:val="nil"/>
                    <w:tr2bl w:val="nil"/>
                  </w:tcBorders>
                  <w:noWrap w:val="0"/>
                  <w:vAlign w:val="center"/>
                </w:tcPr>
                <w:p w14:paraId="2F53BC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63" w:type="pct"/>
                  <w:tcBorders>
                    <w:tl2br w:val="nil"/>
                    <w:tr2bl w:val="nil"/>
                  </w:tcBorders>
                  <w:noWrap w:val="0"/>
                  <w:vAlign w:val="center"/>
                </w:tcPr>
                <w:p w14:paraId="03E218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0.146</w:t>
                  </w:r>
                </w:p>
              </w:tc>
              <w:tc>
                <w:tcPr>
                  <w:tcW w:w="443" w:type="pct"/>
                  <w:tcBorders>
                    <w:tl2br w:val="nil"/>
                    <w:tr2bl w:val="nil"/>
                  </w:tcBorders>
                  <w:noWrap w:val="0"/>
                  <w:vAlign w:val="center"/>
                </w:tcPr>
                <w:p w14:paraId="104821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0.0038</w:t>
                  </w:r>
                </w:p>
              </w:tc>
              <w:tc>
                <w:tcPr>
                  <w:tcW w:w="390" w:type="pct"/>
                  <w:tcBorders>
                    <w:tl2br w:val="nil"/>
                    <w:tr2bl w:val="nil"/>
                  </w:tcBorders>
                  <w:noWrap w:val="0"/>
                  <w:vAlign w:val="center"/>
                </w:tcPr>
                <w:p w14:paraId="534D00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0.102</w:t>
                  </w:r>
                </w:p>
              </w:tc>
              <w:tc>
                <w:tcPr>
                  <w:tcW w:w="434" w:type="pct"/>
                  <w:tcBorders>
                    <w:tl2br w:val="nil"/>
                    <w:tr2bl w:val="nil"/>
                  </w:tcBorders>
                  <w:noWrap w:val="0"/>
                  <w:vAlign w:val="center"/>
                </w:tcPr>
                <w:p w14:paraId="68DC3B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0.0027</w:t>
                  </w:r>
                </w:p>
              </w:tc>
              <w:tc>
                <w:tcPr>
                  <w:tcW w:w="426" w:type="pct"/>
                  <w:tcBorders>
                    <w:tl2br w:val="nil"/>
                    <w:tr2bl w:val="nil"/>
                  </w:tcBorders>
                  <w:noWrap w:val="0"/>
                  <w:vAlign w:val="center"/>
                </w:tcPr>
                <w:p w14:paraId="37D81A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0.119</w:t>
                  </w:r>
                </w:p>
              </w:tc>
              <w:tc>
                <w:tcPr>
                  <w:tcW w:w="511" w:type="pct"/>
                  <w:tcBorders>
                    <w:tl2br w:val="nil"/>
                    <w:tr2bl w:val="nil"/>
                  </w:tcBorders>
                  <w:noWrap w:val="0"/>
                  <w:vAlign w:val="center"/>
                </w:tcPr>
                <w:p w14:paraId="6002CB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0.0031</w:t>
                  </w:r>
                </w:p>
              </w:tc>
              <w:tc>
                <w:tcPr>
                  <w:tcW w:w="313" w:type="pct"/>
                  <w:tcBorders>
                    <w:tl2br w:val="nil"/>
                    <w:tr2bl w:val="nil"/>
                  </w:tcBorders>
                  <w:noWrap w:val="0"/>
                  <w:vAlign w:val="center"/>
                </w:tcPr>
                <w:p w14:paraId="74F08C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r>
            <w:tr w14:paraId="3B514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871D2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29700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43" w:type="pct"/>
                  <w:tcBorders>
                    <w:tl2br w:val="nil"/>
                    <w:tr2bl w:val="nil"/>
                  </w:tcBorders>
                  <w:noWrap w:val="0"/>
                  <w:vAlign w:val="center"/>
                </w:tcPr>
                <w:p w14:paraId="673566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 w:type="pct"/>
                  <w:tcBorders>
                    <w:tl2br w:val="nil"/>
                    <w:tr2bl w:val="nil"/>
                  </w:tcBorders>
                  <w:noWrap w:val="0"/>
                  <w:vAlign w:val="center"/>
                </w:tcPr>
                <w:p w14:paraId="325FF7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33</w:t>
                  </w:r>
                </w:p>
              </w:tc>
              <w:tc>
                <w:tcPr>
                  <w:tcW w:w="443" w:type="pct"/>
                  <w:tcBorders>
                    <w:tl2br w:val="nil"/>
                    <w:tr2bl w:val="nil"/>
                  </w:tcBorders>
                  <w:noWrap w:val="0"/>
                  <w:vAlign w:val="center"/>
                </w:tcPr>
                <w:p w14:paraId="454C02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0.0367</w:t>
                  </w:r>
                </w:p>
              </w:tc>
              <w:tc>
                <w:tcPr>
                  <w:tcW w:w="390" w:type="pct"/>
                  <w:tcBorders>
                    <w:tl2br w:val="nil"/>
                    <w:tr2bl w:val="nil"/>
                  </w:tcBorders>
                  <w:noWrap w:val="0"/>
                  <w:vAlign w:val="center"/>
                </w:tcPr>
                <w:p w14:paraId="64D0CB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17</w:t>
                  </w:r>
                </w:p>
              </w:tc>
              <w:tc>
                <w:tcPr>
                  <w:tcW w:w="434" w:type="pct"/>
                  <w:tcBorders>
                    <w:tl2br w:val="nil"/>
                    <w:tr2bl w:val="nil"/>
                  </w:tcBorders>
                  <w:noWrap w:val="0"/>
                  <w:vAlign w:val="center"/>
                </w:tcPr>
                <w:p w14:paraId="063211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0.0189</w:t>
                  </w:r>
                </w:p>
              </w:tc>
              <w:tc>
                <w:tcPr>
                  <w:tcW w:w="426" w:type="pct"/>
                  <w:tcBorders>
                    <w:tl2br w:val="nil"/>
                    <w:tr2bl w:val="nil"/>
                  </w:tcBorders>
                  <w:noWrap w:val="0"/>
                  <w:vAlign w:val="center"/>
                </w:tcPr>
                <w:p w14:paraId="6B9B61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34</w:t>
                  </w:r>
                </w:p>
              </w:tc>
              <w:tc>
                <w:tcPr>
                  <w:tcW w:w="511" w:type="pct"/>
                  <w:tcBorders>
                    <w:tl2br w:val="nil"/>
                    <w:tr2bl w:val="nil"/>
                  </w:tcBorders>
                  <w:noWrap w:val="0"/>
                  <w:vAlign w:val="center"/>
                </w:tcPr>
                <w:p w14:paraId="63ED2D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0.0378</w:t>
                  </w:r>
                </w:p>
              </w:tc>
              <w:tc>
                <w:tcPr>
                  <w:tcW w:w="313" w:type="pct"/>
                  <w:tcBorders>
                    <w:tl2br w:val="nil"/>
                    <w:tr2bl w:val="nil"/>
                  </w:tcBorders>
                  <w:noWrap w:val="0"/>
                  <w:vAlign w:val="center"/>
                </w:tcPr>
                <w:p w14:paraId="0C7DAE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r>
            <w:tr w14:paraId="24C9C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2E8E3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2D688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443" w:type="pct"/>
                  <w:tcBorders>
                    <w:tl2br w:val="nil"/>
                    <w:tr2bl w:val="nil"/>
                  </w:tcBorders>
                  <w:noWrap w:val="0"/>
                  <w:vAlign w:val="center"/>
                </w:tcPr>
                <w:p w14:paraId="4ED176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463" w:type="pct"/>
                  <w:tcBorders>
                    <w:tl2br w:val="nil"/>
                    <w:tr2bl w:val="nil"/>
                  </w:tcBorders>
                  <w:noWrap w:val="0"/>
                  <w:vAlign w:val="center"/>
                </w:tcPr>
                <w:p w14:paraId="538751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34DCE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38D46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0308E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48ACF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2C7DB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FB9A3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r>
            <w:tr w14:paraId="59E07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43D4DB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c>
                <w:tcPr>
                  <w:tcW w:w="1072" w:type="pct"/>
                  <w:tcBorders>
                    <w:tl2br w:val="nil"/>
                    <w:tr2bl w:val="nil"/>
                  </w:tcBorders>
                  <w:noWrap w:val="0"/>
                  <w:vAlign w:val="center"/>
                </w:tcPr>
                <w:p w14:paraId="1E17E7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443" w:type="pct"/>
                  <w:tcBorders>
                    <w:tl2br w:val="nil"/>
                    <w:tr2bl w:val="nil"/>
                  </w:tcBorders>
                  <w:noWrap w:val="0"/>
                  <w:vAlign w:val="center"/>
                </w:tcPr>
                <w:p w14:paraId="6356BD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6BA74D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D2C4D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0B348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290D8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7848A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7A69B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09B72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r>
            <w:tr w14:paraId="0F0D02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BFB39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79438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443" w:type="pct"/>
                  <w:tcBorders>
                    <w:tl2br w:val="nil"/>
                    <w:tr2bl w:val="nil"/>
                  </w:tcBorders>
                  <w:noWrap w:val="0"/>
                  <w:vAlign w:val="center"/>
                </w:tcPr>
                <w:p w14:paraId="0C679C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08A96A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B84AF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769947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2C0E9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982C5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FFA95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88328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r>
            <w:tr w14:paraId="08E34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D0127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3C264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443" w:type="pct"/>
                  <w:tcBorders>
                    <w:tl2br w:val="nil"/>
                    <w:tr2bl w:val="nil"/>
                  </w:tcBorders>
                  <w:noWrap w:val="0"/>
                  <w:vAlign w:val="center"/>
                </w:tcPr>
                <w:p w14:paraId="3443AE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508610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7F7CA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3ED07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0D87C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98C1F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C0034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E1BBE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r>
            <w:tr w14:paraId="09747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940F7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171DD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443" w:type="pct"/>
                  <w:tcBorders>
                    <w:tl2br w:val="nil"/>
                    <w:tr2bl w:val="nil"/>
                  </w:tcBorders>
                  <w:noWrap w:val="0"/>
                  <w:vAlign w:val="center"/>
                </w:tcPr>
                <w:p w14:paraId="4AA46B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164F062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0.0165</w:t>
                  </w:r>
                </w:p>
              </w:tc>
              <w:tc>
                <w:tcPr>
                  <w:tcW w:w="443" w:type="pct"/>
                  <w:tcBorders>
                    <w:tl2br w:val="nil"/>
                    <w:tr2bl w:val="nil"/>
                  </w:tcBorders>
                  <w:noWrap w:val="0"/>
                  <w:vAlign w:val="center"/>
                </w:tcPr>
                <w:p w14:paraId="117CDB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0.00003</w:t>
                  </w:r>
                </w:p>
              </w:tc>
              <w:tc>
                <w:tcPr>
                  <w:tcW w:w="390" w:type="pct"/>
                  <w:tcBorders>
                    <w:tl2br w:val="nil"/>
                    <w:tr2bl w:val="nil"/>
                  </w:tcBorders>
                  <w:noWrap w:val="0"/>
                  <w:vAlign w:val="center"/>
                </w:tcPr>
                <w:p w14:paraId="061621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0.0256</w:t>
                  </w:r>
                </w:p>
              </w:tc>
              <w:tc>
                <w:tcPr>
                  <w:tcW w:w="434" w:type="pct"/>
                  <w:tcBorders>
                    <w:tl2br w:val="nil"/>
                    <w:tr2bl w:val="nil"/>
                  </w:tcBorders>
                  <w:noWrap w:val="0"/>
                  <w:vAlign w:val="center"/>
                </w:tcPr>
                <w:p w14:paraId="5504B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0.00004</w:t>
                  </w:r>
                </w:p>
              </w:tc>
              <w:tc>
                <w:tcPr>
                  <w:tcW w:w="426" w:type="pct"/>
                  <w:tcBorders>
                    <w:tl2br w:val="nil"/>
                    <w:tr2bl w:val="nil"/>
                  </w:tcBorders>
                  <w:noWrap w:val="0"/>
                  <w:vAlign w:val="center"/>
                </w:tcPr>
                <w:p w14:paraId="35FB15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0.0246</w:t>
                  </w:r>
                </w:p>
              </w:tc>
              <w:tc>
                <w:tcPr>
                  <w:tcW w:w="511" w:type="pct"/>
                  <w:tcBorders>
                    <w:tl2br w:val="nil"/>
                    <w:tr2bl w:val="nil"/>
                  </w:tcBorders>
                  <w:noWrap w:val="0"/>
                  <w:vAlign w:val="center"/>
                </w:tcPr>
                <w:p w14:paraId="6E02AB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0.00004</w:t>
                  </w:r>
                </w:p>
              </w:tc>
              <w:tc>
                <w:tcPr>
                  <w:tcW w:w="313" w:type="pct"/>
                  <w:tcBorders>
                    <w:tl2br w:val="nil"/>
                    <w:tr2bl w:val="nil"/>
                  </w:tcBorders>
                  <w:noWrap w:val="0"/>
                  <w:vAlign w:val="center"/>
                </w:tcPr>
                <w:p w14:paraId="120BF7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r>
            <w:tr w14:paraId="4774D6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42844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1F826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反式-1，2-二氯乙烯</w:t>
                  </w:r>
                </w:p>
              </w:tc>
              <w:tc>
                <w:tcPr>
                  <w:tcW w:w="443" w:type="pct"/>
                  <w:tcBorders>
                    <w:tl2br w:val="nil"/>
                    <w:tr2bl w:val="nil"/>
                  </w:tcBorders>
                  <w:noWrap w:val="0"/>
                  <w:vAlign w:val="center"/>
                </w:tcPr>
                <w:p w14:paraId="13A14D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4B2393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42C99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95FAF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6F934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D8FFD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8DC08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02ACC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r>
            <w:tr w14:paraId="43E95F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17434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AD9E6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443" w:type="pct"/>
                  <w:tcBorders>
                    <w:tl2br w:val="nil"/>
                    <w:tr2bl w:val="nil"/>
                  </w:tcBorders>
                  <w:noWrap w:val="0"/>
                  <w:vAlign w:val="center"/>
                </w:tcPr>
                <w:p w14:paraId="663F8E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1DC45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089ED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75234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41566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4F5F2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9CD39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089AE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r>
            <w:tr w14:paraId="527C0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46FFC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702ED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顺式-1，2-二氯乙烯</w:t>
                  </w:r>
                </w:p>
              </w:tc>
              <w:tc>
                <w:tcPr>
                  <w:tcW w:w="443" w:type="pct"/>
                  <w:tcBorders>
                    <w:tl2br w:val="nil"/>
                    <w:tr2bl w:val="nil"/>
                  </w:tcBorders>
                  <w:noWrap w:val="0"/>
                  <w:vAlign w:val="center"/>
                </w:tcPr>
                <w:p w14:paraId="63D287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56F138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53F1C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4C518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7921D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13E19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70F5C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08A7A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r>
            <w:tr w14:paraId="62DC73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A9CED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2BFD0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443" w:type="pct"/>
                  <w:tcBorders>
                    <w:tl2br w:val="nil"/>
                    <w:tr2bl w:val="nil"/>
                  </w:tcBorders>
                  <w:noWrap w:val="0"/>
                  <w:vAlign w:val="center"/>
                </w:tcPr>
                <w:p w14:paraId="0714BB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3C84DD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0.0035</w:t>
                  </w:r>
                </w:p>
              </w:tc>
              <w:tc>
                <w:tcPr>
                  <w:tcW w:w="443" w:type="pct"/>
                  <w:tcBorders>
                    <w:tl2br w:val="nil"/>
                    <w:tr2bl w:val="nil"/>
                  </w:tcBorders>
                  <w:noWrap w:val="0"/>
                  <w:vAlign w:val="center"/>
                </w:tcPr>
                <w:p w14:paraId="3628FD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0.0039</w:t>
                  </w:r>
                </w:p>
              </w:tc>
              <w:tc>
                <w:tcPr>
                  <w:tcW w:w="390" w:type="pct"/>
                  <w:tcBorders>
                    <w:tl2br w:val="nil"/>
                    <w:tr2bl w:val="nil"/>
                  </w:tcBorders>
                  <w:noWrap w:val="0"/>
                  <w:vAlign w:val="center"/>
                </w:tcPr>
                <w:p w14:paraId="5D64C9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0.0032</w:t>
                  </w:r>
                </w:p>
              </w:tc>
              <w:tc>
                <w:tcPr>
                  <w:tcW w:w="434" w:type="pct"/>
                  <w:tcBorders>
                    <w:tl2br w:val="nil"/>
                    <w:tr2bl w:val="nil"/>
                  </w:tcBorders>
                  <w:noWrap w:val="0"/>
                  <w:vAlign w:val="center"/>
                </w:tcPr>
                <w:p w14:paraId="427AB9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0.0036</w:t>
                  </w:r>
                </w:p>
              </w:tc>
              <w:tc>
                <w:tcPr>
                  <w:tcW w:w="426" w:type="pct"/>
                  <w:tcBorders>
                    <w:tl2br w:val="nil"/>
                    <w:tr2bl w:val="nil"/>
                  </w:tcBorders>
                  <w:noWrap w:val="0"/>
                  <w:vAlign w:val="center"/>
                </w:tcPr>
                <w:p w14:paraId="19089D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0.0034</w:t>
                  </w:r>
                </w:p>
              </w:tc>
              <w:tc>
                <w:tcPr>
                  <w:tcW w:w="511" w:type="pct"/>
                  <w:tcBorders>
                    <w:tl2br w:val="nil"/>
                    <w:tr2bl w:val="nil"/>
                  </w:tcBorders>
                  <w:noWrap w:val="0"/>
                  <w:vAlign w:val="center"/>
                </w:tcPr>
                <w:p w14:paraId="68FE39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0.0038</w:t>
                  </w:r>
                </w:p>
              </w:tc>
              <w:tc>
                <w:tcPr>
                  <w:tcW w:w="313" w:type="pct"/>
                  <w:tcBorders>
                    <w:tl2br w:val="nil"/>
                    <w:tr2bl w:val="nil"/>
                  </w:tcBorders>
                  <w:noWrap w:val="0"/>
                  <w:vAlign w:val="center"/>
                </w:tcPr>
                <w:p w14:paraId="4412BF9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r>
            <w:tr w14:paraId="65FBC8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DE652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15409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443" w:type="pct"/>
                  <w:tcBorders>
                    <w:tl2br w:val="nil"/>
                    <w:tr2bl w:val="nil"/>
                  </w:tcBorders>
                  <w:noWrap w:val="0"/>
                  <w:vAlign w:val="center"/>
                </w:tcPr>
                <w:p w14:paraId="5F786F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636810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5B9E4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13535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1A787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2E3AF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BE6B4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CFAB5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1683E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7B62E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D05F9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443" w:type="pct"/>
                  <w:tcBorders>
                    <w:tl2br w:val="nil"/>
                    <w:tr2bl w:val="nil"/>
                  </w:tcBorders>
                  <w:noWrap w:val="0"/>
                  <w:vAlign w:val="center"/>
                </w:tcPr>
                <w:p w14:paraId="78E67D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CDDF5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83A02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CB97F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1C20E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14BD9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AF84D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4AA21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5DD98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8814B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A6B6C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443" w:type="pct"/>
                  <w:tcBorders>
                    <w:tl2br w:val="nil"/>
                    <w:tr2bl w:val="nil"/>
                  </w:tcBorders>
                  <w:noWrap w:val="0"/>
                  <w:vAlign w:val="center"/>
                </w:tcPr>
                <w:p w14:paraId="1823BD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49D710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51ABB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C5202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ED5CB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6F41D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4EDE9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BF4FD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76238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E56E8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FFB37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443" w:type="pct"/>
                  <w:tcBorders>
                    <w:tl2br w:val="nil"/>
                    <w:tr2bl w:val="nil"/>
                  </w:tcBorders>
                  <w:noWrap w:val="0"/>
                  <w:vAlign w:val="center"/>
                </w:tcPr>
                <w:p w14:paraId="025F9C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0.0019</w:t>
                  </w:r>
                </w:p>
              </w:tc>
              <w:tc>
                <w:tcPr>
                  <w:tcW w:w="463" w:type="pct"/>
                  <w:tcBorders>
                    <w:tl2br w:val="nil"/>
                    <w:tr2bl w:val="nil"/>
                  </w:tcBorders>
                  <w:noWrap w:val="0"/>
                  <w:vAlign w:val="center"/>
                </w:tcPr>
                <w:p w14:paraId="63EE0E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79518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657CF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5E4FD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9D78E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C827E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F2163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2B3B8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F0582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ACCCC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443" w:type="pct"/>
                  <w:tcBorders>
                    <w:tl2br w:val="nil"/>
                    <w:tr2bl w:val="nil"/>
                  </w:tcBorders>
                  <w:noWrap w:val="0"/>
                  <w:vAlign w:val="center"/>
                </w:tcPr>
                <w:p w14:paraId="03736F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5B2FEA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7276F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345F6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240CD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8DF92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4FEFB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4DF6A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2384D5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2D39C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59B51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443" w:type="pct"/>
                  <w:tcBorders>
                    <w:tl2br w:val="nil"/>
                    <w:tr2bl w:val="nil"/>
                  </w:tcBorders>
                  <w:noWrap w:val="0"/>
                  <w:vAlign w:val="center"/>
                </w:tcPr>
                <w:p w14:paraId="7B4D93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3149F8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88104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D83E9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89933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7E456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82BCE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15448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3D363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C14AC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21D86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443" w:type="pct"/>
                  <w:tcBorders>
                    <w:tl2br w:val="nil"/>
                    <w:tr2bl w:val="nil"/>
                  </w:tcBorders>
                  <w:noWrap w:val="0"/>
                  <w:vAlign w:val="center"/>
                </w:tcPr>
                <w:p w14:paraId="2D317F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DA539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62249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DE691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D3F7B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951FD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6C0DA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3E605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096DE3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0ADFA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54F3E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443" w:type="pct"/>
                  <w:tcBorders>
                    <w:tl2br w:val="nil"/>
                    <w:tr2bl w:val="nil"/>
                  </w:tcBorders>
                  <w:noWrap w:val="0"/>
                  <w:vAlign w:val="center"/>
                </w:tcPr>
                <w:p w14:paraId="29220C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77331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DDB59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A693B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4C312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FB76B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6F8F8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CF9E9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4873A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08C5B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D89F0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443" w:type="pct"/>
                  <w:tcBorders>
                    <w:tl2br w:val="nil"/>
                    <w:tr2bl w:val="nil"/>
                  </w:tcBorders>
                  <w:noWrap w:val="0"/>
                  <w:vAlign w:val="center"/>
                </w:tcPr>
                <w:p w14:paraId="29B7A8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377CE6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31971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9351C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10495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C371E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73DEB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0F2E2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r>
            <w:tr w14:paraId="4F5A9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94EA7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4C7AE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443" w:type="pct"/>
                  <w:tcBorders>
                    <w:tl2br w:val="nil"/>
                    <w:tr2bl w:val="nil"/>
                  </w:tcBorders>
                  <w:noWrap w:val="0"/>
                  <w:vAlign w:val="center"/>
                </w:tcPr>
                <w:p w14:paraId="379203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F8C93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A254C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5282E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FFD90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A2D2F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FBEA6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CF09E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r>
            <w:tr w14:paraId="44FB49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87B54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6FF2E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443" w:type="pct"/>
                  <w:tcBorders>
                    <w:tl2br w:val="nil"/>
                    <w:tr2bl w:val="nil"/>
                  </w:tcBorders>
                  <w:noWrap w:val="0"/>
                  <w:vAlign w:val="center"/>
                </w:tcPr>
                <w:p w14:paraId="29273C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495F3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44617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1FBCB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E5A78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5330E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39FA6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10E61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08FFD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1C87B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8E006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443" w:type="pct"/>
                  <w:tcBorders>
                    <w:tl2br w:val="nil"/>
                    <w:tr2bl w:val="nil"/>
                  </w:tcBorders>
                  <w:noWrap w:val="0"/>
                  <w:vAlign w:val="center"/>
                </w:tcPr>
                <w:p w14:paraId="774116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05780C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4098E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5B4B8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B45F3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8982B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846C57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F8340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7387A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02EDA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D671B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对，间二甲苯</w:t>
                  </w:r>
                </w:p>
              </w:tc>
              <w:tc>
                <w:tcPr>
                  <w:tcW w:w="443" w:type="pct"/>
                  <w:tcBorders>
                    <w:tl2br w:val="nil"/>
                    <w:tr2bl w:val="nil"/>
                  </w:tcBorders>
                  <w:noWrap w:val="0"/>
                  <w:vAlign w:val="center"/>
                </w:tcPr>
                <w:p w14:paraId="4AF158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BCF31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F3C98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022A1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5842B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15F9A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6ECC84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0B824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61795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F0D75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8F13E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443" w:type="pct"/>
                  <w:tcBorders>
                    <w:tl2br w:val="nil"/>
                    <w:tr2bl w:val="nil"/>
                  </w:tcBorders>
                  <w:noWrap w:val="0"/>
                  <w:vAlign w:val="center"/>
                </w:tcPr>
                <w:p w14:paraId="246DD2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8C92B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AF654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94069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E6A8C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BB22A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2D3CF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2DB03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00F9A7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78715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7CE3D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443" w:type="pct"/>
                  <w:tcBorders>
                    <w:tl2br w:val="nil"/>
                    <w:tr2bl w:val="nil"/>
                  </w:tcBorders>
                  <w:noWrap w:val="0"/>
                  <w:vAlign w:val="center"/>
                </w:tcPr>
                <w:p w14:paraId="697368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2041FA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B376B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DA406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77026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A7761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EFC47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DB657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45BE5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2869A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2775D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443" w:type="pct"/>
                  <w:tcBorders>
                    <w:tl2br w:val="nil"/>
                    <w:tr2bl w:val="nil"/>
                  </w:tcBorders>
                  <w:noWrap w:val="0"/>
                  <w:vAlign w:val="center"/>
                </w:tcPr>
                <w:p w14:paraId="3023B9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37496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888D0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63D01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6FE7A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CC7CD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20665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AC383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r>
            <w:tr w14:paraId="57A8B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8138C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098FD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443" w:type="pct"/>
                  <w:tcBorders>
                    <w:tl2br w:val="nil"/>
                    <w:tr2bl w:val="nil"/>
                  </w:tcBorders>
                  <w:noWrap w:val="0"/>
                  <w:vAlign w:val="center"/>
                </w:tcPr>
                <w:p w14:paraId="5079AD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5190B8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ACD0C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C0C93C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F275A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00D51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B4A75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CC076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r>
            <w:tr w14:paraId="4CA738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1B89C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F7FB6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443" w:type="pct"/>
                  <w:tcBorders>
                    <w:tl2br w:val="nil"/>
                    <w:tr2bl w:val="nil"/>
                  </w:tcBorders>
                  <w:noWrap w:val="0"/>
                  <w:vAlign w:val="center"/>
                </w:tcPr>
                <w:p w14:paraId="1CD088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395C98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45879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45F51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E21B4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0B98B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B6440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E567E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6656F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F9641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FE02C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443" w:type="pct"/>
                  <w:tcBorders>
                    <w:tl2br w:val="nil"/>
                    <w:tr2bl w:val="nil"/>
                  </w:tcBorders>
                  <w:noWrap w:val="0"/>
                  <w:vAlign w:val="center"/>
                </w:tcPr>
                <w:p w14:paraId="139FFF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060DAE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FF53CC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F5289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1A670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DC9E5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699F2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A4D32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4C722C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3441C8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c>
                <w:tcPr>
                  <w:tcW w:w="1072" w:type="pct"/>
                  <w:tcBorders>
                    <w:tl2br w:val="nil"/>
                    <w:tr2bl w:val="nil"/>
                  </w:tcBorders>
                  <w:noWrap w:val="0"/>
                  <w:vAlign w:val="center"/>
                </w:tcPr>
                <w:p w14:paraId="665D28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443" w:type="pct"/>
                  <w:tcBorders>
                    <w:tl2br w:val="nil"/>
                    <w:tr2bl w:val="nil"/>
                  </w:tcBorders>
                  <w:noWrap w:val="0"/>
                  <w:vAlign w:val="center"/>
                </w:tcPr>
                <w:p w14:paraId="72A097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63" w:type="pct"/>
                  <w:tcBorders>
                    <w:tl2br w:val="nil"/>
                    <w:tr2bl w:val="nil"/>
                  </w:tcBorders>
                  <w:noWrap w:val="0"/>
                  <w:vAlign w:val="center"/>
                </w:tcPr>
                <w:p w14:paraId="2F8EB1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020DD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9053E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377DF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5F142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D52C0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D2E8C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r>
            <w:tr w14:paraId="1DC4C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D5F7B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4F3CF8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2-氯苯酚</w:t>
                  </w:r>
                </w:p>
              </w:tc>
              <w:tc>
                <w:tcPr>
                  <w:tcW w:w="443" w:type="pct"/>
                  <w:tcBorders>
                    <w:tl2br w:val="nil"/>
                    <w:tr2bl w:val="nil"/>
                  </w:tcBorders>
                  <w:noWrap w:val="0"/>
                  <w:vAlign w:val="center"/>
                </w:tcPr>
                <w:p w14:paraId="439C21C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3" w:type="pct"/>
                  <w:tcBorders>
                    <w:tl2br w:val="nil"/>
                    <w:tr2bl w:val="nil"/>
                  </w:tcBorders>
                  <w:noWrap w:val="0"/>
                  <w:vAlign w:val="center"/>
                </w:tcPr>
                <w:p w14:paraId="7156B0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38A5E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142EF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3B15E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9E666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D562D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CA664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r>
            <w:tr w14:paraId="61FED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DAD40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FE7B1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443" w:type="pct"/>
                  <w:tcBorders>
                    <w:tl2br w:val="nil"/>
                    <w:tr2bl w:val="nil"/>
                  </w:tcBorders>
                  <w:noWrap w:val="0"/>
                  <w:vAlign w:val="center"/>
                </w:tcPr>
                <w:p w14:paraId="312778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2F7391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06878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8A8DF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A85DB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69E9F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CBD73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1CAE8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73B1F3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4E396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EA33C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443" w:type="pct"/>
                  <w:tcBorders>
                    <w:tl2br w:val="nil"/>
                    <w:tr2bl w:val="nil"/>
                  </w:tcBorders>
                  <w:noWrap w:val="0"/>
                  <w:vAlign w:val="center"/>
                </w:tcPr>
                <w:p w14:paraId="6DA20D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6B3672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C4147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BFB7E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F3DCF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25618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FD6BA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9853B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r>
            <w:tr w14:paraId="1869FA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2D312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41F40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443" w:type="pct"/>
                  <w:tcBorders>
                    <w:tl2br w:val="nil"/>
                    <w:tr2bl w:val="nil"/>
                  </w:tcBorders>
                  <w:noWrap w:val="0"/>
                  <w:vAlign w:val="center"/>
                </w:tcPr>
                <w:p w14:paraId="332715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47E4E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FD012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A4F10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25FDC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9FF46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B1939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07A46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6C0E8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3CADA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DEA37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443" w:type="pct"/>
                  <w:tcBorders>
                    <w:tl2br w:val="nil"/>
                    <w:tr2bl w:val="nil"/>
                  </w:tcBorders>
                  <w:noWrap w:val="0"/>
                  <w:vAlign w:val="center"/>
                </w:tcPr>
                <w:p w14:paraId="02B229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11FF8D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29D65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0C9EA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FE559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2B96F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572C5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DF279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r>
            <w:tr w14:paraId="09D71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5A317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2D7D1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443" w:type="pct"/>
                  <w:tcBorders>
                    <w:tl2br w:val="nil"/>
                    <w:tr2bl w:val="nil"/>
                  </w:tcBorders>
                  <w:noWrap w:val="0"/>
                  <w:vAlign w:val="center"/>
                </w:tcPr>
                <w:p w14:paraId="7AC8D4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463" w:type="pct"/>
                  <w:tcBorders>
                    <w:tl2br w:val="nil"/>
                    <w:tr2bl w:val="nil"/>
                  </w:tcBorders>
                  <w:noWrap w:val="0"/>
                  <w:vAlign w:val="center"/>
                </w:tcPr>
                <w:p w14:paraId="4C5935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4EE9C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1A731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4886C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A77FC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BE905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E7FAB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30AF7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B14A3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A9C2A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443" w:type="pct"/>
                  <w:tcBorders>
                    <w:tl2br w:val="nil"/>
                    <w:tr2bl w:val="nil"/>
                  </w:tcBorders>
                  <w:noWrap w:val="0"/>
                  <w:vAlign w:val="center"/>
                </w:tcPr>
                <w:p w14:paraId="2B9198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1E029D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FEFAC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B1719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F246F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921F9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9D07D2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70CA2D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408921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BBC65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A27C4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443" w:type="pct"/>
                  <w:tcBorders>
                    <w:tl2br w:val="nil"/>
                    <w:tr2bl w:val="nil"/>
                  </w:tcBorders>
                  <w:noWrap w:val="0"/>
                  <w:vAlign w:val="center"/>
                </w:tcPr>
                <w:p w14:paraId="10FA15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04D2F5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ED3BB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9FD4C8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034BB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6CCB2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E26EB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6AC38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1101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FDF16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60CCF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443" w:type="pct"/>
                  <w:tcBorders>
                    <w:tl2br w:val="nil"/>
                    <w:tr2bl w:val="nil"/>
                  </w:tcBorders>
                  <w:noWrap w:val="0"/>
                  <w:vAlign w:val="center"/>
                </w:tcPr>
                <w:p w14:paraId="0DC4CA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1B0A25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D0588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5D92E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3B70C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4CF90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9D9F3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97807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62757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8E40F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742EF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443" w:type="pct"/>
                  <w:tcBorders>
                    <w:tl2br w:val="nil"/>
                    <w:tr2bl w:val="nil"/>
                  </w:tcBorders>
                  <w:noWrap w:val="0"/>
                  <w:vAlign w:val="center"/>
                </w:tcPr>
                <w:p w14:paraId="67E131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3C118C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30E0D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02B16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885A3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60480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841B7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B21CB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1D619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tcBorders>
                    <w:tl2br w:val="nil"/>
                    <w:tr2bl w:val="nil"/>
                  </w:tcBorders>
                  <w:noWrap w:val="0"/>
                  <w:vAlign w:val="center"/>
                </w:tcPr>
                <w:p w14:paraId="037031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石油烃类</w:t>
                  </w:r>
                </w:p>
              </w:tc>
              <w:tc>
                <w:tcPr>
                  <w:tcW w:w="1072" w:type="pct"/>
                  <w:tcBorders>
                    <w:tl2br w:val="nil"/>
                    <w:tr2bl w:val="nil"/>
                  </w:tcBorders>
                  <w:noWrap w:val="0"/>
                  <w:vAlign w:val="center"/>
                </w:tcPr>
                <w:p w14:paraId="1164BC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石油烃（C</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vertAlign w:val="subscript"/>
                    </w:rPr>
                    <w:t>40</w:t>
                  </w:r>
                  <w:r>
                    <w:rPr>
                      <w:rFonts w:hint="default" w:ascii="Times New Roman" w:hAnsi="Times New Roman" w:eastAsia="宋体" w:cs="Times New Roman"/>
                      <w:color w:val="auto"/>
                      <w:sz w:val="18"/>
                      <w:szCs w:val="18"/>
                    </w:rPr>
                    <w:t>）</w:t>
                  </w:r>
                </w:p>
              </w:tc>
              <w:tc>
                <w:tcPr>
                  <w:tcW w:w="443" w:type="pct"/>
                  <w:tcBorders>
                    <w:tl2br w:val="nil"/>
                    <w:tr2bl w:val="nil"/>
                  </w:tcBorders>
                  <w:noWrap w:val="0"/>
                  <w:vAlign w:val="center"/>
                </w:tcPr>
                <w:p w14:paraId="49E21C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63" w:type="pct"/>
                  <w:tcBorders>
                    <w:tl2br w:val="nil"/>
                    <w:tr2bl w:val="nil"/>
                  </w:tcBorders>
                  <w:noWrap w:val="0"/>
                  <w:vAlign w:val="center"/>
                </w:tcPr>
                <w:p w14:paraId="459AF7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443" w:type="pct"/>
                  <w:tcBorders>
                    <w:tl2br w:val="nil"/>
                    <w:tr2bl w:val="nil"/>
                  </w:tcBorders>
                  <w:noWrap w:val="0"/>
                  <w:vAlign w:val="center"/>
                </w:tcPr>
                <w:p w14:paraId="7CC36B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0.0047</w:t>
                  </w:r>
                </w:p>
              </w:tc>
              <w:tc>
                <w:tcPr>
                  <w:tcW w:w="390" w:type="pct"/>
                  <w:tcBorders>
                    <w:tl2br w:val="nil"/>
                    <w:tr2bl w:val="nil"/>
                  </w:tcBorders>
                  <w:noWrap w:val="0"/>
                  <w:vAlign w:val="center"/>
                </w:tcPr>
                <w:p w14:paraId="60A392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434" w:type="pct"/>
                  <w:tcBorders>
                    <w:tl2br w:val="nil"/>
                    <w:tr2bl w:val="nil"/>
                  </w:tcBorders>
                  <w:noWrap w:val="0"/>
                  <w:vAlign w:val="center"/>
                </w:tcPr>
                <w:p w14:paraId="66E075B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0.0027</w:t>
                  </w:r>
                </w:p>
              </w:tc>
              <w:tc>
                <w:tcPr>
                  <w:tcW w:w="426" w:type="pct"/>
                  <w:tcBorders>
                    <w:tl2br w:val="nil"/>
                    <w:tr2bl w:val="nil"/>
                  </w:tcBorders>
                  <w:noWrap w:val="0"/>
                  <w:vAlign w:val="center"/>
                </w:tcPr>
                <w:p w14:paraId="33E1D9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w:t>
                  </w:r>
                </w:p>
              </w:tc>
              <w:tc>
                <w:tcPr>
                  <w:tcW w:w="511" w:type="pct"/>
                  <w:tcBorders>
                    <w:tl2br w:val="nil"/>
                    <w:tr2bl w:val="nil"/>
                  </w:tcBorders>
                  <w:noWrap w:val="0"/>
                  <w:vAlign w:val="center"/>
                </w:tcPr>
                <w:p w14:paraId="4C165F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0.0049</w:t>
                  </w:r>
                </w:p>
              </w:tc>
              <w:tc>
                <w:tcPr>
                  <w:tcW w:w="313" w:type="pct"/>
                  <w:tcBorders>
                    <w:tl2br w:val="nil"/>
                    <w:tr2bl w:val="nil"/>
                  </w:tcBorders>
                  <w:noWrap w:val="0"/>
                  <w:vAlign w:val="center"/>
                </w:tcPr>
                <w:p w14:paraId="38A359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r w14:paraId="41D11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restart"/>
                  <w:tcBorders>
                    <w:tl2br w:val="nil"/>
                    <w:tr2bl w:val="nil"/>
                  </w:tcBorders>
                  <w:noWrap w:val="0"/>
                  <w:vAlign w:val="center"/>
                </w:tcPr>
                <w:p w14:paraId="2314AB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监测点位</w:t>
                  </w:r>
                </w:p>
              </w:tc>
              <w:tc>
                <w:tcPr>
                  <w:tcW w:w="443" w:type="pct"/>
                  <w:vMerge w:val="restart"/>
                  <w:tcBorders>
                    <w:tl2br w:val="nil"/>
                    <w:tr2bl w:val="nil"/>
                  </w:tcBorders>
                  <w:noWrap w:val="0"/>
                  <w:vAlign w:val="center"/>
                </w:tcPr>
                <w:p w14:paraId="32BA4E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检出限</w:t>
                  </w:r>
                </w:p>
              </w:tc>
              <w:tc>
                <w:tcPr>
                  <w:tcW w:w="2669" w:type="pct"/>
                  <w:gridSpan w:val="6"/>
                  <w:tcBorders>
                    <w:tl2br w:val="nil"/>
                    <w:tr2bl w:val="nil"/>
                  </w:tcBorders>
                  <w:noWrap w:val="0"/>
                  <w:vAlign w:val="center"/>
                </w:tcPr>
                <w:p w14:paraId="3CBEBE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厂区内T4工业油脂卸车旁</w:t>
                  </w:r>
                </w:p>
              </w:tc>
              <w:tc>
                <w:tcPr>
                  <w:tcW w:w="313" w:type="pct"/>
                  <w:vMerge w:val="restart"/>
                  <w:tcBorders>
                    <w:tl2br w:val="nil"/>
                    <w:tr2bl w:val="nil"/>
                  </w:tcBorders>
                  <w:noWrap w:val="0"/>
                  <w:vAlign w:val="center"/>
                </w:tcPr>
                <w:p w14:paraId="4992BC8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筛选值</w:t>
                  </w:r>
                </w:p>
              </w:tc>
            </w:tr>
            <w:tr w14:paraId="174A83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continue"/>
                  <w:tcBorders>
                    <w:tl2br w:val="nil"/>
                    <w:tr2bl w:val="nil"/>
                  </w:tcBorders>
                  <w:noWrap w:val="0"/>
                  <w:vAlign w:val="center"/>
                </w:tcPr>
                <w:p w14:paraId="5C5310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443" w:type="pct"/>
                  <w:vMerge w:val="continue"/>
                  <w:tcBorders>
                    <w:tl2br w:val="nil"/>
                    <w:tr2bl w:val="nil"/>
                  </w:tcBorders>
                  <w:noWrap w:val="0"/>
                  <w:vAlign w:val="center"/>
                </w:tcPr>
                <w:p w14:paraId="66B910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907" w:type="pct"/>
                  <w:gridSpan w:val="2"/>
                  <w:tcBorders>
                    <w:tl2br w:val="nil"/>
                    <w:tr2bl w:val="nil"/>
                  </w:tcBorders>
                  <w:noWrap w:val="0"/>
                  <w:vAlign w:val="center"/>
                </w:tcPr>
                <w:p w14:paraId="7E7712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0-0.5m</w:t>
                  </w:r>
                </w:p>
              </w:tc>
              <w:tc>
                <w:tcPr>
                  <w:tcW w:w="824" w:type="pct"/>
                  <w:gridSpan w:val="2"/>
                  <w:tcBorders>
                    <w:tl2br w:val="nil"/>
                    <w:tr2bl w:val="nil"/>
                  </w:tcBorders>
                  <w:noWrap w:val="0"/>
                  <w:vAlign w:val="center"/>
                </w:tcPr>
                <w:p w14:paraId="72B2E4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0.5-1.5m</w:t>
                  </w:r>
                </w:p>
              </w:tc>
              <w:tc>
                <w:tcPr>
                  <w:tcW w:w="937" w:type="pct"/>
                  <w:gridSpan w:val="2"/>
                  <w:tcBorders>
                    <w:tl2br w:val="nil"/>
                    <w:tr2bl w:val="nil"/>
                  </w:tcBorders>
                  <w:noWrap w:val="0"/>
                  <w:vAlign w:val="center"/>
                </w:tcPr>
                <w:p w14:paraId="6AB68B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1.5-3.0m</w:t>
                  </w:r>
                </w:p>
              </w:tc>
              <w:tc>
                <w:tcPr>
                  <w:tcW w:w="313" w:type="pct"/>
                  <w:vMerge w:val="continue"/>
                  <w:tcBorders>
                    <w:tl2br w:val="nil"/>
                    <w:tr2bl w:val="nil"/>
                  </w:tcBorders>
                  <w:noWrap w:val="0"/>
                  <w:vAlign w:val="center"/>
                </w:tcPr>
                <w:p w14:paraId="7CA673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r>
            <w:tr w14:paraId="3FC2E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tcBorders>
                    <w:tl2br w:val="nil"/>
                    <w:tr2bl w:val="nil"/>
                  </w:tcBorders>
                  <w:noWrap w:val="0"/>
                  <w:vAlign w:val="center"/>
                </w:tcPr>
                <w:p w14:paraId="091749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监测项目</w:t>
                  </w:r>
                </w:p>
              </w:tc>
              <w:tc>
                <w:tcPr>
                  <w:tcW w:w="443" w:type="pct"/>
                  <w:vMerge w:val="continue"/>
                  <w:tcBorders>
                    <w:tl2br w:val="nil"/>
                    <w:tr2bl w:val="nil"/>
                  </w:tcBorders>
                  <w:noWrap w:val="0"/>
                  <w:vAlign w:val="center"/>
                </w:tcPr>
                <w:p w14:paraId="1FA930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463" w:type="pct"/>
                  <w:tcBorders>
                    <w:tl2br w:val="nil"/>
                    <w:tr2bl w:val="nil"/>
                  </w:tcBorders>
                  <w:noWrap w:val="0"/>
                  <w:vAlign w:val="center"/>
                </w:tcPr>
                <w:p w14:paraId="5D250D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443" w:type="pct"/>
                  <w:tcBorders>
                    <w:tl2br w:val="nil"/>
                    <w:tr2bl w:val="nil"/>
                  </w:tcBorders>
                  <w:noWrap w:val="0"/>
                  <w:vAlign w:val="center"/>
                </w:tcPr>
                <w:p w14:paraId="5D53D8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390" w:type="pct"/>
                  <w:tcBorders>
                    <w:tl2br w:val="nil"/>
                    <w:tr2bl w:val="nil"/>
                  </w:tcBorders>
                  <w:noWrap w:val="0"/>
                  <w:vAlign w:val="center"/>
                </w:tcPr>
                <w:p w14:paraId="31C9F2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434" w:type="pct"/>
                  <w:tcBorders>
                    <w:tl2br w:val="nil"/>
                    <w:tr2bl w:val="nil"/>
                  </w:tcBorders>
                  <w:noWrap w:val="0"/>
                  <w:vAlign w:val="center"/>
                </w:tcPr>
                <w:p w14:paraId="03FA5B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426" w:type="pct"/>
                  <w:tcBorders>
                    <w:tl2br w:val="nil"/>
                    <w:tr2bl w:val="nil"/>
                  </w:tcBorders>
                  <w:noWrap w:val="0"/>
                  <w:vAlign w:val="center"/>
                </w:tcPr>
                <w:p w14:paraId="2E14EC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511" w:type="pct"/>
                  <w:tcBorders>
                    <w:tl2br w:val="nil"/>
                    <w:tr2bl w:val="nil"/>
                  </w:tcBorders>
                  <w:noWrap w:val="0"/>
                  <w:vAlign w:val="center"/>
                </w:tcPr>
                <w:p w14:paraId="26B657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313" w:type="pct"/>
                  <w:vMerge w:val="continue"/>
                  <w:tcBorders>
                    <w:tl2br w:val="nil"/>
                    <w:tr2bl w:val="nil"/>
                  </w:tcBorders>
                  <w:noWrap w:val="0"/>
                  <w:vAlign w:val="center"/>
                </w:tcPr>
                <w:p w14:paraId="28B721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r>
            <w:tr w14:paraId="415C0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57E6F3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c>
                <w:tcPr>
                  <w:tcW w:w="1072" w:type="pct"/>
                  <w:tcBorders>
                    <w:tl2br w:val="nil"/>
                    <w:tr2bl w:val="nil"/>
                  </w:tcBorders>
                  <w:noWrap w:val="0"/>
                  <w:vAlign w:val="center"/>
                </w:tcPr>
                <w:p w14:paraId="37C4FF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443" w:type="pct"/>
                  <w:tcBorders>
                    <w:tl2br w:val="nil"/>
                    <w:tr2bl w:val="nil"/>
                  </w:tcBorders>
                  <w:noWrap w:val="0"/>
                  <w:vAlign w:val="center"/>
                </w:tcPr>
                <w:p w14:paraId="448A28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63" w:type="pct"/>
                  <w:tcBorders>
                    <w:tl2br w:val="nil"/>
                    <w:tr2bl w:val="nil"/>
                  </w:tcBorders>
                  <w:noWrap w:val="0"/>
                  <w:vAlign w:val="center"/>
                </w:tcPr>
                <w:p w14:paraId="763364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8.29</w:t>
                  </w:r>
                </w:p>
              </w:tc>
              <w:tc>
                <w:tcPr>
                  <w:tcW w:w="443" w:type="pct"/>
                  <w:tcBorders>
                    <w:tl2br w:val="nil"/>
                    <w:tr2bl w:val="nil"/>
                  </w:tcBorders>
                  <w:noWrap w:val="0"/>
                  <w:vAlign w:val="center"/>
                </w:tcPr>
                <w:p w14:paraId="65A00A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AC5BC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8.23</w:t>
                  </w:r>
                </w:p>
              </w:tc>
              <w:tc>
                <w:tcPr>
                  <w:tcW w:w="434" w:type="pct"/>
                  <w:tcBorders>
                    <w:tl2br w:val="nil"/>
                    <w:tr2bl w:val="nil"/>
                  </w:tcBorders>
                  <w:noWrap w:val="0"/>
                  <w:vAlign w:val="center"/>
                </w:tcPr>
                <w:p w14:paraId="1E8839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909DB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8.36</w:t>
                  </w:r>
                </w:p>
              </w:tc>
              <w:tc>
                <w:tcPr>
                  <w:tcW w:w="511" w:type="pct"/>
                  <w:tcBorders>
                    <w:tl2br w:val="nil"/>
                    <w:tr2bl w:val="nil"/>
                  </w:tcBorders>
                  <w:noWrap w:val="0"/>
                  <w:vAlign w:val="center"/>
                </w:tcPr>
                <w:p w14:paraId="6C06F3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5BD8A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6FBCF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2" w:hRule="atLeast"/>
              </w:trPr>
              <w:tc>
                <w:tcPr>
                  <w:tcW w:w="501" w:type="pct"/>
                  <w:vMerge w:val="continue"/>
                  <w:tcBorders>
                    <w:tl2br w:val="nil"/>
                    <w:tr2bl w:val="nil"/>
                  </w:tcBorders>
                  <w:noWrap w:val="0"/>
                  <w:vAlign w:val="center"/>
                </w:tcPr>
                <w:p w14:paraId="16D27F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D56C8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43" w:type="pct"/>
                  <w:tcBorders>
                    <w:tl2br w:val="nil"/>
                    <w:tr2bl w:val="nil"/>
                  </w:tcBorders>
                  <w:noWrap w:val="0"/>
                  <w:vAlign w:val="center"/>
                </w:tcPr>
                <w:p w14:paraId="4FF3D6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579B85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11.5</w:t>
                  </w:r>
                </w:p>
              </w:tc>
              <w:tc>
                <w:tcPr>
                  <w:tcW w:w="443" w:type="pct"/>
                  <w:tcBorders>
                    <w:tl2br w:val="nil"/>
                    <w:tr2bl w:val="nil"/>
                  </w:tcBorders>
                  <w:noWrap w:val="0"/>
                  <w:vAlign w:val="center"/>
                </w:tcPr>
                <w:p w14:paraId="69D31D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0.1917</w:t>
                  </w:r>
                </w:p>
              </w:tc>
              <w:tc>
                <w:tcPr>
                  <w:tcW w:w="390" w:type="pct"/>
                  <w:tcBorders>
                    <w:tl2br w:val="nil"/>
                    <w:tr2bl w:val="nil"/>
                  </w:tcBorders>
                  <w:noWrap w:val="0"/>
                  <w:vAlign w:val="center"/>
                </w:tcPr>
                <w:p w14:paraId="229DB8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5.79</w:t>
                  </w:r>
                </w:p>
              </w:tc>
              <w:tc>
                <w:tcPr>
                  <w:tcW w:w="434" w:type="pct"/>
                  <w:tcBorders>
                    <w:tl2br w:val="nil"/>
                    <w:tr2bl w:val="nil"/>
                  </w:tcBorders>
                  <w:noWrap w:val="0"/>
                  <w:vAlign w:val="center"/>
                </w:tcPr>
                <w:p w14:paraId="4F5584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0.0965</w:t>
                  </w:r>
                </w:p>
              </w:tc>
              <w:tc>
                <w:tcPr>
                  <w:tcW w:w="426" w:type="pct"/>
                  <w:tcBorders>
                    <w:tl2br w:val="nil"/>
                    <w:tr2bl w:val="nil"/>
                  </w:tcBorders>
                  <w:noWrap w:val="0"/>
                  <w:vAlign w:val="center"/>
                </w:tcPr>
                <w:p w14:paraId="77007D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w:t>
                  </w:r>
                </w:p>
              </w:tc>
              <w:tc>
                <w:tcPr>
                  <w:tcW w:w="511" w:type="pct"/>
                  <w:tcBorders>
                    <w:tl2br w:val="nil"/>
                    <w:tr2bl w:val="nil"/>
                  </w:tcBorders>
                  <w:noWrap w:val="0"/>
                  <w:vAlign w:val="center"/>
                </w:tcPr>
                <w:p w14:paraId="4BC2A1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0.1233</w:t>
                  </w:r>
                </w:p>
              </w:tc>
              <w:tc>
                <w:tcPr>
                  <w:tcW w:w="313" w:type="pct"/>
                  <w:tcBorders>
                    <w:tl2br w:val="nil"/>
                    <w:tr2bl w:val="nil"/>
                  </w:tcBorders>
                  <w:noWrap w:val="0"/>
                  <w:vAlign w:val="center"/>
                </w:tcPr>
                <w:p w14:paraId="403968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r>
            <w:tr w14:paraId="5E7D8D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DB300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D6256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43" w:type="pct"/>
                  <w:tcBorders>
                    <w:tl2br w:val="nil"/>
                    <w:tr2bl w:val="nil"/>
                  </w:tcBorders>
                  <w:noWrap w:val="0"/>
                  <w:vAlign w:val="center"/>
                </w:tcPr>
                <w:p w14:paraId="4213BD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5BC8C9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0.14</w:t>
                  </w:r>
                </w:p>
              </w:tc>
              <w:tc>
                <w:tcPr>
                  <w:tcW w:w="443" w:type="pct"/>
                  <w:tcBorders>
                    <w:tl2br w:val="nil"/>
                    <w:tr2bl w:val="nil"/>
                  </w:tcBorders>
                  <w:noWrap w:val="0"/>
                  <w:vAlign w:val="center"/>
                </w:tcPr>
                <w:p w14:paraId="4F84E7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0.0022</w:t>
                  </w:r>
                </w:p>
              </w:tc>
              <w:tc>
                <w:tcPr>
                  <w:tcW w:w="390" w:type="pct"/>
                  <w:tcBorders>
                    <w:tl2br w:val="nil"/>
                    <w:tr2bl w:val="nil"/>
                  </w:tcBorders>
                  <w:noWrap w:val="0"/>
                  <w:vAlign w:val="center"/>
                </w:tcPr>
                <w:p w14:paraId="16CD3B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34" w:type="pct"/>
                  <w:tcBorders>
                    <w:tl2br w:val="nil"/>
                    <w:tr2bl w:val="nil"/>
                  </w:tcBorders>
                  <w:noWrap w:val="0"/>
                  <w:vAlign w:val="center"/>
                </w:tcPr>
                <w:p w14:paraId="0042004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26" w:type="pct"/>
                  <w:tcBorders>
                    <w:tl2br w:val="nil"/>
                    <w:tr2bl w:val="nil"/>
                  </w:tcBorders>
                  <w:noWrap w:val="0"/>
                  <w:vAlign w:val="center"/>
                </w:tcPr>
                <w:p w14:paraId="478806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0.07</w:t>
                  </w:r>
                </w:p>
              </w:tc>
              <w:tc>
                <w:tcPr>
                  <w:tcW w:w="511" w:type="pct"/>
                  <w:tcBorders>
                    <w:tl2br w:val="nil"/>
                    <w:tr2bl w:val="nil"/>
                  </w:tcBorders>
                  <w:noWrap w:val="0"/>
                  <w:vAlign w:val="center"/>
                </w:tcPr>
                <w:p w14:paraId="7040B8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313" w:type="pct"/>
                  <w:tcBorders>
                    <w:tl2br w:val="nil"/>
                    <w:tr2bl w:val="nil"/>
                  </w:tcBorders>
                  <w:noWrap w:val="0"/>
                  <w:vAlign w:val="center"/>
                </w:tcPr>
                <w:p w14:paraId="126521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r>
            <w:tr w14:paraId="61059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9AE38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1134E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43" w:type="pct"/>
                  <w:tcBorders>
                    <w:tl2br w:val="nil"/>
                    <w:tr2bl w:val="nil"/>
                  </w:tcBorders>
                  <w:noWrap w:val="0"/>
                  <w:vAlign w:val="center"/>
                </w:tcPr>
                <w:p w14:paraId="757112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63" w:type="pct"/>
                  <w:tcBorders>
                    <w:tl2br w:val="nil"/>
                    <w:tr2bl w:val="nil"/>
                  </w:tcBorders>
                  <w:noWrap w:val="0"/>
                  <w:vAlign w:val="center"/>
                </w:tcPr>
                <w:p w14:paraId="34C0B0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443" w:type="pct"/>
                  <w:tcBorders>
                    <w:tl2br w:val="nil"/>
                    <w:tr2bl w:val="nil"/>
                  </w:tcBorders>
                  <w:noWrap w:val="0"/>
                  <w:vAlign w:val="center"/>
                </w:tcPr>
                <w:p w14:paraId="20C0E0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390" w:type="pct"/>
                  <w:tcBorders>
                    <w:tl2br w:val="nil"/>
                    <w:tr2bl w:val="nil"/>
                  </w:tcBorders>
                  <w:noWrap w:val="0"/>
                  <w:vAlign w:val="center"/>
                </w:tcPr>
                <w:p w14:paraId="05641A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34" w:type="pct"/>
                  <w:tcBorders>
                    <w:tl2br w:val="nil"/>
                    <w:tr2bl w:val="nil"/>
                  </w:tcBorders>
                  <w:noWrap w:val="0"/>
                  <w:vAlign w:val="center"/>
                </w:tcPr>
                <w:p w14:paraId="65D09B1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426" w:type="pct"/>
                  <w:tcBorders>
                    <w:tl2br w:val="nil"/>
                    <w:tr2bl w:val="nil"/>
                  </w:tcBorders>
                  <w:noWrap w:val="0"/>
                  <w:vAlign w:val="center"/>
                </w:tcPr>
                <w:p w14:paraId="498AE6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511" w:type="pct"/>
                  <w:tcBorders>
                    <w:tl2br w:val="nil"/>
                    <w:tr2bl w:val="nil"/>
                  </w:tcBorders>
                  <w:noWrap w:val="0"/>
                  <w:vAlign w:val="center"/>
                </w:tcPr>
                <w:p w14:paraId="37CDD8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0.0002</w:t>
                  </w:r>
                </w:p>
              </w:tc>
              <w:tc>
                <w:tcPr>
                  <w:tcW w:w="313" w:type="pct"/>
                  <w:tcBorders>
                    <w:tl2br w:val="nil"/>
                    <w:tr2bl w:val="nil"/>
                  </w:tcBorders>
                  <w:noWrap w:val="0"/>
                  <w:vAlign w:val="center"/>
                </w:tcPr>
                <w:p w14:paraId="352591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r>
            <w:tr w14:paraId="0A55D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80C50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A4BCB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43" w:type="pct"/>
                  <w:tcBorders>
                    <w:tl2br w:val="nil"/>
                    <w:tr2bl w:val="nil"/>
                  </w:tcBorders>
                  <w:noWrap w:val="0"/>
                  <w:vAlign w:val="center"/>
                </w:tcPr>
                <w:p w14:paraId="195F75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63" w:type="pct"/>
                  <w:tcBorders>
                    <w:tl2br w:val="nil"/>
                    <w:tr2bl w:val="nil"/>
                  </w:tcBorders>
                  <w:noWrap w:val="0"/>
                  <w:vAlign w:val="center"/>
                </w:tcPr>
                <w:p w14:paraId="4472D9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c>
                <w:tcPr>
                  <w:tcW w:w="443" w:type="pct"/>
                  <w:tcBorders>
                    <w:tl2br w:val="nil"/>
                    <w:tr2bl w:val="nil"/>
                  </w:tcBorders>
                  <w:noWrap w:val="0"/>
                  <w:vAlign w:val="center"/>
                </w:tcPr>
                <w:p w14:paraId="5CDCD7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0.0075</w:t>
                  </w:r>
                </w:p>
              </w:tc>
              <w:tc>
                <w:tcPr>
                  <w:tcW w:w="390" w:type="pct"/>
                  <w:tcBorders>
                    <w:tl2br w:val="nil"/>
                    <w:tr2bl w:val="nil"/>
                  </w:tcBorders>
                  <w:noWrap w:val="0"/>
                  <w:vAlign w:val="center"/>
                </w:tcPr>
                <w:p w14:paraId="1A32F5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434" w:type="pct"/>
                  <w:tcBorders>
                    <w:tl2br w:val="nil"/>
                    <w:tr2bl w:val="nil"/>
                  </w:tcBorders>
                  <w:noWrap w:val="0"/>
                  <w:vAlign w:val="center"/>
                </w:tcPr>
                <w:p w14:paraId="5B8ED5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0.0113</w:t>
                  </w:r>
                </w:p>
              </w:tc>
              <w:tc>
                <w:tcPr>
                  <w:tcW w:w="426" w:type="pct"/>
                  <w:tcBorders>
                    <w:tl2br w:val="nil"/>
                    <w:tr2bl w:val="nil"/>
                  </w:tcBorders>
                  <w:noWrap w:val="0"/>
                  <w:vAlign w:val="center"/>
                </w:tcPr>
                <w:p w14:paraId="063F01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c>
                <w:tcPr>
                  <w:tcW w:w="511" w:type="pct"/>
                  <w:tcBorders>
                    <w:tl2br w:val="nil"/>
                    <w:tr2bl w:val="nil"/>
                  </w:tcBorders>
                  <w:noWrap w:val="0"/>
                  <w:vAlign w:val="center"/>
                </w:tcPr>
                <w:p w14:paraId="6E004E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0.0071</w:t>
                  </w:r>
                </w:p>
              </w:tc>
              <w:tc>
                <w:tcPr>
                  <w:tcW w:w="313" w:type="pct"/>
                  <w:tcBorders>
                    <w:tl2br w:val="nil"/>
                    <w:tr2bl w:val="nil"/>
                  </w:tcBorders>
                  <w:noWrap w:val="0"/>
                  <w:vAlign w:val="center"/>
                </w:tcPr>
                <w:p w14:paraId="49C5BE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r>
            <w:tr w14:paraId="18F82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BB431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B9F84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43" w:type="pct"/>
                  <w:tcBorders>
                    <w:tl2br w:val="nil"/>
                    <w:tr2bl w:val="nil"/>
                  </w:tcBorders>
                  <w:noWrap w:val="0"/>
                  <w:vAlign w:val="center"/>
                </w:tcPr>
                <w:p w14:paraId="44649B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63" w:type="pct"/>
                  <w:tcBorders>
                    <w:tl2br w:val="nil"/>
                    <w:tr2bl w:val="nil"/>
                  </w:tcBorders>
                  <w:noWrap w:val="0"/>
                  <w:vAlign w:val="center"/>
                </w:tcPr>
                <w:p w14:paraId="77D067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0.094</w:t>
                  </w:r>
                </w:p>
              </w:tc>
              <w:tc>
                <w:tcPr>
                  <w:tcW w:w="443" w:type="pct"/>
                  <w:tcBorders>
                    <w:tl2br w:val="nil"/>
                    <w:tr2bl w:val="nil"/>
                  </w:tcBorders>
                  <w:noWrap w:val="0"/>
                  <w:vAlign w:val="center"/>
                </w:tcPr>
                <w:p w14:paraId="52416D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0.0025</w:t>
                  </w:r>
                </w:p>
              </w:tc>
              <w:tc>
                <w:tcPr>
                  <w:tcW w:w="390" w:type="pct"/>
                  <w:tcBorders>
                    <w:tl2br w:val="nil"/>
                    <w:tr2bl w:val="nil"/>
                  </w:tcBorders>
                  <w:noWrap w:val="0"/>
                  <w:vAlign w:val="center"/>
                </w:tcPr>
                <w:p w14:paraId="1641EC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0.063</w:t>
                  </w:r>
                </w:p>
              </w:tc>
              <w:tc>
                <w:tcPr>
                  <w:tcW w:w="434" w:type="pct"/>
                  <w:tcBorders>
                    <w:tl2br w:val="nil"/>
                    <w:tr2bl w:val="nil"/>
                  </w:tcBorders>
                  <w:noWrap w:val="0"/>
                  <w:vAlign w:val="center"/>
                </w:tcPr>
                <w:p w14:paraId="444C88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0.0017</w:t>
                  </w:r>
                </w:p>
              </w:tc>
              <w:tc>
                <w:tcPr>
                  <w:tcW w:w="426" w:type="pct"/>
                  <w:tcBorders>
                    <w:tl2br w:val="nil"/>
                    <w:tr2bl w:val="nil"/>
                  </w:tcBorders>
                  <w:noWrap w:val="0"/>
                  <w:vAlign w:val="center"/>
                </w:tcPr>
                <w:p w14:paraId="230F3F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0.046</w:t>
                  </w:r>
                </w:p>
              </w:tc>
              <w:tc>
                <w:tcPr>
                  <w:tcW w:w="511" w:type="pct"/>
                  <w:tcBorders>
                    <w:tl2br w:val="nil"/>
                    <w:tr2bl w:val="nil"/>
                  </w:tcBorders>
                  <w:noWrap w:val="0"/>
                  <w:vAlign w:val="center"/>
                </w:tcPr>
                <w:p w14:paraId="55EBE3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313" w:type="pct"/>
                  <w:tcBorders>
                    <w:tl2br w:val="nil"/>
                    <w:tr2bl w:val="nil"/>
                  </w:tcBorders>
                  <w:noWrap w:val="0"/>
                  <w:vAlign w:val="center"/>
                </w:tcPr>
                <w:p w14:paraId="2DC51E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r>
            <w:tr w14:paraId="7E722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696BB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28ACF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43" w:type="pct"/>
                  <w:tcBorders>
                    <w:tl2br w:val="nil"/>
                    <w:tr2bl w:val="nil"/>
                  </w:tcBorders>
                  <w:noWrap w:val="0"/>
                  <w:vAlign w:val="center"/>
                </w:tcPr>
                <w:p w14:paraId="66D7F1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 w:type="pct"/>
                  <w:tcBorders>
                    <w:tl2br w:val="nil"/>
                    <w:tr2bl w:val="nil"/>
                  </w:tcBorders>
                  <w:noWrap w:val="0"/>
                  <w:vAlign w:val="center"/>
                </w:tcPr>
                <w:p w14:paraId="4452A0E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c>
                <w:tcPr>
                  <w:tcW w:w="443" w:type="pct"/>
                  <w:tcBorders>
                    <w:tl2br w:val="nil"/>
                    <w:tr2bl w:val="nil"/>
                  </w:tcBorders>
                  <w:noWrap w:val="0"/>
                  <w:vAlign w:val="center"/>
                </w:tcPr>
                <w:p w14:paraId="1F972D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0.0278</w:t>
                  </w:r>
                </w:p>
              </w:tc>
              <w:tc>
                <w:tcPr>
                  <w:tcW w:w="390" w:type="pct"/>
                  <w:tcBorders>
                    <w:tl2br w:val="nil"/>
                    <w:tr2bl w:val="nil"/>
                  </w:tcBorders>
                  <w:noWrap w:val="0"/>
                  <w:vAlign w:val="center"/>
                </w:tcPr>
                <w:p w14:paraId="40FE8D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434" w:type="pct"/>
                  <w:tcBorders>
                    <w:tl2br w:val="nil"/>
                    <w:tr2bl w:val="nil"/>
                  </w:tcBorders>
                  <w:noWrap w:val="0"/>
                  <w:vAlign w:val="center"/>
                </w:tcPr>
                <w:p w14:paraId="4AC90E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0.0100</w:t>
                  </w:r>
                </w:p>
              </w:tc>
              <w:tc>
                <w:tcPr>
                  <w:tcW w:w="426" w:type="pct"/>
                  <w:tcBorders>
                    <w:tl2br w:val="nil"/>
                    <w:tr2bl w:val="nil"/>
                  </w:tcBorders>
                  <w:noWrap w:val="0"/>
                  <w:vAlign w:val="center"/>
                </w:tcPr>
                <w:p w14:paraId="48D923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511" w:type="pct"/>
                  <w:tcBorders>
                    <w:tl2br w:val="nil"/>
                    <w:tr2bl w:val="nil"/>
                  </w:tcBorders>
                  <w:noWrap w:val="0"/>
                  <w:vAlign w:val="center"/>
                </w:tcPr>
                <w:p w14:paraId="7179DE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0.0089</w:t>
                  </w:r>
                </w:p>
              </w:tc>
              <w:tc>
                <w:tcPr>
                  <w:tcW w:w="313" w:type="pct"/>
                  <w:tcBorders>
                    <w:tl2br w:val="nil"/>
                    <w:tr2bl w:val="nil"/>
                  </w:tcBorders>
                  <w:noWrap w:val="0"/>
                  <w:vAlign w:val="center"/>
                </w:tcPr>
                <w:p w14:paraId="75D8F2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r>
            <w:tr w14:paraId="2CEA5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65BD9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E6C3D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443" w:type="pct"/>
                  <w:tcBorders>
                    <w:tl2br w:val="nil"/>
                    <w:tr2bl w:val="nil"/>
                  </w:tcBorders>
                  <w:noWrap w:val="0"/>
                  <w:vAlign w:val="center"/>
                </w:tcPr>
                <w:p w14:paraId="0C88759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463" w:type="pct"/>
                  <w:tcBorders>
                    <w:tl2br w:val="nil"/>
                    <w:tr2bl w:val="nil"/>
                  </w:tcBorders>
                  <w:noWrap w:val="0"/>
                  <w:vAlign w:val="center"/>
                </w:tcPr>
                <w:p w14:paraId="33137D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0.6</w:t>
                  </w:r>
                </w:p>
              </w:tc>
              <w:tc>
                <w:tcPr>
                  <w:tcW w:w="443" w:type="pct"/>
                  <w:tcBorders>
                    <w:tl2br w:val="nil"/>
                    <w:tr2bl w:val="nil"/>
                  </w:tcBorders>
                  <w:noWrap w:val="0"/>
                  <w:vAlign w:val="center"/>
                </w:tcPr>
                <w:p w14:paraId="0E72F2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0.1053</w:t>
                  </w:r>
                </w:p>
              </w:tc>
              <w:tc>
                <w:tcPr>
                  <w:tcW w:w="390" w:type="pct"/>
                  <w:tcBorders>
                    <w:tl2br w:val="nil"/>
                    <w:tr2bl w:val="nil"/>
                  </w:tcBorders>
                  <w:noWrap w:val="0"/>
                  <w:vAlign w:val="center"/>
                </w:tcPr>
                <w:p w14:paraId="540C42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434" w:type="pct"/>
                  <w:tcBorders>
                    <w:tl2br w:val="nil"/>
                    <w:tr2bl w:val="nil"/>
                  </w:tcBorders>
                  <w:noWrap w:val="0"/>
                  <w:vAlign w:val="center"/>
                </w:tcPr>
                <w:p w14:paraId="450CBB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0.2105</w:t>
                  </w:r>
                </w:p>
              </w:tc>
              <w:tc>
                <w:tcPr>
                  <w:tcW w:w="426" w:type="pct"/>
                  <w:tcBorders>
                    <w:tl2br w:val="nil"/>
                    <w:tr2bl w:val="nil"/>
                  </w:tcBorders>
                  <w:noWrap w:val="0"/>
                  <w:vAlign w:val="center"/>
                </w:tcPr>
                <w:p w14:paraId="3AB323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511" w:type="pct"/>
                  <w:tcBorders>
                    <w:tl2br w:val="nil"/>
                    <w:tr2bl w:val="nil"/>
                  </w:tcBorders>
                  <w:noWrap w:val="0"/>
                  <w:vAlign w:val="center"/>
                </w:tcPr>
                <w:p w14:paraId="37D9E7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0.2105</w:t>
                  </w:r>
                </w:p>
              </w:tc>
              <w:tc>
                <w:tcPr>
                  <w:tcW w:w="313" w:type="pct"/>
                  <w:tcBorders>
                    <w:tl2br w:val="nil"/>
                    <w:tr2bl w:val="nil"/>
                  </w:tcBorders>
                  <w:noWrap w:val="0"/>
                  <w:vAlign w:val="center"/>
                </w:tcPr>
                <w:p w14:paraId="76F232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r>
            <w:tr w14:paraId="6A8354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73E51B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c>
                <w:tcPr>
                  <w:tcW w:w="1072" w:type="pct"/>
                  <w:tcBorders>
                    <w:tl2br w:val="nil"/>
                    <w:tr2bl w:val="nil"/>
                  </w:tcBorders>
                  <w:noWrap w:val="0"/>
                  <w:vAlign w:val="center"/>
                </w:tcPr>
                <w:p w14:paraId="1F2B79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443" w:type="pct"/>
                  <w:tcBorders>
                    <w:tl2br w:val="nil"/>
                    <w:tr2bl w:val="nil"/>
                  </w:tcBorders>
                  <w:noWrap w:val="0"/>
                  <w:vAlign w:val="center"/>
                </w:tcPr>
                <w:p w14:paraId="4342DF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05912F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23CEB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56035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434" w:type="pct"/>
                  <w:tcBorders>
                    <w:tl2br w:val="nil"/>
                    <w:tr2bl w:val="nil"/>
                  </w:tcBorders>
                  <w:noWrap w:val="0"/>
                  <w:vAlign w:val="center"/>
                </w:tcPr>
                <w:p w14:paraId="0ECB63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426" w:type="pct"/>
                  <w:tcBorders>
                    <w:tl2br w:val="nil"/>
                    <w:tr2bl w:val="nil"/>
                  </w:tcBorders>
                  <w:noWrap w:val="0"/>
                  <w:vAlign w:val="center"/>
                </w:tcPr>
                <w:p w14:paraId="756603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77D54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FBB57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r>
            <w:tr w14:paraId="7A5627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94FE2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CA45A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443" w:type="pct"/>
                  <w:tcBorders>
                    <w:tl2br w:val="nil"/>
                    <w:tr2bl w:val="nil"/>
                  </w:tcBorders>
                  <w:noWrap w:val="0"/>
                  <w:vAlign w:val="center"/>
                </w:tcPr>
                <w:p w14:paraId="7508B5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0C6055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2C081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5E152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w:t>
                  </w:r>
                </w:p>
              </w:tc>
              <w:tc>
                <w:tcPr>
                  <w:tcW w:w="434" w:type="pct"/>
                  <w:tcBorders>
                    <w:tl2br w:val="nil"/>
                    <w:tr2bl w:val="nil"/>
                  </w:tcBorders>
                  <w:noWrap w:val="0"/>
                  <w:vAlign w:val="center"/>
                </w:tcPr>
                <w:p w14:paraId="490518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0.0093</w:t>
                  </w:r>
                </w:p>
              </w:tc>
              <w:tc>
                <w:tcPr>
                  <w:tcW w:w="426" w:type="pct"/>
                  <w:tcBorders>
                    <w:tl2br w:val="nil"/>
                    <w:tr2bl w:val="nil"/>
                  </w:tcBorders>
                  <w:noWrap w:val="0"/>
                  <w:vAlign w:val="center"/>
                </w:tcPr>
                <w:p w14:paraId="724287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w:t>
                  </w:r>
                </w:p>
              </w:tc>
              <w:tc>
                <w:tcPr>
                  <w:tcW w:w="511" w:type="pct"/>
                  <w:tcBorders>
                    <w:tl2br w:val="nil"/>
                    <w:tr2bl w:val="nil"/>
                  </w:tcBorders>
                  <w:noWrap w:val="0"/>
                  <w:vAlign w:val="center"/>
                </w:tcPr>
                <w:p w14:paraId="5C0EC6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0.0070</w:t>
                  </w:r>
                </w:p>
              </w:tc>
              <w:tc>
                <w:tcPr>
                  <w:tcW w:w="313" w:type="pct"/>
                  <w:tcBorders>
                    <w:tl2br w:val="nil"/>
                    <w:tr2bl w:val="nil"/>
                  </w:tcBorders>
                  <w:noWrap w:val="0"/>
                  <w:vAlign w:val="center"/>
                </w:tcPr>
                <w:p w14:paraId="4C3C61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r>
            <w:tr w14:paraId="248923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CBF7C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7016A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443" w:type="pct"/>
                  <w:tcBorders>
                    <w:tl2br w:val="nil"/>
                    <w:tr2bl w:val="nil"/>
                  </w:tcBorders>
                  <w:noWrap w:val="0"/>
                  <w:vAlign w:val="center"/>
                </w:tcPr>
                <w:p w14:paraId="6D73EB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237DD9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1B6E2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FC124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66639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C0BA4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4D545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3FE308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r>
            <w:tr w14:paraId="5E98E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C8FE6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7C64D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443" w:type="pct"/>
                  <w:tcBorders>
                    <w:tl2br w:val="nil"/>
                    <w:tr2bl w:val="nil"/>
                  </w:tcBorders>
                  <w:noWrap w:val="0"/>
                  <w:vAlign w:val="center"/>
                </w:tcPr>
                <w:p w14:paraId="078373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2D907A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0.0123</w:t>
                  </w:r>
                </w:p>
              </w:tc>
              <w:tc>
                <w:tcPr>
                  <w:tcW w:w="443" w:type="pct"/>
                  <w:tcBorders>
                    <w:tl2br w:val="nil"/>
                    <w:tr2bl w:val="nil"/>
                  </w:tcBorders>
                  <w:noWrap w:val="0"/>
                  <w:vAlign w:val="center"/>
                </w:tcPr>
                <w:p w14:paraId="7496EF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0.00002</w:t>
                  </w:r>
                </w:p>
              </w:tc>
              <w:tc>
                <w:tcPr>
                  <w:tcW w:w="390" w:type="pct"/>
                  <w:tcBorders>
                    <w:tl2br w:val="nil"/>
                    <w:tr2bl w:val="nil"/>
                  </w:tcBorders>
                  <w:noWrap w:val="0"/>
                  <w:vAlign w:val="center"/>
                </w:tcPr>
                <w:p w14:paraId="7508452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0.0263</w:t>
                  </w:r>
                </w:p>
              </w:tc>
              <w:tc>
                <w:tcPr>
                  <w:tcW w:w="434" w:type="pct"/>
                  <w:tcBorders>
                    <w:tl2br w:val="nil"/>
                    <w:tr2bl w:val="nil"/>
                  </w:tcBorders>
                  <w:noWrap w:val="0"/>
                  <w:vAlign w:val="center"/>
                </w:tcPr>
                <w:p w14:paraId="1F48EA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0.00004</w:t>
                  </w:r>
                </w:p>
              </w:tc>
              <w:tc>
                <w:tcPr>
                  <w:tcW w:w="426" w:type="pct"/>
                  <w:tcBorders>
                    <w:tl2br w:val="nil"/>
                    <w:tr2bl w:val="nil"/>
                  </w:tcBorders>
                  <w:noWrap w:val="0"/>
                  <w:vAlign w:val="center"/>
                </w:tcPr>
                <w:p w14:paraId="1EE404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0.0483</w:t>
                  </w:r>
                </w:p>
              </w:tc>
              <w:tc>
                <w:tcPr>
                  <w:tcW w:w="511" w:type="pct"/>
                  <w:tcBorders>
                    <w:tl2br w:val="nil"/>
                    <w:tr2bl w:val="nil"/>
                  </w:tcBorders>
                  <w:noWrap w:val="0"/>
                  <w:vAlign w:val="center"/>
                </w:tcPr>
                <w:p w14:paraId="14A14B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313" w:type="pct"/>
                  <w:tcBorders>
                    <w:tl2br w:val="nil"/>
                    <w:tr2bl w:val="nil"/>
                  </w:tcBorders>
                  <w:noWrap w:val="0"/>
                  <w:vAlign w:val="center"/>
                </w:tcPr>
                <w:p w14:paraId="59CA73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r>
            <w:tr w14:paraId="7B6922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F7354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633A2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反式-1，2-二氯乙烯</w:t>
                  </w:r>
                </w:p>
              </w:tc>
              <w:tc>
                <w:tcPr>
                  <w:tcW w:w="443" w:type="pct"/>
                  <w:tcBorders>
                    <w:tl2br w:val="nil"/>
                    <w:tr2bl w:val="nil"/>
                  </w:tcBorders>
                  <w:noWrap w:val="0"/>
                  <w:vAlign w:val="center"/>
                </w:tcPr>
                <w:p w14:paraId="6F709E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316B37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BC7E7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8D523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25EA3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2179F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B990F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A06F6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r>
            <w:tr w14:paraId="5B1D6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848EF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F01B2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443" w:type="pct"/>
                  <w:tcBorders>
                    <w:tl2br w:val="nil"/>
                    <w:tr2bl w:val="nil"/>
                  </w:tcBorders>
                  <w:noWrap w:val="0"/>
                  <w:vAlign w:val="center"/>
                </w:tcPr>
                <w:p w14:paraId="01CF4C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05394A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72AB9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62964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9EF14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26199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EA5A9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2965D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r>
            <w:tr w14:paraId="779F3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789CE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F592C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顺式-1，2-二氯乙烯</w:t>
                  </w:r>
                </w:p>
              </w:tc>
              <w:tc>
                <w:tcPr>
                  <w:tcW w:w="443" w:type="pct"/>
                  <w:tcBorders>
                    <w:tl2br w:val="nil"/>
                    <w:tr2bl w:val="nil"/>
                  </w:tcBorders>
                  <w:noWrap w:val="0"/>
                  <w:vAlign w:val="center"/>
                </w:tcPr>
                <w:p w14:paraId="5493B1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2C1CAF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714B5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9D580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5D65D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9D667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2235B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DC355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r>
            <w:tr w14:paraId="4CBCB5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366E0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C57A8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443" w:type="pct"/>
                  <w:tcBorders>
                    <w:tl2br w:val="nil"/>
                    <w:tr2bl w:val="nil"/>
                  </w:tcBorders>
                  <w:noWrap w:val="0"/>
                  <w:vAlign w:val="center"/>
                </w:tcPr>
                <w:p w14:paraId="5ED163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79E908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0.0031</w:t>
                  </w:r>
                </w:p>
              </w:tc>
              <w:tc>
                <w:tcPr>
                  <w:tcW w:w="443" w:type="pct"/>
                  <w:tcBorders>
                    <w:tl2br w:val="nil"/>
                    <w:tr2bl w:val="nil"/>
                  </w:tcBorders>
                  <w:noWrap w:val="0"/>
                  <w:vAlign w:val="center"/>
                </w:tcPr>
                <w:p w14:paraId="006062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0.0034</w:t>
                  </w:r>
                </w:p>
              </w:tc>
              <w:tc>
                <w:tcPr>
                  <w:tcW w:w="390" w:type="pct"/>
                  <w:tcBorders>
                    <w:tl2br w:val="nil"/>
                    <w:tr2bl w:val="nil"/>
                  </w:tcBorders>
                  <w:noWrap w:val="0"/>
                  <w:vAlign w:val="center"/>
                </w:tcPr>
                <w:p w14:paraId="372D36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0.0084</w:t>
                  </w:r>
                </w:p>
              </w:tc>
              <w:tc>
                <w:tcPr>
                  <w:tcW w:w="434" w:type="pct"/>
                  <w:tcBorders>
                    <w:tl2br w:val="nil"/>
                    <w:tr2bl w:val="nil"/>
                  </w:tcBorders>
                  <w:noWrap w:val="0"/>
                  <w:vAlign w:val="center"/>
                </w:tcPr>
                <w:p w14:paraId="568FB1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0.0093</w:t>
                  </w:r>
                </w:p>
              </w:tc>
              <w:tc>
                <w:tcPr>
                  <w:tcW w:w="426" w:type="pct"/>
                  <w:tcBorders>
                    <w:tl2br w:val="nil"/>
                    <w:tr2bl w:val="nil"/>
                  </w:tcBorders>
                  <w:noWrap w:val="0"/>
                  <w:vAlign w:val="center"/>
                </w:tcPr>
                <w:p w14:paraId="65040B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0.0109</w:t>
                  </w:r>
                </w:p>
              </w:tc>
              <w:tc>
                <w:tcPr>
                  <w:tcW w:w="511" w:type="pct"/>
                  <w:tcBorders>
                    <w:tl2br w:val="nil"/>
                    <w:tr2bl w:val="nil"/>
                  </w:tcBorders>
                  <w:noWrap w:val="0"/>
                  <w:vAlign w:val="center"/>
                </w:tcPr>
                <w:p w14:paraId="2F2DD4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0.0121</w:t>
                  </w:r>
                </w:p>
              </w:tc>
              <w:tc>
                <w:tcPr>
                  <w:tcW w:w="313" w:type="pct"/>
                  <w:tcBorders>
                    <w:tl2br w:val="nil"/>
                    <w:tr2bl w:val="nil"/>
                  </w:tcBorders>
                  <w:noWrap w:val="0"/>
                  <w:vAlign w:val="center"/>
                </w:tcPr>
                <w:p w14:paraId="1E240B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r>
            <w:tr w14:paraId="4610CB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5B70D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962F7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443" w:type="pct"/>
                  <w:tcBorders>
                    <w:tl2br w:val="nil"/>
                    <w:tr2bl w:val="nil"/>
                  </w:tcBorders>
                  <w:noWrap w:val="0"/>
                  <w:vAlign w:val="center"/>
                </w:tcPr>
                <w:p w14:paraId="13DA90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664160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14290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B202A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ACF8C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84B41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2D070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4CFB5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1BACC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6C701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88ED0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443" w:type="pct"/>
                  <w:tcBorders>
                    <w:tl2br w:val="nil"/>
                    <w:tr2bl w:val="nil"/>
                  </w:tcBorders>
                  <w:noWrap w:val="0"/>
                  <w:vAlign w:val="center"/>
                </w:tcPr>
                <w:p w14:paraId="41D133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3EDA11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0CED8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8DD15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57301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57C4B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0734F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04E5F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154AD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C1FDAF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7BFE9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443" w:type="pct"/>
                  <w:tcBorders>
                    <w:tl2br w:val="nil"/>
                    <w:tr2bl w:val="nil"/>
                  </w:tcBorders>
                  <w:noWrap w:val="0"/>
                  <w:vAlign w:val="center"/>
                </w:tcPr>
                <w:p w14:paraId="56C30A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5806F0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4A5E6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8D7FB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C920D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345D5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22E65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C7B68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65AD3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7C492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92155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443" w:type="pct"/>
                  <w:tcBorders>
                    <w:tl2br w:val="nil"/>
                    <w:tr2bl w:val="nil"/>
                  </w:tcBorders>
                  <w:noWrap w:val="0"/>
                  <w:vAlign w:val="center"/>
                </w:tcPr>
                <w:p w14:paraId="3BBEB9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0.0019</w:t>
                  </w:r>
                </w:p>
              </w:tc>
              <w:tc>
                <w:tcPr>
                  <w:tcW w:w="463" w:type="pct"/>
                  <w:tcBorders>
                    <w:tl2br w:val="nil"/>
                    <w:tr2bl w:val="nil"/>
                  </w:tcBorders>
                  <w:noWrap w:val="0"/>
                  <w:vAlign w:val="center"/>
                </w:tcPr>
                <w:p w14:paraId="7ACF02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4109B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9DC90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E4CE3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D3A53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2B24F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B7CFD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7E739A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8BA12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2193B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443" w:type="pct"/>
                  <w:tcBorders>
                    <w:tl2br w:val="nil"/>
                    <w:tr2bl w:val="nil"/>
                  </w:tcBorders>
                  <w:noWrap w:val="0"/>
                  <w:vAlign w:val="center"/>
                </w:tcPr>
                <w:p w14:paraId="240BA9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50691F0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FC6A7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42205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4A22E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70BD6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DA628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9806F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42B32C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5F5BC2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63B8D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443" w:type="pct"/>
                  <w:tcBorders>
                    <w:tl2br w:val="nil"/>
                    <w:tr2bl w:val="nil"/>
                  </w:tcBorders>
                  <w:noWrap w:val="0"/>
                  <w:vAlign w:val="center"/>
                </w:tcPr>
                <w:p w14:paraId="431EFE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174869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B9D89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34CAC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0A60F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BAA69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BB63E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9D3F3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7B055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7508C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4C515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443" w:type="pct"/>
                  <w:tcBorders>
                    <w:tl2br w:val="nil"/>
                    <w:tr2bl w:val="nil"/>
                  </w:tcBorders>
                  <w:noWrap w:val="0"/>
                  <w:vAlign w:val="center"/>
                </w:tcPr>
                <w:p w14:paraId="349CA8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62CAE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D533C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F036B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498FFB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3EB82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8C890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15C6F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543D6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EBEBD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AA612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443" w:type="pct"/>
                  <w:tcBorders>
                    <w:tl2br w:val="nil"/>
                    <w:tr2bl w:val="nil"/>
                  </w:tcBorders>
                  <w:noWrap w:val="0"/>
                  <w:vAlign w:val="center"/>
                </w:tcPr>
                <w:p w14:paraId="6D816C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A04B8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B4339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726DD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B71F2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4662E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EA816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0806D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2DB5C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E0932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A6445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443" w:type="pct"/>
                  <w:tcBorders>
                    <w:tl2br w:val="nil"/>
                    <w:tr2bl w:val="nil"/>
                  </w:tcBorders>
                  <w:noWrap w:val="0"/>
                  <w:vAlign w:val="center"/>
                </w:tcPr>
                <w:p w14:paraId="156AE4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331987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52628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C9A77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B5799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E3DE3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CAB88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3F0B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r>
            <w:tr w14:paraId="340003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34733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6C667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443" w:type="pct"/>
                  <w:tcBorders>
                    <w:tl2br w:val="nil"/>
                    <w:tr2bl w:val="nil"/>
                  </w:tcBorders>
                  <w:noWrap w:val="0"/>
                  <w:vAlign w:val="center"/>
                </w:tcPr>
                <w:p w14:paraId="30235F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2C17A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9C5A7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D847D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20D05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0645C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8A4C6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2E641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r>
            <w:tr w14:paraId="1CF1E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382A3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EF28B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443" w:type="pct"/>
                  <w:tcBorders>
                    <w:tl2br w:val="nil"/>
                    <w:tr2bl w:val="nil"/>
                  </w:tcBorders>
                  <w:noWrap w:val="0"/>
                  <w:vAlign w:val="center"/>
                </w:tcPr>
                <w:p w14:paraId="66ADB1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85E32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3C106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5CE62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AB0AC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74FF5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93F78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A5584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17DB0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6B69B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46FF7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443" w:type="pct"/>
                  <w:tcBorders>
                    <w:tl2br w:val="nil"/>
                    <w:tr2bl w:val="nil"/>
                  </w:tcBorders>
                  <w:noWrap w:val="0"/>
                  <w:vAlign w:val="center"/>
                </w:tcPr>
                <w:p w14:paraId="5C3E65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B03CA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77C11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624B0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402DA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F0B7A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95832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66B8F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4DFE9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B70B1B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D60FE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对，间二甲苯</w:t>
                  </w:r>
                </w:p>
              </w:tc>
              <w:tc>
                <w:tcPr>
                  <w:tcW w:w="443" w:type="pct"/>
                  <w:tcBorders>
                    <w:tl2br w:val="nil"/>
                    <w:tr2bl w:val="nil"/>
                  </w:tcBorders>
                  <w:noWrap w:val="0"/>
                  <w:vAlign w:val="center"/>
                </w:tcPr>
                <w:p w14:paraId="22C511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9A210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E9D69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5A743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26F21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00B15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5237C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07AC8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71AB5F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10A96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43F3F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443" w:type="pct"/>
                  <w:tcBorders>
                    <w:tl2br w:val="nil"/>
                    <w:tr2bl w:val="nil"/>
                  </w:tcBorders>
                  <w:noWrap w:val="0"/>
                  <w:vAlign w:val="center"/>
                </w:tcPr>
                <w:p w14:paraId="006D02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DF728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71FE0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370B7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19BB7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C9566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D31AE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E9AE8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0A90C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1970B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89784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443" w:type="pct"/>
                  <w:tcBorders>
                    <w:tl2br w:val="nil"/>
                    <w:tr2bl w:val="nil"/>
                  </w:tcBorders>
                  <w:noWrap w:val="0"/>
                  <w:vAlign w:val="center"/>
                </w:tcPr>
                <w:p w14:paraId="69122C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300435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23EA3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36FEB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7472C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319222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16C68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60B5C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51DE2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9D18F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310F6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443" w:type="pct"/>
                  <w:tcBorders>
                    <w:tl2br w:val="nil"/>
                    <w:tr2bl w:val="nil"/>
                  </w:tcBorders>
                  <w:noWrap w:val="0"/>
                  <w:vAlign w:val="center"/>
                </w:tcPr>
                <w:p w14:paraId="0A21F8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C5D6C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29CB3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224B8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E527F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F8B1B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FB65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C921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r>
            <w:tr w14:paraId="4C492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C151E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658D1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443" w:type="pct"/>
                  <w:tcBorders>
                    <w:tl2br w:val="nil"/>
                    <w:tr2bl w:val="nil"/>
                  </w:tcBorders>
                  <w:noWrap w:val="0"/>
                  <w:vAlign w:val="center"/>
                </w:tcPr>
                <w:p w14:paraId="354613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1E854D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357D1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5B93E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439AF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59E4F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AB656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528F7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r>
            <w:tr w14:paraId="1426F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33728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3C63F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443" w:type="pct"/>
                  <w:tcBorders>
                    <w:tl2br w:val="nil"/>
                    <w:tr2bl w:val="nil"/>
                  </w:tcBorders>
                  <w:noWrap w:val="0"/>
                  <w:vAlign w:val="center"/>
                </w:tcPr>
                <w:p w14:paraId="65F491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01258B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6969F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C2B5C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51292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AE339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D2188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D9F39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01E16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5DA39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F6F51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443" w:type="pct"/>
                  <w:tcBorders>
                    <w:tl2br w:val="nil"/>
                    <w:tr2bl w:val="nil"/>
                  </w:tcBorders>
                  <w:noWrap w:val="0"/>
                  <w:vAlign w:val="center"/>
                </w:tcPr>
                <w:p w14:paraId="105492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6259C8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7D00E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D0785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4D8C1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F1637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0B87F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FD95E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60D46F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38CECF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c>
                <w:tcPr>
                  <w:tcW w:w="1072" w:type="pct"/>
                  <w:tcBorders>
                    <w:tl2br w:val="nil"/>
                    <w:tr2bl w:val="nil"/>
                  </w:tcBorders>
                  <w:noWrap w:val="0"/>
                  <w:vAlign w:val="center"/>
                </w:tcPr>
                <w:p w14:paraId="255971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443" w:type="pct"/>
                  <w:tcBorders>
                    <w:tl2br w:val="nil"/>
                    <w:tr2bl w:val="nil"/>
                  </w:tcBorders>
                  <w:noWrap w:val="0"/>
                  <w:vAlign w:val="center"/>
                </w:tcPr>
                <w:p w14:paraId="598E41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63" w:type="pct"/>
                  <w:tcBorders>
                    <w:tl2br w:val="nil"/>
                    <w:tr2bl w:val="nil"/>
                  </w:tcBorders>
                  <w:noWrap w:val="0"/>
                  <w:vAlign w:val="center"/>
                </w:tcPr>
                <w:p w14:paraId="56D083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BA0BF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81139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3EEA5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09686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6AF90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6D797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r>
            <w:tr w14:paraId="4F063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B97FA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F3398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2-氯苯酚</w:t>
                  </w:r>
                </w:p>
              </w:tc>
              <w:tc>
                <w:tcPr>
                  <w:tcW w:w="443" w:type="pct"/>
                  <w:tcBorders>
                    <w:tl2br w:val="nil"/>
                    <w:tr2bl w:val="nil"/>
                  </w:tcBorders>
                  <w:noWrap w:val="0"/>
                  <w:vAlign w:val="center"/>
                </w:tcPr>
                <w:p w14:paraId="42DC4C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3" w:type="pct"/>
                  <w:tcBorders>
                    <w:tl2br w:val="nil"/>
                    <w:tr2bl w:val="nil"/>
                  </w:tcBorders>
                  <w:noWrap w:val="0"/>
                  <w:vAlign w:val="center"/>
                </w:tcPr>
                <w:p w14:paraId="67AD0C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A4AF5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970FF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418B6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ED099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0BE56C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371F4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r>
            <w:tr w14:paraId="7B791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11EAA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A1284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443" w:type="pct"/>
                  <w:tcBorders>
                    <w:tl2br w:val="nil"/>
                    <w:tr2bl w:val="nil"/>
                  </w:tcBorders>
                  <w:noWrap w:val="0"/>
                  <w:vAlign w:val="center"/>
                </w:tcPr>
                <w:p w14:paraId="35E5F1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43DEE0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538E2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40E50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731D6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2CE55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FF714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21D7A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43C303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E8758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5568C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443" w:type="pct"/>
                  <w:tcBorders>
                    <w:tl2br w:val="nil"/>
                    <w:tr2bl w:val="nil"/>
                  </w:tcBorders>
                  <w:noWrap w:val="0"/>
                  <w:vAlign w:val="center"/>
                </w:tcPr>
                <w:p w14:paraId="47AEAC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2B0F78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4F665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284ED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4F5E0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E87E3E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F02E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353F1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r>
            <w:tr w14:paraId="7D931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501" w:type="pct"/>
                  <w:vMerge w:val="continue"/>
                  <w:tcBorders>
                    <w:tl2br w:val="nil"/>
                    <w:tr2bl w:val="nil"/>
                  </w:tcBorders>
                  <w:noWrap w:val="0"/>
                  <w:vAlign w:val="center"/>
                </w:tcPr>
                <w:p w14:paraId="24A755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69648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443" w:type="pct"/>
                  <w:tcBorders>
                    <w:tl2br w:val="nil"/>
                    <w:tr2bl w:val="nil"/>
                  </w:tcBorders>
                  <w:noWrap w:val="0"/>
                  <w:vAlign w:val="center"/>
                </w:tcPr>
                <w:p w14:paraId="5331AE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34E7ED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4B358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EC1F6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B071E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DFB93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2F146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5343C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3D6D50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4ADF1E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F2C83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443" w:type="pct"/>
                  <w:tcBorders>
                    <w:tl2br w:val="nil"/>
                    <w:tr2bl w:val="nil"/>
                  </w:tcBorders>
                  <w:noWrap w:val="0"/>
                  <w:vAlign w:val="center"/>
                </w:tcPr>
                <w:p w14:paraId="47CC09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0ED42B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EF4EE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DA820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C65BB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1D8FF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EC068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F4E11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r>
            <w:tr w14:paraId="1939E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05715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A495F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443" w:type="pct"/>
                  <w:tcBorders>
                    <w:tl2br w:val="nil"/>
                    <w:tr2bl w:val="nil"/>
                  </w:tcBorders>
                  <w:noWrap w:val="0"/>
                  <w:vAlign w:val="center"/>
                </w:tcPr>
                <w:p w14:paraId="72469D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463" w:type="pct"/>
                  <w:tcBorders>
                    <w:tl2br w:val="nil"/>
                    <w:tr2bl w:val="nil"/>
                  </w:tcBorders>
                  <w:noWrap w:val="0"/>
                  <w:vAlign w:val="center"/>
                </w:tcPr>
                <w:p w14:paraId="70AA74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1E9A9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AA1E3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9852C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03871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C1058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D38A9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47BB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79AE4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C080D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443" w:type="pct"/>
                  <w:tcBorders>
                    <w:tl2br w:val="nil"/>
                    <w:tr2bl w:val="nil"/>
                  </w:tcBorders>
                  <w:noWrap w:val="0"/>
                  <w:vAlign w:val="center"/>
                </w:tcPr>
                <w:p w14:paraId="0A5C30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4B0ED8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8C7532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358E1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E79AD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16BE4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1FF24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7BCA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13B45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568D7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9B313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443" w:type="pct"/>
                  <w:tcBorders>
                    <w:tl2br w:val="nil"/>
                    <w:tr2bl w:val="nil"/>
                  </w:tcBorders>
                  <w:noWrap w:val="0"/>
                  <w:vAlign w:val="center"/>
                </w:tcPr>
                <w:p w14:paraId="2F5F3A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3015D4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C82EE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6C3FE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B26AF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AB852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F8F75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8A004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5B2A19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FD6AA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85593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443" w:type="pct"/>
                  <w:tcBorders>
                    <w:tl2br w:val="nil"/>
                    <w:tr2bl w:val="nil"/>
                  </w:tcBorders>
                  <w:noWrap w:val="0"/>
                  <w:vAlign w:val="center"/>
                </w:tcPr>
                <w:p w14:paraId="4A2AA9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61A725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8B112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C6ABA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808C6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E7789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EDDEB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F61520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465E21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B58CA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407B4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443" w:type="pct"/>
                  <w:tcBorders>
                    <w:tl2br w:val="nil"/>
                    <w:tr2bl w:val="nil"/>
                  </w:tcBorders>
                  <w:noWrap w:val="0"/>
                  <w:vAlign w:val="center"/>
                </w:tcPr>
                <w:p w14:paraId="283FC8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4508C9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1D226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C2CC9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7C57D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C877A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8814E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05665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363A8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tcBorders>
                    <w:tl2br w:val="nil"/>
                    <w:tr2bl w:val="nil"/>
                  </w:tcBorders>
                  <w:noWrap w:val="0"/>
                  <w:vAlign w:val="center"/>
                </w:tcPr>
                <w:p w14:paraId="46ECDF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石油烃类</w:t>
                  </w:r>
                </w:p>
              </w:tc>
              <w:tc>
                <w:tcPr>
                  <w:tcW w:w="1072" w:type="pct"/>
                  <w:tcBorders>
                    <w:tl2br w:val="nil"/>
                    <w:tr2bl w:val="nil"/>
                  </w:tcBorders>
                  <w:noWrap w:val="0"/>
                  <w:vAlign w:val="center"/>
                </w:tcPr>
                <w:p w14:paraId="782685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石油烃（C</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vertAlign w:val="subscript"/>
                    </w:rPr>
                    <w:t>40</w:t>
                  </w:r>
                  <w:r>
                    <w:rPr>
                      <w:rFonts w:hint="default" w:ascii="Times New Roman" w:hAnsi="Times New Roman" w:eastAsia="宋体" w:cs="Times New Roman"/>
                      <w:color w:val="auto"/>
                      <w:sz w:val="18"/>
                      <w:szCs w:val="18"/>
                    </w:rPr>
                    <w:t>）</w:t>
                  </w:r>
                </w:p>
              </w:tc>
              <w:tc>
                <w:tcPr>
                  <w:tcW w:w="443" w:type="pct"/>
                  <w:tcBorders>
                    <w:tl2br w:val="nil"/>
                    <w:tr2bl w:val="nil"/>
                  </w:tcBorders>
                  <w:noWrap w:val="0"/>
                  <w:vAlign w:val="center"/>
                </w:tcPr>
                <w:p w14:paraId="56F0B1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63" w:type="pct"/>
                  <w:tcBorders>
                    <w:tl2br w:val="nil"/>
                    <w:tr2bl w:val="nil"/>
                  </w:tcBorders>
                  <w:noWrap w:val="0"/>
                  <w:vAlign w:val="center"/>
                </w:tcPr>
                <w:p w14:paraId="345A02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443" w:type="pct"/>
                  <w:tcBorders>
                    <w:tl2br w:val="nil"/>
                    <w:tr2bl w:val="nil"/>
                  </w:tcBorders>
                  <w:noWrap w:val="0"/>
                  <w:vAlign w:val="center"/>
                </w:tcPr>
                <w:p w14:paraId="03756E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0.0027</w:t>
                  </w:r>
                </w:p>
              </w:tc>
              <w:tc>
                <w:tcPr>
                  <w:tcW w:w="390" w:type="pct"/>
                  <w:tcBorders>
                    <w:tl2br w:val="nil"/>
                    <w:tr2bl w:val="nil"/>
                  </w:tcBorders>
                  <w:noWrap w:val="0"/>
                  <w:vAlign w:val="center"/>
                </w:tcPr>
                <w:p w14:paraId="0BF4FE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434" w:type="pct"/>
                  <w:tcBorders>
                    <w:tl2br w:val="nil"/>
                    <w:tr2bl w:val="nil"/>
                  </w:tcBorders>
                  <w:noWrap w:val="0"/>
                  <w:vAlign w:val="center"/>
                </w:tcPr>
                <w:p w14:paraId="5F3E37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0.0018</w:t>
                  </w:r>
                </w:p>
              </w:tc>
              <w:tc>
                <w:tcPr>
                  <w:tcW w:w="426" w:type="pct"/>
                  <w:tcBorders>
                    <w:tl2br w:val="nil"/>
                    <w:tr2bl w:val="nil"/>
                  </w:tcBorders>
                  <w:noWrap w:val="0"/>
                  <w:vAlign w:val="center"/>
                </w:tcPr>
                <w:p w14:paraId="72F667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511" w:type="pct"/>
                  <w:tcBorders>
                    <w:tl2br w:val="nil"/>
                    <w:tr2bl w:val="nil"/>
                  </w:tcBorders>
                  <w:noWrap w:val="0"/>
                  <w:vAlign w:val="center"/>
                </w:tcPr>
                <w:p w14:paraId="0E3F40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0.0016</w:t>
                  </w:r>
                </w:p>
              </w:tc>
              <w:tc>
                <w:tcPr>
                  <w:tcW w:w="313" w:type="pct"/>
                  <w:tcBorders>
                    <w:tl2br w:val="nil"/>
                    <w:tr2bl w:val="nil"/>
                  </w:tcBorders>
                  <w:noWrap w:val="0"/>
                  <w:vAlign w:val="center"/>
                </w:tcPr>
                <w:p w14:paraId="4CEBF1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r w14:paraId="137D7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restart"/>
                  <w:tcBorders>
                    <w:tl2br w:val="nil"/>
                    <w:tr2bl w:val="nil"/>
                  </w:tcBorders>
                  <w:noWrap w:val="0"/>
                  <w:vAlign w:val="center"/>
                </w:tcPr>
                <w:p w14:paraId="3A03EB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监测点位</w:t>
                  </w:r>
                </w:p>
              </w:tc>
              <w:tc>
                <w:tcPr>
                  <w:tcW w:w="443" w:type="pct"/>
                  <w:vMerge w:val="restart"/>
                  <w:tcBorders>
                    <w:tl2br w:val="nil"/>
                    <w:tr2bl w:val="nil"/>
                  </w:tcBorders>
                  <w:noWrap w:val="0"/>
                  <w:vAlign w:val="center"/>
                </w:tcPr>
                <w:p w14:paraId="20007A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检出限</w:t>
                  </w:r>
                </w:p>
              </w:tc>
              <w:tc>
                <w:tcPr>
                  <w:tcW w:w="2669" w:type="pct"/>
                  <w:gridSpan w:val="6"/>
                  <w:tcBorders>
                    <w:tl2br w:val="nil"/>
                    <w:tr2bl w:val="nil"/>
                  </w:tcBorders>
                  <w:noWrap w:val="0"/>
                  <w:vAlign w:val="center"/>
                </w:tcPr>
                <w:p w14:paraId="5F3973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厂区内T5初级车间北侧</w:t>
                  </w:r>
                </w:p>
              </w:tc>
              <w:tc>
                <w:tcPr>
                  <w:tcW w:w="313" w:type="pct"/>
                  <w:vMerge w:val="restart"/>
                  <w:tcBorders>
                    <w:tl2br w:val="nil"/>
                    <w:tr2bl w:val="nil"/>
                  </w:tcBorders>
                  <w:noWrap w:val="0"/>
                  <w:vAlign w:val="center"/>
                </w:tcPr>
                <w:p w14:paraId="7BEBBE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筛选值</w:t>
                  </w:r>
                </w:p>
              </w:tc>
            </w:tr>
            <w:tr w14:paraId="6DC0A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continue"/>
                  <w:tcBorders>
                    <w:tl2br w:val="nil"/>
                    <w:tr2bl w:val="nil"/>
                  </w:tcBorders>
                  <w:noWrap w:val="0"/>
                  <w:vAlign w:val="center"/>
                </w:tcPr>
                <w:p w14:paraId="51BED5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443" w:type="pct"/>
                  <w:vMerge w:val="continue"/>
                  <w:tcBorders>
                    <w:tl2br w:val="nil"/>
                    <w:tr2bl w:val="nil"/>
                  </w:tcBorders>
                  <w:noWrap w:val="0"/>
                  <w:vAlign w:val="center"/>
                </w:tcPr>
                <w:p w14:paraId="1563AF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907" w:type="pct"/>
                  <w:gridSpan w:val="2"/>
                  <w:tcBorders>
                    <w:tl2br w:val="nil"/>
                    <w:tr2bl w:val="nil"/>
                  </w:tcBorders>
                  <w:noWrap w:val="0"/>
                  <w:vAlign w:val="center"/>
                </w:tcPr>
                <w:p w14:paraId="02CEC9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0-0.5m</w:t>
                  </w:r>
                </w:p>
              </w:tc>
              <w:tc>
                <w:tcPr>
                  <w:tcW w:w="824" w:type="pct"/>
                  <w:gridSpan w:val="2"/>
                  <w:tcBorders>
                    <w:tl2br w:val="nil"/>
                    <w:tr2bl w:val="nil"/>
                  </w:tcBorders>
                  <w:noWrap w:val="0"/>
                  <w:vAlign w:val="center"/>
                </w:tcPr>
                <w:p w14:paraId="4715C4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0.5-1.5m</w:t>
                  </w:r>
                </w:p>
              </w:tc>
              <w:tc>
                <w:tcPr>
                  <w:tcW w:w="937" w:type="pct"/>
                  <w:gridSpan w:val="2"/>
                  <w:tcBorders>
                    <w:tl2br w:val="nil"/>
                    <w:tr2bl w:val="nil"/>
                  </w:tcBorders>
                  <w:noWrap w:val="0"/>
                  <w:vAlign w:val="center"/>
                </w:tcPr>
                <w:p w14:paraId="6F882D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1.5-3.0m</w:t>
                  </w:r>
                </w:p>
              </w:tc>
              <w:tc>
                <w:tcPr>
                  <w:tcW w:w="313" w:type="pct"/>
                  <w:vMerge w:val="continue"/>
                  <w:tcBorders>
                    <w:tl2br w:val="nil"/>
                    <w:tr2bl w:val="nil"/>
                  </w:tcBorders>
                  <w:noWrap w:val="0"/>
                  <w:vAlign w:val="center"/>
                </w:tcPr>
                <w:p w14:paraId="0CDE76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r>
            <w:tr w14:paraId="4483C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tcBorders>
                    <w:tl2br w:val="nil"/>
                    <w:tr2bl w:val="nil"/>
                  </w:tcBorders>
                  <w:noWrap w:val="0"/>
                  <w:vAlign w:val="center"/>
                </w:tcPr>
                <w:p w14:paraId="035FA2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监测项目</w:t>
                  </w:r>
                </w:p>
              </w:tc>
              <w:tc>
                <w:tcPr>
                  <w:tcW w:w="443" w:type="pct"/>
                  <w:vMerge w:val="continue"/>
                  <w:tcBorders>
                    <w:tl2br w:val="nil"/>
                    <w:tr2bl w:val="nil"/>
                  </w:tcBorders>
                  <w:noWrap w:val="0"/>
                  <w:vAlign w:val="center"/>
                </w:tcPr>
                <w:p w14:paraId="0F36C3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463" w:type="pct"/>
                  <w:tcBorders>
                    <w:tl2br w:val="nil"/>
                    <w:tr2bl w:val="nil"/>
                  </w:tcBorders>
                  <w:noWrap w:val="0"/>
                  <w:vAlign w:val="center"/>
                </w:tcPr>
                <w:p w14:paraId="7D5AEE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443" w:type="pct"/>
                  <w:tcBorders>
                    <w:tl2br w:val="nil"/>
                    <w:tr2bl w:val="nil"/>
                  </w:tcBorders>
                  <w:noWrap w:val="0"/>
                  <w:vAlign w:val="center"/>
                </w:tcPr>
                <w:p w14:paraId="0120A7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390" w:type="pct"/>
                  <w:tcBorders>
                    <w:tl2br w:val="nil"/>
                    <w:tr2bl w:val="nil"/>
                  </w:tcBorders>
                  <w:noWrap w:val="0"/>
                  <w:vAlign w:val="center"/>
                </w:tcPr>
                <w:p w14:paraId="0F62E3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434" w:type="pct"/>
                  <w:tcBorders>
                    <w:tl2br w:val="nil"/>
                    <w:tr2bl w:val="nil"/>
                  </w:tcBorders>
                  <w:noWrap w:val="0"/>
                  <w:vAlign w:val="center"/>
                </w:tcPr>
                <w:p w14:paraId="5B0394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426" w:type="pct"/>
                  <w:tcBorders>
                    <w:tl2br w:val="nil"/>
                    <w:tr2bl w:val="nil"/>
                  </w:tcBorders>
                  <w:noWrap w:val="0"/>
                  <w:vAlign w:val="center"/>
                </w:tcPr>
                <w:p w14:paraId="33FDD4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511" w:type="pct"/>
                  <w:tcBorders>
                    <w:tl2br w:val="nil"/>
                    <w:tr2bl w:val="nil"/>
                  </w:tcBorders>
                  <w:noWrap w:val="0"/>
                  <w:vAlign w:val="center"/>
                </w:tcPr>
                <w:p w14:paraId="06879C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313" w:type="pct"/>
                  <w:vMerge w:val="continue"/>
                  <w:tcBorders>
                    <w:tl2br w:val="nil"/>
                    <w:tr2bl w:val="nil"/>
                  </w:tcBorders>
                  <w:noWrap w:val="0"/>
                  <w:vAlign w:val="center"/>
                </w:tcPr>
                <w:p w14:paraId="117349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r>
            <w:tr w14:paraId="4A84D1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0EB87D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c>
                <w:tcPr>
                  <w:tcW w:w="1072" w:type="pct"/>
                  <w:tcBorders>
                    <w:tl2br w:val="nil"/>
                    <w:tr2bl w:val="nil"/>
                  </w:tcBorders>
                  <w:noWrap w:val="0"/>
                  <w:vAlign w:val="center"/>
                </w:tcPr>
                <w:p w14:paraId="5879F2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443" w:type="pct"/>
                  <w:tcBorders>
                    <w:tl2br w:val="nil"/>
                    <w:tr2bl w:val="nil"/>
                  </w:tcBorders>
                  <w:noWrap w:val="0"/>
                  <w:vAlign w:val="center"/>
                </w:tcPr>
                <w:p w14:paraId="2AB3B1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63" w:type="pct"/>
                  <w:tcBorders>
                    <w:tl2br w:val="nil"/>
                    <w:tr2bl w:val="nil"/>
                  </w:tcBorders>
                  <w:noWrap w:val="0"/>
                  <w:vAlign w:val="center"/>
                </w:tcPr>
                <w:p w14:paraId="6CA311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8.41</w:t>
                  </w:r>
                </w:p>
              </w:tc>
              <w:tc>
                <w:tcPr>
                  <w:tcW w:w="443" w:type="pct"/>
                  <w:tcBorders>
                    <w:tl2br w:val="nil"/>
                    <w:tr2bl w:val="nil"/>
                  </w:tcBorders>
                  <w:noWrap w:val="0"/>
                  <w:vAlign w:val="center"/>
                </w:tcPr>
                <w:p w14:paraId="6755B7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5B2FC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8.29</w:t>
                  </w:r>
                </w:p>
              </w:tc>
              <w:tc>
                <w:tcPr>
                  <w:tcW w:w="434" w:type="pct"/>
                  <w:tcBorders>
                    <w:tl2br w:val="nil"/>
                    <w:tr2bl w:val="nil"/>
                  </w:tcBorders>
                  <w:noWrap w:val="0"/>
                  <w:vAlign w:val="center"/>
                </w:tcPr>
                <w:p w14:paraId="6A7445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E538DF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8.08</w:t>
                  </w:r>
                </w:p>
              </w:tc>
              <w:tc>
                <w:tcPr>
                  <w:tcW w:w="511" w:type="pct"/>
                  <w:tcBorders>
                    <w:tl2br w:val="nil"/>
                    <w:tr2bl w:val="nil"/>
                  </w:tcBorders>
                  <w:noWrap w:val="0"/>
                  <w:vAlign w:val="center"/>
                </w:tcPr>
                <w:p w14:paraId="1B84A1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A2863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5BFFE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A6157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AF153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43" w:type="pct"/>
                  <w:tcBorders>
                    <w:tl2br w:val="nil"/>
                    <w:tr2bl w:val="nil"/>
                  </w:tcBorders>
                  <w:noWrap w:val="0"/>
                  <w:vAlign w:val="center"/>
                </w:tcPr>
                <w:p w14:paraId="10B651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229FB3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10.6</w:t>
                  </w:r>
                </w:p>
              </w:tc>
              <w:tc>
                <w:tcPr>
                  <w:tcW w:w="443" w:type="pct"/>
                  <w:tcBorders>
                    <w:tl2br w:val="nil"/>
                    <w:tr2bl w:val="nil"/>
                  </w:tcBorders>
                  <w:noWrap w:val="0"/>
                  <w:vAlign w:val="center"/>
                </w:tcPr>
                <w:p w14:paraId="12CA88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0.1767</w:t>
                  </w:r>
                </w:p>
              </w:tc>
              <w:tc>
                <w:tcPr>
                  <w:tcW w:w="390" w:type="pct"/>
                  <w:tcBorders>
                    <w:tl2br w:val="nil"/>
                    <w:tr2bl w:val="nil"/>
                  </w:tcBorders>
                  <w:noWrap w:val="0"/>
                  <w:vAlign w:val="center"/>
                </w:tcPr>
                <w:p w14:paraId="2D2631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13.5</w:t>
                  </w:r>
                </w:p>
              </w:tc>
              <w:tc>
                <w:tcPr>
                  <w:tcW w:w="434" w:type="pct"/>
                  <w:tcBorders>
                    <w:tl2br w:val="nil"/>
                    <w:tr2bl w:val="nil"/>
                  </w:tcBorders>
                  <w:noWrap w:val="0"/>
                  <w:vAlign w:val="center"/>
                </w:tcPr>
                <w:p w14:paraId="6C0A4B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0.2250</w:t>
                  </w:r>
                </w:p>
              </w:tc>
              <w:tc>
                <w:tcPr>
                  <w:tcW w:w="426" w:type="pct"/>
                  <w:tcBorders>
                    <w:tl2br w:val="nil"/>
                    <w:tr2bl w:val="nil"/>
                  </w:tcBorders>
                  <w:noWrap w:val="0"/>
                  <w:vAlign w:val="center"/>
                </w:tcPr>
                <w:p w14:paraId="4FB5C6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12.8</w:t>
                  </w:r>
                </w:p>
              </w:tc>
              <w:tc>
                <w:tcPr>
                  <w:tcW w:w="511" w:type="pct"/>
                  <w:tcBorders>
                    <w:tl2br w:val="nil"/>
                    <w:tr2bl w:val="nil"/>
                  </w:tcBorders>
                  <w:noWrap w:val="0"/>
                  <w:vAlign w:val="center"/>
                </w:tcPr>
                <w:p w14:paraId="645FC1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0.2133</w:t>
                  </w:r>
                </w:p>
              </w:tc>
              <w:tc>
                <w:tcPr>
                  <w:tcW w:w="313" w:type="pct"/>
                  <w:tcBorders>
                    <w:tl2br w:val="nil"/>
                    <w:tr2bl w:val="nil"/>
                  </w:tcBorders>
                  <w:noWrap w:val="0"/>
                  <w:vAlign w:val="center"/>
                </w:tcPr>
                <w:p w14:paraId="30E580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r>
            <w:tr w14:paraId="55662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92DAD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C4A78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43" w:type="pct"/>
                  <w:tcBorders>
                    <w:tl2br w:val="nil"/>
                    <w:tr2bl w:val="nil"/>
                  </w:tcBorders>
                  <w:noWrap w:val="0"/>
                  <w:vAlign w:val="center"/>
                </w:tcPr>
                <w:p w14:paraId="319DAD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19A060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w:t>
                  </w:r>
                </w:p>
              </w:tc>
              <w:tc>
                <w:tcPr>
                  <w:tcW w:w="443" w:type="pct"/>
                  <w:tcBorders>
                    <w:tl2br w:val="nil"/>
                    <w:tr2bl w:val="nil"/>
                  </w:tcBorders>
                  <w:noWrap w:val="0"/>
                  <w:vAlign w:val="center"/>
                </w:tcPr>
                <w:p w14:paraId="0D7BFF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0.0018</w:t>
                  </w:r>
                </w:p>
              </w:tc>
              <w:tc>
                <w:tcPr>
                  <w:tcW w:w="390" w:type="pct"/>
                  <w:tcBorders>
                    <w:tl2br w:val="nil"/>
                    <w:tr2bl w:val="nil"/>
                  </w:tcBorders>
                  <w:noWrap w:val="0"/>
                  <w:vAlign w:val="center"/>
                </w:tcPr>
                <w:p w14:paraId="18D8FD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0.15</w:t>
                  </w:r>
                </w:p>
              </w:tc>
              <w:tc>
                <w:tcPr>
                  <w:tcW w:w="434" w:type="pct"/>
                  <w:tcBorders>
                    <w:tl2br w:val="nil"/>
                    <w:tr2bl w:val="nil"/>
                  </w:tcBorders>
                  <w:noWrap w:val="0"/>
                  <w:vAlign w:val="center"/>
                </w:tcPr>
                <w:p w14:paraId="1485BB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0.0023</w:t>
                  </w:r>
                </w:p>
              </w:tc>
              <w:tc>
                <w:tcPr>
                  <w:tcW w:w="426" w:type="pct"/>
                  <w:tcBorders>
                    <w:tl2br w:val="nil"/>
                    <w:tr2bl w:val="nil"/>
                  </w:tcBorders>
                  <w:noWrap w:val="0"/>
                  <w:vAlign w:val="center"/>
                </w:tcPr>
                <w:p w14:paraId="1AD22F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0.16</w:t>
                  </w:r>
                </w:p>
              </w:tc>
              <w:tc>
                <w:tcPr>
                  <w:tcW w:w="511" w:type="pct"/>
                  <w:tcBorders>
                    <w:tl2br w:val="nil"/>
                    <w:tr2bl w:val="nil"/>
                  </w:tcBorders>
                  <w:noWrap w:val="0"/>
                  <w:vAlign w:val="center"/>
                </w:tcPr>
                <w:p w14:paraId="30C1FA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0.0025</w:t>
                  </w:r>
                </w:p>
              </w:tc>
              <w:tc>
                <w:tcPr>
                  <w:tcW w:w="313" w:type="pct"/>
                  <w:tcBorders>
                    <w:tl2br w:val="nil"/>
                    <w:tr2bl w:val="nil"/>
                  </w:tcBorders>
                  <w:noWrap w:val="0"/>
                  <w:vAlign w:val="center"/>
                </w:tcPr>
                <w:p w14:paraId="7727FE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r>
            <w:tr w14:paraId="6F531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2C664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69981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43" w:type="pct"/>
                  <w:tcBorders>
                    <w:tl2br w:val="nil"/>
                    <w:tr2bl w:val="nil"/>
                  </w:tcBorders>
                  <w:noWrap w:val="0"/>
                  <w:vAlign w:val="center"/>
                </w:tcPr>
                <w:p w14:paraId="4F4427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63" w:type="pct"/>
                  <w:tcBorders>
                    <w:tl2br w:val="nil"/>
                    <w:tr2bl w:val="nil"/>
                  </w:tcBorders>
                  <w:noWrap w:val="0"/>
                  <w:vAlign w:val="center"/>
                </w:tcPr>
                <w:p w14:paraId="78B969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w:t>
                  </w:r>
                </w:p>
              </w:tc>
              <w:tc>
                <w:tcPr>
                  <w:tcW w:w="443" w:type="pct"/>
                  <w:tcBorders>
                    <w:tl2br w:val="nil"/>
                    <w:tr2bl w:val="nil"/>
                  </w:tcBorders>
                  <w:noWrap w:val="0"/>
                  <w:vAlign w:val="center"/>
                </w:tcPr>
                <w:p w14:paraId="0F7C0B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0.0009</w:t>
                  </w:r>
                </w:p>
              </w:tc>
              <w:tc>
                <w:tcPr>
                  <w:tcW w:w="390" w:type="pct"/>
                  <w:tcBorders>
                    <w:tl2br w:val="nil"/>
                    <w:tr2bl w:val="nil"/>
                  </w:tcBorders>
                  <w:noWrap w:val="0"/>
                  <w:vAlign w:val="center"/>
                </w:tcPr>
                <w:p w14:paraId="333779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24</w:t>
                  </w:r>
                </w:p>
              </w:tc>
              <w:tc>
                <w:tcPr>
                  <w:tcW w:w="434" w:type="pct"/>
                  <w:tcBorders>
                    <w:tl2br w:val="nil"/>
                    <w:tr2bl w:val="nil"/>
                  </w:tcBorders>
                  <w:noWrap w:val="0"/>
                  <w:vAlign w:val="center"/>
                </w:tcPr>
                <w:p w14:paraId="05DB49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0.0013</w:t>
                  </w:r>
                </w:p>
              </w:tc>
              <w:tc>
                <w:tcPr>
                  <w:tcW w:w="426" w:type="pct"/>
                  <w:tcBorders>
                    <w:tl2br w:val="nil"/>
                    <w:tr2bl w:val="nil"/>
                  </w:tcBorders>
                  <w:noWrap w:val="0"/>
                  <w:vAlign w:val="center"/>
                </w:tcPr>
                <w:p w14:paraId="272B3A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21</w:t>
                  </w:r>
                </w:p>
              </w:tc>
              <w:tc>
                <w:tcPr>
                  <w:tcW w:w="511" w:type="pct"/>
                  <w:tcBorders>
                    <w:tl2br w:val="nil"/>
                    <w:tr2bl w:val="nil"/>
                  </w:tcBorders>
                  <w:noWrap w:val="0"/>
                  <w:vAlign w:val="center"/>
                </w:tcPr>
                <w:p w14:paraId="68C966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0.0012</w:t>
                  </w:r>
                </w:p>
              </w:tc>
              <w:tc>
                <w:tcPr>
                  <w:tcW w:w="313" w:type="pct"/>
                  <w:tcBorders>
                    <w:tl2br w:val="nil"/>
                    <w:tr2bl w:val="nil"/>
                  </w:tcBorders>
                  <w:noWrap w:val="0"/>
                  <w:vAlign w:val="center"/>
                </w:tcPr>
                <w:p w14:paraId="79ADE4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r>
            <w:tr w14:paraId="44168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43570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A3515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43" w:type="pct"/>
                  <w:tcBorders>
                    <w:tl2br w:val="nil"/>
                    <w:tr2bl w:val="nil"/>
                  </w:tcBorders>
                  <w:noWrap w:val="0"/>
                  <w:vAlign w:val="center"/>
                </w:tcPr>
                <w:p w14:paraId="432817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63" w:type="pct"/>
                  <w:tcBorders>
                    <w:tl2br w:val="nil"/>
                    <w:tr2bl w:val="nil"/>
                  </w:tcBorders>
                  <w:noWrap w:val="0"/>
                  <w:vAlign w:val="center"/>
                </w:tcPr>
                <w:p w14:paraId="52E2C2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w:t>
                  </w:r>
                </w:p>
              </w:tc>
              <w:tc>
                <w:tcPr>
                  <w:tcW w:w="443" w:type="pct"/>
                  <w:tcBorders>
                    <w:tl2br w:val="nil"/>
                    <w:tr2bl w:val="nil"/>
                  </w:tcBorders>
                  <w:noWrap w:val="0"/>
                  <w:vAlign w:val="center"/>
                </w:tcPr>
                <w:p w14:paraId="38BF04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0.0150</w:t>
                  </w:r>
                </w:p>
              </w:tc>
              <w:tc>
                <w:tcPr>
                  <w:tcW w:w="390" w:type="pct"/>
                  <w:tcBorders>
                    <w:tl2br w:val="nil"/>
                    <w:tr2bl w:val="nil"/>
                  </w:tcBorders>
                  <w:noWrap w:val="0"/>
                  <w:vAlign w:val="center"/>
                </w:tcPr>
                <w:p w14:paraId="0A7787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12.6</w:t>
                  </w:r>
                </w:p>
              </w:tc>
              <w:tc>
                <w:tcPr>
                  <w:tcW w:w="434" w:type="pct"/>
                  <w:tcBorders>
                    <w:tl2br w:val="nil"/>
                    <w:tr2bl w:val="nil"/>
                  </w:tcBorders>
                  <w:noWrap w:val="0"/>
                  <w:vAlign w:val="center"/>
                </w:tcPr>
                <w:p w14:paraId="09859C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0.0158</w:t>
                  </w:r>
                </w:p>
              </w:tc>
              <w:tc>
                <w:tcPr>
                  <w:tcW w:w="426" w:type="pct"/>
                  <w:tcBorders>
                    <w:tl2br w:val="nil"/>
                    <w:tr2bl w:val="nil"/>
                  </w:tcBorders>
                  <w:noWrap w:val="0"/>
                  <w:vAlign w:val="center"/>
                </w:tcPr>
                <w:p w14:paraId="2DC68DD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22.1</w:t>
                  </w:r>
                </w:p>
              </w:tc>
              <w:tc>
                <w:tcPr>
                  <w:tcW w:w="511" w:type="pct"/>
                  <w:tcBorders>
                    <w:tl2br w:val="nil"/>
                    <w:tr2bl w:val="nil"/>
                  </w:tcBorders>
                  <w:noWrap w:val="0"/>
                  <w:vAlign w:val="center"/>
                </w:tcPr>
                <w:p w14:paraId="6BAC87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0.0276</w:t>
                  </w:r>
                </w:p>
              </w:tc>
              <w:tc>
                <w:tcPr>
                  <w:tcW w:w="313" w:type="pct"/>
                  <w:tcBorders>
                    <w:tl2br w:val="nil"/>
                    <w:tr2bl w:val="nil"/>
                  </w:tcBorders>
                  <w:noWrap w:val="0"/>
                  <w:vAlign w:val="center"/>
                </w:tcPr>
                <w:p w14:paraId="67BADE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r>
            <w:tr w14:paraId="1B74B4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36037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CB047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43" w:type="pct"/>
                  <w:tcBorders>
                    <w:tl2br w:val="nil"/>
                    <w:tr2bl w:val="nil"/>
                  </w:tcBorders>
                  <w:noWrap w:val="0"/>
                  <w:vAlign w:val="center"/>
                </w:tcPr>
                <w:p w14:paraId="53FD6F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63" w:type="pct"/>
                  <w:tcBorders>
                    <w:tl2br w:val="nil"/>
                    <w:tr2bl w:val="nil"/>
                  </w:tcBorders>
                  <w:noWrap w:val="0"/>
                  <w:vAlign w:val="center"/>
                </w:tcPr>
                <w:p w14:paraId="15DC40F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0.089</w:t>
                  </w:r>
                </w:p>
              </w:tc>
              <w:tc>
                <w:tcPr>
                  <w:tcW w:w="443" w:type="pct"/>
                  <w:tcBorders>
                    <w:tl2br w:val="nil"/>
                    <w:tr2bl w:val="nil"/>
                  </w:tcBorders>
                  <w:noWrap w:val="0"/>
                  <w:vAlign w:val="center"/>
                </w:tcPr>
                <w:p w14:paraId="046E32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0.0023</w:t>
                  </w:r>
                </w:p>
              </w:tc>
              <w:tc>
                <w:tcPr>
                  <w:tcW w:w="390" w:type="pct"/>
                  <w:tcBorders>
                    <w:tl2br w:val="nil"/>
                    <w:tr2bl w:val="nil"/>
                  </w:tcBorders>
                  <w:noWrap w:val="0"/>
                  <w:vAlign w:val="center"/>
                </w:tcPr>
                <w:p w14:paraId="633FB6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0.109</w:t>
                  </w:r>
                </w:p>
              </w:tc>
              <w:tc>
                <w:tcPr>
                  <w:tcW w:w="434" w:type="pct"/>
                  <w:tcBorders>
                    <w:tl2br w:val="nil"/>
                    <w:tr2bl w:val="nil"/>
                  </w:tcBorders>
                  <w:noWrap w:val="0"/>
                  <w:vAlign w:val="center"/>
                </w:tcPr>
                <w:p w14:paraId="39803E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0.0029</w:t>
                  </w:r>
                </w:p>
              </w:tc>
              <w:tc>
                <w:tcPr>
                  <w:tcW w:w="426" w:type="pct"/>
                  <w:tcBorders>
                    <w:tl2br w:val="nil"/>
                    <w:tr2bl w:val="nil"/>
                  </w:tcBorders>
                  <w:noWrap w:val="0"/>
                  <w:vAlign w:val="center"/>
                </w:tcPr>
                <w:p w14:paraId="392D8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0.107</w:t>
                  </w:r>
                </w:p>
              </w:tc>
              <w:tc>
                <w:tcPr>
                  <w:tcW w:w="511" w:type="pct"/>
                  <w:tcBorders>
                    <w:tl2br w:val="nil"/>
                    <w:tr2bl w:val="nil"/>
                  </w:tcBorders>
                  <w:noWrap w:val="0"/>
                  <w:vAlign w:val="center"/>
                </w:tcPr>
                <w:p w14:paraId="662A053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0.0028</w:t>
                  </w:r>
                </w:p>
              </w:tc>
              <w:tc>
                <w:tcPr>
                  <w:tcW w:w="313" w:type="pct"/>
                  <w:tcBorders>
                    <w:tl2br w:val="nil"/>
                    <w:tr2bl w:val="nil"/>
                  </w:tcBorders>
                  <w:noWrap w:val="0"/>
                  <w:vAlign w:val="center"/>
                </w:tcPr>
                <w:p w14:paraId="76A5B0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r>
            <w:tr w14:paraId="31443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DD26C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DEC0B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43" w:type="pct"/>
                  <w:tcBorders>
                    <w:tl2br w:val="nil"/>
                    <w:tr2bl w:val="nil"/>
                  </w:tcBorders>
                  <w:noWrap w:val="0"/>
                  <w:vAlign w:val="center"/>
                </w:tcPr>
                <w:p w14:paraId="035800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 w:type="pct"/>
                  <w:tcBorders>
                    <w:tl2br w:val="nil"/>
                    <w:tr2bl w:val="nil"/>
                  </w:tcBorders>
                  <w:noWrap w:val="0"/>
                  <w:vAlign w:val="center"/>
                </w:tcPr>
                <w:p w14:paraId="5CFB1B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443" w:type="pct"/>
                  <w:tcBorders>
                    <w:tl2br w:val="nil"/>
                    <w:tr2bl w:val="nil"/>
                  </w:tcBorders>
                  <w:noWrap w:val="0"/>
                  <w:vAlign w:val="center"/>
                </w:tcPr>
                <w:p w14:paraId="40744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0.0200</w:t>
                  </w:r>
                </w:p>
              </w:tc>
              <w:tc>
                <w:tcPr>
                  <w:tcW w:w="390" w:type="pct"/>
                  <w:tcBorders>
                    <w:tl2br w:val="nil"/>
                    <w:tr2bl w:val="nil"/>
                  </w:tcBorders>
                  <w:noWrap w:val="0"/>
                  <w:vAlign w:val="center"/>
                </w:tcPr>
                <w:p w14:paraId="684916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28</w:t>
                  </w:r>
                </w:p>
              </w:tc>
              <w:tc>
                <w:tcPr>
                  <w:tcW w:w="434" w:type="pct"/>
                  <w:tcBorders>
                    <w:tl2br w:val="nil"/>
                    <w:tr2bl w:val="nil"/>
                  </w:tcBorders>
                  <w:noWrap w:val="0"/>
                  <w:vAlign w:val="center"/>
                </w:tcPr>
                <w:p w14:paraId="1EDAD3F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0.0311</w:t>
                  </w:r>
                </w:p>
              </w:tc>
              <w:tc>
                <w:tcPr>
                  <w:tcW w:w="426" w:type="pct"/>
                  <w:tcBorders>
                    <w:tl2br w:val="nil"/>
                    <w:tr2bl w:val="nil"/>
                  </w:tcBorders>
                  <w:noWrap w:val="0"/>
                  <w:vAlign w:val="center"/>
                </w:tcPr>
                <w:p w14:paraId="04ABAD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29</w:t>
                  </w:r>
                </w:p>
              </w:tc>
              <w:tc>
                <w:tcPr>
                  <w:tcW w:w="511" w:type="pct"/>
                  <w:tcBorders>
                    <w:tl2br w:val="nil"/>
                    <w:tr2bl w:val="nil"/>
                  </w:tcBorders>
                  <w:noWrap w:val="0"/>
                  <w:vAlign w:val="center"/>
                </w:tcPr>
                <w:p w14:paraId="766212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0.0322</w:t>
                  </w:r>
                </w:p>
              </w:tc>
              <w:tc>
                <w:tcPr>
                  <w:tcW w:w="313" w:type="pct"/>
                  <w:tcBorders>
                    <w:tl2br w:val="nil"/>
                    <w:tr2bl w:val="nil"/>
                  </w:tcBorders>
                  <w:noWrap w:val="0"/>
                  <w:vAlign w:val="center"/>
                </w:tcPr>
                <w:p w14:paraId="53B74F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r>
            <w:tr w14:paraId="56E338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71924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39708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443" w:type="pct"/>
                  <w:tcBorders>
                    <w:tl2br w:val="nil"/>
                    <w:tr2bl w:val="nil"/>
                  </w:tcBorders>
                  <w:noWrap w:val="0"/>
                  <w:vAlign w:val="center"/>
                </w:tcPr>
                <w:p w14:paraId="3C08B3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463" w:type="pct"/>
                  <w:tcBorders>
                    <w:tl2br w:val="nil"/>
                    <w:tr2bl w:val="nil"/>
                  </w:tcBorders>
                  <w:noWrap w:val="0"/>
                  <w:vAlign w:val="center"/>
                </w:tcPr>
                <w:p w14:paraId="241B70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43" w:type="pct"/>
                  <w:tcBorders>
                    <w:tl2br w:val="nil"/>
                    <w:tr2bl w:val="nil"/>
                  </w:tcBorders>
                  <w:noWrap w:val="0"/>
                  <w:vAlign w:val="center"/>
                </w:tcPr>
                <w:p w14:paraId="125894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0.1754</w:t>
                  </w:r>
                </w:p>
              </w:tc>
              <w:tc>
                <w:tcPr>
                  <w:tcW w:w="390" w:type="pct"/>
                  <w:tcBorders>
                    <w:tl2br w:val="nil"/>
                    <w:tr2bl w:val="nil"/>
                  </w:tcBorders>
                  <w:noWrap w:val="0"/>
                  <w:vAlign w:val="center"/>
                </w:tcPr>
                <w:p w14:paraId="297A60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1.1</w:t>
                  </w:r>
                </w:p>
              </w:tc>
              <w:tc>
                <w:tcPr>
                  <w:tcW w:w="434" w:type="pct"/>
                  <w:tcBorders>
                    <w:tl2br w:val="nil"/>
                    <w:tr2bl w:val="nil"/>
                  </w:tcBorders>
                  <w:noWrap w:val="0"/>
                  <w:vAlign w:val="center"/>
                </w:tcPr>
                <w:p w14:paraId="499778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0.1930</w:t>
                  </w:r>
                </w:p>
              </w:tc>
              <w:tc>
                <w:tcPr>
                  <w:tcW w:w="426" w:type="pct"/>
                  <w:tcBorders>
                    <w:tl2br w:val="nil"/>
                    <w:tr2bl w:val="nil"/>
                  </w:tcBorders>
                  <w:noWrap w:val="0"/>
                  <w:vAlign w:val="center"/>
                </w:tcPr>
                <w:p w14:paraId="02550E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1.1</w:t>
                  </w:r>
                </w:p>
              </w:tc>
              <w:tc>
                <w:tcPr>
                  <w:tcW w:w="511" w:type="pct"/>
                  <w:tcBorders>
                    <w:tl2br w:val="nil"/>
                    <w:tr2bl w:val="nil"/>
                  </w:tcBorders>
                  <w:noWrap w:val="0"/>
                  <w:vAlign w:val="center"/>
                </w:tcPr>
                <w:p w14:paraId="108683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0.1930</w:t>
                  </w:r>
                </w:p>
              </w:tc>
              <w:tc>
                <w:tcPr>
                  <w:tcW w:w="313" w:type="pct"/>
                  <w:tcBorders>
                    <w:tl2br w:val="nil"/>
                    <w:tr2bl w:val="nil"/>
                  </w:tcBorders>
                  <w:noWrap w:val="0"/>
                  <w:vAlign w:val="center"/>
                </w:tcPr>
                <w:p w14:paraId="69D333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r>
            <w:tr w14:paraId="6A62B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09E819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c>
                <w:tcPr>
                  <w:tcW w:w="1072" w:type="pct"/>
                  <w:tcBorders>
                    <w:tl2br w:val="nil"/>
                    <w:tr2bl w:val="nil"/>
                  </w:tcBorders>
                  <w:noWrap w:val="0"/>
                  <w:vAlign w:val="center"/>
                </w:tcPr>
                <w:p w14:paraId="2E3F99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443" w:type="pct"/>
                  <w:tcBorders>
                    <w:tl2br w:val="nil"/>
                    <w:tr2bl w:val="nil"/>
                  </w:tcBorders>
                  <w:noWrap w:val="0"/>
                  <w:vAlign w:val="center"/>
                </w:tcPr>
                <w:p w14:paraId="21FE91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3E9F55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8565E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B71C3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30F23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097F7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FAD3F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DF20C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r>
            <w:tr w14:paraId="7C0381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91B08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165EC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443" w:type="pct"/>
                  <w:tcBorders>
                    <w:tl2br w:val="nil"/>
                    <w:tr2bl w:val="nil"/>
                  </w:tcBorders>
                  <w:noWrap w:val="0"/>
                  <w:vAlign w:val="center"/>
                </w:tcPr>
                <w:p w14:paraId="335B2E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7FE881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DA6A1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ECDE6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EA490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DAB1F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CB2A0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0169A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r>
            <w:tr w14:paraId="61529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49998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5DF85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443" w:type="pct"/>
                  <w:tcBorders>
                    <w:tl2br w:val="nil"/>
                    <w:tr2bl w:val="nil"/>
                  </w:tcBorders>
                  <w:noWrap w:val="0"/>
                  <w:vAlign w:val="center"/>
                </w:tcPr>
                <w:p w14:paraId="78BF2C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0DD174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475DC6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DEF30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52A9E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35124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61DC2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95B6A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r>
            <w:tr w14:paraId="530B7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DD9F1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95699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443" w:type="pct"/>
                  <w:tcBorders>
                    <w:tl2br w:val="nil"/>
                    <w:tr2bl w:val="nil"/>
                  </w:tcBorders>
                  <w:noWrap w:val="0"/>
                  <w:vAlign w:val="center"/>
                </w:tcPr>
                <w:p w14:paraId="617E5E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697219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0.0192</w:t>
                  </w:r>
                </w:p>
              </w:tc>
              <w:tc>
                <w:tcPr>
                  <w:tcW w:w="443" w:type="pct"/>
                  <w:tcBorders>
                    <w:tl2br w:val="nil"/>
                    <w:tr2bl w:val="nil"/>
                  </w:tcBorders>
                  <w:noWrap w:val="0"/>
                  <w:vAlign w:val="center"/>
                </w:tcPr>
                <w:p w14:paraId="2B8362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0.00003</w:t>
                  </w:r>
                </w:p>
              </w:tc>
              <w:tc>
                <w:tcPr>
                  <w:tcW w:w="390" w:type="pct"/>
                  <w:tcBorders>
                    <w:tl2br w:val="nil"/>
                    <w:tr2bl w:val="nil"/>
                  </w:tcBorders>
                  <w:noWrap w:val="0"/>
                  <w:vAlign w:val="center"/>
                </w:tcPr>
                <w:p w14:paraId="63D816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0.0095</w:t>
                  </w:r>
                </w:p>
              </w:tc>
              <w:tc>
                <w:tcPr>
                  <w:tcW w:w="434" w:type="pct"/>
                  <w:tcBorders>
                    <w:tl2br w:val="nil"/>
                    <w:tr2bl w:val="nil"/>
                  </w:tcBorders>
                  <w:noWrap w:val="0"/>
                  <w:vAlign w:val="center"/>
                </w:tcPr>
                <w:p w14:paraId="49914A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0.00002</w:t>
                  </w:r>
                </w:p>
              </w:tc>
              <w:tc>
                <w:tcPr>
                  <w:tcW w:w="426" w:type="pct"/>
                  <w:tcBorders>
                    <w:tl2br w:val="nil"/>
                    <w:tr2bl w:val="nil"/>
                  </w:tcBorders>
                  <w:noWrap w:val="0"/>
                  <w:vAlign w:val="center"/>
                </w:tcPr>
                <w:p w14:paraId="2793BC4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0.0243</w:t>
                  </w:r>
                </w:p>
              </w:tc>
              <w:tc>
                <w:tcPr>
                  <w:tcW w:w="511" w:type="pct"/>
                  <w:tcBorders>
                    <w:tl2br w:val="nil"/>
                    <w:tr2bl w:val="nil"/>
                  </w:tcBorders>
                  <w:noWrap w:val="0"/>
                  <w:vAlign w:val="center"/>
                </w:tcPr>
                <w:p w14:paraId="017BEF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0.00004</w:t>
                  </w:r>
                </w:p>
              </w:tc>
              <w:tc>
                <w:tcPr>
                  <w:tcW w:w="313" w:type="pct"/>
                  <w:tcBorders>
                    <w:tl2br w:val="nil"/>
                    <w:tr2bl w:val="nil"/>
                  </w:tcBorders>
                  <w:noWrap w:val="0"/>
                  <w:vAlign w:val="center"/>
                </w:tcPr>
                <w:p w14:paraId="673EF1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r>
            <w:tr w14:paraId="689B3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D4540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DAA63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反式-1，2-二氯乙烯</w:t>
                  </w:r>
                </w:p>
              </w:tc>
              <w:tc>
                <w:tcPr>
                  <w:tcW w:w="443" w:type="pct"/>
                  <w:tcBorders>
                    <w:tl2br w:val="nil"/>
                    <w:tr2bl w:val="nil"/>
                  </w:tcBorders>
                  <w:noWrap w:val="0"/>
                  <w:vAlign w:val="center"/>
                </w:tcPr>
                <w:p w14:paraId="148754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49442B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92E39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D909E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A5563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F5E8C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0314B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33CA2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r>
            <w:tr w14:paraId="27C8B7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ECC10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5B7A3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443" w:type="pct"/>
                  <w:tcBorders>
                    <w:tl2br w:val="nil"/>
                    <w:tr2bl w:val="nil"/>
                  </w:tcBorders>
                  <w:noWrap w:val="0"/>
                  <w:vAlign w:val="center"/>
                </w:tcPr>
                <w:p w14:paraId="413DB7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F5DFA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CBEDE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CB2BD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E7BBD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591B6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B14A0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81A98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r>
            <w:tr w14:paraId="6EED4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CB75E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088E4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顺式-1，2-二氯乙烯</w:t>
                  </w:r>
                </w:p>
              </w:tc>
              <w:tc>
                <w:tcPr>
                  <w:tcW w:w="443" w:type="pct"/>
                  <w:tcBorders>
                    <w:tl2br w:val="nil"/>
                    <w:tr2bl w:val="nil"/>
                  </w:tcBorders>
                  <w:noWrap w:val="0"/>
                  <w:vAlign w:val="center"/>
                </w:tcPr>
                <w:p w14:paraId="0B9EB5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18AE8B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3D956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0C488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3E1D2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F3D03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C1EAD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40320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r>
            <w:tr w14:paraId="1D3FC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7A5B9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5333C4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443" w:type="pct"/>
                  <w:tcBorders>
                    <w:tl2br w:val="nil"/>
                    <w:tr2bl w:val="nil"/>
                  </w:tcBorders>
                  <w:noWrap w:val="0"/>
                  <w:vAlign w:val="center"/>
                </w:tcPr>
                <w:p w14:paraId="55D7F9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4B5307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0.0032</w:t>
                  </w:r>
                </w:p>
              </w:tc>
              <w:tc>
                <w:tcPr>
                  <w:tcW w:w="443" w:type="pct"/>
                  <w:tcBorders>
                    <w:tl2br w:val="nil"/>
                    <w:tr2bl w:val="nil"/>
                  </w:tcBorders>
                  <w:noWrap w:val="0"/>
                  <w:vAlign w:val="center"/>
                </w:tcPr>
                <w:p w14:paraId="23C216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0.0036</w:t>
                  </w:r>
                </w:p>
              </w:tc>
              <w:tc>
                <w:tcPr>
                  <w:tcW w:w="390" w:type="pct"/>
                  <w:tcBorders>
                    <w:tl2br w:val="nil"/>
                    <w:tr2bl w:val="nil"/>
                  </w:tcBorders>
                  <w:noWrap w:val="0"/>
                  <w:vAlign w:val="center"/>
                </w:tcPr>
                <w:p w14:paraId="6E76D3F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0.0037</w:t>
                  </w:r>
                </w:p>
              </w:tc>
              <w:tc>
                <w:tcPr>
                  <w:tcW w:w="434" w:type="pct"/>
                  <w:tcBorders>
                    <w:tl2br w:val="nil"/>
                    <w:tr2bl w:val="nil"/>
                  </w:tcBorders>
                  <w:noWrap w:val="0"/>
                  <w:vAlign w:val="center"/>
                </w:tcPr>
                <w:p w14:paraId="7C9F5A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0.0041</w:t>
                  </w:r>
                </w:p>
              </w:tc>
              <w:tc>
                <w:tcPr>
                  <w:tcW w:w="426" w:type="pct"/>
                  <w:tcBorders>
                    <w:tl2br w:val="nil"/>
                    <w:tr2bl w:val="nil"/>
                  </w:tcBorders>
                  <w:noWrap w:val="0"/>
                  <w:vAlign w:val="center"/>
                </w:tcPr>
                <w:p w14:paraId="1D2FE6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0.0037</w:t>
                  </w:r>
                </w:p>
              </w:tc>
              <w:tc>
                <w:tcPr>
                  <w:tcW w:w="511" w:type="pct"/>
                  <w:tcBorders>
                    <w:tl2br w:val="nil"/>
                    <w:tr2bl w:val="nil"/>
                  </w:tcBorders>
                  <w:noWrap w:val="0"/>
                  <w:vAlign w:val="center"/>
                </w:tcPr>
                <w:p w14:paraId="4DECFF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0.0041</w:t>
                  </w:r>
                </w:p>
              </w:tc>
              <w:tc>
                <w:tcPr>
                  <w:tcW w:w="313" w:type="pct"/>
                  <w:tcBorders>
                    <w:tl2br w:val="nil"/>
                    <w:tr2bl w:val="nil"/>
                  </w:tcBorders>
                  <w:noWrap w:val="0"/>
                  <w:vAlign w:val="center"/>
                </w:tcPr>
                <w:p w14:paraId="10378E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r>
            <w:tr w14:paraId="23ACA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DF003F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6B238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443" w:type="pct"/>
                  <w:tcBorders>
                    <w:tl2br w:val="nil"/>
                    <w:tr2bl w:val="nil"/>
                  </w:tcBorders>
                  <w:noWrap w:val="0"/>
                  <w:vAlign w:val="center"/>
                </w:tcPr>
                <w:p w14:paraId="79F7B1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1AFDA3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31C99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88F58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4F8FD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14F47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22D5B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BB924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0D6A2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E2013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91FFA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443" w:type="pct"/>
                  <w:tcBorders>
                    <w:tl2br w:val="nil"/>
                    <w:tr2bl w:val="nil"/>
                  </w:tcBorders>
                  <w:noWrap w:val="0"/>
                  <w:vAlign w:val="center"/>
                </w:tcPr>
                <w:p w14:paraId="470BA1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24E860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F91FE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2FF24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28C85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721F8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0235B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1B1F11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79624F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AF751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9B4E3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443" w:type="pct"/>
                  <w:tcBorders>
                    <w:tl2br w:val="nil"/>
                    <w:tr2bl w:val="nil"/>
                  </w:tcBorders>
                  <w:noWrap w:val="0"/>
                  <w:vAlign w:val="center"/>
                </w:tcPr>
                <w:p w14:paraId="1BFA3A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688DBA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07F91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70253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EFB91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34C0E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69FDE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89FC1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1362B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1706F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BDC7D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443" w:type="pct"/>
                  <w:tcBorders>
                    <w:tl2br w:val="nil"/>
                    <w:tr2bl w:val="nil"/>
                  </w:tcBorders>
                  <w:noWrap w:val="0"/>
                  <w:vAlign w:val="center"/>
                </w:tcPr>
                <w:p w14:paraId="07430C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0.0019</w:t>
                  </w:r>
                </w:p>
              </w:tc>
              <w:tc>
                <w:tcPr>
                  <w:tcW w:w="463" w:type="pct"/>
                  <w:tcBorders>
                    <w:tl2br w:val="nil"/>
                    <w:tr2bl w:val="nil"/>
                  </w:tcBorders>
                  <w:noWrap w:val="0"/>
                  <w:vAlign w:val="center"/>
                </w:tcPr>
                <w:p w14:paraId="4CE579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39209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A8179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7EB24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B4159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9E77A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9391E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780A9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0A2F0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81287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443" w:type="pct"/>
                  <w:tcBorders>
                    <w:tl2br w:val="nil"/>
                    <w:tr2bl w:val="nil"/>
                  </w:tcBorders>
                  <w:noWrap w:val="0"/>
                  <w:vAlign w:val="center"/>
                </w:tcPr>
                <w:p w14:paraId="077820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126307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B6321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421C6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842B6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5BCDF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07DC3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A6ED7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4ED5F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03133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84092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443" w:type="pct"/>
                  <w:tcBorders>
                    <w:tl2br w:val="nil"/>
                    <w:tr2bl w:val="nil"/>
                  </w:tcBorders>
                  <w:noWrap w:val="0"/>
                  <w:vAlign w:val="center"/>
                </w:tcPr>
                <w:p w14:paraId="39FF2F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4FDCB8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99336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119E1C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88E03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8F33D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C6E234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54D327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6A516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434CB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4807B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443" w:type="pct"/>
                  <w:tcBorders>
                    <w:tl2br w:val="nil"/>
                    <w:tr2bl w:val="nil"/>
                  </w:tcBorders>
                  <w:noWrap w:val="0"/>
                  <w:vAlign w:val="center"/>
                </w:tcPr>
                <w:p w14:paraId="17E625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671BE1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2954F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4C35D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1C2EA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3DDEF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A1498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87719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68A90D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C87A5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562F4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443" w:type="pct"/>
                  <w:tcBorders>
                    <w:tl2br w:val="nil"/>
                    <w:tr2bl w:val="nil"/>
                  </w:tcBorders>
                  <w:noWrap w:val="0"/>
                  <w:vAlign w:val="center"/>
                </w:tcPr>
                <w:p w14:paraId="49086D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1033D6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C2868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E6432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AE40E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BAAD4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3E50B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C2972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065C2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208B2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F4A32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443" w:type="pct"/>
                  <w:tcBorders>
                    <w:tl2br w:val="nil"/>
                    <w:tr2bl w:val="nil"/>
                  </w:tcBorders>
                  <w:noWrap w:val="0"/>
                  <w:vAlign w:val="center"/>
                </w:tcPr>
                <w:p w14:paraId="1606A2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5B6C6C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2D0FB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05138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AE9E5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43A75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A307D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6F95F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r>
            <w:tr w14:paraId="47C49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DE165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92F94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443" w:type="pct"/>
                  <w:tcBorders>
                    <w:tl2br w:val="nil"/>
                    <w:tr2bl w:val="nil"/>
                  </w:tcBorders>
                  <w:noWrap w:val="0"/>
                  <w:vAlign w:val="center"/>
                </w:tcPr>
                <w:p w14:paraId="4A764B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FE9C2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428ED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DDFF4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64FFDC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8DCAB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7CEA7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3FC88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r>
            <w:tr w14:paraId="52DF76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7CB26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1FF6A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443" w:type="pct"/>
                  <w:tcBorders>
                    <w:tl2br w:val="nil"/>
                    <w:tr2bl w:val="nil"/>
                  </w:tcBorders>
                  <w:noWrap w:val="0"/>
                  <w:vAlign w:val="center"/>
                </w:tcPr>
                <w:p w14:paraId="79A3A9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017048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E7797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92890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67755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943DD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C4B02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BE5E8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58A9E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A8D18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18329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443" w:type="pct"/>
                  <w:tcBorders>
                    <w:tl2br w:val="nil"/>
                    <w:tr2bl w:val="nil"/>
                  </w:tcBorders>
                  <w:noWrap w:val="0"/>
                  <w:vAlign w:val="center"/>
                </w:tcPr>
                <w:p w14:paraId="7B11B3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80198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EC61E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7D63E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B21C2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ED203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05F4A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BABED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11753D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C21C3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855C0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对，间二甲苯</w:t>
                  </w:r>
                </w:p>
              </w:tc>
              <w:tc>
                <w:tcPr>
                  <w:tcW w:w="443" w:type="pct"/>
                  <w:tcBorders>
                    <w:tl2br w:val="nil"/>
                    <w:tr2bl w:val="nil"/>
                  </w:tcBorders>
                  <w:noWrap w:val="0"/>
                  <w:vAlign w:val="center"/>
                </w:tcPr>
                <w:p w14:paraId="130D0E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002CA6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CB029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85575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B0530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9813D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D4E46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B4F9F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41D4E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CF301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5E2F6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443" w:type="pct"/>
                  <w:tcBorders>
                    <w:tl2br w:val="nil"/>
                    <w:tr2bl w:val="nil"/>
                  </w:tcBorders>
                  <w:noWrap w:val="0"/>
                  <w:vAlign w:val="center"/>
                </w:tcPr>
                <w:p w14:paraId="7CA9DE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0A888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7BDBA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7D92C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36CC1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D785C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C6D52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EFBE1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4B2B53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0B463D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CEBF4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443" w:type="pct"/>
                  <w:tcBorders>
                    <w:tl2br w:val="nil"/>
                    <w:tr2bl w:val="nil"/>
                  </w:tcBorders>
                  <w:noWrap w:val="0"/>
                  <w:vAlign w:val="center"/>
                </w:tcPr>
                <w:p w14:paraId="6F1A5F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3CF649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D2214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13ECB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B8B1B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ED2FF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8321C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1F636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2CDD6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01DF8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670E6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443" w:type="pct"/>
                  <w:tcBorders>
                    <w:tl2br w:val="nil"/>
                    <w:tr2bl w:val="nil"/>
                  </w:tcBorders>
                  <w:noWrap w:val="0"/>
                  <w:vAlign w:val="center"/>
                </w:tcPr>
                <w:p w14:paraId="118060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F401D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D3503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3F0C4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5DBFA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1195B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27BF6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6C934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r>
            <w:tr w14:paraId="52954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C34BD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9FC93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443" w:type="pct"/>
                  <w:tcBorders>
                    <w:tl2br w:val="nil"/>
                    <w:tr2bl w:val="nil"/>
                  </w:tcBorders>
                  <w:noWrap w:val="0"/>
                  <w:vAlign w:val="center"/>
                </w:tcPr>
                <w:p w14:paraId="35A4E9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39E13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E5F19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C80BE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04700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2BAF8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C83F1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08D23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r>
            <w:tr w14:paraId="55671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D5920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96843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443" w:type="pct"/>
                  <w:tcBorders>
                    <w:tl2br w:val="nil"/>
                    <w:tr2bl w:val="nil"/>
                  </w:tcBorders>
                  <w:noWrap w:val="0"/>
                  <w:vAlign w:val="center"/>
                </w:tcPr>
                <w:p w14:paraId="1EAC92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142FA9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48CEC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45100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6DE39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CAE92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2DEB4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5BC0E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5D52D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21C1A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46BF0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443" w:type="pct"/>
                  <w:tcBorders>
                    <w:tl2br w:val="nil"/>
                    <w:tr2bl w:val="nil"/>
                  </w:tcBorders>
                  <w:noWrap w:val="0"/>
                  <w:vAlign w:val="center"/>
                </w:tcPr>
                <w:p w14:paraId="2A70CF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6ECB72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5B141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97D97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4FD71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59745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68D6B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D7A1E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030EB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554B02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c>
                <w:tcPr>
                  <w:tcW w:w="1072" w:type="pct"/>
                  <w:tcBorders>
                    <w:tl2br w:val="nil"/>
                    <w:tr2bl w:val="nil"/>
                  </w:tcBorders>
                  <w:noWrap w:val="0"/>
                  <w:vAlign w:val="center"/>
                </w:tcPr>
                <w:p w14:paraId="7875FE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443" w:type="pct"/>
                  <w:tcBorders>
                    <w:tl2br w:val="nil"/>
                    <w:tr2bl w:val="nil"/>
                  </w:tcBorders>
                  <w:noWrap w:val="0"/>
                  <w:vAlign w:val="center"/>
                </w:tcPr>
                <w:p w14:paraId="4CD46D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63" w:type="pct"/>
                  <w:tcBorders>
                    <w:tl2br w:val="nil"/>
                    <w:tr2bl w:val="nil"/>
                  </w:tcBorders>
                  <w:noWrap w:val="0"/>
                  <w:vAlign w:val="center"/>
                </w:tcPr>
                <w:p w14:paraId="1230B8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C158D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DF47B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1A9D5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0974E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0076B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4BA1D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r>
            <w:tr w14:paraId="4E1DE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E6BA5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C705D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2-氯苯酚</w:t>
                  </w:r>
                </w:p>
              </w:tc>
              <w:tc>
                <w:tcPr>
                  <w:tcW w:w="443" w:type="pct"/>
                  <w:tcBorders>
                    <w:tl2br w:val="nil"/>
                    <w:tr2bl w:val="nil"/>
                  </w:tcBorders>
                  <w:noWrap w:val="0"/>
                  <w:vAlign w:val="center"/>
                </w:tcPr>
                <w:p w14:paraId="23E9E4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3" w:type="pct"/>
                  <w:tcBorders>
                    <w:tl2br w:val="nil"/>
                    <w:tr2bl w:val="nil"/>
                  </w:tcBorders>
                  <w:noWrap w:val="0"/>
                  <w:vAlign w:val="center"/>
                </w:tcPr>
                <w:p w14:paraId="5DB3BD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18BF3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23303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E208E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E39E6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9E1FB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28127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r>
            <w:tr w14:paraId="6064C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C28FB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52208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443" w:type="pct"/>
                  <w:tcBorders>
                    <w:tl2br w:val="nil"/>
                    <w:tr2bl w:val="nil"/>
                  </w:tcBorders>
                  <w:noWrap w:val="0"/>
                  <w:vAlign w:val="center"/>
                </w:tcPr>
                <w:p w14:paraId="0A4BA9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5830EF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AB3F7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3A73E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49334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86294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8A2D6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09DF5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5B8897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95A2E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AF28A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443" w:type="pct"/>
                  <w:tcBorders>
                    <w:tl2br w:val="nil"/>
                    <w:tr2bl w:val="nil"/>
                  </w:tcBorders>
                  <w:noWrap w:val="0"/>
                  <w:vAlign w:val="center"/>
                </w:tcPr>
                <w:p w14:paraId="58759D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7E1A47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D5DAA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64FBD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2CE8A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C1E43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2AC99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1FB11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r>
            <w:tr w14:paraId="492BF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38CEA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B621C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443" w:type="pct"/>
                  <w:tcBorders>
                    <w:tl2br w:val="nil"/>
                    <w:tr2bl w:val="nil"/>
                  </w:tcBorders>
                  <w:noWrap w:val="0"/>
                  <w:vAlign w:val="center"/>
                </w:tcPr>
                <w:p w14:paraId="0110FC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1EB108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608AC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E6361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39B8E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6B6F4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F1862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FEE89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0F2C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21B3A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2BA98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443" w:type="pct"/>
                  <w:tcBorders>
                    <w:tl2br w:val="nil"/>
                    <w:tr2bl w:val="nil"/>
                  </w:tcBorders>
                  <w:noWrap w:val="0"/>
                  <w:vAlign w:val="center"/>
                </w:tcPr>
                <w:p w14:paraId="0A421B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1BB395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B10FD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840FD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B3FAD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EB06C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B3FE4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FC4D6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r>
            <w:tr w14:paraId="0FA679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57EC2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55093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443" w:type="pct"/>
                  <w:tcBorders>
                    <w:tl2br w:val="nil"/>
                    <w:tr2bl w:val="nil"/>
                  </w:tcBorders>
                  <w:noWrap w:val="0"/>
                  <w:vAlign w:val="center"/>
                </w:tcPr>
                <w:p w14:paraId="2240E1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463" w:type="pct"/>
                  <w:tcBorders>
                    <w:tl2br w:val="nil"/>
                    <w:tr2bl w:val="nil"/>
                  </w:tcBorders>
                  <w:noWrap w:val="0"/>
                  <w:vAlign w:val="center"/>
                </w:tcPr>
                <w:p w14:paraId="69F1E6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91056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22CA1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518EA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AA760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4DDCE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6AFD4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1EA4E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3BDFE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74E39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443" w:type="pct"/>
                  <w:tcBorders>
                    <w:tl2br w:val="nil"/>
                    <w:tr2bl w:val="nil"/>
                  </w:tcBorders>
                  <w:noWrap w:val="0"/>
                  <w:vAlign w:val="center"/>
                </w:tcPr>
                <w:p w14:paraId="5B7277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519387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28A72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D7992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04ACF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DFC0E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02172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DAD83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5C3A1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CC261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3D877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443" w:type="pct"/>
                  <w:tcBorders>
                    <w:tl2br w:val="nil"/>
                    <w:tr2bl w:val="nil"/>
                  </w:tcBorders>
                  <w:noWrap w:val="0"/>
                  <w:vAlign w:val="center"/>
                </w:tcPr>
                <w:p w14:paraId="4351C8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6C65B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4823C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4BA51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4E911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8722B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E9869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F94F7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2E539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69C64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F7FA5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443" w:type="pct"/>
                  <w:tcBorders>
                    <w:tl2br w:val="nil"/>
                    <w:tr2bl w:val="nil"/>
                  </w:tcBorders>
                  <w:noWrap w:val="0"/>
                  <w:vAlign w:val="center"/>
                </w:tcPr>
                <w:p w14:paraId="2C21E23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156B1A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A1F8E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68DF1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07FCC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3C581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26AB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CAB9D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40653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AB522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F4505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443" w:type="pct"/>
                  <w:tcBorders>
                    <w:tl2br w:val="nil"/>
                    <w:tr2bl w:val="nil"/>
                  </w:tcBorders>
                  <w:noWrap w:val="0"/>
                  <w:vAlign w:val="center"/>
                </w:tcPr>
                <w:p w14:paraId="406C5F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37E15B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5A92E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66F44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31CC4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734FF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95E85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01366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11F09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tcBorders>
                    <w:tl2br w:val="nil"/>
                    <w:tr2bl w:val="nil"/>
                  </w:tcBorders>
                  <w:noWrap w:val="0"/>
                  <w:vAlign w:val="center"/>
                </w:tcPr>
                <w:p w14:paraId="423F83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石油烃类</w:t>
                  </w:r>
                </w:p>
              </w:tc>
              <w:tc>
                <w:tcPr>
                  <w:tcW w:w="1072" w:type="pct"/>
                  <w:tcBorders>
                    <w:tl2br w:val="nil"/>
                    <w:tr2bl w:val="nil"/>
                  </w:tcBorders>
                  <w:noWrap w:val="0"/>
                  <w:vAlign w:val="center"/>
                </w:tcPr>
                <w:p w14:paraId="490344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石油烃（C</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vertAlign w:val="subscript"/>
                    </w:rPr>
                    <w:t>40</w:t>
                  </w:r>
                  <w:r>
                    <w:rPr>
                      <w:rFonts w:hint="default" w:ascii="Times New Roman" w:hAnsi="Times New Roman" w:eastAsia="宋体" w:cs="Times New Roman"/>
                      <w:color w:val="auto"/>
                      <w:sz w:val="18"/>
                      <w:szCs w:val="18"/>
                    </w:rPr>
                    <w:t>）</w:t>
                  </w:r>
                </w:p>
              </w:tc>
              <w:tc>
                <w:tcPr>
                  <w:tcW w:w="443" w:type="pct"/>
                  <w:tcBorders>
                    <w:tl2br w:val="nil"/>
                    <w:tr2bl w:val="nil"/>
                  </w:tcBorders>
                  <w:noWrap w:val="0"/>
                  <w:vAlign w:val="center"/>
                </w:tcPr>
                <w:p w14:paraId="7CC708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63" w:type="pct"/>
                  <w:tcBorders>
                    <w:tl2br w:val="nil"/>
                    <w:tr2bl w:val="nil"/>
                  </w:tcBorders>
                  <w:noWrap w:val="0"/>
                  <w:vAlign w:val="center"/>
                </w:tcPr>
                <w:p w14:paraId="3DA5E7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443" w:type="pct"/>
                  <w:tcBorders>
                    <w:tl2br w:val="nil"/>
                    <w:tr2bl w:val="nil"/>
                  </w:tcBorders>
                  <w:noWrap w:val="0"/>
                  <w:vAlign w:val="center"/>
                </w:tcPr>
                <w:p w14:paraId="28A26D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w:t>
                  </w:r>
                </w:p>
              </w:tc>
              <w:tc>
                <w:tcPr>
                  <w:tcW w:w="390" w:type="pct"/>
                  <w:tcBorders>
                    <w:tl2br w:val="nil"/>
                    <w:tr2bl w:val="nil"/>
                  </w:tcBorders>
                  <w:noWrap w:val="0"/>
                  <w:vAlign w:val="center"/>
                </w:tcPr>
                <w:p w14:paraId="358BD0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4CC89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529D4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511" w:type="pct"/>
                  <w:tcBorders>
                    <w:tl2br w:val="nil"/>
                    <w:tr2bl w:val="nil"/>
                  </w:tcBorders>
                  <w:noWrap w:val="0"/>
                  <w:vAlign w:val="center"/>
                </w:tcPr>
                <w:p w14:paraId="537466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w:t>
                  </w:r>
                </w:p>
              </w:tc>
              <w:tc>
                <w:tcPr>
                  <w:tcW w:w="313" w:type="pct"/>
                  <w:tcBorders>
                    <w:tl2br w:val="nil"/>
                    <w:tr2bl w:val="nil"/>
                  </w:tcBorders>
                  <w:noWrap w:val="0"/>
                  <w:vAlign w:val="center"/>
                </w:tcPr>
                <w:p w14:paraId="52A126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r w14:paraId="19F1E0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restart"/>
                  <w:tcBorders>
                    <w:tl2br w:val="nil"/>
                    <w:tr2bl w:val="nil"/>
                  </w:tcBorders>
                  <w:noWrap w:val="0"/>
                  <w:vAlign w:val="center"/>
                </w:tcPr>
                <w:p w14:paraId="6E0FEA57">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监测点位</w:t>
                  </w:r>
                </w:p>
              </w:tc>
              <w:tc>
                <w:tcPr>
                  <w:tcW w:w="443" w:type="pct"/>
                  <w:vMerge w:val="restart"/>
                  <w:tcBorders>
                    <w:tl2br w:val="nil"/>
                    <w:tr2bl w:val="nil"/>
                  </w:tcBorders>
                  <w:noWrap w:val="0"/>
                  <w:vAlign w:val="center"/>
                </w:tcPr>
                <w:p w14:paraId="6E61ACB6">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检出限</w:t>
                  </w:r>
                </w:p>
              </w:tc>
              <w:tc>
                <w:tcPr>
                  <w:tcW w:w="907" w:type="pct"/>
                  <w:gridSpan w:val="2"/>
                  <w:tcBorders>
                    <w:tl2br w:val="nil"/>
                    <w:tr2bl w:val="nil"/>
                  </w:tcBorders>
                  <w:noWrap w:val="0"/>
                  <w:vAlign w:val="center"/>
                </w:tcPr>
                <w:p w14:paraId="74B98D6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厂区内T1储罐区</w:t>
                  </w:r>
                </w:p>
              </w:tc>
              <w:tc>
                <w:tcPr>
                  <w:tcW w:w="824" w:type="pct"/>
                  <w:gridSpan w:val="2"/>
                  <w:tcBorders>
                    <w:tl2br w:val="nil"/>
                    <w:tr2bl w:val="nil"/>
                  </w:tcBorders>
                  <w:noWrap w:val="0"/>
                  <w:vAlign w:val="center"/>
                </w:tcPr>
                <w:p w14:paraId="49238F64">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厂区内T3预处理车间</w:t>
                  </w:r>
                </w:p>
              </w:tc>
              <w:tc>
                <w:tcPr>
                  <w:tcW w:w="937" w:type="pct"/>
                  <w:gridSpan w:val="2"/>
                  <w:tcBorders>
                    <w:tl2br w:val="nil"/>
                    <w:tr2bl w:val="nil"/>
                  </w:tcBorders>
                  <w:noWrap w:val="0"/>
                  <w:vAlign w:val="center"/>
                </w:tcPr>
                <w:p w14:paraId="1D2707EF">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厂区外T6厂区东南侧空地</w:t>
                  </w:r>
                </w:p>
              </w:tc>
              <w:tc>
                <w:tcPr>
                  <w:tcW w:w="313" w:type="pct"/>
                  <w:vMerge w:val="restart"/>
                  <w:tcBorders>
                    <w:tl2br w:val="nil"/>
                    <w:tr2bl w:val="nil"/>
                  </w:tcBorders>
                  <w:noWrap w:val="0"/>
                  <w:vAlign w:val="center"/>
                </w:tcPr>
                <w:p w14:paraId="4F8FB6BB">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筛选值</w:t>
                  </w:r>
                </w:p>
              </w:tc>
            </w:tr>
            <w:tr w14:paraId="7C91F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continue"/>
                  <w:tcBorders>
                    <w:tl2br w:val="nil"/>
                    <w:tr2bl w:val="nil"/>
                  </w:tcBorders>
                  <w:noWrap w:val="0"/>
                  <w:vAlign w:val="center"/>
                </w:tcPr>
                <w:p w14:paraId="13BCA900">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43" w:type="pct"/>
                  <w:vMerge w:val="continue"/>
                  <w:tcBorders>
                    <w:tl2br w:val="nil"/>
                    <w:tr2bl w:val="nil"/>
                  </w:tcBorders>
                  <w:noWrap w:val="0"/>
                  <w:vAlign w:val="center"/>
                </w:tcPr>
                <w:p w14:paraId="1C87E05D">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907" w:type="pct"/>
                  <w:gridSpan w:val="2"/>
                  <w:tcBorders>
                    <w:tl2br w:val="nil"/>
                    <w:tr2bl w:val="nil"/>
                  </w:tcBorders>
                  <w:noWrap w:val="0"/>
                  <w:vAlign w:val="center"/>
                </w:tcPr>
                <w:p w14:paraId="40B4E14B">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0-0.2m</w:t>
                  </w:r>
                </w:p>
              </w:tc>
              <w:tc>
                <w:tcPr>
                  <w:tcW w:w="824" w:type="pct"/>
                  <w:gridSpan w:val="2"/>
                  <w:tcBorders>
                    <w:tl2br w:val="nil"/>
                    <w:tr2bl w:val="nil"/>
                  </w:tcBorders>
                  <w:noWrap w:val="0"/>
                  <w:vAlign w:val="center"/>
                </w:tcPr>
                <w:p w14:paraId="161E3951">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0-0.2m</w:t>
                  </w:r>
                </w:p>
              </w:tc>
              <w:tc>
                <w:tcPr>
                  <w:tcW w:w="937" w:type="pct"/>
                  <w:gridSpan w:val="2"/>
                  <w:tcBorders>
                    <w:tl2br w:val="nil"/>
                    <w:tr2bl w:val="nil"/>
                  </w:tcBorders>
                  <w:noWrap w:val="0"/>
                  <w:vAlign w:val="center"/>
                </w:tcPr>
                <w:p w14:paraId="78B936D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0-0.2m</w:t>
                  </w:r>
                </w:p>
              </w:tc>
              <w:tc>
                <w:tcPr>
                  <w:tcW w:w="313" w:type="pct"/>
                  <w:vMerge w:val="continue"/>
                  <w:tcBorders>
                    <w:tl2br w:val="nil"/>
                    <w:tr2bl w:val="nil"/>
                  </w:tcBorders>
                  <w:noWrap w:val="0"/>
                  <w:vAlign w:val="center"/>
                </w:tcPr>
                <w:p w14:paraId="0F98FF7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7CEB9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tcBorders>
                    <w:tl2br w:val="nil"/>
                    <w:tr2bl w:val="nil"/>
                  </w:tcBorders>
                  <w:noWrap w:val="0"/>
                  <w:vAlign w:val="center"/>
                </w:tcPr>
                <w:p w14:paraId="1DAC78AD">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监测项目</w:t>
                  </w:r>
                </w:p>
              </w:tc>
              <w:tc>
                <w:tcPr>
                  <w:tcW w:w="443" w:type="pct"/>
                  <w:vMerge w:val="continue"/>
                  <w:tcBorders>
                    <w:tl2br w:val="nil"/>
                    <w:tr2bl w:val="nil"/>
                  </w:tcBorders>
                  <w:noWrap w:val="0"/>
                  <w:vAlign w:val="center"/>
                </w:tcPr>
                <w:p w14:paraId="30A69204">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c>
                <w:tcPr>
                  <w:tcW w:w="463" w:type="pct"/>
                  <w:tcBorders>
                    <w:tl2br w:val="nil"/>
                    <w:tr2bl w:val="nil"/>
                  </w:tcBorders>
                  <w:noWrap w:val="0"/>
                  <w:vAlign w:val="center"/>
                </w:tcPr>
                <w:p w14:paraId="23317BBA">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43" w:type="pct"/>
                  <w:tcBorders>
                    <w:tl2br w:val="nil"/>
                    <w:tr2bl w:val="nil"/>
                  </w:tcBorders>
                  <w:noWrap w:val="0"/>
                  <w:vAlign w:val="center"/>
                </w:tcPr>
                <w:p w14:paraId="65F01BB1">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90" w:type="pct"/>
                  <w:tcBorders>
                    <w:tl2br w:val="nil"/>
                    <w:tr2bl w:val="nil"/>
                  </w:tcBorders>
                  <w:noWrap w:val="0"/>
                  <w:vAlign w:val="center"/>
                </w:tcPr>
                <w:p w14:paraId="2D15F695">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434" w:type="pct"/>
                  <w:tcBorders>
                    <w:tl2br w:val="nil"/>
                    <w:tr2bl w:val="nil"/>
                  </w:tcBorders>
                  <w:noWrap w:val="0"/>
                  <w:vAlign w:val="center"/>
                </w:tcPr>
                <w:p w14:paraId="63428627">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426" w:type="pct"/>
                  <w:tcBorders>
                    <w:tl2br w:val="nil"/>
                    <w:tr2bl w:val="nil"/>
                  </w:tcBorders>
                  <w:noWrap w:val="0"/>
                  <w:vAlign w:val="center"/>
                </w:tcPr>
                <w:p w14:paraId="439A5938">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监测结果</w:t>
                  </w:r>
                </w:p>
              </w:tc>
              <w:tc>
                <w:tcPr>
                  <w:tcW w:w="511" w:type="pct"/>
                  <w:tcBorders>
                    <w:tl2br w:val="nil"/>
                    <w:tr2bl w:val="nil"/>
                  </w:tcBorders>
                  <w:noWrap w:val="0"/>
                  <w:vAlign w:val="center"/>
                </w:tcPr>
                <w:p w14:paraId="2551089A">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标准指数</w:t>
                  </w:r>
                </w:p>
              </w:tc>
              <w:tc>
                <w:tcPr>
                  <w:tcW w:w="313" w:type="pct"/>
                  <w:vMerge w:val="continue"/>
                  <w:tcBorders>
                    <w:tl2br w:val="nil"/>
                    <w:tr2bl w:val="nil"/>
                  </w:tcBorders>
                  <w:noWrap w:val="0"/>
                  <w:vAlign w:val="center"/>
                </w:tcPr>
                <w:p w14:paraId="0687A5D9">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p>
              </w:tc>
            </w:tr>
            <w:tr w14:paraId="4F81F2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3A7399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c>
                <w:tcPr>
                  <w:tcW w:w="1072" w:type="pct"/>
                  <w:tcBorders>
                    <w:tl2br w:val="nil"/>
                    <w:tr2bl w:val="nil"/>
                  </w:tcBorders>
                  <w:noWrap w:val="0"/>
                  <w:vAlign w:val="center"/>
                </w:tcPr>
                <w:p w14:paraId="159A6B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443" w:type="pct"/>
                  <w:tcBorders>
                    <w:tl2br w:val="nil"/>
                    <w:tr2bl w:val="nil"/>
                  </w:tcBorders>
                  <w:noWrap w:val="0"/>
                  <w:vAlign w:val="center"/>
                </w:tcPr>
                <w:p w14:paraId="0DC2F8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63" w:type="pct"/>
                  <w:tcBorders>
                    <w:tl2br w:val="nil"/>
                    <w:tr2bl w:val="nil"/>
                  </w:tcBorders>
                  <w:noWrap w:val="0"/>
                  <w:vAlign w:val="center"/>
                </w:tcPr>
                <w:p w14:paraId="4727E4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43" w:type="pct"/>
                  <w:tcBorders>
                    <w:tl2br w:val="nil"/>
                    <w:tr2bl w:val="nil"/>
                  </w:tcBorders>
                  <w:noWrap w:val="0"/>
                  <w:vAlign w:val="center"/>
                </w:tcPr>
                <w:p w14:paraId="0A5247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0F393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34" w:type="pct"/>
                  <w:tcBorders>
                    <w:tl2br w:val="nil"/>
                    <w:tr2bl w:val="nil"/>
                  </w:tcBorders>
                  <w:noWrap w:val="0"/>
                  <w:vAlign w:val="center"/>
                </w:tcPr>
                <w:p w14:paraId="7178D2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ACA4F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8.26</w:t>
                  </w:r>
                </w:p>
              </w:tc>
              <w:tc>
                <w:tcPr>
                  <w:tcW w:w="511" w:type="pct"/>
                  <w:tcBorders>
                    <w:tl2br w:val="nil"/>
                    <w:tr2bl w:val="nil"/>
                  </w:tcBorders>
                  <w:noWrap w:val="0"/>
                  <w:vAlign w:val="center"/>
                </w:tcPr>
                <w:p w14:paraId="417FF2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ign w:val="center"/>
                </w:tcPr>
                <w:p w14:paraId="5BAC66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407D9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033AE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04628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43" w:type="pct"/>
                  <w:tcBorders>
                    <w:tl2br w:val="nil"/>
                    <w:tr2bl w:val="nil"/>
                  </w:tcBorders>
                  <w:noWrap w:val="0"/>
                  <w:vAlign w:val="center"/>
                </w:tcPr>
                <w:p w14:paraId="76C0BD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044907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2.36</w:t>
                  </w:r>
                </w:p>
              </w:tc>
              <w:tc>
                <w:tcPr>
                  <w:tcW w:w="443" w:type="pct"/>
                  <w:tcBorders>
                    <w:tl2br w:val="nil"/>
                    <w:tr2bl w:val="nil"/>
                  </w:tcBorders>
                  <w:noWrap w:val="0"/>
                  <w:vAlign w:val="center"/>
                </w:tcPr>
                <w:p w14:paraId="7EFC5C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0.039</w:t>
                  </w:r>
                </w:p>
              </w:tc>
              <w:tc>
                <w:tcPr>
                  <w:tcW w:w="390" w:type="pct"/>
                  <w:tcBorders>
                    <w:tl2br w:val="nil"/>
                    <w:tr2bl w:val="nil"/>
                  </w:tcBorders>
                  <w:noWrap w:val="0"/>
                  <w:vAlign w:val="center"/>
                </w:tcPr>
                <w:p w14:paraId="58D225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1.98</w:t>
                  </w:r>
                </w:p>
              </w:tc>
              <w:tc>
                <w:tcPr>
                  <w:tcW w:w="434" w:type="pct"/>
                  <w:tcBorders>
                    <w:tl2br w:val="nil"/>
                    <w:tr2bl w:val="nil"/>
                  </w:tcBorders>
                  <w:noWrap w:val="0"/>
                  <w:vAlign w:val="center"/>
                </w:tcPr>
                <w:p w14:paraId="424F60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0.033</w:t>
                  </w:r>
                </w:p>
              </w:tc>
              <w:tc>
                <w:tcPr>
                  <w:tcW w:w="426" w:type="pct"/>
                  <w:tcBorders>
                    <w:tl2br w:val="nil"/>
                    <w:tr2bl w:val="nil"/>
                  </w:tcBorders>
                  <w:noWrap w:val="0"/>
                  <w:vAlign w:val="center"/>
                </w:tcPr>
                <w:p w14:paraId="7D1A5A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12.6</w:t>
                  </w:r>
                </w:p>
              </w:tc>
              <w:tc>
                <w:tcPr>
                  <w:tcW w:w="511" w:type="pct"/>
                  <w:tcBorders>
                    <w:tl2br w:val="nil"/>
                    <w:tr2bl w:val="nil"/>
                  </w:tcBorders>
                  <w:noWrap w:val="0"/>
                  <w:vAlign w:val="center"/>
                </w:tcPr>
                <w:p w14:paraId="01F52C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0.2100</w:t>
                  </w:r>
                </w:p>
              </w:tc>
              <w:tc>
                <w:tcPr>
                  <w:tcW w:w="313" w:type="pct"/>
                  <w:tcBorders>
                    <w:tl2br w:val="nil"/>
                    <w:tr2bl w:val="nil"/>
                  </w:tcBorders>
                  <w:noWrap w:val="0"/>
                  <w:vAlign w:val="center"/>
                </w:tcPr>
                <w:p w14:paraId="74AB2B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r>
            <w:tr w14:paraId="2688F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36DAE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6EF85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43" w:type="pct"/>
                  <w:tcBorders>
                    <w:tl2br w:val="nil"/>
                    <w:tr2bl w:val="nil"/>
                  </w:tcBorders>
                  <w:noWrap w:val="0"/>
                  <w:vAlign w:val="center"/>
                </w:tcPr>
                <w:p w14:paraId="5249C3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6D22AC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w:t>
                  </w:r>
                </w:p>
              </w:tc>
              <w:tc>
                <w:tcPr>
                  <w:tcW w:w="443" w:type="pct"/>
                  <w:tcBorders>
                    <w:tl2br w:val="nil"/>
                    <w:tr2bl w:val="nil"/>
                  </w:tcBorders>
                  <w:noWrap w:val="0"/>
                  <w:vAlign w:val="center"/>
                </w:tcPr>
                <w:p w14:paraId="0D508B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390" w:type="pct"/>
                  <w:tcBorders>
                    <w:tl2br w:val="nil"/>
                    <w:tr2bl w:val="nil"/>
                  </w:tcBorders>
                  <w:noWrap w:val="0"/>
                  <w:vAlign w:val="center"/>
                </w:tcPr>
                <w:p w14:paraId="2DA3B4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w:t>
                  </w:r>
                </w:p>
              </w:tc>
              <w:tc>
                <w:tcPr>
                  <w:tcW w:w="434" w:type="pct"/>
                  <w:tcBorders>
                    <w:tl2br w:val="nil"/>
                    <w:tr2bl w:val="nil"/>
                  </w:tcBorders>
                  <w:noWrap w:val="0"/>
                  <w:vAlign w:val="center"/>
                </w:tcPr>
                <w:p w14:paraId="694B52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26" w:type="pct"/>
                  <w:tcBorders>
                    <w:tl2br w:val="nil"/>
                    <w:tr2bl w:val="nil"/>
                  </w:tcBorders>
                  <w:noWrap w:val="0"/>
                  <w:vAlign w:val="center"/>
                </w:tcPr>
                <w:p w14:paraId="4782C1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w:t>
                  </w:r>
                </w:p>
              </w:tc>
              <w:tc>
                <w:tcPr>
                  <w:tcW w:w="511" w:type="pct"/>
                  <w:tcBorders>
                    <w:tl2br w:val="nil"/>
                    <w:tr2bl w:val="nil"/>
                  </w:tcBorders>
                  <w:noWrap w:val="0"/>
                  <w:vAlign w:val="center"/>
                </w:tcPr>
                <w:p w14:paraId="630FDF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0.0012</w:t>
                  </w:r>
                </w:p>
              </w:tc>
              <w:tc>
                <w:tcPr>
                  <w:tcW w:w="313" w:type="pct"/>
                  <w:tcBorders>
                    <w:tl2br w:val="nil"/>
                    <w:tr2bl w:val="nil"/>
                  </w:tcBorders>
                  <w:noWrap w:val="0"/>
                  <w:vAlign w:val="center"/>
                </w:tcPr>
                <w:p w14:paraId="17B1C39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r>
            <w:tr w14:paraId="2FD5C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D009B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17988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43" w:type="pct"/>
                  <w:tcBorders>
                    <w:tl2br w:val="nil"/>
                    <w:tr2bl w:val="nil"/>
                  </w:tcBorders>
                  <w:noWrap w:val="0"/>
                  <w:vAlign w:val="center"/>
                </w:tcPr>
                <w:p w14:paraId="191B2C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63" w:type="pct"/>
                  <w:tcBorders>
                    <w:tl2br w:val="nil"/>
                    <w:tr2bl w:val="nil"/>
                  </w:tcBorders>
                  <w:noWrap w:val="0"/>
                  <w:vAlign w:val="center"/>
                </w:tcPr>
                <w:p w14:paraId="60FCB5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140</w:t>
                  </w:r>
                </w:p>
              </w:tc>
              <w:tc>
                <w:tcPr>
                  <w:tcW w:w="443" w:type="pct"/>
                  <w:tcBorders>
                    <w:tl2br w:val="nil"/>
                    <w:tr2bl w:val="nil"/>
                  </w:tcBorders>
                  <w:noWrap w:val="0"/>
                  <w:vAlign w:val="center"/>
                </w:tcPr>
                <w:p w14:paraId="7D587F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0.008</w:t>
                  </w:r>
                </w:p>
              </w:tc>
              <w:tc>
                <w:tcPr>
                  <w:tcW w:w="390" w:type="pct"/>
                  <w:tcBorders>
                    <w:tl2br w:val="nil"/>
                    <w:tr2bl w:val="nil"/>
                  </w:tcBorders>
                  <w:noWrap w:val="0"/>
                  <w:vAlign w:val="center"/>
                </w:tcPr>
                <w:p w14:paraId="78ED34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w:t>
                  </w:r>
                </w:p>
              </w:tc>
              <w:tc>
                <w:tcPr>
                  <w:tcW w:w="434" w:type="pct"/>
                  <w:tcBorders>
                    <w:tl2br w:val="nil"/>
                    <w:tr2bl w:val="nil"/>
                  </w:tcBorders>
                  <w:noWrap w:val="0"/>
                  <w:vAlign w:val="center"/>
                </w:tcPr>
                <w:p w14:paraId="419CCD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26" w:type="pct"/>
                  <w:tcBorders>
                    <w:tl2br w:val="nil"/>
                    <w:tr2bl w:val="nil"/>
                  </w:tcBorders>
                  <w:noWrap w:val="0"/>
                  <w:vAlign w:val="center"/>
                </w:tcPr>
                <w:p w14:paraId="4F2A0A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511" w:type="pct"/>
                  <w:tcBorders>
                    <w:tl2br w:val="nil"/>
                    <w:tr2bl w:val="nil"/>
                  </w:tcBorders>
                  <w:noWrap w:val="0"/>
                  <w:vAlign w:val="center"/>
                </w:tcPr>
                <w:p w14:paraId="1E02A6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0.0012</w:t>
                  </w:r>
                </w:p>
              </w:tc>
              <w:tc>
                <w:tcPr>
                  <w:tcW w:w="313" w:type="pct"/>
                  <w:tcBorders>
                    <w:tl2br w:val="nil"/>
                    <w:tr2bl w:val="nil"/>
                  </w:tcBorders>
                  <w:noWrap w:val="0"/>
                  <w:vAlign w:val="center"/>
                </w:tcPr>
                <w:p w14:paraId="66A044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r>
            <w:tr w14:paraId="335B7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3288F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32B37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43" w:type="pct"/>
                  <w:tcBorders>
                    <w:tl2br w:val="nil"/>
                    <w:tr2bl w:val="nil"/>
                  </w:tcBorders>
                  <w:noWrap w:val="0"/>
                  <w:vAlign w:val="center"/>
                </w:tcPr>
                <w:p w14:paraId="5E352F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63" w:type="pct"/>
                  <w:tcBorders>
                    <w:tl2br w:val="nil"/>
                    <w:tr2bl w:val="nil"/>
                  </w:tcBorders>
                  <w:noWrap w:val="0"/>
                  <w:vAlign w:val="center"/>
                </w:tcPr>
                <w:p w14:paraId="3006CE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443" w:type="pct"/>
                  <w:tcBorders>
                    <w:tl2br w:val="nil"/>
                    <w:tr2bl w:val="nil"/>
                  </w:tcBorders>
                  <w:noWrap w:val="0"/>
                  <w:vAlign w:val="center"/>
                </w:tcPr>
                <w:p w14:paraId="4BB121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0.050</w:t>
                  </w:r>
                </w:p>
              </w:tc>
              <w:tc>
                <w:tcPr>
                  <w:tcW w:w="390" w:type="pct"/>
                  <w:tcBorders>
                    <w:tl2br w:val="nil"/>
                    <w:tr2bl w:val="nil"/>
                  </w:tcBorders>
                  <w:noWrap w:val="0"/>
                  <w:vAlign w:val="center"/>
                </w:tcPr>
                <w:p w14:paraId="3F36D7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46</w:t>
                  </w:r>
                </w:p>
              </w:tc>
              <w:tc>
                <w:tcPr>
                  <w:tcW w:w="434" w:type="pct"/>
                  <w:tcBorders>
                    <w:tl2br w:val="nil"/>
                    <w:tr2bl w:val="nil"/>
                  </w:tcBorders>
                  <w:noWrap w:val="0"/>
                  <w:vAlign w:val="center"/>
                </w:tcPr>
                <w:p w14:paraId="542ECA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0.058</w:t>
                  </w:r>
                </w:p>
              </w:tc>
              <w:tc>
                <w:tcPr>
                  <w:tcW w:w="426" w:type="pct"/>
                  <w:tcBorders>
                    <w:tl2br w:val="nil"/>
                    <w:tr2bl w:val="nil"/>
                  </w:tcBorders>
                  <w:noWrap w:val="0"/>
                  <w:vAlign w:val="center"/>
                </w:tcPr>
                <w:p w14:paraId="53CC24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16.6</w:t>
                  </w:r>
                </w:p>
              </w:tc>
              <w:tc>
                <w:tcPr>
                  <w:tcW w:w="511" w:type="pct"/>
                  <w:tcBorders>
                    <w:tl2br w:val="nil"/>
                    <w:tr2bl w:val="nil"/>
                  </w:tcBorders>
                  <w:noWrap w:val="0"/>
                  <w:vAlign w:val="center"/>
                </w:tcPr>
                <w:p w14:paraId="65DCB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0.0208</w:t>
                  </w:r>
                </w:p>
              </w:tc>
              <w:tc>
                <w:tcPr>
                  <w:tcW w:w="313" w:type="pct"/>
                  <w:tcBorders>
                    <w:tl2br w:val="nil"/>
                    <w:tr2bl w:val="nil"/>
                  </w:tcBorders>
                  <w:noWrap w:val="0"/>
                  <w:vAlign w:val="center"/>
                </w:tcPr>
                <w:p w14:paraId="6FC2B4B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r>
            <w:tr w14:paraId="451725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7FB9E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6F6E8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43" w:type="pct"/>
                  <w:tcBorders>
                    <w:tl2br w:val="nil"/>
                    <w:tr2bl w:val="nil"/>
                  </w:tcBorders>
                  <w:noWrap w:val="0"/>
                  <w:vAlign w:val="center"/>
                </w:tcPr>
                <w:p w14:paraId="2B8997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63" w:type="pct"/>
                  <w:tcBorders>
                    <w:tl2br w:val="nil"/>
                    <w:tr2bl w:val="nil"/>
                  </w:tcBorders>
                  <w:noWrap w:val="0"/>
                  <w:vAlign w:val="center"/>
                </w:tcPr>
                <w:p w14:paraId="491EDC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0.242</w:t>
                  </w:r>
                </w:p>
              </w:tc>
              <w:tc>
                <w:tcPr>
                  <w:tcW w:w="443" w:type="pct"/>
                  <w:tcBorders>
                    <w:tl2br w:val="nil"/>
                    <w:tr2bl w:val="nil"/>
                  </w:tcBorders>
                  <w:noWrap w:val="0"/>
                  <w:vAlign w:val="center"/>
                </w:tcPr>
                <w:p w14:paraId="41A8881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0.006</w:t>
                  </w:r>
                </w:p>
              </w:tc>
              <w:tc>
                <w:tcPr>
                  <w:tcW w:w="390" w:type="pct"/>
                  <w:tcBorders>
                    <w:tl2br w:val="nil"/>
                    <w:tr2bl w:val="nil"/>
                  </w:tcBorders>
                  <w:noWrap w:val="0"/>
                  <w:vAlign w:val="center"/>
                </w:tcPr>
                <w:p w14:paraId="6F146F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0.914</w:t>
                  </w:r>
                </w:p>
              </w:tc>
              <w:tc>
                <w:tcPr>
                  <w:tcW w:w="434" w:type="pct"/>
                  <w:tcBorders>
                    <w:tl2br w:val="nil"/>
                    <w:tr2bl w:val="nil"/>
                  </w:tcBorders>
                  <w:noWrap w:val="0"/>
                  <w:vAlign w:val="center"/>
                </w:tcPr>
                <w:p w14:paraId="483728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0.024</w:t>
                  </w:r>
                </w:p>
              </w:tc>
              <w:tc>
                <w:tcPr>
                  <w:tcW w:w="426" w:type="pct"/>
                  <w:tcBorders>
                    <w:tl2br w:val="nil"/>
                    <w:tr2bl w:val="nil"/>
                  </w:tcBorders>
                  <w:noWrap w:val="0"/>
                  <w:vAlign w:val="center"/>
                </w:tcPr>
                <w:p w14:paraId="5ABB31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0.087</w:t>
                  </w:r>
                </w:p>
              </w:tc>
              <w:tc>
                <w:tcPr>
                  <w:tcW w:w="511" w:type="pct"/>
                  <w:tcBorders>
                    <w:tl2br w:val="nil"/>
                    <w:tr2bl w:val="nil"/>
                  </w:tcBorders>
                  <w:noWrap w:val="0"/>
                  <w:vAlign w:val="center"/>
                </w:tcPr>
                <w:p w14:paraId="1C2338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0.0023</w:t>
                  </w:r>
                </w:p>
              </w:tc>
              <w:tc>
                <w:tcPr>
                  <w:tcW w:w="313" w:type="pct"/>
                  <w:tcBorders>
                    <w:tl2br w:val="nil"/>
                    <w:tr2bl w:val="nil"/>
                  </w:tcBorders>
                  <w:noWrap w:val="0"/>
                  <w:vAlign w:val="center"/>
                </w:tcPr>
                <w:p w14:paraId="43ADE4E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r>
            <w:tr w14:paraId="0F4C3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76A44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D5190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43" w:type="pct"/>
                  <w:tcBorders>
                    <w:tl2br w:val="nil"/>
                    <w:tr2bl w:val="nil"/>
                  </w:tcBorders>
                  <w:noWrap w:val="0"/>
                  <w:vAlign w:val="center"/>
                </w:tcPr>
                <w:p w14:paraId="6D9F34C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 w:type="pct"/>
                  <w:tcBorders>
                    <w:tl2br w:val="nil"/>
                    <w:tr2bl w:val="nil"/>
                  </w:tcBorders>
                  <w:noWrap w:val="0"/>
                  <w:vAlign w:val="center"/>
                </w:tcPr>
                <w:p w14:paraId="356179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86</w:t>
                  </w:r>
                </w:p>
              </w:tc>
              <w:tc>
                <w:tcPr>
                  <w:tcW w:w="443" w:type="pct"/>
                  <w:tcBorders>
                    <w:tl2br w:val="nil"/>
                    <w:tr2bl w:val="nil"/>
                  </w:tcBorders>
                  <w:noWrap w:val="0"/>
                  <w:vAlign w:val="center"/>
                </w:tcPr>
                <w:p w14:paraId="3F68BA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0.096</w:t>
                  </w:r>
                </w:p>
              </w:tc>
              <w:tc>
                <w:tcPr>
                  <w:tcW w:w="390" w:type="pct"/>
                  <w:tcBorders>
                    <w:tl2br w:val="nil"/>
                    <w:tr2bl w:val="nil"/>
                  </w:tcBorders>
                  <w:noWrap w:val="0"/>
                  <w:vAlign w:val="center"/>
                </w:tcPr>
                <w:p w14:paraId="7A4011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434" w:type="pct"/>
                  <w:tcBorders>
                    <w:tl2br w:val="nil"/>
                    <w:tr2bl w:val="nil"/>
                  </w:tcBorders>
                  <w:noWrap w:val="0"/>
                  <w:vAlign w:val="center"/>
                </w:tcPr>
                <w:p w14:paraId="08C42D9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0.033</w:t>
                  </w:r>
                </w:p>
              </w:tc>
              <w:tc>
                <w:tcPr>
                  <w:tcW w:w="426" w:type="pct"/>
                  <w:tcBorders>
                    <w:tl2br w:val="nil"/>
                    <w:tr2bl w:val="nil"/>
                  </w:tcBorders>
                  <w:noWrap w:val="0"/>
                  <w:vAlign w:val="center"/>
                </w:tcPr>
                <w:p w14:paraId="519E05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tc>
              <w:tc>
                <w:tcPr>
                  <w:tcW w:w="511" w:type="pct"/>
                  <w:tcBorders>
                    <w:tl2br w:val="nil"/>
                    <w:tr2bl w:val="nil"/>
                  </w:tcBorders>
                  <w:noWrap w:val="0"/>
                  <w:vAlign w:val="center"/>
                </w:tcPr>
                <w:p w14:paraId="47F73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0.0267</w:t>
                  </w:r>
                </w:p>
              </w:tc>
              <w:tc>
                <w:tcPr>
                  <w:tcW w:w="313" w:type="pct"/>
                  <w:tcBorders>
                    <w:tl2br w:val="nil"/>
                    <w:tr2bl w:val="nil"/>
                  </w:tcBorders>
                  <w:noWrap w:val="0"/>
                  <w:vAlign w:val="center"/>
                </w:tcPr>
                <w:p w14:paraId="17D278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r>
            <w:tr w14:paraId="5DC782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35E10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0F34C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443" w:type="pct"/>
                  <w:tcBorders>
                    <w:tl2br w:val="nil"/>
                    <w:tr2bl w:val="nil"/>
                  </w:tcBorders>
                  <w:noWrap w:val="0"/>
                  <w:vAlign w:val="center"/>
                </w:tcPr>
                <w:p w14:paraId="65B072F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463" w:type="pct"/>
                  <w:tcBorders>
                    <w:tl2br w:val="nil"/>
                    <w:tr2bl w:val="nil"/>
                  </w:tcBorders>
                  <w:noWrap w:val="0"/>
                  <w:vAlign w:val="center"/>
                </w:tcPr>
                <w:p w14:paraId="4AB5B9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1497D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8E66B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2513B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EDD7C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56C8A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A7222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r>
            <w:tr w14:paraId="7CF58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28139E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c>
                <w:tcPr>
                  <w:tcW w:w="1072" w:type="pct"/>
                  <w:tcBorders>
                    <w:tl2br w:val="nil"/>
                    <w:tr2bl w:val="nil"/>
                  </w:tcBorders>
                  <w:noWrap w:val="0"/>
                  <w:vAlign w:val="center"/>
                </w:tcPr>
                <w:p w14:paraId="292647F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443" w:type="pct"/>
                  <w:tcBorders>
                    <w:tl2br w:val="nil"/>
                    <w:tr2bl w:val="nil"/>
                  </w:tcBorders>
                  <w:noWrap w:val="0"/>
                  <w:vAlign w:val="center"/>
                </w:tcPr>
                <w:p w14:paraId="1B3312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69B9F5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0BA502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2965E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287A4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B19E1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63C0E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B6FC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r>
            <w:tr w14:paraId="0BEA1B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08284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04DF3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443" w:type="pct"/>
                  <w:tcBorders>
                    <w:tl2br w:val="nil"/>
                    <w:tr2bl w:val="nil"/>
                  </w:tcBorders>
                  <w:noWrap w:val="0"/>
                  <w:vAlign w:val="center"/>
                </w:tcPr>
                <w:p w14:paraId="0E08F1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482FB30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41AB9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E9799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C77C6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BDC8E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511" w:type="pct"/>
                  <w:tcBorders>
                    <w:tl2br w:val="nil"/>
                    <w:tr2bl w:val="nil"/>
                  </w:tcBorders>
                  <w:noWrap w:val="0"/>
                  <w:vAlign w:val="center"/>
                </w:tcPr>
                <w:p w14:paraId="1CD547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0.0023</w:t>
                  </w:r>
                </w:p>
              </w:tc>
              <w:tc>
                <w:tcPr>
                  <w:tcW w:w="313" w:type="pct"/>
                  <w:tcBorders>
                    <w:tl2br w:val="nil"/>
                    <w:tr2bl w:val="nil"/>
                  </w:tcBorders>
                  <w:noWrap w:val="0"/>
                  <w:vAlign w:val="center"/>
                </w:tcPr>
                <w:p w14:paraId="7BEFDC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r>
            <w:tr w14:paraId="43483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C0C5B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A3635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443" w:type="pct"/>
                  <w:tcBorders>
                    <w:tl2br w:val="nil"/>
                    <w:tr2bl w:val="nil"/>
                  </w:tcBorders>
                  <w:noWrap w:val="0"/>
                  <w:vAlign w:val="center"/>
                </w:tcPr>
                <w:p w14:paraId="751853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5EDD7B8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5CAB0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5B356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35972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DED80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7FB0E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B6C76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r>
            <w:tr w14:paraId="5312C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945C2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AAA6D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443" w:type="pct"/>
                  <w:tcBorders>
                    <w:tl2br w:val="nil"/>
                    <w:tr2bl w:val="nil"/>
                  </w:tcBorders>
                  <w:noWrap w:val="0"/>
                  <w:vAlign w:val="center"/>
                </w:tcPr>
                <w:p w14:paraId="129CC0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1B1A92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6655E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ACC26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9A933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4A086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0.0124</w:t>
                  </w:r>
                </w:p>
              </w:tc>
              <w:tc>
                <w:tcPr>
                  <w:tcW w:w="511" w:type="pct"/>
                  <w:tcBorders>
                    <w:tl2br w:val="nil"/>
                    <w:tr2bl w:val="nil"/>
                  </w:tcBorders>
                  <w:noWrap w:val="0"/>
                  <w:vAlign w:val="center"/>
                </w:tcPr>
                <w:p w14:paraId="5311C1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0.00002</w:t>
                  </w:r>
                </w:p>
              </w:tc>
              <w:tc>
                <w:tcPr>
                  <w:tcW w:w="313" w:type="pct"/>
                  <w:tcBorders>
                    <w:tl2br w:val="nil"/>
                    <w:tr2bl w:val="nil"/>
                  </w:tcBorders>
                  <w:noWrap w:val="0"/>
                  <w:vAlign w:val="center"/>
                </w:tcPr>
                <w:p w14:paraId="255FEAC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r>
            <w:tr w14:paraId="6E5B2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7DC43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911C9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反式-1，2-二氯乙烯</w:t>
                  </w:r>
                </w:p>
              </w:tc>
              <w:tc>
                <w:tcPr>
                  <w:tcW w:w="443" w:type="pct"/>
                  <w:tcBorders>
                    <w:tl2br w:val="nil"/>
                    <w:tr2bl w:val="nil"/>
                  </w:tcBorders>
                  <w:noWrap w:val="0"/>
                  <w:vAlign w:val="center"/>
                </w:tcPr>
                <w:p w14:paraId="06797B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404763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B4C4B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95C5C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4F0F3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E6EC8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BAF66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16F06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r>
            <w:tr w14:paraId="1C6EC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C2C22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3C7BA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443" w:type="pct"/>
                  <w:tcBorders>
                    <w:tl2br w:val="nil"/>
                    <w:tr2bl w:val="nil"/>
                  </w:tcBorders>
                  <w:noWrap w:val="0"/>
                  <w:vAlign w:val="center"/>
                </w:tcPr>
                <w:p w14:paraId="61B04A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114BB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6C1C2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84781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DEE84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F6254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8546C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C6D17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r>
            <w:tr w14:paraId="05B68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4E10E1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891B6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顺式-1，2-二氯乙烯</w:t>
                  </w:r>
                </w:p>
              </w:tc>
              <w:tc>
                <w:tcPr>
                  <w:tcW w:w="443" w:type="pct"/>
                  <w:tcBorders>
                    <w:tl2br w:val="nil"/>
                    <w:tr2bl w:val="nil"/>
                  </w:tcBorders>
                  <w:noWrap w:val="0"/>
                  <w:vAlign w:val="center"/>
                </w:tcPr>
                <w:p w14:paraId="1653E0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2D7F54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914BC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C8D6C4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66393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2369AA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F7E4C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5D62C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r>
            <w:tr w14:paraId="769B5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DCDFD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9E3BD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443" w:type="pct"/>
                  <w:tcBorders>
                    <w:tl2br w:val="nil"/>
                    <w:tr2bl w:val="nil"/>
                  </w:tcBorders>
                  <w:noWrap w:val="0"/>
                  <w:vAlign w:val="center"/>
                </w:tcPr>
                <w:p w14:paraId="6465C5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3BF884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9A9FC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7624E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532D9D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D19AE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511" w:type="pct"/>
                  <w:tcBorders>
                    <w:tl2br w:val="nil"/>
                    <w:tr2bl w:val="nil"/>
                  </w:tcBorders>
                  <w:noWrap w:val="0"/>
                  <w:vAlign w:val="center"/>
                </w:tcPr>
                <w:p w14:paraId="199F4C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0.0056</w:t>
                  </w:r>
                </w:p>
              </w:tc>
              <w:tc>
                <w:tcPr>
                  <w:tcW w:w="313" w:type="pct"/>
                  <w:tcBorders>
                    <w:tl2br w:val="nil"/>
                    <w:tr2bl w:val="nil"/>
                  </w:tcBorders>
                  <w:noWrap w:val="0"/>
                  <w:vAlign w:val="center"/>
                </w:tcPr>
                <w:p w14:paraId="40F4DA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r>
            <w:tr w14:paraId="5720F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B4406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30B8D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443" w:type="pct"/>
                  <w:tcBorders>
                    <w:tl2br w:val="nil"/>
                    <w:tr2bl w:val="nil"/>
                  </w:tcBorders>
                  <w:noWrap w:val="0"/>
                  <w:vAlign w:val="center"/>
                </w:tcPr>
                <w:p w14:paraId="05BFCE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A1FF4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F19F3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5AD59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B2ADC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413FF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1EE0A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1F49B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5A1C2D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66DA9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DC0263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443" w:type="pct"/>
                  <w:tcBorders>
                    <w:tl2br w:val="nil"/>
                    <w:tr2bl w:val="nil"/>
                  </w:tcBorders>
                  <w:noWrap w:val="0"/>
                  <w:vAlign w:val="center"/>
                </w:tcPr>
                <w:p w14:paraId="06E458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76AF8FF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F6A89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6479D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2ED81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C7292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63822F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DC2B8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0962F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44142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00714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443" w:type="pct"/>
                  <w:tcBorders>
                    <w:tl2br w:val="nil"/>
                    <w:tr2bl w:val="nil"/>
                  </w:tcBorders>
                  <w:noWrap w:val="0"/>
                  <w:vAlign w:val="center"/>
                </w:tcPr>
                <w:p w14:paraId="659225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38BB33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962D1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0B5A1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7449D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0F1AC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61E14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6BC25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60191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24DE3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9386D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443" w:type="pct"/>
                  <w:tcBorders>
                    <w:tl2br w:val="nil"/>
                    <w:tr2bl w:val="nil"/>
                  </w:tcBorders>
                  <w:noWrap w:val="0"/>
                  <w:vAlign w:val="center"/>
                </w:tcPr>
                <w:p w14:paraId="35EB10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0.0019</w:t>
                  </w:r>
                </w:p>
              </w:tc>
              <w:tc>
                <w:tcPr>
                  <w:tcW w:w="463" w:type="pct"/>
                  <w:tcBorders>
                    <w:tl2br w:val="nil"/>
                    <w:tr2bl w:val="nil"/>
                  </w:tcBorders>
                  <w:noWrap w:val="0"/>
                  <w:vAlign w:val="center"/>
                </w:tcPr>
                <w:p w14:paraId="302FFE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7D336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3AA73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634B2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C6E09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078E7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15BB0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53141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4CE82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F6E89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443" w:type="pct"/>
                  <w:tcBorders>
                    <w:tl2br w:val="nil"/>
                    <w:tr2bl w:val="nil"/>
                  </w:tcBorders>
                  <w:noWrap w:val="0"/>
                  <w:vAlign w:val="center"/>
                </w:tcPr>
                <w:p w14:paraId="6E931E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55427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ACC1E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7426D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60887B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C828E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8374A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1B5F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5AF88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0D1A3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D5BA0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443" w:type="pct"/>
                  <w:tcBorders>
                    <w:tl2br w:val="nil"/>
                    <w:tr2bl w:val="nil"/>
                  </w:tcBorders>
                  <w:noWrap w:val="0"/>
                  <w:vAlign w:val="center"/>
                </w:tcPr>
                <w:p w14:paraId="65705E3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268AE8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1F39B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875A1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A1C00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41655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09193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5CA54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6AC86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4C11B9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B23A4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443" w:type="pct"/>
                  <w:tcBorders>
                    <w:tl2br w:val="nil"/>
                    <w:tr2bl w:val="nil"/>
                  </w:tcBorders>
                  <w:noWrap w:val="0"/>
                  <w:vAlign w:val="center"/>
                </w:tcPr>
                <w:p w14:paraId="40C47A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5CD685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0EE91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82979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212E9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625C7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43DFC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DDDAD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543550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75146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CBFB9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443" w:type="pct"/>
                  <w:tcBorders>
                    <w:tl2br w:val="nil"/>
                    <w:tr2bl w:val="nil"/>
                  </w:tcBorders>
                  <w:noWrap w:val="0"/>
                  <w:vAlign w:val="center"/>
                </w:tcPr>
                <w:p w14:paraId="723D94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182E0D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2B420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F7C4B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26B90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D7B764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B2C84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3DB88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0A505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EEA09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4A141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443" w:type="pct"/>
                  <w:tcBorders>
                    <w:tl2br w:val="nil"/>
                    <w:tr2bl w:val="nil"/>
                  </w:tcBorders>
                  <w:noWrap w:val="0"/>
                  <w:vAlign w:val="center"/>
                </w:tcPr>
                <w:p w14:paraId="0C6296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329876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DD5B8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D1DF2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F04D6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A8013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577E4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B58A5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r>
            <w:tr w14:paraId="399CC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4F8DC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ABB3A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443" w:type="pct"/>
                  <w:tcBorders>
                    <w:tl2br w:val="nil"/>
                    <w:tr2bl w:val="nil"/>
                  </w:tcBorders>
                  <w:noWrap w:val="0"/>
                  <w:vAlign w:val="center"/>
                </w:tcPr>
                <w:p w14:paraId="21AF55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B20D5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931D8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8A2D1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09CA7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1EB69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7EF7B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1572B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r>
            <w:tr w14:paraId="4EAA4A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28228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91156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443" w:type="pct"/>
                  <w:tcBorders>
                    <w:tl2br w:val="nil"/>
                    <w:tr2bl w:val="nil"/>
                  </w:tcBorders>
                  <w:noWrap w:val="0"/>
                  <w:vAlign w:val="center"/>
                </w:tcPr>
                <w:p w14:paraId="04B9C9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5660B8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FD056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3BF34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7C816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7A99E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1B95F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41E7A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024FE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B1B9B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C04D3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443" w:type="pct"/>
                  <w:tcBorders>
                    <w:tl2br w:val="nil"/>
                    <w:tr2bl w:val="nil"/>
                  </w:tcBorders>
                  <w:noWrap w:val="0"/>
                  <w:vAlign w:val="center"/>
                </w:tcPr>
                <w:p w14:paraId="384935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1A32CE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AE6E7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95784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2F0C4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08982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03E3D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92FE6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0F4B9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A99050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35A08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对，间二甲苯</w:t>
                  </w:r>
                </w:p>
              </w:tc>
              <w:tc>
                <w:tcPr>
                  <w:tcW w:w="443" w:type="pct"/>
                  <w:tcBorders>
                    <w:tl2br w:val="nil"/>
                    <w:tr2bl w:val="nil"/>
                  </w:tcBorders>
                  <w:noWrap w:val="0"/>
                  <w:vAlign w:val="center"/>
                </w:tcPr>
                <w:p w14:paraId="66E2E2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FFE58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8079D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EB690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90831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F8FF3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A628F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11990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274C1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B728D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3E53F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443" w:type="pct"/>
                  <w:tcBorders>
                    <w:tl2br w:val="nil"/>
                    <w:tr2bl w:val="nil"/>
                  </w:tcBorders>
                  <w:noWrap w:val="0"/>
                  <w:vAlign w:val="center"/>
                </w:tcPr>
                <w:p w14:paraId="7FBA5A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5AEFB9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913B1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3824A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9C178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53CE5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73760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DCDBC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0CCD8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26790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069C7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443" w:type="pct"/>
                  <w:tcBorders>
                    <w:tl2br w:val="nil"/>
                    <w:tr2bl w:val="nil"/>
                  </w:tcBorders>
                  <w:noWrap w:val="0"/>
                  <w:vAlign w:val="center"/>
                </w:tcPr>
                <w:p w14:paraId="114DF7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70CA6E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6CAC4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3DC95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5D0CE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E914A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94A08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F14F3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7D880E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C9FD9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A2BC2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443" w:type="pct"/>
                  <w:tcBorders>
                    <w:tl2br w:val="nil"/>
                    <w:tr2bl w:val="nil"/>
                  </w:tcBorders>
                  <w:noWrap w:val="0"/>
                  <w:vAlign w:val="center"/>
                </w:tcPr>
                <w:p w14:paraId="49632F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490A9F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39A26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00427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D3C98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C3E86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2DA70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3CA03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r>
            <w:tr w14:paraId="6207E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DF418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E202D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443" w:type="pct"/>
                  <w:tcBorders>
                    <w:tl2br w:val="nil"/>
                    <w:tr2bl w:val="nil"/>
                  </w:tcBorders>
                  <w:noWrap w:val="0"/>
                  <w:vAlign w:val="center"/>
                </w:tcPr>
                <w:p w14:paraId="0F846D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ACB1E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DB49CE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63576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773E2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BB4A4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D8CA0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4EBDF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r>
            <w:tr w14:paraId="1EADE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6EC6F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68FF8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443" w:type="pct"/>
                  <w:tcBorders>
                    <w:tl2br w:val="nil"/>
                    <w:tr2bl w:val="nil"/>
                  </w:tcBorders>
                  <w:noWrap w:val="0"/>
                  <w:vAlign w:val="center"/>
                </w:tcPr>
                <w:p w14:paraId="013018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710EFA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69293D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1B982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A71C3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ED8D14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C7D42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FA190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121B4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3CB9F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04308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443" w:type="pct"/>
                  <w:tcBorders>
                    <w:tl2br w:val="nil"/>
                    <w:tr2bl w:val="nil"/>
                  </w:tcBorders>
                  <w:noWrap w:val="0"/>
                  <w:vAlign w:val="center"/>
                </w:tcPr>
                <w:p w14:paraId="44A796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7F7BA5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42182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04517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FB6D8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CF685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B7B1E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0DC68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005FF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0EC88BB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c>
                <w:tcPr>
                  <w:tcW w:w="1072" w:type="pct"/>
                  <w:tcBorders>
                    <w:tl2br w:val="nil"/>
                    <w:tr2bl w:val="nil"/>
                  </w:tcBorders>
                  <w:noWrap w:val="0"/>
                  <w:vAlign w:val="center"/>
                </w:tcPr>
                <w:p w14:paraId="207D9C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443" w:type="pct"/>
                  <w:tcBorders>
                    <w:tl2br w:val="nil"/>
                    <w:tr2bl w:val="nil"/>
                  </w:tcBorders>
                  <w:noWrap w:val="0"/>
                  <w:vAlign w:val="center"/>
                </w:tcPr>
                <w:p w14:paraId="14BE76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63" w:type="pct"/>
                  <w:tcBorders>
                    <w:tl2br w:val="nil"/>
                    <w:tr2bl w:val="nil"/>
                  </w:tcBorders>
                  <w:noWrap w:val="0"/>
                  <w:vAlign w:val="center"/>
                </w:tcPr>
                <w:p w14:paraId="542066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6EBF5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F461B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34DCA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30787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DEB63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E4396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r>
            <w:tr w14:paraId="24EE4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911C8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7852D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2-氯苯酚</w:t>
                  </w:r>
                </w:p>
              </w:tc>
              <w:tc>
                <w:tcPr>
                  <w:tcW w:w="443" w:type="pct"/>
                  <w:tcBorders>
                    <w:tl2br w:val="nil"/>
                    <w:tr2bl w:val="nil"/>
                  </w:tcBorders>
                  <w:noWrap w:val="0"/>
                  <w:vAlign w:val="center"/>
                </w:tcPr>
                <w:p w14:paraId="54029D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3" w:type="pct"/>
                  <w:tcBorders>
                    <w:tl2br w:val="nil"/>
                    <w:tr2bl w:val="nil"/>
                  </w:tcBorders>
                  <w:noWrap w:val="0"/>
                  <w:vAlign w:val="center"/>
                </w:tcPr>
                <w:p w14:paraId="5893CA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716E5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037AE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B64F4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113DB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2FC25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47CFD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r>
            <w:tr w14:paraId="78471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EDA3E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5119E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443" w:type="pct"/>
                  <w:tcBorders>
                    <w:tl2br w:val="nil"/>
                    <w:tr2bl w:val="nil"/>
                  </w:tcBorders>
                  <w:noWrap w:val="0"/>
                  <w:vAlign w:val="center"/>
                </w:tcPr>
                <w:p w14:paraId="0EDEA1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2138E9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1A870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0AADD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DBBC0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2FB6B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3941C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4E5355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2BC8B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FEB4E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9CE1C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443" w:type="pct"/>
                  <w:tcBorders>
                    <w:tl2br w:val="nil"/>
                    <w:tr2bl w:val="nil"/>
                  </w:tcBorders>
                  <w:noWrap w:val="0"/>
                  <w:vAlign w:val="center"/>
                </w:tcPr>
                <w:p w14:paraId="4FBBD1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7CBFDB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A9D34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D1343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699E5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E4332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C3294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08D8D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r>
            <w:tr w14:paraId="190CD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CAB9A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56C7A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443" w:type="pct"/>
                  <w:tcBorders>
                    <w:tl2br w:val="nil"/>
                    <w:tr2bl w:val="nil"/>
                  </w:tcBorders>
                  <w:noWrap w:val="0"/>
                  <w:vAlign w:val="center"/>
                </w:tcPr>
                <w:p w14:paraId="4CF21B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9B6D9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E8188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DCBEE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D4DEC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127C3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90D58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9F5BB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27681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707E3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1F9E9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443" w:type="pct"/>
                  <w:tcBorders>
                    <w:tl2br w:val="nil"/>
                    <w:tr2bl w:val="nil"/>
                  </w:tcBorders>
                  <w:noWrap w:val="0"/>
                  <w:vAlign w:val="center"/>
                </w:tcPr>
                <w:p w14:paraId="636B76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7E8C0D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1D95D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83937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34A93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FC0CF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1B3EA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8E130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r>
            <w:tr w14:paraId="63E0A9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5532C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36142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443" w:type="pct"/>
                  <w:tcBorders>
                    <w:tl2br w:val="nil"/>
                    <w:tr2bl w:val="nil"/>
                  </w:tcBorders>
                  <w:noWrap w:val="0"/>
                  <w:vAlign w:val="center"/>
                </w:tcPr>
                <w:p w14:paraId="4A2D0B3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463" w:type="pct"/>
                  <w:tcBorders>
                    <w:tl2br w:val="nil"/>
                    <w:tr2bl w:val="nil"/>
                  </w:tcBorders>
                  <w:noWrap w:val="0"/>
                  <w:vAlign w:val="center"/>
                </w:tcPr>
                <w:p w14:paraId="091D8E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3BAF4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223BC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5FA076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932E0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A738E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078CA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38F24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376092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2199F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443" w:type="pct"/>
                  <w:tcBorders>
                    <w:tl2br w:val="nil"/>
                    <w:tr2bl w:val="nil"/>
                  </w:tcBorders>
                  <w:noWrap w:val="0"/>
                  <w:vAlign w:val="center"/>
                </w:tcPr>
                <w:p w14:paraId="2E1E48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04C26E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6ED0D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230D1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69D6F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2F076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83338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BB5CF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7CC08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626824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0340E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443" w:type="pct"/>
                  <w:tcBorders>
                    <w:tl2br w:val="nil"/>
                    <w:tr2bl w:val="nil"/>
                  </w:tcBorders>
                  <w:noWrap w:val="0"/>
                  <w:vAlign w:val="center"/>
                </w:tcPr>
                <w:p w14:paraId="6AA95D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77E92B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6D9F21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5E7F2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0DE9C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601ED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6EC096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3A3D8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751F07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26CF61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B5B43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443" w:type="pct"/>
                  <w:tcBorders>
                    <w:tl2br w:val="nil"/>
                    <w:tr2bl w:val="nil"/>
                  </w:tcBorders>
                  <w:noWrap w:val="0"/>
                  <w:vAlign w:val="center"/>
                </w:tcPr>
                <w:p w14:paraId="309650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05FE97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B541D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F38B2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00D8C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46AEE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01286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4DC701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3F9D2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EF672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9A1ED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443" w:type="pct"/>
                  <w:tcBorders>
                    <w:tl2br w:val="nil"/>
                    <w:tr2bl w:val="nil"/>
                  </w:tcBorders>
                  <w:noWrap w:val="0"/>
                  <w:vAlign w:val="center"/>
                </w:tcPr>
                <w:p w14:paraId="5DE0B3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065836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44D53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4A922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EEA90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4E576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153E0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3D886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59031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tcBorders>
                    <w:tl2br w:val="nil"/>
                    <w:tr2bl w:val="nil"/>
                  </w:tcBorders>
                  <w:noWrap w:val="0"/>
                  <w:vAlign w:val="center"/>
                </w:tcPr>
                <w:p w14:paraId="5293B6B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石油烃类</w:t>
                  </w:r>
                </w:p>
              </w:tc>
              <w:tc>
                <w:tcPr>
                  <w:tcW w:w="1072" w:type="pct"/>
                  <w:tcBorders>
                    <w:tl2br w:val="nil"/>
                    <w:tr2bl w:val="nil"/>
                  </w:tcBorders>
                  <w:noWrap w:val="0"/>
                  <w:vAlign w:val="center"/>
                </w:tcPr>
                <w:p w14:paraId="3C4D3C9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石油烃（C</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vertAlign w:val="subscript"/>
                    </w:rPr>
                    <w:t>40</w:t>
                  </w:r>
                  <w:r>
                    <w:rPr>
                      <w:rFonts w:hint="default" w:ascii="Times New Roman" w:hAnsi="Times New Roman" w:eastAsia="宋体" w:cs="Times New Roman"/>
                      <w:color w:val="auto"/>
                      <w:sz w:val="18"/>
                      <w:szCs w:val="18"/>
                    </w:rPr>
                    <w:t>）</w:t>
                  </w:r>
                </w:p>
              </w:tc>
              <w:tc>
                <w:tcPr>
                  <w:tcW w:w="443" w:type="pct"/>
                  <w:tcBorders>
                    <w:tl2br w:val="nil"/>
                    <w:tr2bl w:val="nil"/>
                  </w:tcBorders>
                  <w:noWrap w:val="0"/>
                  <w:vAlign w:val="center"/>
                </w:tcPr>
                <w:p w14:paraId="6473707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63" w:type="pct"/>
                  <w:tcBorders>
                    <w:tl2br w:val="nil"/>
                    <w:tr2bl w:val="nil"/>
                  </w:tcBorders>
                  <w:noWrap w:val="0"/>
                  <w:vAlign w:val="center"/>
                </w:tcPr>
                <w:p w14:paraId="0D7373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443" w:type="pct"/>
                  <w:tcBorders>
                    <w:tl2br w:val="nil"/>
                    <w:tr2bl w:val="nil"/>
                  </w:tcBorders>
                  <w:noWrap w:val="0"/>
                  <w:vAlign w:val="center"/>
                </w:tcPr>
                <w:p w14:paraId="5B2B31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w:t>
                  </w:r>
                </w:p>
              </w:tc>
              <w:tc>
                <w:tcPr>
                  <w:tcW w:w="390" w:type="pct"/>
                  <w:tcBorders>
                    <w:tl2br w:val="nil"/>
                    <w:tr2bl w:val="nil"/>
                  </w:tcBorders>
                  <w:noWrap w:val="0"/>
                  <w:vAlign w:val="center"/>
                </w:tcPr>
                <w:p w14:paraId="0438B9D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34" w:type="pct"/>
                  <w:tcBorders>
                    <w:tl2br w:val="nil"/>
                    <w:tr2bl w:val="nil"/>
                  </w:tcBorders>
                  <w:noWrap w:val="0"/>
                  <w:vAlign w:val="center"/>
                </w:tcPr>
                <w:p w14:paraId="559827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26" w:type="pct"/>
                  <w:tcBorders>
                    <w:tl2br w:val="nil"/>
                    <w:tr2bl w:val="nil"/>
                  </w:tcBorders>
                  <w:noWrap w:val="0"/>
                  <w:vAlign w:val="center"/>
                </w:tcPr>
                <w:p w14:paraId="2B70CA7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511" w:type="pct"/>
                  <w:tcBorders>
                    <w:tl2br w:val="nil"/>
                    <w:tr2bl w:val="nil"/>
                  </w:tcBorders>
                  <w:noWrap w:val="0"/>
                  <w:vAlign w:val="center"/>
                </w:tcPr>
                <w:p w14:paraId="66579D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0.0047</w:t>
                  </w:r>
                </w:p>
              </w:tc>
              <w:tc>
                <w:tcPr>
                  <w:tcW w:w="313" w:type="pct"/>
                  <w:tcBorders>
                    <w:tl2br w:val="nil"/>
                    <w:tr2bl w:val="nil"/>
                  </w:tcBorders>
                  <w:noWrap w:val="0"/>
                  <w:vAlign w:val="center"/>
                </w:tcPr>
                <w:p w14:paraId="219459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r w14:paraId="7E0E2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restart"/>
                  <w:tcBorders>
                    <w:tl2br w:val="nil"/>
                    <w:tr2bl w:val="nil"/>
                  </w:tcBorders>
                  <w:noWrap w:val="0"/>
                  <w:vAlign w:val="center"/>
                </w:tcPr>
                <w:p w14:paraId="50BCE2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监测点位</w:t>
                  </w:r>
                </w:p>
              </w:tc>
              <w:tc>
                <w:tcPr>
                  <w:tcW w:w="443" w:type="pct"/>
                  <w:vMerge w:val="restart"/>
                  <w:tcBorders>
                    <w:tl2br w:val="nil"/>
                    <w:tr2bl w:val="nil"/>
                  </w:tcBorders>
                  <w:noWrap w:val="0"/>
                  <w:vAlign w:val="center"/>
                </w:tcPr>
                <w:p w14:paraId="42F28B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检出限</w:t>
                  </w:r>
                </w:p>
              </w:tc>
              <w:tc>
                <w:tcPr>
                  <w:tcW w:w="907" w:type="pct"/>
                  <w:gridSpan w:val="2"/>
                  <w:tcBorders>
                    <w:tl2br w:val="nil"/>
                    <w:tr2bl w:val="nil"/>
                  </w:tcBorders>
                  <w:noWrap w:val="0"/>
                  <w:vAlign w:val="center"/>
                </w:tcPr>
                <w:p w14:paraId="39DC0C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厂区外T7厂区南侧空地</w:t>
                  </w:r>
                </w:p>
              </w:tc>
              <w:tc>
                <w:tcPr>
                  <w:tcW w:w="824" w:type="pct"/>
                  <w:gridSpan w:val="2"/>
                  <w:tcBorders>
                    <w:tl2br w:val="nil"/>
                    <w:tr2bl w:val="nil"/>
                  </w:tcBorders>
                  <w:noWrap w:val="0"/>
                  <w:vAlign w:val="center"/>
                </w:tcPr>
                <w:p w14:paraId="1A56AE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厂区外T8厂区东西侧空地</w:t>
                  </w:r>
                </w:p>
              </w:tc>
              <w:tc>
                <w:tcPr>
                  <w:tcW w:w="937" w:type="pct"/>
                  <w:gridSpan w:val="2"/>
                  <w:tcBorders>
                    <w:tl2br w:val="nil"/>
                    <w:tr2bl w:val="nil"/>
                  </w:tcBorders>
                  <w:noWrap w:val="0"/>
                  <w:vAlign w:val="center"/>
                </w:tcPr>
                <w:p w14:paraId="19091C5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厂区外T9厂区西北侧空地</w:t>
                  </w:r>
                </w:p>
              </w:tc>
              <w:tc>
                <w:tcPr>
                  <w:tcW w:w="313" w:type="pct"/>
                  <w:vMerge w:val="restart"/>
                  <w:tcBorders>
                    <w:tl2br w:val="nil"/>
                    <w:tr2bl w:val="nil"/>
                  </w:tcBorders>
                  <w:noWrap w:val="0"/>
                  <w:vAlign w:val="center"/>
                </w:tcPr>
                <w:p w14:paraId="4A6359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筛选值</w:t>
                  </w:r>
                </w:p>
              </w:tc>
            </w:tr>
            <w:tr w14:paraId="18288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vMerge w:val="continue"/>
                  <w:tcBorders>
                    <w:tl2br w:val="nil"/>
                    <w:tr2bl w:val="nil"/>
                  </w:tcBorders>
                  <w:noWrap w:val="0"/>
                  <w:vAlign w:val="center"/>
                </w:tcPr>
                <w:p w14:paraId="7EBE014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443" w:type="pct"/>
                  <w:vMerge w:val="continue"/>
                  <w:tcBorders>
                    <w:tl2br w:val="nil"/>
                    <w:tr2bl w:val="nil"/>
                  </w:tcBorders>
                  <w:noWrap w:val="0"/>
                  <w:vAlign w:val="center"/>
                </w:tcPr>
                <w:p w14:paraId="03A419A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907" w:type="pct"/>
                  <w:gridSpan w:val="2"/>
                  <w:tcBorders>
                    <w:tl2br w:val="nil"/>
                    <w:tr2bl w:val="nil"/>
                  </w:tcBorders>
                  <w:noWrap w:val="0"/>
                  <w:vAlign w:val="center"/>
                </w:tcPr>
                <w:p w14:paraId="258D3E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0-0.2m</w:t>
                  </w:r>
                </w:p>
              </w:tc>
              <w:tc>
                <w:tcPr>
                  <w:tcW w:w="824" w:type="pct"/>
                  <w:gridSpan w:val="2"/>
                  <w:tcBorders>
                    <w:tl2br w:val="nil"/>
                    <w:tr2bl w:val="nil"/>
                  </w:tcBorders>
                  <w:noWrap w:val="0"/>
                  <w:vAlign w:val="center"/>
                </w:tcPr>
                <w:p w14:paraId="7EB373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0-0.2m</w:t>
                  </w:r>
                </w:p>
              </w:tc>
              <w:tc>
                <w:tcPr>
                  <w:tcW w:w="937" w:type="pct"/>
                  <w:gridSpan w:val="2"/>
                  <w:tcBorders>
                    <w:tl2br w:val="nil"/>
                    <w:tr2bl w:val="nil"/>
                  </w:tcBorders>
                  <w:noWrap w:val="0"/>
                  <w:vAlign w:val="center"/>
                </w:tcPr>
                <w:p w14:paraId="5C8ADD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0-0.2m</w:t>
                  </w:r>
                </w:p>
              </w:tc>
              <w:tc>
                <w:tcPr>
                  <w:tcW w:w="313" w:type="pct"/>
                  <w:vMerge w:val="continue"/>
                  <w:tcBorders>
                    <w:tl2br w:val="nil"/>
                    <w:tr2bl w:val="nil"/>
                  </w:tcBorders>
                  <w:noWrap w:val="0"/>
                  <w:vAlign w:val="center"/>
                </w:tcPr>
                <w:p w14:paraId="2A3E96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r>
            <w:tr w14:paraId="085C8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573" w:type="pct"/>
                  <w:gridSpan w:val="2"/>
                  <w:tcBorders>
                    <w:tl2br w:val="nil"/>
                    <w:tr2bl w:val="nil"/>
                  </w:tcBorders>
                  <w:noWrap w:val="0"/>
                  <w:vAlign w:val="center"/>
                </w:tcPr>
                <w:p w14:paraId="7F715B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监测项目</w:t>
                  </w:r>
                </w:p>
              </w:tc>
              <w:tc>
                <w:tcPr>
                  <w:tcW w:w="443" w:type="pct"/>
                  <w:vMerge w:val="continue"/>
                  <w:tcBorders>
                    <w:tl2br w:val="nil"/>
                    <w:tr2bl w:val="nil"/>
                  </w:tcBorders>
                  <w:noWrap w:val="0"/>
                  <w:vAlign w:val="center"/>
                </w:tcPr>
                <w:p w14:paraId="49F3784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463" w:type="pct"/>
                  <w:tcBorders>
                    <w:tl2br w:val="nil"/>
                    <w:tr2bl w:val="nil"/>
                  </w:tcBorders>
                  <w:noWrap w:val="0"/>
                  <w:vAlign w:val="center"/>
                </w:tcPr>
                <w:p w14:paraId="57C859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443" w:type="pct"/>
                  <w:tcBorders>
                    <w:tl2br w:val="nil"/>
                    <w:tr2bl w:val="nil"/>
                  </w:tcBorders>
                  <w:noWrap w:val="0"/>
                  <w:vAlign w:val="center"/>
                </w:tcPr>
                <w:p w14:paraId="3A5AAF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390" w:type="pct"/>
                  <w:tcBorders>
                    <w:tl2br w:val="nil"/>
                    <w:tr2bl w:val="nil"/>
                  </w:tcBorders>
                  <w:noWrap w:val="0"/>
                  <w:vAlign w:val="center"/>
                </w:tcPr>
                <w:p w14:paraId="0388BE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434" w:type="pct"/>
                  <w:tcBorders>
                    <w:tl2br w:val="nil"/>
                    <w:tr2bl w:val="nil"/>
                  </w:tcBorders>
                  <w:noWrap w:val="0"/>
                  <w:vAlign w:val="center"/>
                </w:tcPr>
                <w:p w14:paraId="165365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426" w:type="pct"/>
                  <w:tcBorders>
                    <w:tl2br w:val="nil"/>
                    <w:tr2bl w:val="nil"/>
                  </w:tcBorders>
                  <w:noWrap w:val="0"/>
                  <w:vAlign w:val="center"/>
                </w:tcPr>
                <w:p w14:paraId="2CB1EB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监测结果</w:t>
                  </w:r>
                </w:p>
              </w:tc>
              <w:tc>
                <w:tcPr>
                  <w:tcW w:w="511" w:type="pct"/>
                  <w:tcBorders>
                    <w:tl2br w:val="nil"/>
                    <w:tr2bl w:val="nil"/>
                  </w:tcBorders>
                  <w:noWrap w:val="0"/>
                  <w:vAlign w:val="center"/>
                </w:tcPr>
                <w:p w14:paraId="5DED22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标准指数</w:t>
                  </w:r>
                </w:p>
              </w:tc>
              <w:tc>
                <w:tcPr>
                  <w:tcW w:w="313" w:type="pct"/>
                  <w:vMerge w:val="continue"/>
                  <w:tcBorders>
                    <w:tl2br w:val="nil"/>
                    <w:tr2bl w:val="nil"/>
                  </w:tcBorders>
                  <w:noWrap w:val="0"/>
                  <w:vAlign w:val="center"/>
                </w:tcPr>
                <w:p w14:paraId="2BBBE6D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r>
            <w:tr w14:paraId="5F706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28C929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c>
                <w:tcPr>
                  <w:tcW w:w="1072" w:type="pct"/>
                  <w:tcBorders>
                    <w:tl2br w:val="nil"/>
                    <w:tr2bl w:val="nil"/>
                  </w:tcBorders>
                  <w:noWrap w:val="0"/>
                  <w:vAlign w:val="center"/>
                </w:tcPr>
                <w:p w14:paraId="58DCBB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w:t>
                  </w:r>
                </w:p>
              </w:tc>
              <w:tc>
                <w:tcPr>
                  <w:tcW w:w="443" w:type="pct"/>
                  <w:tcBorders>
                    <w:tl2br w:val="nil"/>
                    <w:tr2bl w:val="nil"/>
                  </w:tcBorders>
                  <w:noWrap w:val="0"/>
                  <w:vAlign w:val="center"/>
                </w:tcPr>
                <w:p w14:paraId="6E4CF8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63" w:type="pct"/>
                  <w:tcBorders>
                    <w:tl2br w:val="nil"/>
                    <w:tr2bl w:val="nil"/>
                  </w:tcBorders>
                  <w:noWrap w:val="0"/>
                  <w:vAlign w:val="center"/>
                </w:tcPr>
                <w:p w14:paraId="1C3667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8.24</w:t>
                  </w:r>
                </w:p>
              </w:tc>
              <w:tc>
                <w:tcPr>
                  <w:tcW w:w="443" w:type="pct"/>
                  <w:tcBorders>
                    <w:tl2br w:val="nil"/>
                    <w:tr2bl w:val="nil"/>
                  </w:tcBorders>
                  <w:noWrap w:val="0"/>
                  <w:vAlign w:val="center"/>
                </w:tcPr>
                <w:p w14:paraId="63E805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282A6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7.91</w:t>
                  </w:r>
                </w:p>
              </w:tc>
              <w:tc>
                <w:tcPr>
                  <w:tcW w:w="434" w:type="pct"/>
                  <w:tcBorders>
                    <w:tl2br w:val="nil"/>
                    <w:tr2bl w:val="nil"/>
                  </w:tcBorders>
                  <w:noWrap w:val="0"/>
                  <w:vAlign w:val="center"/>
                </w:tcPr>
                <w:p w14:paraId="0662CA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5300A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8.68</w:t>
                  </w:r>
                </w:p>
              </w:tc>
              <w:tc>
                <w:tcPr>
                  <w:tcW w:w="511" w:type="pct"/>
                  <w:tcBorders>
                    <w:tl2br w:val="nil"/>
                    <w:tr2bl w:val="nil"/>
                  </w:tcBorders>
                  <w:noWrap w:val="0"/>
                  <w:vAlign w:val="center"/>
                </w:tcPr>
                <w:p w14:paraId="4A607A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706B1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4F76D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7316AC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E39E1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43" w:type="pct"/>
                  <w:tcBorders>
                    <w:tl2br w:val="nil"/>
                    <w:tr2bl w:val="nil"/>
                  </w:tcBorders>
                  <w:noWrap w:val="0"/>
                  <w:vAlign w:val="center"/>
                </w:tcPr>
                <w:p w14:paraId="1472F1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59CCC5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11.8</w:t>
                  </w:r>
                </w:p>
              </w:tc>
              <w:tc>
                <w:tcPr>
                  <w:tcW w:w="443" w:type="pct"/>
                  <w:tcBorders>
                    <w:tl2br w:val="nil"/>
                    <w:tr2bl w:val="nil"/>
                  </w:tcBorders>
                  <w:noWrap w:val="0"/>
                  <w:vAlign w:val="center"/>
                </w:tcPr>
                <w:p w14:paraId="5643C6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0.1967</w:t>
                  </w:r>
                </w:p>
              </w:tc>
              <w:tc>
                <w:tcPr>
                  <w:tcW w:w="390" w:type="pct"/>
                  <w:tcBorders>
                    <w:tl2br w:val="nil"/>
                    <w:tr2bl w:val="nil"/>
                  </w:tcBorders>
                  <w:noWrap w:val="0"/>
                  <w:vAlign w:val="center"/>
                </w:tcPr>
                <w:p w14:paraId="417D42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10.6</w:t>
                  </w:r>
                </w:p>
              </w:tc>
              <w:tc>
                <w:tcPr>
                  <w:tcW w:w="434" w:type="pct"/>
                  <w:tcBorders>
                    <w:tl2br w:val="nil"/>
                    <w:tr2bl w:val="nil"/>
                  </w:tcBorders>
                  <w:noWrap w:val="0"/>
                  <w:vAlign w:val="center"/>
                </w:tcPr>
                <w:p w14:paraId="63D1C9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0.1767</w:t>
                  </w:r>
                </w:p>
              </w:tc>
              <w:tc>
                <w:tcPr>
                  <w:tcW w:w="426" w:type="pct"/>
                  <w:tcBorders>
                    <w:tl2br w:val="nil"/>
                    <w:tr2bl w:val="nil"/>
                  </w:tcBorders>
                  <w:noWrap w:val="0"/>
                  <w:vAlign w:val="center"/>
                </w:tcPr>
                <w:p w14:paraId="3F9DBD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12.5</w:t>
                  </w:r>
                </w:p>
              </w:tc>
              <w:tc>
                <w:tcPr>
                  <w:tcW w:w="511" w:type="pct"/>
                  <w:tcBorders>
                    <w:tl2br w:val="nil"/>
                    <w:tr2bl w:val="nil"/>
                  </w:tcBorders>
                  <w:noWrap w:val="0"/>
                  <w:vAlign w:val="center"/>
                </w:tcPr>
                <w:p w14:paraId="5D0B7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0.2083</w:t>
                  </w:r>
                </w:p>
              </w:tc>
              <w:tc>
                <w:tcPr>
                  <w:tcW w:w="313" w:type="pct"/>
                  <w:tcBorders>
                    <w:tl2br w:val="nil"/>
                    <w:tr2bl w:val="nil"/>
                  </w:tcBorders>
                  <w:noWrap w:val="0"/>
                  <w:vAlign w:val="center"/>
                </w:tcPr>
                <w:p w14:paraId="752FB4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r>
            <w:tr w14:paraId="29A8C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94E10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0B98D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43" w:type="pct"/>
                  <w:tcBorders>
                    <w:tl2br w:val="nil"/>
                    <w:tr2bl w:val="nil"/>
                  </w:tcBorders>
                  <w:noWrap w:val="0"/>
                  <w:vAlign w:val="center"/>
                </w:tcPr>
                <w:p w14:paraId="43DEE6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463" w:type="pct"/>
                  <w:tcBorders>
                    <w:tl2br w:val="nil"/>
                    <w:tr2bl w:val="nil"/>
                  </w:tcBorders>
                  <w:noWrap w:val="0"/>
                  <w:vAlign w:val="center"/>
                </w:tcPr>
                <w:p w14:paraId="40F876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43" w:type="pct"/>
                  <w:tcBorders>
                    <w:tl2br w:val="nil"/>
                    <w:tr2bl w:val="nil"/>
                  </w:tcBorders>
                  <w:noWrap w:val="0"/>
                  <w:vAlign w:val="center"/>
                </w:tcPr>
                <w:p w14:paraId="208BCB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0.0014</w:t>
                  </w:r>
                </w:p>
              </w:tc>
              <w:tc>
                <w:tcPr>
                  <w:tcW w:w="390" w:type="pct"/>
                  <w:tcBorders>
                    <w:tl2br w:val="nil"/>
                    <w:tr2bl w:val="nil"/>
                  </w:tcBorders>
                  <w:noWrap w:val="0"/>
                  <w:vAlign w:val="center"/>
                </w:tcPr>
                <w:p w14:paraId="03D8C9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0.12</w:t>
                  </w:r>
                </w:p>
              </w:tc>
              <w:tc>
                <w:tcPr>
                  <w:tcW w:w="434" w:type="pct"/>
                  <w:tcBorders>
                    <w:tl2br w:val="nil"/>
                    <w:tr2bl w:val="nil"/>
                  </w:tcBorders>
                  <w:noWrap w:val="0"/>
                  <w:vAlign w:val="center"/>
                </w:tcPr>
                <w:p w14:paraId="6B3173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0.0018</w:t>
                  </w:r>
                </w:p>
              </w:tc>
              <w:tc>
                <w:tcPr>
                  <w:tcW w:w="426" w:type="pct"/>
                  <w:tcBorders>
                    <w:tl2br w:val="nil"/>
                    <w:tr2bl w:val="nil"/>
                  </w:tcBorders>
                  <w:noWrap w:val="0"/>
                  <w:vAlign w:val="center"/>
                </w:tcPr>
                <w:p w14:paraId="36BF7F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0.21</w:t>
                  </w:r>
                </w:p>
              </w:tc>
              <w:tc>
                <w:tcPr>
                  <w:tcW w:w="511" w:type="pct"/>
                  <w:tcBorders>
                    <w:tl2br w:val="nil"/>
                    <w:tr2bl w:val="nil"/>
                  </w:tcBorders>
                  <w:noWrap w:val="0"/>
                  <w:vAlign w:val="center"/>
                </w:tcPr>
                <w:p w14:paraId="1BD910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0.0032</w:t>
                  </w:r>
                </w:p>
              </w:tc>
              <w:tc>
                <w:tcPr>
                  <w:tcW w:w="313" w:type="pct"/>
                  <w:tcBorders>
                    <w:tl2br w:val="nil"/>
                    <w:tr2bl w:val="nil"/>
                  </w:tcBorders>
                  <w:noWrap w:val="0"/>
                  <w:vAlign w:val="center"/>
                </w:tcPr>
                <w:p w14:paraId="74D51E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r>
            <w:tr w14:paraId="39B071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BE43E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C9E61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43" w:type="pct"/>
                  <w:tcBorders>
                    <w:tl2br w:val="nil"/>
                    <w:tr2bl w:val="nil"/>
                  </w:tcBorders>
                  <w:noWrap w:val="0"/>
                  <w:vAlign w:val="center"/>
                </w:tcPr>
                <w:p w14:paraId="6632B1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63" w:type="pct"/>
                  <w:tcBorders>
                    <w:tl2br w:val="nil"/>
                    <w:tr2bl w:val="nil"/>
                  </w:tcBorders>
                  <w:noWrap w:val="0"/>
                  <w:vAlign w:val="center"/>
                </w:tcPr>
                <w:p w14:paraId="750763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443" w:type="pct"/>
                  <w:tcBorders>
                    <w:tl2br w:val="nil"/>
                    <w:tr2bl w:val="nil"/>
                  </w:tcBorders>
                  <w:noWrap w:val="0"/>
                  <w:vAlign w:val="center"/>
                </w:tcPr>
                <w:p w14:paraId="5BC0CB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0.0011</w:t>
                  </w:r>
                </w:p>
              </w:tc>
              <w:tc>
                <w:tcPr>
                  <w:tcW w:w="390" w:type="pct"/>
                  <w:tcBorders>
                    <w:tl2br w:val="nil"/>
                    <w:tr2bl w:val="nil"/>
                  </w:tcBorders>
                  <w:noWrap w:val="0"/>
                  <w:vAlign w:val="center"/>
                </w:tcPr>
                <w:p w14:paraId="58DA39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21</w:t>
                  </w:r>
                </w:p>
              </w:tc>
              <w:tc>
                <w:tcPr>
                  <w:tcW w:w="434" w:type="pct"/>
                  <w:tcBorders>
                    <w:tl2br w:val="nil"/>
                    <w:tr2bl w:val="nil"/>
                  </w:tcBorders>
                  <w:noWrap w:val="0"/>
                  <w:vAlign w:val="center"/>
                </w:tcPr>
                <w:p w14:paraId="5FA4A8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0.0012</w:t>
                  </w:r>
                </w:p>
              </w:tc>
              <w:tc>
                <w:tcPr>
                  <w:tcW w:w="426" w:type="pct"/>
                  <w:tcBorders>
                    <w:tl2br w:val="nil"/>
                    <w:tr2bl w:val="nil"/>
                  </w:tcBorders>
                  <w:noWrap w:val="0"/>
                  <w:vAlign w:val="center"/>
                </w:tcPr>
                <w:p w14:paraId="4C3A78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27</w:t>
                  </w:r>
                </w:p>
              </w:tc>
              <w:tc>
                <w:tcPr>
                  <w:tcW w:w="511" w:type="pct"/>
                  <w:tcBorders>
                    <w:tl2br w:val="nil"/>
                    <w:tr2bl w:val="nil"/>
                  </w:tcBorders>
                  <w:noWrap w:val="0"/>
                  <w:vAlign w:val="center"/>
                </w:tcPr>
                <w:p w14:paraId="327D2F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0.0015</w:t>
                  </w:r>
                </w:p>
              </w:tc>
              <w:tc>
                <w:tcPr>
                  <w:tcW w:w="313" w:type="pct"/>
                  <w:tcBorders>
                    <w:tl2br w:val="nil"/>
                    <w:tr2bl w:val="nil"/>
                  </w:tcBorders>
                  <w:noWrap w:val="0"/>
                  <w:vAlign w:val="center"/>
                </w:tcPr>
                <w:p w14:paraId="3D3386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r>
            <w:tr w14:paraId="267E3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12D0C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20F87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43" w:type="pct"/>
                  <w:tcBorders>
                    <w:tl2br w:val="nil"/>
                    <w:tr2bl w:val="nil"/>
                  </w:tcBorders>
                  <w:noWrap w:val="0"/>
                  <w:vAlign w:val="center"/>
                </w:tcPr>
                <w:p w14:paraId="7E4D10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463" w:type="pct"/>
                  <w:tcBorders>
                    <w:tl2br w:val="nil"/>
                    <w:tr2bl w:val="nil"/>
                  </w:tcBorders>
                  <w:noWrap w:val="0"/>
                  <w:vAlign w:val="center"/>
                </w:tcPr>
                <w:p w14:paraId="4ADFA2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6.2</w:t>
                  </w:r>
                </w:p>
              </w:tc>
              <w:tc>
                <w:tcPr>
                  <w:tcW w:w="443" w:type="pct"/>
                  <w:tcBorders>
                    <w:tl2br w:val="nil"/>
                    <w:tr2bl w:val="nil"/>
                  </w:tcBorders>
                  <w:noWrap w:val="0"/>
                  <w:vAlign w:val="center"/>
                </w:tcPr>
                <w:p w14:paraId="230C841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0.0078</w:t>
                  </w:r>
                </w:p>
              </w:tc>
              <w:tc>
                <w:tcPr>
                  <w:tcW w:w="390" w:type="pct"/>
                  <w:tcBorders>
                    <w:tl2br w:val="nil"/>
                    <w:tr2bl w:val="nil"/>
                  </w:tcBorders>
                  <w:noWrap w:val="0"/>
                  <w:vAlign w:val="center"/>
                </w:tcPr>
                <w:p w14:paraId="6A7DF3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18.5</w:t>
                  </w:r>
                </w:p>
              </w:tc>
              <w:tc>
                <w:tcPr>
                  <w:tcW w:w="434" w:type="pct"/>
                  <w:tcBorders>
                    <w:tl2br w:val="nil"/>
                    <w:tr2bl w:val="nil"/>
                  </w:tcBorders>
                  <w:noWrap w:val="0"/>
                  <w:vAlign w:val="center"/>
                </w:tcPr>
                <w:p w14:paraId="446C3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0.0231</w:t>
                  </w:r>
                </w:p>
              </w:tc>
              <w:tc>
                <w:tcPr>
                  <w:tcW w:w="426" w:type="pct"/>
                  <w:tcBorders>
                    <w:tl2br w:val="nil"/>
                    <w:tr2bl w:val="nil"/>
                  </w:tcBorders>
                  <w:noWrap w:val="0"/>
                  <w:vAlign w:val="center"/>
                </w:tcPr>
                <w:p w14:paraId="1121BC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31.7</w:t>
                  </w:r>
                </w:p>
              </w:tc>
              <w:tc>
                <w:tcPr>
                  <w:tcW w:w="511" w:type="pct"/>
                  <w:tcBorders>
                    <w:tl2br w:val="nil"/>
                    <w:tr2bl w:val="nil"/>
                  </w:tcBorders>
                  <w:noWrap w:val="0"/>
                  <w:vAlign w:val="center"/>
                </w:tcPr>
                <w:p w14:paraId="5043C6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0.0396</w:t>
                  </w:r>
                </w:p>
              </w:tc>
              <w:tc>
                <w:tcPr>
                  <w:tcW w:w="313" w:type="pct"/>
                  <w:tcBorders>
                    <w:tl2br w:val="nil"/>
                    <w:tr2bl w:val="nil"/>
                  </w:tcBorders>
                  <w:noWrap w:val="0"/>
                  <w:vAlign w:val="center"/>
                </w:tcPr>
                <w:p w14:paraId="275F2C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r>
            <w:tr w14:paraId="2403E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80BA2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424144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43" w:type="pct"/>
                  <w:tcBorders>
                    <w:tl2br w:val="nil"/>
                    <w:tr2bl w:val="nil"/>
                  </w:tcBorders>
                  <w:noWrap w:val="0"/>
                  <w:vAlign w:val="center"/>
                </w:tcPr>
                <w:p w14:paraId="19B8F4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463" w:type="pct"/>
                  <w:tcBorders>
                    <w:tl2br w:val="nil"/>
                    <w:tr2bl w:val="nil"/>
                  </w:tcBorders>
                  <w:noWrap w:val="0"/>
                  <w:vAlign w:val="center"/>
                </w:tcPr>
                <w:p w14:paraId="70F861E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0.103</w:t>
                  </w:r>
                </w:p>
              </w:tc>
              <w:tc>
                <w:tcPr>
                  <w:tcW w:w="443" w:type="pct"/>
                  <w:tcBorders>
                    <w:tl2br w:val="nil"/>
                    <w:tr2bl w:val="nil"/>
                  </w:tcBorders>
                  <w:noWrap w:val="0"/>
                  <w:vAlign w:val="center"/>
                </w:tcPr>
                <w:p w14:paraId="3AC1A8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0.0027</w:t>
                  </w:r>
                </w:p>
              </w:tc>
              <w:tc>
                <w:tcPr>
                  <w:tcW w:w="390" w:type="pct"/>
                  <w:tcBorders>
                    <w:tl2br w:val="nil"/>
                    <w:tr2bl w:val="nil"/>
                  </w:tcBorders>
                  <w:noWrap w:val="0"/>
                  <w:vAlign w:val="center"/>
                </w:tcPr>
                <w:p w14:paraId="64A5C1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0.124</w:t>
                  </w:r>
                </w:p>
              </w:tc>
              <w:tc>
                <w:tcPr>
                  <w:tcW w:w="434" w:type="pct"/>
                  <w:tcBorders>
                    <w:tl2br w:val="nil"/>
                    <w:tr2bl w:val="nil"/>
                  </w:tcBorders>
                  <w:noWrap w:val="0"/>
                  <w:vAlign w:val="center"/>
                </w:tcPr>
                <w:p w14:paraId="68A3D0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0.0033</w:t>
                  </w:r>
                </w:p>
              </w:tc>
              <w:tc>
                <w:tcPr>
                  <w:tcW w:w="426" w:type="pct"/>
                  <w:tcBorders>
                    <w:tl2br w:val="nil"/>
                    <w:tr2bl w:val="nil"/>
                  </w:tcBorders>
                  <w:noWrap w:val="0"/>
                  <w:vAlign w:val="center"/>
                </w:tcPr>
                <w:p w14:paraId="35CCBB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0.089</w:t>
                  </w:r>
                </w:p>
              </w:tc>
              <w:tc>
                <w:tcPr>
                  <w:tcW w:w="511" w:type="pct"/>
                  <w:tcBorders>
                    <w:tl2br w:val="nil"/>
                    <w:tr2bl w:val="nil"/>
                  </w:tcBorders>
                  <w:noWrap w:val="0"/>
                  <w:vAlign w:val="center"/>
                </w:tcPr>
                <w:p w14:paraId="50E4B8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0.0023</w:t>
                  </w:r>
                </w:p>
              </w:tc>
              <w:tc>
                <w:tcPr>
                  <w:tcW w:w="313" w:type="pct"/>
                  <w:tcBorders>
                    <w:tl2br w:val="nil"/>
                    <w:tr2bl w:val="nil"/>
                  </w:tcBorders>
                  <w:noWrap w:val="0"/>
                  <w:vAlign w:val="center"/>
                </w:tcPr>
                <w:p w14:paraId="6616372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r>
            <w:tr w14:paraId="1B562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3B7B9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E38B7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43" w:type="pct"/>
                  <w:tcBorders>
                    <w:tl2br w:val="nil"/>
                    <w:tr2bl w:val="nil"/>
                  </w:tcBorders>
                  <w:noWrap w:val="0"/>
                  <w:vAlign w:val="center"/>
                </w:tcPr>
                <w:p w14:paraId="4B7D14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63" w:type="pct"/>
                  <w:tcBorders>
                    <w:tl2br w:val="nil"/>
                    <w:tr2bl w:val="nil"/>
                  </w:tcBorders>
                  <w:noWrap w:val="0"/>
                  <w:vAlign w:val="center"/>
                </w:tcPr>
                <w:p w14:paraId="715E09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w:t>
                  </w:r>
                </w:p>
              </w:tc>
              <w:tc>
                <w:tcPr>
                  <w:tcW w:w="443" w:type="pct"/>
                  <w:tcBorders>
                    <w:tl2br w:val="nil"/>
                    <w:tr2bl w:val="nil"/>
                  </w:tcBorders>
                  <w:noWrap w:val="0"/>
                  <w:vAlign w:val="center"/>
                </w:tcPr>
                <w:p w14:paraId="6DF334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0.0189</w:t>
                  </w:r>
                </w:p>
              </w:tc>
              <w:tc>
                <w:tcPr>
                  <w:tcW w:w="390" w:type="pct"/>
                  <w:tcBorders>
                    <w:tl2br w:val="nil"/>
                    <w:tr2bl w:val="nil"/>
                  </w:tcBorders>
                  <w:noWrap w:val="0"/>
                  <w:vAlign w:val="center"/>
                </w:tcPr>
                <w:p w14:paraId="699F0D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17</w:t>
                  </w:r>
                </w:p>
              </w:tc>
              <w:tc>
                <w:tcPr>
                  <w:tcW w:w="434" w:type="pct"/>
                  <w:tcBorders>
                    <w:tl2br w:val="nil"/>
                    <w:tr2bl w:val="nil"/>
                  </w:tcBorders>
                  <w:noWrap w:val="0"/>
                  <w:vAlign w:val="center"/>
                </w:tcPr>
                <w:p w14:paraId="38FBE4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0.0189</w:t>
                  </w:r>
                </w:p>
              </w:tc>
              <w:tc>
                <w:tcPr>
                  <w:tcW w:w="426" w:type="pct"/>
                  <w:tcBorders>
                    <w:tl2br w:val="nil"/>
                    <w:tr2bl w:val="nil"/>
                  </w:tcBorders>
                  <w:noWrap w:val="0"/>
                  <w:vAlign w:val="center"/>
                </w:tcPr>
                <w:p w14:paraId="6B11C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w:t>
                  </w:r>
                </w:p>
              </w:tc>
              <w:tc>
                <w:tcPr>
                  <w:tcW w:w="511" w:type="pct"/>
                  <w:tcBorders>
                    <w:tl2br w:val="nil"/>
                    <w:tr2bl w:val="nil"/>
                  </w:tcBorders>
                  <w:noWrap w:val="0"/>
                  <w:vAlign w:val="center"/>
                </w:tcPr>
                <w:p w14:paraId="5AA4C5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0.0333</w:t>
                  </w:r>
                </w:p>
              </w:tc>
              <w:tc>
                <w:tcPr>
                  <w:tcW w:w="313" w:type="pct"/>
                  <w:tcBorders>
                    <w:tl2br w:val="nil"/>
                    <w:tr2bl w:val="nil"/>
                  </w:tcBorders>
                  <w:noWrap w:val="0"/>
                  <w:vAlign w:val="center"/>
                </w:tcPr>
                <w:p w14:paraId="03EFA9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r>
            <w:tr w14:paraId="1C682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A6AD6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5C8C5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六价铬</w:t>
                  </w:r>
                </w:p>
              </w:tc>
              <w:tc>
                <w:tcPr>
                  <w:tcW w:w="443" w:type="pct"/>
                  <w:tcBorders>
                    <w:tl2br w:val="nil"/>
                    <w:tr2bl w:val="nil"/>
                  </w:tcBorders>
                  <w:noWrap w:val="0"/>
                  <w:vAlign w:val="center"/>
                </w:tcPr>
                <w:p w14:paraId="366329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463" w:type="pct"/>
                  <w:tcBorders>
                    <w:tl2br w:val="nil"/>
                    <w:tr2bl w:val="nil"/>
                  </w:tcBorders>
                  <w:noWrap w:val="0"/>
                  <w:vAlign w:val="center"/>
                </w:tcPr>
                <w:p w14:paraId="346943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8ACDA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01190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C4F88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E94A9C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9BDFA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BC9FF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r>
            <w:tr w14:paraId="3E1E4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6B697D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c>
                <w:tcPr>
                  <w:tcW w:w="1072" w:type="pct"/>
                  <w:tcBorders>
                    <w:tl2br w:val="nil"/>
                    <w:tr2bl w:val="nil"/>
                  </w:tcBorders>
                  <w:noWrap w:val="0"/>
                  <w:vAlign w:val="center"/>
                </w:tcPr>
                <w:p w14:paraId="028930E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443" w:type="pct"/>
                  <w:tcBorders>
                    <w:tl2br w:val="nil"/>
                    <w:tr2bl w:val="nil"/>
                  </w:tcBorders>
                  <w:noWrap w:val="0"/>
                  <w:vAlign w:val="center"/>
                </w:tcPr>
                <w:p w14:paraId="08F988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1F01CB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443" w:type="pct"/>
                  <w:tcBorders>
                    <w:tl2br w:val="nil"/>
                    <w:tr2bl w:val="nil"/>
                  </w:tcBorders>
                  <w:noWrap w:val="0"/>
                  <w:vAlign w:val="center"/>
                </w:tcPr>
                <w:p w14:paraId="57E776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390" w:type="pct"/>
                  <w:tcBorders>
                    <w:tl2br w:val="nil"/>
                    <w:tr2bl w:val="nil"/>
                  </w:tcBorders>
                  <w:noWrap w:val="0"/>
                  <w:vAlign w:val="center"/>
                </w:tcPr>
                <w:p w14:paraId="4980D0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323CFB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A30BD0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0.003</w:t>
                  </w:r>
                </w:p>
              </w:tc>
              <w:tc>
                <w:tcPr>
                  <w:tcW w:w="511" w:type="pct"/>
                  <w:tcBorders>
                    <w:tl2br w:val="nil"/>
                    <w:tr2bl w:val="nil"/>
                  </w:tcBorders>
                  <w:noWrap w:val="0"/>
                  <w:vAlign w:val="center"/>
                </w:tcPr>
                <w:p w14:paraId="243DAD8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313" w:type="pct"/>
                  <w:tcBorders>
                    <w:tl2br w:val="nil"/>
                    <w:tr2bl w:val="nil"/>
                  </w:tcBorders>
                  <w:noWrap w:val="0"/>
                  <w:vAlign w:val="center"/>
                </w:tcPr>
                <w:p w14:paraId="4BB470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r>
            <w:tr w14:paraId="10CC12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07E98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70E8B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443" w:type="pct"/>
                  <w:tcBorders>
                    <w:tl2br w:val="nil"/>
                    <w:tr2bl w:val="nil"/>
                  </w:tcBorders>
                  <w:noWrap w:val="0"/>
                  <w:vAlign w:val="center"/>
                </w:tcPr>
                <w:p w14:paraId="63187F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233D7D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91BB6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FA91C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41BBD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C2017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DA2B0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BA2C7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r>
            <w:tr w14:paraId="460F3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697A3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F64FE0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443" w:type="pct"/>
                  <w:tcBorders>
                    <w:tl2br w:val="nil"/>
                    <w:tr2bl w:val="nil"/>
                  </w:tcBorders>
                  <w:noWrap w:val="0"/>
                  <w:vAlign w:val="center"/>
                </w:tcPr>
                <w:p w14:paraId="3D436C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63" w:type="pct"/>
                  <w:tcBorders>
                    <w:tl2br w:val="nil"/>
                    <w:tr2bl w:val="nil"/>
                  </w:tcBorders>
                  <w:noWrap w:val="0"/>
                  <w:vAlign w:val="center"/>
                </w:tcPr>
                <w:p w14:paraId="5EBA95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443" w:type="pct"/>
                  <w:tcBorders>
                    <w:tl2br w:val="nil"/>
                    <w:tr2bl w:val="nil"/>
                  </w:tcBorders>
                  <w:noWrap w:val="0"/>
                  <w:vAlign w:val="center"/>
                </w:tcPr>
                <w:p w14:paraId="052DCE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0.00002</w:t>
                  </w:r>
                </w:p>
              </w:tc>
              <w:tc>
                <w:tcPr>
                  <w:tcW w:w="390" w:type="pct"/>
                  <w:tcBorders>
                    <w:tl2br w:val="nil"/>
                    <w:tr2bl w:val="nil"/>
                  </w:tcBorders>
                  <w:noWrap w:val="0"/>
                  <w:vAlign w:val="center"/>
                </w:tcPr>
                <w:p w14:paraId="610A61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9D0246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C96AF3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77780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B6E97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r>
            <w:tr w14:paraId="104E6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9FFEF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D1431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443" w:type="pct"/>
                  <w:tcBorders>
                    <w:tl2br w:val="nil"/>
                    <w:tr2bl w:val="nil"/>
                  </w:tcBorders>
                  <w:noWrap w:val="0"/>
                  <w:vAlign w:val="center"/>
                </w:tcPr>
                <w:p w14:paraId="61637ED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28FB0C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0.0215</w:t>
                  </w:r>
                </w:p>
              </w:tc>
              <w:tc>
                <w:tcPr>
                  <w:tcW w:w="443" w:type="pct"/>
                  <w:tcBorders>
                    <w:tl2br w:val="nil"/>
                    <w:tr2bl w:val="nil"/>
                  </w:tcBorders>
                  <w:noWrap w:val="0"/>
                  <w:vAlign w:val="center"/>
                </w:tcPr>
                <w:p w14:paraId="33F8EBE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0.00003</w:t>
                  </w:r>
                </w:p>
              </w:tc>
              <w:tc>
                <w:tcPr>
                  <w:tcW w:w="390" w:type="pct"/>
                  <w:tcBorders>
                    <w:tl2br w:val="nil"/>
                    <w:tr2bl w:val="nil"/>
                  </w:tcBorders>
                  <w:noWrap w:val="0"/>
                  <w:vAlign w:val="center"/>
                </w:tcPr>
                <w:p w14:paraId="0DC47E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0.0394</w:t>
                  </w:r>
                </w:p>
              </w:tc>
              <w:tc>
                <w:tcPr>
                  <w:tcW w:w="434" w:type="pct"/>
                  <w:tcBorders>
                    <w:tl2br w:val="nil"/>
                    <w:tr2bl w:val="nil"/>
                  </w:tcBorders>
                  <w:noWrap w:val="0"/>
                  <w:vAlign w:val="center"/>
                </w:tcPr>
                <w:p w14:paraId="0B96B76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426" w:type="pct"/>
                  <w:tcBorders>
                    <w:tl2br w:val="nil"/>
                    <w:tr2bl w:val="nil"/>
                  </w:tcBorders>
                  <w:noWrap w:val="0"/>
                  <w:vAlign w:val="center"/>
                </w:tcPr>
                <w:p w14:paraId="00E41B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0.0247</w:t>
                  </w:r>
                </w:p>
              </w:tc>
              <w:tc>
                <w:tcPr>
                  <w:tcW w:w="511" w:type="pct"/>
                  <w:tcBorders>
                    <w:tl2br w:val="nil"/>
                    <w:tr2bl w:val="nil"/>
                  </w:tcBorders>
                  <w:noWrap w:val="0"/>
                  <w:vAlign w:val="center"/>
                </w:tcPr>
                <w:p w14:paraId="4CE7B33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0.00004</w:t>
                  </w:r>
                </w:p>
              </w:tc>
              <w:tc>
                <w:tcPr>
                  <w:tcW w:w="313" w:type="pct"/>
                  <w:tcBorders>
                    <w:tl2br w:val="nil"/>
                    <w:tr2bl w:val="nil"/>
                  </w:tcBorders>
                  <w:noWrap w:val="0"/>
                  <w:vAlign w:val="center"/>
                </w:tcPr>
                <w:p w14:paraId="2E7AC4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r>
            <w:tr w14:paraId="028EA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48702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1AFBE5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反式-1，2-二氯乙烯</w:t>
                  </w:r>
                </w:p>
              </w:tc>
              <w:tc>
                <w:tcPr>
                  <w:tcW w:w="443" w:type="pct"/>
                  <w:tcBorders>
                    <w:tl2br w:val="nil"/>
                    <w:tr2bl w:val="nil"/>
                  </w:tcBorders>
                  <w:noWrap w:val="0"/>
                  <w:vAlign w:val="center"/>
                </w:tcPr>
                <w:p w14:paraId="3B55D14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4FC34C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FABC3F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60CB0D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F0234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9B0F41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6A6807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EBEE6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r>
            <w:tr w14:paraId="2EDA0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760FA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F8F7A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443" w:type="pct"/>
                  <w:tcBorders>
                    <w:tl2br w:val="nil"/>
                    <w:tr2bl w:val="nil"/>
                  </w:tcBorders>
                  <w:noWrap w:val="0"/>
                  <w:vAlign w:val="center"/>
                </w:tcPr>
                <w:p w14:paraId="4CFDE49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089FD1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1C2B7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D3A77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03720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5ED80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641AD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8B014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r>
            <w:tr w14:paraId="6B9E3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3BD78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367C9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顺式-1，2-二氯乙烯</w:t>
                  </w:r>
                </w:p>
              </w:tc>
              <w:tc>
                <w:tcPr>
                  <w:tcW w:w="443" w:type="pct"/>
                  <w:tcBorders>
                    <w:tl2br w:val="nil"/>
                    <w:tr2bl w:val="nil"/>
                  </w:tcBorders>
                  <w:noWrap w:val="0"/>
                  <w:vAlign w:val="center"/>
                </w:tcPr>
                <w:p w14:paraId="7313BAC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698696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177904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EC4E06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AE4318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69BF8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23AFB3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269DF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r>
            <w:tr w14:paraId="5E2B0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2120C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B0E426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443" w:type="pct"/>
                  <w:tcBorders>
                    <w:tl2br w:val="nil"/>
                    <w:tr2bl w:val="nil"/>
                  </w:tcBorders>
                  <w:noWrap w:val="0"/>
                  <w:vAlign w:val="center"/>
                </w:tcPr>
                <w:p w14:paraId="7C96BB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1C4C618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0.0126</w:t>
                  </w:r>
                </w:p>
              </w:tc>
              <w:tc>
                <w:tcPr>
                  <w:tcW w:w="443" w:type="pct"/>
                  <w:tcBorders>
                    <w:tl2br w:val="nil"/>
                    <w:tr2bl w:val="nil"/>
                  </w:tcBorders>
                  <w:noWrap w:val="0"/>
                  <w:vAlign w:val="center"/>
                </w:tcPr>
                <w:p w14:paraId="50D287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0.0140</w:t>
                  </w:r>
                </w:p>
              </w:tc>
              <w:tc>
                <w:tcPr>
                  <w:tcW w:w="390" w:type="pct"/>
                  <w:tcBorders>
                    <w:tl2br w:val="nil"/>
                    <w:tr2bl w:val="nil"/>
                  </w:tcBorders>
                  <w:noWrap w:val="0"/>
                  <w:vAlign w:val="center"/>
                </w:tcPr>
                <w:p w14:paraId="5FA117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0.0094</w:t>
                  </w:r>
                </w:p>
              </w:tc>
              <w:tc>
                <w:tcPr>
                  <w:tcW w:w="434" w:type="pct"/>
                  <w:tcBorders>
                    <w:tl2br w:val="nil"/>
                    <w:tr2bl w:val="nil"/>
                  </w:tcBorders>
                  <w:noWrap w:val="0"/>
                  <w:vAlign w:val="center"/>
                </w:tcPr>
                <w:p w14:paraId="3590CE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0.0104</w:t>
                  </w:r>
                </w:p>
              </w:tc>
              <w:tc>
                <w:tcPr>
                  <w:tcW w:w="426" w:type="pct"/>
                  <w:tcBorders>
                    <w:tl2br w:val="nil"/>
                    <w:tr2bl w:val="nil"/>
                  </w:tcBorders>
                  <w:noWrap w:val="0"/>
                  <w:vAlign w:val="center"/>
                </w:tcPr>
                <w:p w14:paraId="3C6E5B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0.0121</w:t>
                  </w:r>
                </w:p>
              </w:tc>
              <w:tc>
                <w:tcPr>
                  <w:tcW w:w="511" w:type="pct"/>
                  <w:tcBorders>
                    <w:tl2br w:val="nil"/>
                    <w:tr2bl w:val="nil"/>
                  </w:tcBorders>
                  <w:noWrap w:val="0"/>
                  <w:vAlign w:val="center"/>
                </w:tcPr>
                <w:p w14:paraId="55C52D1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0.0134</w:t>
                  </w:r>
                </w:p>
              </w:tc>
              <w:tc>
                <w:tcPr>
                  <w:tcW w:w="313" w:type="pct"/>
                  <w:tcBorders>
                    <w:tl2br w:val="nil"/>
                    <w:tr2bl w:val="nil"/>
                  </w:tcBorders>
                  <w:noWrap w:val="0"/>
                  <w:vAlign w:val="center"/>
                </w:tcPr>
                <w:p w14:paraId="7E5E33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r>
            <w:tr w14:paraId="16CF1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D1B63B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FD739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443" w:type="pct"/>
                  <w:tcBorders>
                    <w:tl2br w:val="nil"/>
                    <w:tr2bl w:val="nil"/>
                  </w:tcBorders>
                  <w:noWrap w:val="0"/>
                  <w:vAlign w:val="center"/>
                </w:tcPr>
                <w:p w14:paraId="48E62C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232A1C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E3A58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2F9F6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7D1DD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DCC2B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7CE78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66241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64952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78A98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262B9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443" w:type="pct"/>
                  <w:tcBorders>
                    <w:tl2br w:val="nil"/>
                    <w:tr2bl w:val="nil"/>
                  </w:tcBorders>
                  <w:noWrap w:val="0"/>
                  <w:vAlign w:val="center"/>
                </w:tcPr>
                <w:p w14:paraId="19DA899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7212A5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F09F0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659B4F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4F607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29B94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4C887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8C1B3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11233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1305E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C2EF8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443" w:type="pct"/>
                  <w:tcBorders>
                    <w:tl2br w:val="nil"/>
                    <w:tr2bl w:val="nil"/>
                  </w:tcBorders>
                  <w:noWrap w:val="0"/>
                  <w:vAlign w:val="center"/>
                </w:tcPr>
                <w:p w14:paraId="1254FE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0F9686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0A8BF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BEE5A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88C0B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586F53B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F03B8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13D746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044867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24504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845D80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443" w:type="pct"/>
                  <w:tcBorders>
                    <w:tl2br w:val="nil"/>
                    <w:tr2bl w:val="nil"/>
                  </w:tcBorders>
                  <w:noWrap w:val="0"/>
                  <w:vAlign w:val="center"/>
                </w:tcPr>
                <w:p w14:paraId="3DAE47A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0.0019</w:t>
                  </w:r>
                </w:p>
              </w:tc>
              <w:tc>
                <w:tcPr>
                  <w:tcW w:w="463" w:type="pct"/>
                  <w:tcBorders>
                    <w:tl2br w:val="nil"/>
                    <w:tr2bl w:val="nil"/>
                  </w:tcBorders>
                  <w:noWrap w:val="0"/>
                  <w:vAlign w:val="center"/>
                </w:tcPr>
                <w:p w14:paraId="019312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20C0F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5FC0A7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C6E9E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EBAD9E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64D8F0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73B279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39036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DC3E02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8AD0E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443" w:type="pct"/>
                  <w:tcBorders>
                    <w:tl2br w:val="nil"/>
                    <w:tr2bl w:val="nil"/>
                  </w:tcBorders>
                  <w:noWrap w:val="0"/>
                  <w:vAlign w:val="center"/>
                </w:tcPr>
                <w:p w14:paraId="1E61006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7AAF64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855CA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080A2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0D27C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DB8AF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D0938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AB338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2DC3C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0F955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07E5CB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443" w:type="pct"/>
                  <w:tcBorders>
                    <w:tl2br w:val="nil"/>
                    <w:tr2bl w:val="nil"/>
                  </w:tcBorders>
                  <w:noWrap w:val="0"/>
                  <w:vAlign w:val="center"/>
                </w:tcPr>
                <w:p w14:paraId="249E2BD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07BC6F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6421EF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48256B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3A7D00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07578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526E3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CEE16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0BA02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D4BB8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E8B814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443" w:type="pct"/>
                  <w:tcBorders>
                    <w:tl2br w:val="nil"/>
                    <w:tr2bl w:val="nil"/>
                  </w:tcBorders>
                  <w:noWrap w:val="0"/>
                  <w:vAlign w:val="center"/>
                </w:tcPr>
                <w:p w14:paraId="40C2963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0.0013</w:t>
                  </w:r>
                </w:p>
              </w:tc>
              <w:tc>
                <w:tcPr>
                  <w:tcW w:w="463" w:type="pct"/>
                  <w:tcBorders>
                    <w:tl2br w:val="nil"/>
                    <w:tr2bl w:val="nil"/>
                  </w:tcBorders>
                  <w:noWrap w:val="0"/>
                  <w:vAlign w:val="center"/>
                </w:tcPr>
                <w:p w14:paraId="26E2998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5A961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5C065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3640B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7DE1A1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12C0E7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AE341A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13C10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89478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9092E2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443" w:type="pct"/>
                  <w:tcBorders>
                    <w:tl2br w:val="nil"/>
                    <w:tr2bl w:val="nil"/>
                  </w:tcBorders>
                  <w:noWrap w:val="0"/>
                  <w:vAlign w:val="center"/>
                </w:tcPr>
                <w:p w14:paraId="50345CB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770984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8F7CB8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8045C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82A92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84633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B333A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1FD39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378D88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DE64B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00FD5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443" w:type="pct"/>
                  <w:tcBorders>
                    <w:tl2br w:val="nil"/>
                    <w:tr2bl w:val="nil"/>
                  </w:tcBorders>
                  <w:noWrap w:val="0"/>
                  <w:vAlign w:val="center"/>
                </w:tcPr>
                <w:p w14:paraId="6DA3BDC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0.0014</w:t>
                  </w:r>
                </w:p>
              </w:tc>
              <w:tc>
                <w:tcPr>
                  <w:tcW w:w="463" w:type="pct"/>
                  <w:tcBorders>
                    <w:tl2br w:val="nil"/>
                    <w:tr2bl w:val="nil"/>
                  </w:tcBorders>
                  <w:noWrap w:val="0"/>
                  <w:vAlign w:val="center"/>
                </w:tcPr>
                <w:p w14:paraId="025E8F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76859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B62049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540AB5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5B8E43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A245F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6E29B4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r>
            <w:tr w14:paraId="3BA30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5C2152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9A426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443" w:type="pct"/>
                  <w:tcBorders>
                    <w:tl2br w:val="nil"/>
                    <w:tr2bl w:val="nil"/>
                  </w:tcBorders>
                  <w:noWrap w:val="0"/>
                  <w:vAlign w:val="center"/>
                </w:tcPr>
                <w:p w14:paraId="596D3D2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91EAD7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14A0D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DBB97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14B238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2BDB2D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7DBD12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3735E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r>
            <w:tr w14:paraId="3B72A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D33DD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7ABD1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443" w:type="pct"/>
                  <w:tcBorders>
                    <w:tl2br w:val="nil"/>
                    <w:tr2bl w:val="nil"/>
                  </w:tcBorders>
                  <w:noWrap w:val="0"/>
                  <w:vAlign w:val="center"/>
                </w:tcPr>
                <w:p w14:paraId="7FD35F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35C8B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2164C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9EC02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CE64DC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F667BD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85F06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A2EC61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6FD1F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40E212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6C09D7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443" w:type="pct"/>
                  <w:tcBorders>
                    <w:tl2br w:val="nil"/>
                    <w:tr2bl w:val="nil"/>
                  </w:tcBorders>
                  <w:noWrap w:val="0"/>
                  <w:vAlign w:val="center"/>
                </w:tcPr>
                <w:p w14:paraId="3F5F1C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56E1766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AD92C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72BFCC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7A1019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11D6D2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1A6A1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32F295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r>
            <w:tr w14:paraId="08A36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C831A0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AF6315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对，间二甲苯</w:t>
                  </w:r>
                </w:p>
              </w:tc>
              <w:tc>
                <w:tcPr>
                  <w:tcW w:w="443" w:type="pct"/>
                  <w:tcBorders>
                    <w:tl2br w:val="nil"/>
                    <w:tr2bl w:val="nil"/>
                  </w:tcBorders>
                  <w:noWrap w:val="0"/>
                  <w:vAlign w:val="center"/>
                </w:tcPr>
                <w:p w14:paraId="0D2B8C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62B9E1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40B932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03B1CD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31B18A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1824B8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62EAEE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FBBB85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61D67C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2D5ED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83E219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443" w:type="pct"/>
                  <w:tcBorders>
                    <w:tl2br w:val="nil"/>
                    <w:tr2bl w:val="nil"/>
                  </w:tcBorders>
                  <w:noWrap w:val="0"/>
                  <w:vAlign w:val="center"/>
                </w:tcPr>
                <w:p w14:paraId="3BC637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2769BBE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2C07D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9DADB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445110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1D6E45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09BA4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01180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0082A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6D2E9FC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9B504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443" w:type="pct"/>
                  <w:tcBorders>
                    <w:tl2br w:val="nil"/>
                    <w:tr2bl w:val="nil"/>
                  </w:tcBorders>
                  <w:noWrap w:val="0"/>
                  <w:vAlign w:val="center"/>
                </w:tcPr>
                <w:p w14:paraId="555388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0.0011</w:t>
                  </w:r>
                </w:p>
              </w:tc>
              <w:tc>
                <w:tcPr>
                  <w:tcW w:w="463" w:type="pct"/>
                  <w:tcBorders>
                    <w:tl2br w:val="nil"/>
                    <w:tr2bl w:val="nil"/>
                  </w:tcBorders>
                  <w:noWrap w:val="0"/>
                  <w:vAlign w:val="center"/>
                </w:tcPr>
                <w:p w14:paraId="13533B6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9909D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E0D504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CCEE6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A89595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B4BDCF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82AF0A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23A51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A471C1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1E5F6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443" w:type="pct"/>
                  <w:tcBorders>
                    <w:tl2br w:val="nil"/>
                    <w:tr2bl w:val="nil"/>
                  </w:tcBorders>
                  <w:noWrap w:val="0"/>
                  <w:vAlign w:val="center"/>
                </w:tcPr>
                <w:p w14:paraId="6C7397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5E11D5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19AA5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1DE5B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D9B46A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303775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CE5B4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2AF35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r>
            <w:tr w14:paraId="030306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BF43F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53DD5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443" w:type="pct"/>
                  <w:tcBorders>
                    <w:tl2br w:val="nil"/>
                    <w:tr2bl w:val="nil"/>
                  </w:tcBorders>
                  <w:noWrap w:val="0"/>
                  <w:vAlign w:val="center"/>
                </w:tcPr>
                <w:p w14:paraId="701FE4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0.0012</w:t>
                  </w:r>
                </w:p>
              </w:tc>
              <w:tc>
                <w:tcPr>
                  <w:tcW w:w="463" w:type="pct"/>
                  <w:tcBorders>
                    <w:tl2br w:val="nil"/>
                    <w:tr2bl w:val="nil"/>
                  </w:tcBorders>
                  <w:noWrap w:val="0"/>
                  <w:vAlign w:val="center"/>
                </w:tcPr>
                <w:p w14:paraId="3EA026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DB764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D9D97E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6DE93B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94F81C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5A30D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73F164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r>
            <w:tr w14:paraId="63544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AEB185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4A575A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443" w:type="pct"/>
                  <w:tcBorders>
                    <w:tl2br w:val="nil"/>
                    <w:tr2bl w:val="nil"/>
                  </w:tcBorders>
                  <w:noWrap w:val="0"/>
                  <w:vAlign w:val="center"/>
                </w:tcPr>
                <w:p w14:paraId="008E55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1892210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19B708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132340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7947F5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2B54F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EB9F85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7DF636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1F25E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17DB9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08A52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443" w:type="pct"/>
                  <w:tcBorders>
                    <w:tl2br w:val="nil"/>
                    <w:tr2bl w:val="nil"/>
                  </w:tcBorders>
                  <w:noWrap w:val="0"/>
                  <w:vAlign w:val="center"/>
                </w:tcPr>
                <w:p w14:paraId="040AEA4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0.0015</w:t>
                  </w:r>
                </w:p>
              </w:tc>
              <w:tc>
                <w:tcPr>
                  <w:tcW w:w="463" w:type="pct"/>
                  <w:tcBorders>
                    <w:tl2br w:val="nil"/>
                    <w:tr2bl w:val="nil"/>
                  </w:tcBorders>
                  <w:noWrap w:val="0"/>
                  <w:vAlign w:val="center"/>
                </w:tcPr>
                <w:p w14:paraId="336A223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1860E5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2B9FBAA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E6CAB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8BADE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B8964F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44EF1A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1FE800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restart"/>
                  <w:tcBorders>
                    <w:tl2br w:val="nil"/>
                    <w:tr2bl w:val="nil"/>
                  </w:tcBorders>
                  <w:noWrap w:val="0"/>
                  <w:vAlign w:val="center"/>
                </w:tcPr>
                <w:p w14:paraId="559AED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c>
                <w:tcPr>
                  <w:tcW w:w="1072" w:type="pct"/>
                  <w:tcBorders>
                    <w:tl2br w:val="nil"/>
                    <w:tr2bl w:val="nil"/>
                  </w:tcBorders>
                  <w:noWrap w:val="0"/>
                  <w:vAlign w:val="center"/>
                </w:tcPr>
                <w:p w14:paraId="6543941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443" w:type="pct"/>
                  <w:tcBorders>
                    <w:tl2br w:val="nil"/>
                    <w:tr2bl w:val="nil"/>
                  </w:tcBorders>
                  <w:noWrap w:val="0"/>
                  <w:vAlign w:val="center"/>
                </w:tcPr>
                <w:p w14:paraId="6BB3C1C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463" w:type="pct"/>
                  <w:tcBorders>
                    <w:tl2br w:val="nil"/>
                    <w:tr2bl w:val="nil"/>
                  </w:tcBorders>
                  <w:noWrap w:val="0"/>
                  <w:vAlign w:val="center"/>
                </w:tcPr>
                <w:p w14:paraId="6E472D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5E4436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7391B1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07DAE4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5405BF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23659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255753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r>
            <w:tr w14:paraId="40D2D9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B3A31F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565341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2-氯苯酚</w:t>
                  </w:r>
                </w:p>
              </w:tc>
              <w:tc>
                <w:tcPr>
                  <w:tcW w:w="443" w:type="pct"/>
                  <w:tcBorders>
                    <w:tl2br w:val="nil"/>
                    <w:tr2bl w:val="nil"/>
                  </w:tcBorders>
                  <w:noWrap w:val="0"/>
                  <w:vAlign w:val="center"/>
                </w:tcPr>
                <w:p w14:paraId="5FD6468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0.06</w:t>
                  </w:r>
                </w:p>
              </w:tc>
              <w:tc>
                <w:tcPr>
                  <w:tcW w:w="463" w:type="pct"/>
                  <w:tcBorders>
                    <w:tl2br w:val="nil"/>
                    <w:tr2bl w:val="nil"/>
                  </w:tcBorders>
                  <w:noWrap w:val="0"/>
                  <w:vAlign w:val="center"/>
                </w:tcPr>
                <w:p w14:paraId="6F7A757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7D31413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44903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513FBE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DF933E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A7546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BB06F8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r>
            <w:tr w14:paraId="24E4A8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1D6D68D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1AE9C68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443" w:type="pct"/>
                  <w:tcBorders>
                    <w:tl2br w:val="nil"/>
                    <w:tr2bl w:val="nil"/>
                  </w:tcBorders>
                  <w:noWrap w:val="0"/>
                  <w:vAlign w:val="center"/>
                </w:tcPr>
                <w:p w14:paraId="26A2837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2CF9E3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ACF6E5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3B12F73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365142F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6A49B5B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14F4E9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4E1C6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r>
            <w:tr w14:paraId="79CBEB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7F22C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063C266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443" w:type="pct"/>
                  <w:tcBorders>
                    <w:tl2br w:val="nil"/>
                    <w:tr2bl w:val="nil"/>
                  </w:tcBorders>
                  <w:noWrap w:val="0"/>
                  <w:vAlign w:val="center"/>
                </w:tcPr>
                <w:p w14:paraId="770B261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0.09</w:t>
                  </w:r>
                </w:p>
              </w:tc>
              <w:tc>
                <w:tcPr>
                  <w:tcW w:w="463" w:type="pct"/>
                  <w:tcBorders>
                    <w:tl2br w:val="nil"/>
                    <w:tr2bl w:val="nil"/>
                  </w:tcBorders>
                  <w:noWrap w:val="0"/>
                  <w:vAlign w:val="center"/>
                </w:tcPr>
                <w:p w14:paraId="448403C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3B10D8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F965B7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14AD4E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79379D9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5057B88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715DEDE">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r>
            <w:tr w14:paraId="3ECBB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673B87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389A57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443" w:type="pct"/>
                  <w:tcBorders>
                    <w:tl2br w:val="nil"/>
                    <w:tr2bl w:val="nil"/>
                  </w:tcBorders>
                  <w:noWrap w:val="0"/>
                  <w:vAlign w:val="center"/>
                </w:tcPr>
                <w:p w14:paraId="26C8A9F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77DF4F3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9F504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ECF7CE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2AF3D59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94240A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31F3899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B9F5A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01F4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5335748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33DE6E2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443" w:type="pct"/>
                  <w:tcBorders>
                    <w:tl2br w:val="nil"/>
                    <w:tr2bl w:val="nil"/>
                  </w:tcBorders>
                  <w:noWrap w:val="0"/>
                  <w:vAlign w:val="center"/>
                </w:tcPr>
                <w:p w14:paraId="36C5426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7598227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4AEF35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BF15EA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DD8CB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59EE8B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7293B5E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572D6BC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r>
            <w:tr w14:paraId="79B82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210EF74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49877BE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443" w:type="pct"/>
                  <w:tcBorders>
                    <w:tl2br w:val="nil"/>
                    <w:tr2bl w:val="nil"/>
                  </w:tcBorders>
                  <w:noWrap w:val="0"/>
                  <w:vAlign w:val="center"/>
                </w:tcPr>
                <w:p w14:paraId="28F1DFB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463" w:type="pct"/>
                  <w:tcBorders>
                    <w:tl2br w:val="nil"/>
                    <w:tr2bl w:val="nil"/>
                  </w:tcBorders>
                  <w:noWrap w:val="0"/>
                  <w:vAlign w:val="center"/>
                </w:tcPr>
                <w:p w14:paraId="078DD28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6E840A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48773F7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5F4F71C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0CD58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76F33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73EA545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56A23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C70089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6DB257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443" w:type="pct"/>
                  <w:tcBorders>
                    <w:tl2br w:val="nil"/>
                    <w:tr2bl w:val="nil"/>
                  </w:tcBorders>
                  <w:noWrap w:val="0"/>
                  <w:vAlign w:val="center"/>
                </w:tcPr>
                <w:p w14:paraId="274404B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2E9B8B2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086F08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08E7D2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F5FA3B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A7320A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18D3DC2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13975C9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4E0200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0CADC6C9">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7D57A6D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443" w:type="pct"/>
                  <w:tcBorders>
                    <w:tl2br w:val="nil"/>
                    <w:tr2bl w:val="nil"/>
                  </w:tcBorders>
                  <w:noWrap w:val="0"/>
                  <w:vAlign w:val="center"/>
                </w:tcPr>
                <w:p w14:paraId="54D12F3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4611F0B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5CDF5C4D">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7B83FEF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1A769FA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2AB77C1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4B72A94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46E0D53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377ED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3CCE810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A8C04D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443" w:type="pct"/>
                  <w:tcBorders>
                    <w:tl2br w:val="nil"/>
                    <w:tr2bl w:val="nil"/>
                  </w:tcBorders>
                  <w:noWrap w:val="0"/>
                  <w:vAlign w:val="center"/>
                </w:tcPr>
                <w:p w14:paraId="1184F79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31332DD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193BDA5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60C2240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493A357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0B09ACB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20D6E19C">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65A3235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192E4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vMerge w:val="continue"/>
                  <w:tcBorders>
                    <w:tl2br w:val="nil"/>
                    <w:tr2bl w:val="nil"/>
                  </w:tcBorders>
                  <w:noWrap w:val="0"/>
                  <w:vAlign w:val="center"/>
                </w:tcPr>
                <w:p w14:paraId="7B9E78D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072" w:type="pct"/>
                  <w:tcBorders>
                    <w:tl2br w:val="nil"/>
                    <w:tr2bl w:val="nil"/>
                  </w:tcBorders>
                  <w:noWrap w:val="0"/>
                  <w:vAlign w:val="center"/>
                </w:tcPr>
                <w:p w14:paraId="2754CB3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443" w:type="pct"/>
                  <w:tcBorders>
                    <w:tl2br w:val="nil"/>
                    <w:tr2bl w:val="nil"/>
                  </w:tcBorders>
                  <w:noWrap w:val="0"/>
                  <w:vAlign w:val="center"/>
                </w:tcPr>
                <w:p w14:paraId="437979F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463" w:type="pct"/>
                  <w:tcBorders>
                    <w:tl2br w:val="nil"/>
                    <w:tr2bl w:val="nil"/>
                  </w:tcBorders>
                  <w:noWrap w:val="0"/>
                  <w:vAlign w:val="center"/>
                </w:tcPr>
                <w:p w14:paraId="3DD312D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43" w:type="pct"/>
                  <w:tcBorders>
                    <w:tl2br w:val="nil"/>
                    <w:tr2bl w:val="nil"/>
                  </w:tcBorders>
                  <w:noWrap w:val="0"/>
                  <w:vAlign w:val="center"/>
                </w:tcPr>
                <w:p w14:paraId="2A239872">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90" w:type="pct"/>
                  <w:tcBorders>
                    <w:tl2br w:val="nil"/>
                    <w:tr2bl w:val="nil"/>
                  </w:tcBorders>
                  <w:noWrap w:val="0"/>
                  <w:vAlign w:val="center"/>
                </w:tcPr>
                <w:p w14:paraId="11ED69E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434" w:type="pct"/>
                  <w:tcBorders>
                    <w:tl2br w:val="nil"/>
                    <w:tr2bl w:val="nil"/>
                  </w:tcBorders>
                  <w:noWrap w:val="0"/>
                  <w:vAlign w:val="center"/>
                </w:tcPr>
                <w:p w14:paraId="649C535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426" w:type="pct"/>
                  <w:tcBorders>
                    <w:tl2br w:val="nil"/>
                    <w:tr2bl w:val="nil"/>
                  </w:tcBorders>
                  <w:noWrap w:val="0"/>
                  <w:vAlign w:val="center"/>
                </w:tcPr>
                <w:p w14:paraId="45398E90">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ND</w:t>
                  </w:r>
                </w:p>
              </w:tc>
              <w:tc>
                <w:tcPr>
                  <w:tcW w:w="511" w:type="pct"/>
                  <w:tcBorders>
                    <w:tl2br w:val="nil"/>
                    <w:tr2bl w:val="nil"/>
                  </w:tcBorders>
                  <w:noWrap w:val="0"/>
                  <w:vAlign w:val="center"/>
                </w:tcPr>
                <w:p w14:paraId="0DFF0517">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313" w:type="pct"/>
                  <w:tcBorders>
                    <w:tl2br w:val="nil"/>
                    <w:tr2bl w:val="nil"/>
                  </w:tcBorders>
                  <w:noWrap w:val="0"/>
                  <w:vAlign w:val="center"/>
                </w:tcPr>
                <w:p w14:paraId="0D75B80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1D546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1" w:type="pct"/>
                  <w:tcBorders>
                    <w:tl2br w:val="nil"/>
                    <w:tr2bl w:val="nil"/>
                  </w:tcBorders>
                  <w:noWrap w:val="0"/>
                  <w:vAlign w:val="center"/>
                </w:tcPr>
                <w:p w14:paraId="1177B8C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石油烃类</w:t>
                  </w:r>
                </w:p>
              </w:tc>
              <w:tc>
                <w:tcPr>
                  <w:tcW w:w="1072" w:type="pct"/>
                  <w:tcBorders>
                    <w:tl2br w:val="nil"/>
                    <w:tr2bl w:val="nil"/>
                  </w:tcBorders>
                  <w:noWrap w:val="0"/>
                  <w:vAlign w:val="center"/>
                </w:tcPr>
                <w:p w14:paraId="65977BF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石油烃（C</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rPr>
                    <w:t>-C</w:t>
                  </w:r>
                  <w:r>
                    <w:rPr>
                      <w:rFonts w:hint="default" w:ascii="Times New Roman" w:hAnsi="Times New Roman" w:eastAsia="宋体" w:cs="Times New Roman"/>
                      <w:color w:val="auto"/>
                      <w:sz w:val="18"/>
                      <w:szCs w:val="18"/>
                      <w:vertAlign w:val="subscript"/>
                    </w:rPr>
                    <w:t>40</w:t>
                  </w:r>
                  <w:r>
                    <w:rPr>
                      <w:rFonts w:hint="default" w:ascii="Times New Roman" w:hAnsi="Times New Roman" w:eastAsia="宋体" w:cs="Times New Roman"/>
                      <w:color w:val="auto"/>
                      <w:sz w:val="18"/>
                      <w:szCs w:val="18"/>
                    </w:rPr>
                    <w:t>）</w:t>
                  </w:r>
                </w:p>
              </w:tc>
              <w:tc>
                <w:tcPr>
                  <w:tcW w:w="443" w:type="pct"/>
                  <w:tcBorders>
                    <w:tl2br w:val="nil"/>
                    <w:tr2bl w:val="nil"/>
                  </w:tcBorders>
                  <w:noWrap w:val="0"/>
                  <w:vAlign w:val="center"/>
                </w:tcPr>
                <w:p w14:paraId="57BF89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463" w:type="pct"/>
                  <w:tcBorders>
                    <w:tl2br w:val="nil"/>
                    <w:tr2bl w:val="nil"/>
                  </w:tcBorders>
                  <w:noWrap w:val="0"/>
                  <w:vAlign w:val="center"/>
                </w:tcPr>
                <w:p w14:paraId="58F7BC2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w:t>
                  </w:r>
                </w:p>
              </w:tc>
              <w:tc>
                <w:tcPr>
                  <w:tcW w:w="443" w:type="pct"/>
                  <w:tcBorders>
                    <w:tl2br w:val="nil"/>
                    <w:tr2bl w:val="nil"/>
                  </w:tcBorders>
                  <w:noWrap w:val="0"/>
                  <w:vAlign w:val="center"/>
                </w:tcPr>
                <w:p w14:paraId="6BE461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0.0049</w:t>
                  </w:r>
                </w:p>
              </w:tc>
              <w:tc>
                <w:tcPr>
                  <w:tcW w:w="390" w:type="pct"/>
                  <w:tcBorders>
                    <w:tl2br w:val="nil"/>
                    <w:tr2bl w:val="nil"/>
                  </w:tcBorders>
                  <w:noWrap w:val="0"/>
                  <w:vAlign w:val="center"/>
                </w:tcPr>
                <w:p w14:paraId="77B1617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57</w:t>
                  </w:r>
                </w:p>
              </w:tc>
              <w:tc>
                <w:tcPr>
                  <w:tcW w:w="434" w:type="pct"/>
                  <w:tcBorders>
                    <w:tl2br w:val="nil"/>
                    <w:tr2bl w:val="nil"/>
                  </w:tcBorders>
                  <w:noWrap w:val="0"/>
                  <w:vAlign w:val="center"/>
                </w:tcPr>
                <w:p w14:paraId="1908AF3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0.0127</w:t>
                  </w:r>
                </w:p>
              </w:tc>
              <w:tc>
                <w:tcPr>
                  <w:tcW w:w="426" w:type="pct"/>
                  <w:tcBorders>
                    <w:tl2br w:val="nil"/>
                    <w:tr2bl w:val="nil"/>
                  </w:tcBorders>
                  <w:noWrap w:val="0"/>
                  <w:vAlign w:val="center"/>
                </w:tcPr>
                <w:p w14:paraId="5DA214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29</w:t>
                  </w:r>
                </w:p>
              </w:tc>
              <w:tc>
                <w:tcPr>
                  <w:tcW w:w="511" w:type="pct"/>
                  <w:tcBorders>
                    <w:tl2br w:val="nil"/>
                    <w:tr2bl w:val="nil"/>
                  </w:tcBorders>
                  <w:noWrap w:val="0"/>
                  <w:vAlign w:val="center"/>
                </w:tcPr>
                <w:p w14:paraId="6BE9E5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0.0064</w:t>
                  </w:r>
                </w:p>
              </w:tc>
              <w:tc>
                <w:tcPr>
                  <w:tcW w:w="313" w:type="pct"/>
                  <w:tcBorders>
                    <w:tl2br w:val="nil"/>
                    <w:tr2bl w:val="nil"/>
                  </w:tcBorders>
                  <w:noWrap w:val="0"/>
                  <w:vAlign w:val="center"/>
                </w:tcPr>
                <w:p w14:paraId="7C99ECEB">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bl>
          <w:p w14:paraId="3130B6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00" w:firstLineChars="200"/>
              <w:jc w:val="left"/>
              <w:textAlignment w:val="auto"/>
              <w:rPr>
                <w:rFonts w:hint="default" w:ascii="宋体" w:hAnsi="宋体" w:cs="宋体"/>
                <w:color w:val="auto"/>
                <w:kern w:val="0"/>
                <w:sz w:val="15"/>
                <w:szCs w:val="15"/>
              </w:rPr>
            </w:pPr>
          </w:p>
          <w:p w14:paraId="620065A5">
            <w:pPr>
              <w:keepNext w:val="0"/>
              <w:keepLines w:val="0"/>
              <w:suppressLineNumbers w:val="0"/>
              <w:adjustRightInd w:val="0"/>
              <w:snapToGrid w:val="0"/>
              <w:spacing w:before="0" w:beforeAutospacing="0" w:after="0" w:afterAutospacing="0" w:line="360" w:lineRule="auto"/>
              <w:ind w:left="0" w:right="0" w:firstLine="420" w:firstLineChars="200"/>
              <w:jc w:val="left"/>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kern w:val="0"/>
                <w:szCs w:val="21"/>
                <w:lang w:val="en-US" w:eastAsia="zh-CN"/>
              </w:rPr>
              <w:t>由上表可知，本</w:t>
            </w:r>
            <w:r>
              <w:rPr>
                <w:rFonts w:hint="default" w:ascii="Times New Roman" w:hAnsi="Times New Roman" w:eastAsia="宋体" w:cs="Times New Roman"/>
                <w:color w:val="auto"/>
                <w:kern w:val="0"/>
                <w:szCs w:val="21"/>
              </w:rPr>
              <w:t>项目所在地厂区内</w:t>
            </w:r>
            <w:r>
              <w:rPr>
                <w:rFonts w:hint="eastAsia" w:ascii="Times New Roman" w:hAnsi="Times New Roman" w:eastAsia="宋体" w:cs="Times New Roman"/>
                <w:color w:val="auto"/>
                <w:kern w:val="0"/>
                <w:szCs w:val="21"/>
                <w:lang w:val="en-US" w:eastAsia="zh-CN"/>
              </w:rPr>
              <w:t>及厂区周边建设用地</w:t>
            </w:r>
            <w:r>
              <w:rPr>
                <w:rFonts w:hint="default" w:ascii="Times New Roman" w:hAnsi="Times New Roman" w:eastAsia="宋体" w:cs="Times New Roman"/>
                <w:color w:val="auto"/>
                <w:kern w:val="0"/>
                <w:szCs w:val="21"/>
              </w:rPr>
              <w:t>土壤环境质量满足《土壤环境质量</w:t>
            </w:r>
            <w:r>
              <w:rPr>
                <w:rFonts w:hint="eastAsia" w:ascii="Times New Roman" w:hAnsi="Times New Roman" w:eastAsia="宋体" w:cs="Times New Roman"/>
                <w:color w:val="auto"/>
                <w:kern w:val="0"/>
                <w:szCs w:val="21"/>
                <w:lang w:val="en-US" w:eastAsia="zh-CN"/>
              </w:rPr>
              <w:t xml:space="preserve"> </w:t>
            </w:r>
            <w:r>
              <w:rPr>
                <w:rFonts w:hint="default" w:ascii="Times New Roman" w:hAnsi="Times New Roman" w:eastAsia="宋体" w:cs="Times New Roman"/>
                <w:color w:val="auto"/>
                <w:kern w:val="0"/>
                <w:szCs w:val="21"/>
              </w:rPr>
              <w:t>建设用地土壤污染风险管控标准（试行）》（GB36600-2018）中表1第二类用地筛选值。</w:t>
            </w:r>
          </w:p>
          <w:p w14:paraId="2963DEB9">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（6）电磁辐射</w:t>
            </w:r>
          </w:p>
          <w:p w14:paraId="119D411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ascii="Times New Roman" w:hAnsi="Times New Roman" w:eastAsia="宋体" w:cs="Times New Roman"/>
                <w:color w:val="auto"/>
                <w:kern w:val="0"/>
                <w:szCs w:val="21"/>
                <w:lang w:eastAsia="zh-CN"/>
              </w:rPr>
            </w:pPr>
            <w:r>
              <w:rPr>
                <w:rFonts w:hint="eastAsia"/>
                <w:color w:val="auto"/>
              </w:rPr>
              <w:t>本项目不属于电磁辐射类项目，故无需开展电磁辐射现状监测与评价。</w:t>
            </w:r>
          </w:p>
        </w:tc>
      </w:tr>
      <w:tr w14:paraId="59B394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04" w:type="dxa"/>
            <w:noWrap w:val="0"/>
            <w:vAlign w:val="center"/>
          </w:tcPr>
          <w:p w14:paraId="3111B22B">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bCs/>
                <w:color w:val="auto"/>
                <w:szCs w:val="21"/>
              </w:rPr>
              <w:t>与项目有关的原有环境污染和生态破坏问题</w:t>
            </w:r>
          </w:p>
        </w:tc>
        <w:tc>
          <w:tcPr>
            <w:tcW w:w="8253" w:type="dxa"/>
            <w:noWrap w:val="0"/>
            <w:vAlign w:val="center"/>
          </w:tcPr>
          <w:p w14:paraId="47F99A25">
            <w:pPr>
              <w:keepNext w:val="0"/>
              <w:keepLines w:val="0"/>
              <w:suppressLineNumbers w:val="0"/>
              <w:adjustRightInd w:val="0"/>
              <w:snapToGrid w:val="0"/>
              <w:spacing w:before="0" w:beforeAutospacing="0" w:after="0" w:afterAutospacing="0" w:line="360" w:lineRule="auto"/>
              <w:ind w:left="0" w:right="0"/>
              <w:jc w:val="left"/>
              <w:rPr>
                <w:rFonts w:hint="default"/>
                <w:b/>
                <w:color w:val="auto"/>
                <w:kern w:val="0"/>
                <w:szCs w:val="21"/>
                <w:highlight w:val="none"/>
              </w:rPr>
            </w:pPr>
            <w:r>
              <w:rPr>
                <w:rFonts w:hint="default"/>
                <w:b/>
                <w:color w:val="auto"/>
                <w:kern w:val="0"/>
                <w:szCs w:val="21"/>
                <w:highlight w:val="none"/>
              </w:rPr>
              <w:t>1</w:t>
            </w:r>
            <w:r>
              <w:rPr>
                <w:rFonts w:hint="eastAsia"/>
                <w:b/>
                <w:color w:val="auto"/>
                <w:kern w:val="0"/>
                <w:szCs w:val="21"/>
                <w:highlight w:val="none"/>
              </w:rPr>
              <w:t>、现有项目环保手续情况</w:t>
            </w:r>
          </w:p>
          <w:p w14:paraId="14A054C0">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i w:val="0"/>
                <w:iCs w:val="0"/>
                <w:color w:val="auto"/>
                <w:highlight w:val="none"/>
              </w:rPr>
              <w:t>江苏苏豪丽天智储循环科技有限公司</w:t>
            </w:r>
            <w:r>
              <w:rPr>
                <w:rFonts w:hint="eastAsia"/>
                <w:color w:val="auto"/>
                <w:kern w:val="0"/>
                <w:szCs w:val="21"/>
                <w:highlight w:val="none"/>
              </w:rPr>
              <w:t>总占地面积241400m</w:t>
            </w:r>
            <w:r>
              <w:rPr>
                <w:rFonts w:hint="eastAsia"/>
                <w:color w:val="auto"/>
                <w:kern w:val="0"/>
                <w:szCs w:val="21"/>
                <w:highlight w:val="none"/>
                <w:vertAlign w:val="superscript"/>
              </w:rPr>
              <w:t>2</w:t>
            </w:r>
            <w:r>
              <w:rPr>
                <w:rFonts w:hint="eastAsia"/>
                <w:color w:val="auto"/>
                <w:kern w:val="0"/>
                <w:szCs w:val="21"/>
                <w:highlight w:val="none"/>
              </w:rPr>
              <w:t>，建筑面积4086.99m</w:t>
            </w:r>
            <w:r>
              <w:rPr>
                <w:rFonts w:hint="eastAsia"/>
                <w:color w:val="auto"/>
                <w:kern w:val="0"/>
                <w:szCs w:val="21"/>
                <w:highlight w:val="none"/>
                <w:vertAlign w:val="superscript"/>
              </w:rPr>
              <w:t>2</w:t>
            </w:r>
            <w:r>
              <w:rPr>
                <w:rFonts w:hint="eastAsia"/>
                <w:color w:val="auto"/>
                <w:kern w:val="0"/>
                <w:szCs w:val="21"/>
                <w:highlight w:val="none"/>
              </w:rPr>
              <w:t>。目前拥有1座液体化工品码头，外档设5万吨级和2万吨级液体化工泊位各一个，2万吨级液体化工泊位水工结构按靠泊5万吨级化学品船设计（上游或下游泊位靠泊一艘5万吨级化学品船时，另一个泊位靠泊一艘2万吨级以下化学品船），内档设3个500吨级泊位，满足长江流域液体化工品运输各种船型的装卸要求。码头后方库区设有6座相邻的</w:t>
            </w:r>
            <w:r>
              <w:rPr>
                <w:rFonts w:hint="eastAsia"/>
                <w:color w:val="auto"/>
                <w:kern w:val="0"/>
                <w:szCs w:val="21"/>
                <w:highlight w:val="none"/>
                <w:lang w:val="en-US" w:eastAsia="zh-CN"/>
              </w:rPr>
              <w:t>罐区</w:t>
            </w:r>
            <w:r>
              <w:rPr>
                <w:rFonts w:hint="eastAsia"/>
                <w:color w:val="auto"/>
                <w:kern w:val="0"/>
                <w:szCs w:val="21"/>
                <w:highlight w:val="none"/>
              </w:rPr>
              <w:t>，设有各类储罐55</w:t>
            </w:r>
            <w:r>
              <w:rPr>
                <w:rFonts w:hint="eastAsia"/>
                <w:color w:val="auto"/>
                <w:kern w:val="0"/>
                <w:szCs w:val="21"/>
                <w:highlight w:val="none"/>
                <w:lang w:val="en-US" w:eastAsia="zh-CN"/>
              </w:rPr>
              <w:t>座</w:t>
            </w:r>
            <w:r>
              <w:rPr>
                <w:rFonts w:hint="eastAsia"/>
                <w:color w:val="auto"/>
                <w:kern w:val="0"/>
                <w:szCs w:val="21"/>
                <w:highlight w:val="none"/>
              </w:rPr>
              <w:t>，总容积约22万m</w:t>
            </w:r>
            <w:r>
              <w:rPr>
                <w:rFonts w:hint="eastAsia"/>
                <w:color w:val="auto"/>
                <w:kern w:val="0"/>
                <w:szCs w:val="21"/>
                <w:highlight w:val="none"/>
                <w:vertAlign w:val="superscript"/>
              </w:rPr>
              <w:t>3</w:t>
            </w:r>
            <w:r>
              <w:rPr>
                <w:rFonts w:hint="eastAsia"/>
                <w:color w:val="auto"/>
                <w:kern w:val="0"/>
                <w:szCs w:val="21"/>
                <w:highlight w:val="none"/>
                <w:lang w:eastAsia="zh-CN"/>
              </w:rPr>
              <w:t>。</w:t>
            </w:r>
            <w:r>
              <w:rPr>
                <w:rFonts w:hint="eastAsia"/>
                <w:color w:val="auto"/>
                <w:kern w:val="0"/>
                <w:szCs w:val="21"/>
                <w:highlight w:val="none"/>
                <w:lang w:val="en-US" w:eastAsia="zh-CN"/>
              </w:rPr>
              <w:t>其中，一罐区（</w:t>
            </w:r>
            <w:r>
              <w:rPr>
                <w:rFonts w:hint="eastAsia"/>
                <w:color w:val="auto"/>
                <w:kern w:val="0"/>
                <w:szCs w:val="21"/>
                <w:highlight w:val="none"/>
              </w:rPr>
              <w:t>球罐区</w:t>
            </w:r>
            <w:r>
              <w:rPr>
                <w:rFonts w:hint="eastAsia"/>
                <w:color w:val="auto"/>
                <w:kern w:val="0"/>
                <w:szCs w:val="21"/>
                <w:highlight w:val="none"/>
                <w:lang w:val="en-US" w:eastAsia="zh-CN"/>
              </w:rPr>
              <w:t>）</w:t>
            </w:r>
            <w:r>
              <w:rPr>
                <w:rFonts w:hint="eastAsia"/>
                <w:color w:val="auto"/>
                <w:kern w:val="0"/>
                <w:szCs w:val="21"/>
                <w:highlight w:val="none"/>
              </w:rPr>
              <w:t>建有</w:t>
            </w:r>
            <w:r>
              <w:rPr>
                <w:rFonts w:hint="eastAsia"/>
                <w:color w:val="auto"/>
                <w:kern w:val="0"/>
                <w:szCs w:val="21"/>
                <w:highlight w:val="none"/>
                <w:lang w:val="en-US" w:eastAsia="zh-CN"/>
              </w:rPr>
              <w:t>8座</w:t>
            </w:r>
            <w:r>
              <w:rPr>
                <w:rFonts w:hint="eastAsia"/>
                <w:color w:val="auto"/>
                <w:kern w:val="0"/>
                <w:szCs w:val="21"/>
                <w:highlight w:val="none"/>
              </w:rPr>
              <w:t>球型储罐</w:t>
            </w:r>
            <w:r>
              <w:rPr>
                <w:rFonts w:hint="eastAsia"/>
                <w:color w:val="auto"/>
                <w:kern w:val="0"/>
                <w:szCs w:val="21"/>
                <w:highlight w:val="none"/>
                <w:lang w:eastAsia="zh-CN"/>
              </w:rPr>
              <w:t>，</w:t>
            </w:r>
            <w:r>
              <w:rPr>
                <w:rFonts w:hint="eastAsia"/>
                <w:color w:val="auto"/>
                <w:kern w:val="0"/>
                <w:szCs w:val="21"/>
                <w:highlight w:val="none"/>
              </w:rPr>
              <w:t>其他5个罐区设置47</w:t>
            </w:r>
            <w:r>
              <w:rPr>
                <w:rFonts w:hint="eastAsia"/>
                <w:color w:val="auto"/>
                <w:kern w:val="0"/>
                <w:szCs w:val="21"/>
                <w:highlight w:val="none"/>
                <w:lang w:val="en-US" w:eastAsia="zh-CN"/>
              </w:rPr>
              <w:t>座</w:t>
            </w:r>
            <w:r>
              <w:rPr>
                <w:rFonts w:hint="eastAsia"/>
                <w:color w:val="auto"/>
                <w:kern w:val="0"/>
                <w:szCs w:val="21"/>
                <w:highlight w:val="none"/>
              </w:rPr>
              <w:t>不同容积的立式储罐，储存其他液体化工物料。另设有装车区，共15组60个可供作业的装卸车台位。设有江阴市石利港区长江干线水上洗舱站，洗舱能力为600艘次/年。2023年丽天石化对现有厂区进行安全、环保提升改造，年新增船舶60000吨油污水收集上岸处理的能力。</w:t>
            </w:r>
          </w:p>
          <w:p w14:paraId="0482D49A">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2024年9月13日，丽天公司</w:t>
            </w:r>
            <w:r>
              <w:rPr>
                <w:rFonts w:hint="eastAsia"/>
                <w:color w:val="auto"/>
                <w:kern w:val="0"/>
                <w:szCs w:val="21"/>
                <w:highlight w:val="none"/>
                <w:lang w:eastAsia="zh-CN"/>
              </w:rPr>
              <w:t>《工业油脂加工项目环境影响报告书》</w:t>
            </w:r>
            <w:r>
              <w:rPr>
                <w:rFonts w:hint="eastAsia"/>
                <w:color w:val="auto"/>
                <w:kern w:val="0"/>
                <w:szCs w:val="21"/>
                <w:highlight w:val="none"/>
              </w:rPr>
              <w:t>通过审批，该项目投产后，年处理30万吨工业油脂，产品为工业油脂和生物质碳源。</w:t>
            </w:r>
          </w:p>
          <w:p w14:paraId="4F747928">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none"/>
              </w:rPr>
            </w:pPr>
            <w:r>
              <w:rPr>
                <w:rFonts w:hint="eastAsia"/>
                <w:color w:val="auto"/>
                <w:kern w:val="0"/>
                <w:szCs w:val="21"/>
                <w:highlight w:val="none"/>
              </w:rPr>
              <w:t>2024年</w:t>
            </w:r>
            <w:r>
              <w:rPr>
                <w:rFonts w:hint="eastAsia"/>
                <w:color w:val="auto"/>
                <w:kern w:val="0"/>
                <w:szCs w:val="21"/>
                <w:highlight w:val="none"/>
                <w:lang w:val="en-US" w:eastAsia="zh-CN"/>
              </w:rPr>
              <w:t>10</w:t>
            </w:r>
            <w:r>
              <w:rPr>
                <w:rFonts w:hint="eastAsia"/>
                <w:color w:val="auto"/>
                <w:kern w:val="0"/>
                <w:szCs w:val="21"/>
                <w:highlight w:val="none"/>
              </w:rPr>
              <w:t>月1</w:t>
            </w:r>
            <w:r>
              <w:rPr>
                <w:rFonts w:hint="eastAsia"/>
                <w:color w:val="auto"/>
                <w:kern w:val="0"/>
                <w:szCs w:val="21"/>
                <w:highlight w:val="none"/>
                <w:lang w:val="en-US" w:eastAsia="zh-CN"/>
              </w:rPr>
              <w:t>8</w:t>
            </w:r>
            <w:r>
              <w:rPr>
                <w:rFonts w:hint="eastAsia"/>
                <w:color w:val="auto"/>
                <w:kern w:val="0"/>
                <w:szCs w:val="21"/>
                <w:highlight w:val="none"/>
              </w:rPr>
              <w:t>日，丽天公司</w:t>
            </w:r>
            <w:r>
              <w:rPr>
                <w:rFonts w:hint="eastAsia"/>
                <w:color w:val="auto"/>
                <w:kern w:val="0"/>
                <w:szCs w:val="21"/>
                <w:highlight w:val="none"/>
                <w:lang w:eastAsia="zh-CN"/>
              </w:rPr>
              <w:t>《槽车蒸洗站环境影响报告表》</w:t>
            </w:r>
            <w:r>
              <w:rPr>
                <w:rFonts w:hint="eastAsia"/>
                <w:color w:val="auto"/>
                <w:kern w:val="0"/>
                <w:szCs w:val="21"/>
                <w:highlight w:val="none"/>
                <w:lang w:val="en-US" w:eastAsia="zh-CN"/>
              </w:rPr>
              <w:t>通过审批，</w:t>
            </w:r>
            <w:r>
              <w:rPr>
                <w:rFonts w:hint="eastAsia"/>
                <w:color w:val="auto"/>
                <w:kern w:val="0"/>
                <w:szCs w:val="21"/>
                <w:highlight w:val="none"/>
              </w:rPr>
              <w:t>该项目利用厂区内存量土地进行建设，项目总占地面积约3335m</w:t>
            </w:r>
            <w:r>
              <w:rPr>
                <w:rFonts w:hint="eastAsia"/>
                <w:color w:val="auto"/>
                <w:kern w:val="0"/>
                <w:szCs w:val="21"/>
                <w:highlight w:val="none"/>
                <w:vertAlign w:val="superscript"/>
              </w:rPr>
              <w:t>2</w:t>
            </w:r>
            <w:r>
              <w:rPr>
                <w:rFonts w:hint="eastAsia"/>
                <w:color w:val="auto"/>
                <w:kern w:val="0"/>
                <w:szCs w:val="21"/>
                <w:highlight w:val="none"/>
              </w:rPr>
              <w:t>，建设一座700m</w:t>
            </w:r>
            <w:r>
              <w:rPr>
                <w:rFonts w:hint="eastAsia"/>
                <w:color w:val="auto"/>
                <w:kern w:val="0"/>
                <w:szCs w:val="21"/>
                <w:highlight w:val="none"/>
                <w:vertAlign w:val="superscript"/>
              </w:rPr>
              <w:t>2</w:t>
            </w:r>
            <w:r>
              <w:rPr>
                <w:rFonts w:hint="eastAsia"/>
                <w:color w:val="auto"/>
                <w:kern w:val="0"/>
                <w:szCs w:val="21"/>
                <w:highlight w:val="none"/>
              </w:rPr>
              <w:t>的槽罐车蒸洗站，年蒸洗槽罐车6000辆。</w:t>
            </w:r>
          </w:p>
          <w:p w14:paraId="4F84B7DD">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yellow"/>
              </w:rPr>
            </w:pPr>
            <w:r>
              <w:rPr>
                <w:rFonts w:hint="eastAsia"/>
                <w:color w:val="auto"/>
                <w:kern w:val="0"/>
                <w:szCs w:val="21"/>
                <w:highlight w:val="none"/>
              </w:rPr>
              <w:t>2024年</w:t>
            </w:r>
            <w:r>
              <w:rPr>
                <w:rFonts w:hint="eastAsia"/>
                <w:color w:val="auto"/>
                <w:kern w:val="0"/>
                <w:szCs w:val="21"/>
                <w:highlight w:val="none"/>
                <w:lang w:val="en-US" w:eastAsia="zh-CN"/>
              </w:rPr>
              <w:t>11</w:t>
            </w:r>
            <w:r>
              <w:rPr>
                <w:rFonts w:hint="eastAsia"/>
                <w:color w:val="auto"/>
                <w:kern w:val="0"/>
                <w:szCs w:val="21"/>
                <w:highlight w:val="none"/>
              </w:rPr>
              <w:t>月</w:t>
            </w:r>
            <w:r>
              <w:rPr>
                <w:rFonts w:hint="eastAsia"/>
                <w:color w:val="auto"/>
                <w:kern w:val="0"/>
                <w:szCs w:val="21"/>
                <w:highlight w:val="none"/>
                <w:lang w:val="en-US" w:eastAsia="zh-CN"/>
              </w:rPr>
              <w:t>26</w:t>
            </w:r>
            <w:r>
              <w:rPr>
                <w:rFonts w:hint="eastAsia"/>
                <w:color w:val="auto"/>
                <w:kern w:val="0"/>
                <w:szCs w:val="21"/>
                <w:highlight w:val="none"/>
              </w:rPr>
              <w:t>日，丽天公司</w:t>
            </w:r>
            <w:r>
              <w:rPr>
                <w:rFonts w:hint="eastAsia"/>
                <w:color w:val="auto"/>
                <w:kern w:val="0"/>
                <w:szCs w:val="21"/>
                <w:highlight w:val="none"/>
                <w:lang w:eastAsia="zh-CN"/>
              </w:rPr>
              <w:t>《8000吨/年废矿物油收集项目环境影响报告书》</w:t>
            </w:r>
            <w:r>
              <w:rPr>
                <w:rFonts w:hint="eastAsia"/>
                <w:color w:val="auto"/>
                <w:kern w:val="0"/>
                <w:szCs w:val="21"/>
                <w:highlight w:val="none"/>
                <w:lang w:val="en-US" w:eastAsia="zh-CN"/>
              </w:rPr>
              <w:t>通过审批，</w:t>
            </w:r>
            <w:r>
              <w:rPr>
                <w:rFonts w:hint="eastAsia"/>
                <w:color w:val="auto"/>
                <w:kern w:val="0"/>
                <w:szCs w:val="21"/>
                <w:highlight w:val="none"/>
              </w:rPr>
              <w:t>该项目利用厂内存量土地2000平方米，新建废矿物油收集处置储罐区250平方米，购置国产物料泵3台套、引风机1台套、冷凝机1台套、储油罐2台套共7台套。项目投产后，年收集处置废矿物油8000吨/年。</w:t>
            </w:r>
          </w:p>
          <w:p w14:paraId="3173E052">
            <w:pPr>
              <w:keepNext w:val="0"/>
              <w:keepLines w:val="0"/>
              <w:suppressLineNumbers w:val="0"/>
              <w:adjustRightInd w:val="0"/>
              <w:snapToGrid w:val="0"/>
              <w:spacing w:before="0" w:beforeAutospacing="0" w:after="0" w:afterAutospacing="0" w:line="360" w:lineRule="auto"/>
              <w:ind w:left="0" w:right="0" w:firstLine="420" w:firstLineChars="200"/>
              <w:jc w:val="left"/>
              <w:rPr>
                <w:rFonts w:hint="eastAsia"/>
                <w:color w:val="auto"/>
                <w:kern w:val="0"/>
                <w:szCs w:val="21"/>
                <w:highlight w:val="yellow"/>
              </w:rPr>
            </w:pPr>
            <w:r>
              <w:rPr>
                <w:rFonts w:hint="eastAsia"/>
                <w:color w:val="auto"/>
                <w:kern w:val="0"/>
                <w:szCs w:val="21"/>
                <w:highlight w:val="none"/>
              </w:rPr>
              <w:t>202</w:t>
            </w:r>
            <w:r>
              <w:rPr>
                <w:rFonts w:hint="eastAsia"/>
                <w:color w:val="auto"/>
                <w:kern w:val="0"/>
                <w:szCs w:val="21"/>
                <w:highlight w:val="none"/>
                <w:lang w:val="en-US" w:eastAsia="zh-CN"/>
              </w:rPr>
              <w:t>6</w:t>
            </w:r>
            <w:r>
              <w:rPr>
                <w:rFonts w:hint="eastAsia"/>
                <w:color w:val="auto"/>
                <w:kern w:val="0"/>
                <w:szCs w:val="21"/>
                <w:highlight w:val="none"/>
              </w:rPr>
              <w:t>年</w:t>
            </w:r>
            <w:r>
              <w:rPr>
                <w:rFonts w:hint="eastAsia"/>
                <w:color w:val="auto"/>
                <w:kern w:val="0"/>
                <w:szCs w:val="21"/>
                <w:highlight w:val="none"/>
                <w:lang w:val="en-US" w:eastAsia="zh-CN"/>
              </w:rPr>
              <w:t>1</w:t>
            </w:r>
            <w:r>
              <w:rPr>
                <w:rFonts w:hint="eastAsia"/>
                <w:color w:val="auto"/>
                <w:kern w:val="0"/>
                <w:szCs w:val="21"/>
                <w:highlight w:val="none"/>
              </w:rPr>
              <w:t>月</w:t>
            </w:r>
            <w:r>
              <w:rPr>
                <w:rFonts w:hint="eastAsia"/>
                <w:color w:val="auto"/>
                <w:kern w:val="0"/>
                <w:szCs w:val="21"/>
                <w:highlight w:val="none"/>
                <w:lang w:val="en-US" w:eastAsia="zh-CN"/>
              </w:rPr>
              <w:t>29</w:t>
            </w:r>
            <w:r>
              <w:rPr>
                <w:rFonts w:hint="eastAsia"/>
                <w:color w:val="auto"/>
                <w:kern w:val="0"/>
                <w:szCs w:val="21"/>
                <w:highlight w:val="none"/>
              </w:rPr>
              <w:t>日，丽天公司</w:t>
            </w:r>
            <w:r>
              <w:rPr>
                <w:rFonts w:hint="eastAsia"/>
                <w:color w:val="auto"/>
                <w:kern w:val="0"/>
                <w:szCs w:val="21"/>
                <w:highlight w:val="none"/>
                <w:lang w:eastAsia="zh-CN"/>
              </w:rPr>
              <w:t>《</w:t>
            </w:r>
            <w:r>
              <w:rPr>
                <w:rFonts w:hint="eastAsia"/>
                <w:color w:val="auto"/>
                <w:kern w:val="0"/>
                <w:szCs w:val="21"/>
                <w:highlight w:val="none"/>
                <w:lang w:val="en-US" w:eastAsia="zh-CN"/>
              </w:rPr>
              <w:t>储存品种调整及储罐安全改造项目</w:t>
            </w:r>
            <w:r>
              <w:rPr>
                <w:rFonts w:hint="eastAsia"/>
                <w:color w:val="auto"/>
                <w:kern w:val="0"/>
                <w:szCs w:val="21"/>
                <w:highlight w:val="none"/>
                <w:lang w:eastAsia="zh-CN"/>
              </w:rPr>
              <w:t>环境影响报告</w:t>
            </w:r>
            <w:r>
              <w:rPr>
                <w:rFonts w:hint="eastAsia"/>
                <w:color w:val="auto"/>
                <w:kern w:val="0"/>
                <w:szCs w:val="21"/>
                <w:highlight w:val="none"/>
                <w:lang w:val="en-US" w:eastAsia="zh-CN"/>
              </w:rPr>
              <w:t>表</w:t>
            </w:r>
            <w:r>
              <w:rPr>
                <w:rFonts w:hint="eastAsia"/>
                <w:color w:val="auto"/>
                <w:kern w:val="0"/>
                <w:szCs w:val="21"/>
                <w:highlight w:val="none"/>
                <w:lang w:eastAsia="zh-CN"/>
              </w:rPr>
              <w:t>》（附大气专项评价和环境风险专项评价）</w:t>
            </w:r>
            <w:r>
              <w:rPr>
                <w:rFonts w:hint="eastAsia"/>
                <w:color w:val="auto"/>
                <w:kern w:val="0"/>
                <w:szCs w:val="21"/>
                <w:highlight w:val="none"/>
                <w:lang w:val="en-US" w:eastAsia="zh-CN"/>
              </w:rPr>
              <w:t>通过审批，</w:t>
            </w:r>
            <w:r>
              <w:rPr>
                <w:rFonts w:hint="eastAsia"/>
                <w:color w:val="auto"/>
                <w:kern w:val="0"/>
                <w:szCs w:val="21"/>
                <w:highlight w:val="none"/>
              </w:rPr>
              <w:t>该项目</w:t>
            </w:r>
            <w:r>
              <w:rPr>
                <w:rFonts w:hint="eastAsia"/>
                <w:color w:val="auto"/>
                <w:kern w:val="0"/>
                <w:szCs w:val="21"/>
                <w:highlight w:val="none"/>
                <w:lang w:val="en-US" w:eastAsia="zh-CN"/>
              </w:rPr>
              <w:t>调整现有16个货种，同时对六罐区进行优化改造</w:t>
            </w:r>
            <w:r>
              <w:rPr>
                <w:rFonts w:hint="eastAsia"/>
                <w:color w:val="auto"/>
                <w:kern w:val="0"/>
                <w:szCs w:val="21"/>
                <w:highlight w:val="none"/>
              </w:rPr>
              <w:t>。</w:t>
            </w:r>
            <w:r>
              <w:rPr>
                <w:rFonts w:hint="eastAsia"/>
                <w:color w:val="auto"/>
                <w:kern w:val="0"/>
                <w:szCs w:val="21"/>
                <w:highlight w:val="none"/>
                <w:lang w:val="en-US" w:eastAsia="zh-CN"/>
              </w:rPr>
              <w:t>该</w:t>
            </w:r>
            <w:r>
              <w:rPr>
                <w:rFonts w:hint="eastAsia"/>
                <w:color w:val="auto"/>
                <w:kern w:val="0"/>
                <w:szCs w:val="21"/>
                <w:highlight w:val="none"/>
              </w:rPr>
              <w:t>项目不改变码头设计通过能力（276万吨/年）和库区库容（22万立方米），库区周转总量不突破原环评批复总量（272万吨/年）。</w:t>
            </w:r>
          </w:p>
          <w:p w14:paraId="594D37CF">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tc>
      </w:tr>
    </w:tbl>
    <w:p w14:paraId="0DC5D4F8">
      <w:pPr>
        <w:pStyle w:val="19"/>
        <w:jc w:val="center"/>
        <w:outlineLvl w:val="0"/>
        <w:rPr>
          <w:rFonts w:ascii="黑体" w:hAnsi="黑体" w:eastAsia="黑体"/>
          <w:snapToGrid w:val="0"/>
          <w:color w:val="auto"/>
          <w:kern w:val="2"/>
          <w:sz w:val="36"/>
          <w:szCs w:val="36"/>
        </w:rPr>
        <w:sectPr>
          <w:pgSz w:w="11906" w:h="16838"/>
          <w:pgMar w:top="1440" w:right="1440" w:bottom="1440" w:left="1440" w:header="851" w:footer="1077" w:gutter="0"/>
          <w:pgBorders>
            <w:top w:val="none" w:sz="0" w:space="0"/>
            <w:left w:val="none" w:sz="0" w:space="0"/>
            <w:bottom w:val="none" w:sz="0" w:space="0"/>
            <w:right w:val="none" w:sz="0" w:space="0"/>
          </w:pgBorders>
          <w:pgNumType w:fmt="decimal"/>
          <w:cols w:space="720" w:num="1"/>
          <w:docGrid w:linePitch="312" w:charSpace="0"/>
        </w:sectPr>
      </w:pPr>
    </w:p>
    <w:p w14:paraId="5738D704">
      <w:pPr>
        <w:pStyle w:val="19"/>
        <w:jc w:val="center"/>
        <w:outlineLvl w:val="0"/>
        <w:rPr>
          <w:rFonts w:ascii="黑体" w:hAnsi="黑体" w:eastAsia="黑体"/>
          <w:snapToGrid w:val="0"/>
          <w:color w:val="auto"/>
          <w:kern w:val="2"/>
          <w:sz w:val="36"/>
          <w:szCs w:val="36"/>
        </w:rPr>
        <w:sectPr>
          <w:type w:val="continuous"/>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8253"/>
      </w:tblGrid>
      <w:tr w14:paraId="05084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904" w:type="dxa"/>
            <w:noWrap w:val="0"/>
            <w:vAlign w:val="center"/>
          </w:tcPr>
          <w:p w14:paraId="4A001C4C">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bCs/>
                <w:color w:val="auto"/>
                <w:szCs w:val="21"/>
              </w:rPr>
              <w:t>与项目有关的原有环境污染和生态破坏问题</w:t>
            </w:r>
          </w:p>
        </w:tc>
        <w:tc>
          <w:tcPr>
            <w:tcW w:w="8253" w:type="dxa"/>
            <w:noWrap w:val="0"/>
            <w:vAlign w:val="center"/>
          </w:tcPr>
          <w:p w14:paraId="1713F1F5">
            <w:pPr>
              <w:keepNext w:val="0"/>
              <w:keepLines w:val="0"/>
              <w:suppressLineNumbers w:val="0"/>
              <w:adjustRightInd w:val="0"/>
              <w:snapToGrid w:val="0"/>
              <w:spacing w:before="0" w:beforeAutospacing="0" w:after="0" w:afterAutospacing="0" w:line="360" w:lineRule="auto"/>
              <w:ind w:left="0" w:right="0"/>
              <w:jc w:val="left"/>
              <w:rPr>
                <w:rFonts w:hint="default" w:eastAsia="宋体"/>
                <w:b/>
                <w:color w:val="auto"/>
                <w:kern w:val="0"/>
                <w:szCs w:val="21"/>
                <w:highlight w:val="yellow"/>
                <w:lang w:val="en-US" w:eastAsia="zh-CN"/>
              </w:rPr>
            </w:pPr>
            <w:r>
              <w:rPr>
                <w:rFonts w:hint="eastAsia"/>
                <w:b/>
                <w:color w:val="auto"/>
                <w:kern w:val="0"/>
                <w:szCs w:val="21"/>
                <w:highlight w:val="none"/>
                <w:lang w:val="en-US" w:eastAsia="zh-CN"/>
              </w:rPr>
              <w:t>2</w:t>
            </w:r>
            <w:r>
              <w:rPr>
                <w:rFonts w:hint="eastAsia"/>
                <w:b/>
                <w:color w:val="auto"/>
                <w:kern w:val="0"/>
                <w:szCs w:val="21"/>
                <w:highlight w:val="none"/>
              </w:rPr>
              <w:t>、现有项目</w:t>
            </w:r>
            <w:r>
              <w:rPr>
                <w:rFonts w:hint="eastAsia"/>
                <w:b/>
                <w:color w:val="auto"/>
                <w:kern w:val="0"/>
                <w:szCs w:val="21"/>
                <w:highlight w:val="none"/>
                <w:lang w:val="en-US" w:eastAsia="zh-CN"/>
              </w:rPr>
              <w:t>全厂物料实际周转情况</w:t>
            </w:r>
          </w:p>
          <w:p w14:paraId="6AAAE3DC">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color w:val="auto"/>
                <w:highlight w:val="none"/>
              </w:rPr>
            </w:pPr>
            <w:r>
              <w:rPr>
                <w:rFonts w:hint="eastAsia" w:ascii="Times New Roman" w:hAnsi="Times New Roman" w:eastAsia="宋体" w:cs="Times New Roman"/>
                <w:color w:val="auto"/>
                <w:highlight w:val="none"/>
                <w:lang w:val="en-US" w:eastAsia="zh-CN"/>
              </w:rPr>
              <w:t>2024年，全厂经营货种实际周转</w:t>
            </w:r>
            <w:r>
              <w:rPr>
                <w:rFonts w:hint="eastAsia" w:ascii="Times New Roman" w:hAnsi="Times New Roman" w:eastAsia="宋体" w:cs="Times New Roman"/>
                <w:color w:val="auto"/>
                <w:kern w:val="0"/>
                <w:szCs w:val="21"/>
                <w:highlight w:val="none"/>
                <w:lang w:val="en-US" w:eastAsia="zh-CN"/>
              </w:rPr>
              <w:t>量合计为223.98万吨，库区周转能力为272万吨/年，2024年库区运营负荷为82.3%；2024年码头吞吐量合计为119.12万吨，码头设计通过能力为276万吨/年，2024年码头运营负荷为43.2%。</w:t>
            </w:r>
          </w:p>
          <w:p w14:paraId="161EDE5D">
            <w:pPr>
              <w:keepNext w:val="0"/>
              <w:keepLines w:val="0"/>
              <w:suppressLineNumbers w:val="0"/>
              <w:adjustRightInd w:val="0"/>
              <w:snapToGrid w:val="0"/>
              <w:spacing w:before="0" w:beforeAutospacing="0" w:after="0" w:afterAutospacing="0" w:line="360" w:lineRule="auto"/>
              <w:ind w:left="0" w:right="0"/>
              <w:jc w:val="left"/>
              <w:rPr>
                <w:rFonts w:hint="eastAsia"/>
                <w:b/>
                <w:color w:val="auto"/>
                <w:kern w:val="0"/>
                <w:szCs w:val="21"/>
                <w:highlight w:val="none"/>
              </w:rPr>
            </w:pPr>
            <w:r>
              <w:rPr>
                <w:rFonts w:hint="eastAsia"/>
                <w:b/>
                <w:color w:val="auto"/>
                <w:kern w:val="0"/>
                <w:szCs w:val="21"/>
                <w:highlight w:val="none"/>
                <w:lang w:val="en-US" w:eastAsia="zh-CN"/>
              </w:rPr>
              <w:t>3</w:t>
            </w:r>
            <w:r>
              <w:rPr>
                <w:rFonts w:hint="eastAsia"/>
                <w:b/>
                <w:color w:val="auto"/>
                <w:kern w:val="0"/>
                <w:szCs w:val="21"/>
                <w:highlight w:val="none"/>
                <w:lang w:eastAsia="zh-CN"/>
              </w:rPr>
              <w:t>、</w:t>
            </w:r>
            <w:r>
              <w:rPr>
                <w:rFonts w:hint="eastAsia"/>
                <w:b/>
                <w:color w:val="auto"/>
                <w:kern w:val="0"/>
                <w:szCs w:val="21"/>
                <w:highlight w:val="none"/>
              </w:rPr>
              <w:t>现有项目污染物</w:t>
            </w:r>
            <w:r>
              <w:rPr>
                <w:rFonts w:hint="eastAsia"/>
                <w:b/>
                <w:color w:val="auto"/>
                <w:kern w:val="0"/>
                <w:szCs w:val="21"/>
                <w:highlight w:val="none"/>
                <w:lang w:val="en-US" w:eastAsia="zh-CN"/>
              </w:rPr>
              <w:t>产生及</w:t>
            </w:r>
            <w:r>
              <w:rPr>
                <w:rFonts w:hint="eastAsia"/>
                <w:b/>
                <w:color w:val="auto"/>
                <w:kern w:val="0"/>
                <w:szCs w:val="21"/>
                <w:highlight w:val="none"/>
              </w:rPr>
              <w:t>排放情况</w:t>
            </w:r>
          </w:p>
          <w:p w14:paraId="6EABF73E">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1</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废气</w:t>
            </w:r>
          </w:p>
          <w:p w14:paraId="07CCC9DD">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现有已建</w:t>
            </w:r>
            <w:r>
              <w:rPr>
                <w:rFonts w:hint="default" w:ascii="Times New Roman" w:hAnsi="Times New Roman" w:eastAsia="宋体" w:cs="Times New Roman"/>
                <w:color w:val="auto"/>
                <w:kern w:val="0"/>
                <w:szCs w:val="21"/>
                <w:highlight w:val="none"/>
                <w:lang w:val="en-US" w:eastAsia="zh-CN"/>
              </w:rPr>
              <w:t>项目废气主要有物料装车（船）过程产生的废气、扫线废气、罐区废气、装车台废气、洗舱站惰化废气、锅炉天然气燃烧废气和污水处理站废气</w:t>
            </w:r>
            <w:r>
              <w:rPr>
                <w:rFonts w:hint="eastAsia" w:ascii="Times New Roman" w:hAnsi="Times New Roman" w:eastAsia="宋体" w:cs="Times New Roman"/>
                <w:color w:val="auto"/>
                <w:kern w:val="0"/>
                <w:szCs w:val="21"/>
                <w:highlight w:val="none"/>
                <w:lang w:val="en-US" w:eastAsia="zh-CN"/>
              </w:rPr>
              <w:t>、沥青和炭黑油储运过程产生的废气、导热油炉产生的天然气燃烧废气、危废间废气。</w:t>
            </w:r>
          </w:p>
          <w:p w14:paraId="52AD3A4A">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物料装车（船）过程产生的废气、扫线废气、罐区废气、装车台废气、洗舱站惰化废气、</w:t>
            </w:r>
            <w:r>
              <w:rPr>
                <w:rFonts w:hint="eastAsia" w:ascii="Times New Roman" w:hAnsi="Times New Roman" w:eastAsia="宋体" w:cs="Times New Roman"/>
                <w:color w:val="auto"/>
                <w:kern w:val="0"/>
                <w:szCs w:val="21"/>
                <w:highlight w:val="none"/>
                <w:lang w:val="en-US" w:eastAsia="zh-CN"/>
              </w:rPr>
              <w:t>沥青和炭黑油储运过程产生的废气</w:t>
            </w:r>
            <w:r>
              <w:rPr>
                <w:rFonts w:hint="default" w:ascii="Times New Roman" w:hAnsi="Times New Roman" w:eastAsia="宋体" w:cs="Times New Roman"/>
                <w:color w:val="auto"/>
                <w:kern w:val="0"/>
                <w:szCs w:val="21"/>
                <w:highlight w:val="none"/>
                <w:lang w:val="en-US" w:eastAsia="zh-CN"/>
              </w:rPr>
              <w:t>根据废气情况设置了不同的预处理，预处理后各废气进入废气总管</w:t>
            </w:r>
            <w:r>
              <w:rPr>
                <w:rFonts w:hint="eastAsia" w:ascii="Times New Roman" w:hAnsi="Times New Roman" w:eastAsia="宋体" w:cs="Times New Roman"/>
                <w:color w:val="auto"/>
                <w:kern w:val="0"/>
                <w:szCs w:val="21"/>
                <w:highlight w:val="none"/>
                <w:lang w:val="en-US" w:eastAsia="zh-CN"/>
              </w:rPr>
              <w:t>与危废仓库废气一起</w:t>
            </w:r>
            <w:r>
              <w:rPr>
                <w:rFonts w:hint="default" w:ascii="Times New Roman" w:hAnsi="Times New Roman" w:eastAsia="宋体" w:cs="Times New Roman"/>
                <w:color w:val="auto"/>
                <w:kern w:val="0"/>
                <w:szCs w:val="21"/>
                <w:highlight w:val="none"/>
                <w:lang w:val="en-US" w:eastAsia="zh-CN"/>
              </w:rPr>
              <w:t>，经一套催化氧化装置处理达标后通过一根20米高的排气筒</w:t>
            </w:r>
            <w:r>
              <w:rPr>
                <w:rFonts w:hint="eastAsia" w:ascii="Times New Roman" w:hAnsi="Times New Roman" w:eastAsia="宋体" w:cs="Times New Roman"/>
                <w:color w:val="auto"/>
                <w:kern w:val="0"/>
                <w:szCs w:val="21"/>
                <w:highlight w:val="none"/>
                <w:lang w:val="en-US" w:eastAsia="zh-CN"/>
              </w:rPr>
              <w:t>DA001</w:t>
            </w:r>
            <w:r>
              <w:rPr>
                <w:rFonts w:hint="default" w:ascii="Times New Roman" w:hAnsi="Times New Roman" w:eastAsia="宋体" w:cs="Times New Roman"/>
                <w:color w:val="auto"/>
                <w:kern w:val="0"/>
                <w:szCs w:val="21"/>
                <w:highlight w:val="none"/>
                <w:lang w:val="en-US" w:eastAsia="zh-CN"/>
              </w:rPr>
              <w:t>排放。其中，环氧丙烷球罐泄压废气和洗舱站惰化废气经深冷（-70℃）以及-5℃冷凝预处理；二罐区丙酸/丙烯酸甲酯废气和装车台丙酸/丙烯酸甲酸废气经碱洗+乙醇胺水洗塔以及-5℃冷凝预处理；二罐区苯乙烯废气和装车台苯乙烯/柴油/工业油脂/高芳烃油废气经-5℃冷凝预处理；</w:t>
            </w:r>
            <w:r>
              <w:rPr>
                <w:rFonts w:hint="eastAsia" w:ascii="Times New Roman" w:hAnsi="Times New Roman" w:eastAsia="宋体" w:cs="Times New Roman"/>
                <w:color w:val="auto"/>
                <w:kern w:val="0"/>
                <w:szCs w:val="21"/>
                <w:highlight w:val="none"/>
                <w:lang w:val="en-US" w:eastAsia="zh-CN"/>
              </w:rPr>
              <w:t>六罐区产生的废气和四罐区沥青储罐沥青废气经水洗塔预处理；</w:t>
            </w:r>
            <w:r>
              <w:rPr>
                <w:rFonts w:hint="default" w:ascii="Times New Roman" w:hAnsi="Times New Roman" w:eastAsia="宋体" w:cs="Times New Roman"/>
                <w:color w:val="auto"/>
                <w:kern w:val="0"/>
                <w:szCs w:val="21"/>
                <w:highlight w:val="none"/>
                <w:lang w:val="en-US" w:eastAsia="zh-CN"/>
              </w:rPr>
              <w:t>四罐区非沥青储罐产生的废气及三罐区储罐产生的高芳烃油/柴油/工业油脂废气直接接入催化氧化装置。</w:t>
            </w:r>
          </w:p>
          <w:p w14:paraId="69D193EA">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锅炉产生的天然气燃烧废气经1根15米高排气筒</w:t>
            </w:r>
            <w:r>
              <w:rPr>
                <w:rFonts w:hint="eastAsia" w:ascii="Times New Roman" w:hAnsi="Times New Roman" w:eastAsia="宋体" w:cs="Times New Roman"/>
                <w:color w:val="auto"/>
                <w:kern w:val="0"/>
                <w:szCs w:val="21"/>
                <w:highlight w:val="none"/>
                <w:lang w:val="en-US" w:eastAsia="zh-CN"/>
              </w:rPr>
              <w:t>DA002</w:t>
            </w:r>
            <w:r>
              <w:rPr>
                <w:rFonts w:hint="default" w:ascii="Times New Roman" w:hAnsi="Times New Roman" w:eastAsia="宋体" w:cs="Times New Roman"/>
                <w:color w:val="auto"/>
                <w:kern w:val="0"/>
                <w:szCs w:val="21"/>
                <w:highlight w:val="none"/>
                <w:lang w:val="en-US" w:eastAsia="zh-CN"/>
              </w:rPr>
              <w:t>排放。</w:t>
            </w:r>
          </w:p>
          <w:p w14:paraId="3434EE29">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污水处理站</w:t>
            </w:r>
            <w:r>
              <w:rPr>
                <w:rFonts w:hint="eastAsia" w:ascii="Times New Roman" w:hAnsi="Times New Roman" w:eastAsia="宋体" w:cs="Times New Roman"/>
                <w:color w:val="auto"/>
                <w:kern w:val="0"/>
                <w:szCs w:val="21"/>
                <w:highlight w:val="none"/>
                <w:lang w:val="en-US" w:eastAsia="zh-CN"/>
              </w:rPr>
              <w:t>2厌氧塔</w:t>
            </w:r>
            <w:r>
              <w:rPr>
                <w:rFonts w:hint="default" w:ascii="Times New Roman" w:hAnsi="Times New Roman" w:eastAsia="宋体" w:cs="Times New Roman"/>
                <w:color w:val="auto"/>
                <w:kern w:val="0"/>
                <w:szCs w:val="21"/>
                <w:highlight w:val="none"/>
                <w:lang w:val="en-US" w:eastAsia="zh-CN"/>
              </w:rPr>
              <w:t>产生的硫化氢、氨经1套碱喷淋装置处理后通过1根15米高排气筒</w:t>
            </w:r>
            <w:r>
              <w:rPr>
                <w:rFonts w:hint="eastAsia" w:ascii="Times New Roman" w:hAnsi="Times New Roman" w:eastAsia="宋体" w:cs="Times New Roman"/>
                <w:color w:val="auto"/>
                <w:kern w:val="0"/>
                <w:szCs w:val="21"/>
                <w:highlight w:val="none"/>
                <w:lang w:val="en-US" w:eastAsia="zh-CN"/>
              </w:rPr>
              <w:t>DA003</w:t>
            </w:r>
            <w:r>
              <w:rPr>
                <w:rFonts w:hint="default" w:ascii="Times New Roman" w:hAnsi="Times New Roman" w:eastAsia="宋体" w:cs="Times New Roman"/>
                <w:color w:val="auto"/>
                <w:kern w:val="0"/>
                <w:szCs w:val="21"/>
                <w:highlight w:val="none"/>
                <w:lang w:val="en-US" w:eastAsia="zh-CN"/>
              </w:rPr>
              <w:t>排放</w:t>
            </w:r>
            <w:r>
              <w:rPr>
                <w:rFonts w:hint="eastAsia" w:ascii="Times New Roman" w:hAnsi="Times New Roman" w:eastAsia="宋体" w:cs="Times New Roman"/>
                <w:color w:val="auto"/>
                <w:kern w:val="0"/>
                <w:szCs w:val="21"/>
                <w:highlight w:val="none"/>
                <w:lang w:val="en-US" w:eastAsia="zh-CN"/>
              </w:rPr>
              <w:t>，其余工序废气经收集后</w:t>
            </w:r>
            <w:r>
              <w:rPr>
                <w:rFonts w:hint="default" w:ascii="Times New Roman" w:hAnsi="Times New Roman" w:eastAsia="宋体" w:cs="Times New Roman"/>
                <w:color w:val="auto"/>
                <w:kern w:val="0"/>
                <w:szCs w:val="21"/>
                <w:highlight w:val="none"/>
                <w:lang w:val="en-US" w:eastAsia="zh-CN"/>
              </w:rPr>
              <w:t>接入催化氧化装置</w:t>
            </w:r>
            <w:r>
              <w:rPr>
                <w:rFonts w:hint="eastAsia" w:ascii="Times New Roman" w:hAnsi="Times New Roman" w:eastAsia="宋体" w:cs="Times New Roman"/>
                <w:color w:val="auto"/>
                <w:kern w:val="0"/>
                <w:szCs w:val="21"/>
                <w:highlight w:val="none"/>
                <w:lang w:val="en-US" w:eastAsia="zh-CN"/>
              </w:rPr>
              <w:t>处理后</w:t>
            </w:r>
            <w:r>
              <w:rPr>
                <w:rFonts w:hint="default" w:ascii="Times New Roman" w:hAnsi="Times New Roman" w:eastAsia="宋体" w:cs="Times New Roman"/>
                <w:color w:val="auto"/>
                <w:kern w:val="0"/>
                <w:szCs w:val="21"/>
                <w:highlight w:val="none"/>
                <w:lang w:val="en-US" w:eastAsia="zh-CN"/>
              </w:rPr>
              <w:t>通过一根20米高的排气筒</w:t>
            </w:r>
            <w:r>
              <w:rPr>
                <w:rFonts w:hint="eastAsia" w:ascii="Times New Roman" w:hAnsi="Times New Roman" w:eastAsia="宋体" w:cs="Times New Roman"/>
                <w:color w:val="auto"/>
                <w:kern w:val="0"/>
                <w:szCs w:val="21"/>
                <w:highlight w:val="none"/>
                <w:lang w:val="en-US" w:eastAsia="zh-CN"/>
              </w:rPr>
              <w:t>DA001</w:t>
            </w:r>
            <w:r>
              <w:rPr>
                <w:rFonts w:hint="default" w:ascii="Times New Roman" w:hAnsi="Times New Roman" w:eastAsia="宋体" w:cs="Times New Roman"/>
                <w:color w:val="auto"/>
                <w:kern w:val="0"/>
                <w:szCs w:val="21"/>
                <w:highlight w:val="none"/>
                <w:lang w:val="en-US" w:eastAsia="zh-CN"/>
              </w:rPr>
              <w:t>排放。</w:t>
            </w:r>
          </w:p>
          <w:p w14:paraId="29010DDC">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现有项目废气</w:t>
            </w:r>
            <w:r>
              <w:rPr>
                <w:rFonts w:hint="default" w:ascii="Times New Roman" w:hAnsi="Times New Roman" w:eastAsia="宋体" w:cs="Times New Roman"/>
                <w:color w:val="auto"/>
                <w:kern w:val="0"/>
                <w:szCs w:val="21"/>
                <w:highlight w:val="none"/>
                <w:lang w:val="en-US" w:eastAsia="zh-Hans"/>
              </w:rPr>
              <w:t>详见表</w:t>
            </w:r>
            <w:r>
              <w:rPr>
                <w:rFonts w:hint="eastAsia" w:ascii="Times New Roman" w:hAnsi="Times New Roman" w:eastAsia="宋体" w:cs="Times New Roman"/>
                <w:color w:val="auto"/>
                <w:kern w:val="0"/>
                <w:szCs w:val="21"/>
                <w:highlight w:val="none"/>
                <w:lang w:val="en-US" w:eastAsia="zh-CN"/>
              </w:rPr>
              <w:t>3-7</w:t>
            </w:r>
            <w:r>
              <w:rPr>
                <w:rFonts w:hint="default" w:ascii="Times New Roman" w:hAnsi="Times New Roman" w:eastAsia="宋体" w:cs="Times New Roman"/>
                <w:color w:val="auto"/>
                <w:kern w:val="0"/>
                <w:szCs w:val="21"/>
                <w:highlight w:val="none"/>
                <w:lang w:val="en-US" w:eastAsia="zh-Hans"/>
              </w:rPr>
              <w:t>。</w:t>
            </w:r>
          </w:p>
          <w:p w14:paraId="53CCAC1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eastAsia="宋体" w:cs="Times New Roman"/>
                <w:b/>
                <w:bCs/>
                <w:color w:val="auto"/>
                <w:kern w:val="0"/>
                <w:szCs w:val="21"/>
                <w:highlight w:val="none"/>
              </w:rPr>
              <w:t>表</w:t>
            </w:r>
            <w:r>
              <w:rPr>
                <w:rFonts w:hint="eastAsia" w:ascii="Times New Roman" w:hAnsi="Times New Roman" w:eastAsia="宋体" w:cs="Times New Roman"/>
                <w:b/>
                <w:bCs/>
                <w:color w:val="auto"/>
                <w:kern w:val="0"/>
                <w:szCs w:val="21"/>
                <w:highlight w:val="none"/>
                <w:lang w:val="en-US" w:eastAsia="zh-CN"/>
              </w:rPr>
              <w:t>3</w:t>
            </w:r>
            <w:r>
              <w:rPr>
                <w:rFonts w:hint="default" w:ascii="Times New Roman" w:hAnsi="Times New Roman" w:eastAsia="宋体" w:cs="Times New Roman"/>
                <w:b/>
                <w:bCs/>
                <w:color w:val="auto"/>
                <w:kern w:val="0"/>
                <w:szCs w:val="21"/>
                <w:highlight w:val="none"/>
                <w:lang w:val="en-US" w:eastAsia="zh-CN"/>
              </w:rPr>
              <w:t>-</w:t>
            </w:r>
            <w:r>
              <w:rPr>
                <w:rFonts w:hint="eastAsia" w:ascii="Times New Roman" w:hAnsi="Times New Roman" w:eastAsia="宋体" w:cs="Times New Roman"/>
                <w:b/>
                <w:bCs/>
                <w:color w:val="auto"/>
                <w:kern w:val="0"/>
                <w:szCs w:val="21"/>
                <w:highlight w:val="none"/>
                <w:lang w:val="en-US" w:eastAsia="zh-CN"/>
              </w:rPr>
              <w:t>7</w:t>
            </w:r>
            <w:r>
              <w:rPr>
                <w:rFonts w:hint="default" w:ascii="Times New Roman" w:hAnsi="Times New Roman" w:eastAsia="宋体" w:cs="Times New Roman"/>
                <w:b/>
                <w:bCs/>
                <w:color w:val="auto"/>
                <w:kern w:val="0"/>
                <w:szCs w:val="21"/>
                <w:highlight w:val="none"/>
              </w:rPr>
              <w:t xml:space="preserve">  现</w:t>
            </w:r>
            <w:r>
              <w:rPr>
                <w:rFonts w:hint="eastAsia" w:ascii="Times New Roman" w:hAnsi="Times New Roman" w:eastAsia="宋体" w:cs="Times New Roman"/>
                <w:b/>
                <w:bCs/>
                <w:color w:val="auto"/>
                <w:kern w:val="0"/>
                <w:szCs w:val="21"/>
                <w:highlight w:val="none"/>
                <w:lang w:val="en-US" w:eastAsia="zh-CN"/>
              </w:rPr>
              <w:t>有已建</w:t>
            </w:r>
            <w:r>
              <w:rPr>
                <w:rFonts w:hint="default" w:ascii="Times New Roman" w:hAnsi="Times New Roman" w:eastAsia="宋体" w:cs="Times New Roman"/>
                <w:b/>
                <w:bCs/>
                <w:color w:val="auto"/>
                <w:kern w:val="0"/>
                <w:szCs w:val="21"/>
                <w:highlight w:val="none"/>
              </w:rPr>
              <w:t>项目废气</w:t>
            </w:r>
            <w:r>
              <w:rPr>
                <w:rFonts w:hint="eastAsia" w:ascii="Times New Roman" w:hAnsi="Times New Roman" w:eastAsia="宋体" w:cs="Times New Roman"/>
                <w:b/>
                <w:bCs/>
                <w:color w:val="auto"/>
                <w:kern w:val="0"/>
                <w:szCs w:val="21"/>
                <w:highlight w:val="none"/>
                <w:lang w:val="en-US" w:eastAsia="zh-CN"/>
              </w:rPr>
              <w:t>排放情况</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00"/>
              <w:gridCol w:w="1519"/>
              <w:gridCol w:w="1541"/>
              <w:gridCol w:w="887"/>
              <w:gridCol w:w="754"/>
              <w:gridCol w:w="1833"/>
            </w:tblGrid>
            <w:tr w14:paraId="612E8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933" w:type="pct"/>
                  <w:tcBorders>
                    <w:tl2br w:val="nil"/>
                    <w:tr2bl w:val="nil"/>
                  </w:tcBorders>
                  <w:noWrap w:val="0"/>
                  <w:vAlign w:val="center"/>
                </w:tcPr>
                <w:p w14:paraId="524F02EB">
                  <w:pPr>
                    <w:pStyle w:val="63"/>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产生工序</w:t>
                  </w:r>
                </w:p>
              </w:tc>
              <w:tc>
                <w:tcPr>
                  <w:tcW w:w="945" w:type="pct"/>
                  <w:tcBorders>
                    <w:tl2br w:val="nil"/>
                    <w:tr2bl w:val="nil"/>
                  </w:tcBorders>
                  <w:noWrap w:val="0"/>
                  <w:vAlign w:val="center"/>
                </w:tcPr>
                <w:p w14:paraId="2D523006">
                  <w:pPr>
                    <w:pStyle w:val="63"/>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污染物种类</w:t>
                  </w:r>
                </w:p>
              </w:tc>
              <w:tc>
                <w:tcPr>
                  <w:tcW w:w="959" w:type="pct"/>
                  <w:tcBorders>
                    <w:tl2br w:val="nil"/>
                    <w:tr2bl w:val="nil"/>
                  </w:tcBorders>
                  <w:noWrap w:val="0"/>
                  <w:vAlign w:val="center"/>
                </w:tcPr>
                <w:p w14:paraId="50B86682">
                  <w:pPr>
                    <w:pStyle w:val="63"/>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治理措施</w:t>
                  </w:r>
                </w:p>
              </w:tc>
              <w:tc>
                <w:tcPr>
                  <w:tcW w:w="552" w:type="pct"/>
                  <w:tcBorders>
                    <w:tl2br w:val="nil"/>
                    <w:tr2bl w:val="nil"/>
                  </w:tcBorders>
                  <w:noWrap w:val="0"/>
                  <w:vAlign w:val="center"/>
                </w:tcPr>
                <w:p w14:paraId="74EA646B">
                  <w:pPr>
                    <w:pStyle w:val="63"/>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排放方式</w:t>
                  </w:r>
                </w:p>
              </w:tc>
              <w:tc>
                <w:tcPr>
                  <w:tcW w:w="469" w:type="pct"/>
                  <w:tcBorders>
                    <w:tl2br w:val="nil"/>
                    <w:tr2bl w:val="nil"/>
                  </w:tcBorders>
                  <w:noWrap w:val="0"/>
                  <w:vAlign w:val="center"/>
                </w:tcPr>
                <w:p w14:paraId="276BCD1B">
                  <w:pPr>
                    <w:pStyle w:val="63"/>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eastAsia"/>
                      <w:b/>
                      <w:bCs/>
                      <w:color w:val="auto"/>
                      <w:highlight w:val="none"/>
                      <w:lang w:val="en-US" w:eastAsia="zh-CN"/>
                    </w:rPr>
                    <w:t>排气筒高度</w:t>
                  </w:r>
                </w:p>
              </w:tc>
              <w:tc>
                <w:tcPr>
                  <w:tcW w:w="1140" w:type="pct"/>
                  <w:tcBorders>
                    <w:tl2br w:val="nil"/>
                    <w:tr2bl w:val="nil"/>
                  </w:tcBorders>
                  <w:noWrap w:val="0"/>
                  <w:vAlign w:val="center"/>
                </w:tcPr>
                <w:p w14:paraId="75EE5669">
                  <w:pPr>
                    <w:pStyle w:val="63"/>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达标排放情况</w:t>
                  </w:r>
                </w:p>
              </w:tc>
            </w:tr>
            <w:tr w14:paraId="4CCDD8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restart"/>
                  <w:tcBorders>
                    <w:tl2br w:val="nil"/>
                    <w:tr2bl w:val="nil"/>
                  </w:tcBorders>
                  <w:noWrap w:val="0"/>
                  <w:vAlign w:val="center"/>
                </w:tcPr>
                <w:p w14:paraId="20C48B54">
                  <w:pPr>
                    <w:pStyle w:val="63"/>
                    <w:keepNext w:val="0"/>
                    <w:keepLines w:val="0"/>
                    <w:suppressLineNumbers w:val="0"/>
                    <w:bidi w:val="0"/>
                    <w:spacing w:before="0" w:beforeAutospacing="0" w:after="0" w:afterAutospacing="0"/>
                    <w:ind w:left="0" w:right="0"/>
                    <w:rPr>
                      <w:rFonts w:hint="default" w:cs="Times New Roman"/>
                      <w:color w:val="auto"/>
                      <w:sz w:val="21"/>
                      <w:szCs w:val="21"/>
                      <w:highlight w:val="none"/>
                      <w:lang w:val="en-US" w:eastAsia="zh-CN"/>
                    </w:rPr>
                  </w:pPr>
                  <w:r>
                    <w:rPr>
                      <w:rFonts w:hint="default"/>
                      <w:color w:val="auto"/>
                      <w:highlight w:val="none"/>
                    </w:rPr>
                    <w:t>物料装车（船）过程产生的废气、扫线废气、罐区废气、装车台废气、洗舱站惰化废气、</w:t>
                  </w:r>
                  <w:r>
                    <w:rPr>
                      <w:rFonts w:hint="eastAsia" w:ascii="Times New Roman" w:hAnsi="Times New Roman" w:eastAsia="宋体" w:cs="Times New Roman"/>
                      <w:color w:val="auto"/>
                      <w:sz w:val="21"/>
                      <w:szCs w:val="21"/>
                      <w:highlight w:val="none"/>
                      <w:lang w:val="en-US" w:eastAsia="zh-CN"/>
                    </w:rPr>
                    <w:t>沥青和炭黑油储运过程产生的废气</w:t>
                  </w:r>
                  <w:r>
                    <w:rPr>
                      <w:rFonts w:hint="eastAsia" w:cs="Times New Roman"/>
                      <w:color w:val="auto"/>
                      <w:sz w:val="21"/>
                      <w:szCs w:val="21"/>
                      <w:highlight w:val="none"/>
                      <w:lang w:val="en-US" w:eastAsia="zh-CN"/>
                    </w:rPr>
                    <w:t>、危废间废气、污水处理站废气（除厌氧池废气）</w:t>
                  </w:r>
                </w:p>
              </w:tc>
              <w:tc>
                <w:tcPr>
                  <w:tcW w:w="945" w:type="pct"/>
                  <w:tcBorders>
                    <w:tl2br w:val="nil"/>
                    <w:tr2bl w:val="nil"/>
                  </w:tcBorders>
                  <w:noWrap w:val="0"/>
                  <w:vAlign w:val="center"/>
                </w:tcPr>
                <w:p w14:paraId="29284905">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非甲烷总烃</w:t>
                  </w:r>
                </w:p>
              </w:tc>
              <w:tc>
                <w:tcPr>
                  <w:tcW w:w="959" w:type="pct"/>
                  <w:vMerge w:val="restart"/>
                  <w:tcBorders>
                    <w:tl2br w:val="nil"/>
                    <w:tr2bl w:val="nil"/>
                  </w:tcBorders>
                  <w:noWrap w:val="0"/>
                  <w:vAlign w:val="center"/>
                </w:tcPr>
                <w:p w14:paraId="67789FB0">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经各自废气预处理</w:t>
                  </w:r>
                  <w:r>
                    <w:rPr>
                      <w:rFonts w:hint="eastAsia"/>
                      <w:color w:val="auto"/>
                      <w:highlight w:val="none"/>
                      <w:lang w:eastAsia="zh-CN"/>
                    </w:rPr>
                    <w:t>（</w:t>
                  </w:r>
                  <w:r>
                    <w:rPr>
                      <w:rFonts w:hint="eastAsia"/>
                      <w:color w:val="auto"/>
                      <w:highlight w:val="none"/>
                      <w:lang w:val="en-US" w:eastAsia="zh-CN"/>
                    </w:rPr>
                    <w:t>设置了一套-70</w:t>
                  </w:r>
                  <w:r>
                    <w:rPr>
                      <w:rFonts w:hint="eastAsia" w:ascii="宋体" w:hAnsi="宋体" w:eastAsia="宋体" w:cs="宋体"/>
                      <w:color w:val="auto"/>
                      <w:highlight w:val="none"/>
                      <w:lang w:val="en-US" w:eastAsia="zh-CN"/>
                    </w:rPr>
                    <w:t>℃</w:t>
                  </w:r>
                  <w:r>
                    <w:rPr>
                      <w:rFonts w:hint="eastAsia"/>
                      <w:color w:val="auto"/>
                      <w:highlight w:val="none"/>
                      <w:lang w:val="en-US" w:eastAsia="zh-CN"/>
                    </w:rPr>
                    <w:t>深冷装置+--5</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冷凝装置</w:t>
                  </w:r>
                  <w:r>
                    <w:rPr>
                      <w:rFonts w:hint="eastAsia"/>
                      <w:color w:val="auto"/>
                      <w:highlight w:val="none"/>
                      <w:lang w:val="en-US" w:eastAsia="zh-CN"/>
                    </w:rPr>
                    <w:t>，一套碱洗+乙醇胺水洗塔装置+-5</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冷凝装置</w:t>
                  </w:r>
                  <w:r>
                    <w:rPr>
                      <w:rFonts w:hint="eastAsia"/>
                      <w:color w:val="auto"/>
                      <w:highlight w:val="none"/>
                      <w:lang w:val="en-US" w:eastAsia="zh-CN"/>
                    </w:rPr>
                    <w:t>，</w:t>
                  </w:r>
                  <w:r>
                    <w:rPr>
                      <w:rFonts w:hint="eastAsia" w:ascii="宋体" w:hAnsi="宋体" w:cs="宋体"/>
                      <w:color w:val="auto"/>
                      <w:highlight w:val="none"/>
                      <w:lang w:val="en-US" w:eastAsia="zh-CN"/>
                    </w:rPr>
                    <w:t>一套水洗塔</w:t>
                  </w:r>
                  <w:r>
                    <w:rPr>
                      <w:rFonts w:hint="eastAsia"/>
                      <w:color w:val="auto"/>
                      <w:highlight w:val="none"/>
                      <w:lang w:eastAsia="zh-CN"/>
                    </w:rPr>
                    <w:t>）</w:t>
                  </w:r>
                  <w:r>
                    <w:rPr>
                      <w:rFonts w:hint="eastAsia"/>
                      <w:color w:val="auto"/>
                      <w:highlight w:val="none"/>
                      <w:lang w:val="en-US" w:eastAsia="zh-CN"/>
                    </w:rPr>
                    <w:t>后</w:t>
                  </w:r>
                  <w:r>
                    <w:rPr>
                      <w:rFonts w:hint="default"/>
                      <w:color w:val="auto"/>
                      <w:highlight w:val="none"/>
                      <w:lang w:val="en-US" w:eastAsia="zh-CN"/>
                    </w:rPr>
                    <w:t>经一套催化氧化装置处理</w:t>
                  </w:r>
                </w:p>
              </w:tc>
              <w:tc>
                <w:tcPr>
                  <w:tcW w:w="552" w:type="pct"/>
                  <w:vMerge w:val="restart"/>
                  <w:tcBorders>
                    <w:tl2br w:val="nil"/>
                    <w:tr2bl w:val="nil"/>
                  </w:tcBorders>
                  <w:noWrap w:val="0"/>
                  <w:vAlign w:val="center"/>
                </w:tcPr>
                <w:p w14:paraId="0EE68256">
                  <w:pPr>
                    <w:pStyle w:val="63"/>
                    <w:keepNext w:val="0"/>
                    <w:keepLines w:val="0"/>
                    <w:suppressLineNumbers w:val="0"/>
                    <w:bidi w:val="0"/>
                    <w:spacing w:before="0" w:beforeAutospacing="0" w:after="0" w:afterAutospacing="0"/>
                    <w:ind w:left="0" w:right="0"/>
                    <w:rPr>
                      <w:rFonts w:hint="default" w:eastAsia="宋体"/>
                      <w:color w:val="auto"/>
                      <w:highlight w:val="none"/>
                      <w:lang w:val="en-US" w:eastAsia="zh-CN"/>
                    </w:rPr>
                  </w:pPr>
                  <w:r>
                    <w:rPr>
                      <w:rFonts w:hint="eastAsia"/>
                      <w:color w:val="auto"/>
                      <w:highlight w:val="none"/>
                      <w:lang w:val="en-US" w:eastAsia="zh-CN"/>
                    </w:rPr>
                    <w:t>DA001</w:t>
                  </w:r>
                </w:p>
              </w:tc>
              <w:tc>
                <w:tcPr>
                  <w:tcW w:w="469" w:type="pct"/>
                  <w:vMerge w:val="restart"/>
                  <w:tcBorders>
                    <w:tl2br w:val="nil"/>
                    <w:tr2bl w:val="nil"/>
                  </w:tcBorders>
                  <w:noWrap w:val="0"/>
                  <w:vAlign w:val="center"/>
                </w:tcPr>
                <w:p w14:paraId="7BBB2A62">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20米</w:t>
                  </w:r>
                </w:p>
              </w:tc>
              <w:tc>
                <w:tcPr>
                  <w:tcW w:w="1140" w:type="pct"/>
                  <w:vMerge w:val="restart"/>
                  <w:tcBorders>
                    <w:tl2br w:val="nil"/>
                    <w:tr2bl w:val="nil"/>
                  </w:tcBorders>
                  <w:noWrap w:val="0"/>
                  <w:vAlign w:val="center"/>
                </w:tcPr>
                <w:p w14:paraId="3ADB8F95">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rPr>
                    <w:t>达</w:t>
                  </w:r>
                  <w:r>
                    <w:rPr>
                      <w:rFonts w:hint="eastAsia"/>
                      <w:color w:val="auto"/>
                      <w:highlight w:val="none"/>
                      <w:lang w:val="en-US" w:eastAsia="zh-CN"/>
                    </w:rPr>
                    <w:t>DB32/4041-2021《大气污染物综合排放标准》和GB14554-93《恶臭污染物排放标准》</w:t>
                  </w:r>
                </w:p>
              </w:tc>
            </w:tr>
            <w:tr w14:paraId="25BA2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0FF9666C">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68046347">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甲苯</w:t>
                  </w:r>
                </w:p>
              </w:tc>
              <w:tc>
                <w:tcPr>
                  <w:tcW w:w="959" w:type="pct"/>
                  <w:vMerge w:val="continue"/>
                  <w:tcBorders>
                    <w:tl2br w:val="nil"/>
                    <w:tr2bl w:val="nil"/>
                  </w:tcBorders>
                  <w:noWrap w:val="0"/>
                  <w:vAlign w:val="center"/>
                </w:tcPr>
                <w:p w14:paraId="02A761FA">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3681E5F8">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7EEB37FA">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0B4CFC64">
                  <w:pPr>
                    <w:pStyle w:val="63"/>
                    <w:keepNext w:val="0"/>
                    <w:keepLines w:val="0"/>
                    <w:suppressLineNumbers w:val="0"/>
                    <w:bidi w:val="0"/>
                    <w:spacing w:before="0" w:beforeAutospacing="0" w:after="0" w:afterAutospacing="0"/>
                    <w:ind w:left="0" w:right="0"/>
                    <w:rPr>
                      <w:rFonts w:hint="default"/>
                      <w:color w:val="auto"/>
                      <w:highlight w:val="none"/>
                    </w:rPr>
                  </w:pPr>
                </w:p>
              </w:tc>
            </w:tr>
            <w:tr w14:paraId="130CA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1C461951">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1C10FAEA">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乙苯</w:t>
                  </w:r>
                </w:p>
              </w:tc>
              <w:tc>
                <w:tcPr>
                  <w:tcW w:w="959" w:type="pct"/>
                  <w:vMerge w:val="continue"/>
                  <w:tcBorders>
                    <w:tl2br w:val="nil"/>
                    <w:tr2bl w:val="nil"/>
                  </w:tcBorders>
                  <w:noWrap w:val="0"/>
                  <w:vAlign w:val="center"/>
                </w:tcPr>
                <w:p w14:paraId="576DE1AC">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6E0681FF">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59114929">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593044A3">
                  <w:pPr>
                    <w:pStyle w:val="63"/>
                    <w:keepNext w:val="0"/>
                    <w:keepLines w:val="0"/>
                    <w:suppressLineNumbers w:val="0"/>
                    <w:bidi w:val="0"/>
                    <w:spacing w:before="0" w:beforeAutospacing="0" w:after="0" w:afterAutospacing="0"/>
                    <w:ind w:left="0" w:right="0"/>
                    <w:rPr>
                      <w:rFonts w:hint="default"/>
                      <w:color w:val="auto"/>
                      <w:highlight w:val="none"/>
                    </w:rPr>
                  </w:pPr>
                </w:p>
              </w:tc>
            </w:tr>
            <w:tr w14:paraId="53A07B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7959172C">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2D784651">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苯酚</w:t>
                  </w:r>
                </w:p>
              </w:tc>
              <w:tc>
                <w:tcPr>
                  <w:tcW w:w="959" w:type="pct"/>
                  <w:vMerge w:val="continue"/>
                  <w:tcBorders>
                    <w:tl2br w:val="nil"/>
                    <w:tr2bl w:val="nil"/>
                  </w:tcBorders>
                  <w:noWrap w:val="0"/>
                  <w:vAlign w:val="center"/>
                </w:tcPr>
                <w:p w14:paraId="562A5BBC">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1AF28D92">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4704BB6A">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44E9CB7E">
                  <w:pPr>
                    <w:pStyle w:val="63"/>
                    <w:keepNext w:val="0"/>
                    <w:keepLines w:val="0"/>
                    <w:suppressLineNumbers w:val="0"/>
                    <w:bidi w:val="0"/>
                    <w:spacing w:before="0" w:beforeAutospacing="0" w:after="0" w:afterAutospacing="0"/>
                    <w:ind w:left="0" w:right="0"/>
                    <w:rPr>
                      <w:rFonts w:hint="default"/>
                      <w:color w:val="auto"/>
                      <w:highlight w:val="none"/>
                    </w:rPr>
                  </w:pPr>
                </w:p>
              </w:tc>
            </w:tr>
            <w:tr w14:paraId="7A3B0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4F6837B7">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33A60162">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二甲苯</w:t>
                  </w:r>
                </w:p>
              </w:tc>
              <w:tc>
                <w:tcPr>
                  <w:tcW w:w="959" w:type="pct"/>
                  <w:vMerge w:val="continue"/>
                  <w:tcBorders>
                    <w:tl2br w:val="nil"/>
                    <w:tr2bl w:val="nil"/>
                  </w:tcBorders>
                  <w:noWrap w:val="0"/>
                  <w:vAlign w:val="center"/>
                </w:tcPr>
                <w:p w14:paraId="5BD2D326">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302E802A">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2F572176">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09D8692C">
                  <w:pPr>
                    <w:pStyle w:val="63"/>
                    <w:keepNext w:val="0"/>
                    <w:keepLines w:val="0"/>
                    <w:suppressLineNumbers w:val="0"/>
                    <w:bidi w:val="0"/>
                    <w:spacing w:before="0" w:beforeAutospacing="0" w:after="0" w:afterAutospacing="0"/>
                    <w:ind w:left="0" w:right="0"/>
                    <w:rPr>
                      <w:rFonts w:hint="default"/>
                      <w:color w:val="auto"/>
                      <w:highlight w:val="none"/>
                    </w:rPr>
                  </w:pPr>
                </w:p>
              </w:tc>
            </w:tr>
            <w:tr w14:paraId="5FA0B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7F8A7302">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723DCF83">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苯</w:t>
                  </w:r>
                </w:p>
              </w:tc>
              <w:tc>
                <w:tcPr>
                  <w:tcW w:w="959" w:type="pct"/>
                  <w:vMerge w:val="continue"/>
                  <w:tcBorders>
                    <w:tl2br w:val="nil"/>
                    <w:tr2bl w:val="nil"/>
                  </w:tcBorders>
                  <w:noWrap w:val="0"/>
                  <w:vAlign w:val="center"/>
                </w:tcPr>
                <w:p w14:paraId="5706A1A3">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17ECD06B">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1E203023">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00B5B7C1">
                  <w:pPr>
                    <w:pStyle w:val="63"/>
                    <w:keepNext w:val="0"/>
                    <w:keepLines w:val="0"/>
                    <w:suppressLineNumbers w:val="0"/>
                    <w:bidi w:val="0"/>
                    <w:spacing w:before="0" w:beforeAutospacing="0" w:after="0" w:afterAutospacing="0"/>
                    <w:ind w:left="0" w:right="0"/>
                    <w:rPr>
                      <w:rFonts w:hint="default"/>
                      <w:color w:val="auto"/>
                      <w:highlight w:val="none"/>
                    </w:rPr>
                  </w:pPr>
                </w:p>
              </w:tc>
            </w:tr>
            <w:tr w14:paraId="5A3E60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042B8A6F">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54212421">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甲醇</w:t>
                  </w:r>
                </w:p>
              </w:tc>
              <w:tc>
                <w:tcPr>
                  <w:tcW w:w="959" w:type="pct"/>
                  <w:vMerge w:val="continue"/>
                  <w:tcBorders>
                    <w:tl2br w:val="nil"/>
                    <w:tr2bl w:val="nil"/>
                  </w:tcBorders>
                  <w:noWrap w:val="0"/>
                  <w:vAlign w:val="center"/>
                </w:tcPr>
                <w:p w14:paraId="668F5CE6">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78AB7131">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230D7430">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04BCF93B">
                  <w:pPr>
                    <w:pStyle w:val="63"/>
                    <w:keepNext w:val="0"/>
                    <w:keepLines w:val="0"/>
                    <w:suppressLineNumbers w:val="0"/>
                    <w:bidi w:val="0"/>
                    <w:spacing w:before="0" w:beforeAutospacing="0" w:after="0" w:afterAutospacing="0"/>
                    <w:ind w:left="0" w:right="0"/>
                    <w:rPr>
                      <w:rFonts w:hint="default"/>
                      <w:color w:val="auto"/>
                      <w:highlight w:val="none"/>
                    </w:rPr>
                  </w:pPr>
                </w:p>
              </w:tc>
            </w:tr>
            <w:tr w14:paraId="729357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105ECD62">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17E9882C">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颗粒物</w:t>
                  </w:r>
                </w:p>
              </w:tc>
              <w:tc>
                <w:tcPr>
                  <w:tcW w:w="959" w:type="pct"/>
                  <w:vMerge w:val="continue"/>
                  <w:tcBorders>
                    <w:tl2br w:val="nil"/>
                    <w:tr2bl w:val="nil"/>
                  </w:tcBorders>
                  <w:noWrap w:val="0"/>
                  <w:vAlign w:val="center"/>
                </w:tcPr>
                <w:p w14:paraId="69F2002E">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345EC3D4">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3C0AF927">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10799C6D">
                  <w:pPr>
                    <w:pStyle w:val="63"/>
                    <w:keepNext w:val="0"/>
                    <w:keepLines w:val="0"/>
                    <w:suppressLineNumbers w:val="0"/>
                    <w:bidi w:val="0"/>
                    <w:spacing w:before="0" w:beforeAutospacing="0" w:after="0" w:afterAutospacing="0"/>
                    <w:ind w:left="0" w:right="0"/>
                    <w:rPr>
                      <w:rFonts w:hint="default"/>
                      <w:color w:val="auto"/>
                      <w:highlight w:val="none"/>
                    </w:rPr>
                  </w:pPr>
                </w:p>
              </w:tc>
            </w:tr>
            <w:tr w14:paraId="5FC383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53EE8C40">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2C476836">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苯乙烯</w:t>
                  </w:r>
                </w:p>
              </w:tc>
              <w:tc>
                <w:tcPr>
                  <w:tcW w:w="959" w:type="pct"/>
                  <w:vMerge w:val="continue"/>
                  <w:tcBorders>
                    <w:tl2br w:val="nil"/>
                    <w:tr2bl w:val="nil"/>
                  </w:tcBorders>
                  <w:noWrap w:val="0"/>
                  <w:vAlign w:val="center"/>
                </w:tcPr>
                <w:p w14:paraId="7F52EAE9">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009B2FCA">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4C27BB52">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67838DF7">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2BC1C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65A86B44">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1B2C1202">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沥青烟</w:t>
                  </w:r>
                </w:p>
              </w:tc>
              <w:tc>
                <w:tcPr>
                  <w:tcW w:w="959" w:type="pct"/>
                  <w:vMerge w:val="continue"/>
                  <w:tcBorders>
                    <w:tl2br w:val="nil"/>
                    <w:tr2bl w:val="nil"/>
                  </w:tcBorders>
                  <w:noWrap w:val="0"/>
                  <w:vAlign w:val="center"/>
                </w:tcPr>
                <w:p w14:paraId="0C07B5F6">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6D438431">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012B2572">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301A46D2">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2A0C0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638326FC">
                  <w:pPr>
                    <w:pStyle w:val="63"/>
                    <w:keepNext w:val="0"/>
                    <w:keepLines w:val="0"/>
                    <w:suppressLineNumbers w:val="0"/>
                    <w:bidi w:val="0"/>
                    <w:spacing w:before="0" w:beforeAutospacing="0" w:after="0" w:afterAutospacing="0"/>
                    <w:ind w:left="0" w:right="0"/>
                    <w:rPr>
                      <w:rFonts w:hint="default"/>
                      <w:color w:val="auto"/>
                      <w:highlight w:val="none"/>
                    </w:rPr>
                  </w:pPr>
                </w:p>
              </w:tc>
              <w:tc>
                <w:tcPr>
                  <w:tcW w:w="945" w:type="pct"/>
                  <w:tcBorders>
                    <w:tl2br w:val="nil"/>
                    <w:tr2bl w:val="nil"/>
                  </w:tcBorders>
                  <w:noWrap w:val="0"/>
                  <w:vAlign w:val="center"/>
                </w:tcPr>
                <w:p w14:paraId="5207A867">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苯并[a]芘</w:t>
                  </w:r>
                </w:p>
              </w:tc>
              <w:tc>
                <w:tcPr>
                  <w:tcW w:w="959" w:type="pct"/>
                  <w:vMerge w:val="continue"/>
                  <w:tcBorders>
                    <w:tl2br w:val="nil"/>
                    <w:tr2bl w:val="nil"/>
                  </w:tcBorders>
                  <w:noWrap w:val="0"/>
                  <w:vAlign w:val="center"/>
                </w:tcPr>
                <w:p w14:paraId="16F0118F">
                  <w:pPr>
                    <w:pStyle w:val="63"/>
                    <w:keepNext w:val="0"/>
                    <w:keepLines w:val="0"/>
                    <w:suppressLineNumbers w:val="0"/>
                    <w:bidi w:val="0"/>
                    <w:spacing w:before="0" w:beforeAutospacing="0" w:after="0" w:afterAutospacing="0"/>
                    <w:ind w:left="0" w:right="0"/>
                    <w:rPr>
                      <w:rFonts w:hint="default"/>
                      <w:color w:val="auto"/>
                      <w:highlight w:val="none"/>
                    </w:rPr>
                  </w:pPr>
                </w:p>
              </w:tc>
              <w:tc>
                <w:tcPr>
                  <w:tcW w:w="552" w:type="pct"/>
                  <w:vMerge w:val="continue"/>
                  <w:tcBorders>
                    <w:tl2br w:val="nil"/>
                    <w:tr2bl w:val="nil"/>
                  </w:tcBorders>
                  <w:noWrap w:val="0"/>
                  <w:vAlign w:val="center"/>
                </w:tcPr>
                <w:p w14:paraId="2D3BFDA9">
                  <w:pPr>
                    <w:pStyle w:val="63"/>
                    <w:keepNext w:val="0"/>
                    <w:keepLines w:val="0"/>
                    <w:suppressLineNumbers w:val="0"/>
                    <w:bidi w:val="0"/>
                    <w:spacing w:before="0" w:beforeAutospacing="0" w:after="0" w:afterAutospacing="0"/>
                    <w:ind w:left="0" w:right="0"/>
                    <w:rPr>
                      <w:rFonts w:hint="default"/>
                      <w:color w:val="auto"/>
                      <w:highlight w:val="none"/>
                    </w:rPr>
                  </w:pPr>
                </w:p>
              </w:tc>
              <w:tc>
                <w:tcPr>
                  <w:tcW w:w="469" w:type="pct"/>
                  <w:vMerge w:val="continue"/>
                  <w:tcBorders>
                    <w:tl2br w:val="nil"/>
                    <w:tr2bl w:val="nil"/>
                  </w:tcBorders>
                  <w:noWrap w:val="0"/>
                  <w:vAlign w:val="center"/>
                </w:tcPr>
                <w:p w14:paraId="24D19E62">
                  <w:pPr>
                    <w:pStyle w:val="63"/>
                    <w:keepNext w:val="0"/>
                    <w:keepLines w:val="0"/>
                    <w:suppressLineNumbers w:val="0"/>
                    <w:bidi w:val="0"/>
                    <w:spacing w:before="0" w:beforeAutospacing="0" w:after="0" w:afterAutospacing="0"/>
                    <w:ind w:left="0" w:right="0"/>
                    <w:rPr>
                      <w:rFonts w:hint="default"/>
                      <w:color w:val="auto"/>
                      <w:highlight w:val="none"/>
                    </w:rPr>
                  </w:pPr>
                </w:p>
              </w:tc>
              <w:tc>
                <w:tcPr>
                  <w:tcW w:w="1140" w:type="pct"/>
                  <w:vMerge w:val="continue"/>
                  <w:tcBorders>
                    <w:tl2br w:val="nil"/>
                    <w:tr2bl w:val="nil"/>
                  </w:tcBorders>
                  <w:noWrap w:val="0"/>
                  <w:vAlign w:val="center"/>
                </w:tcPr>
                <w:p w14:paraId="3EA05C3A">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054E5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restart"/>
                  <w:tcBorders>
                    <w:tl2br w:val="nil"/>
                    <w:tr2bl w:val="nil"/>
                  </w:tcBorders>
                  <w:noWrap w:val="0"/>
                  <w:vAlign w:val="center"/>
                </w:tcPr>
                <w:p w14:paraId="20314271">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锅炉天然气燃烧废气</w:t>
                  </w:r>
                </w:p>
              </w:tc>
              <w:tc>
                <w:tcPr>
                  <w:tcW w:w="945" w:type="pct"/>
                  <w:tcBorders>
                    <w:tl2br w:val="nil"/>
                    <w:tr2bl w:val="nil"/>
                  </w:tcBorders>
                  <w:noWrap w:val="0"/>
                  <w:vAlign w:val="center"/>
                </w:tcPr>
                <w:p w14:paraId="18C6E0AC">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颗粒物</w:t>
                  </w:r>
                </w:p>
              </w:tc>
              <w:tc>
                <w:tcPr>
                  <w:tcW w:w="959" w:type="pct"/>
                  <w:vMerge w:val="restart"/>
                  <w:tcBorders>
                    <w:tl2br w:val="nil"/>
                    <w:tr2bl w:val="nil"/>
                  </w:tcBorders>
                  <w:noWrap w:val="0"/>
                  <w:vAlign w:val="center"/>
                </w:tcPr>
                <w:p w14:paraId="6A39C1D6">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w:t>
                  </w:r>
                </w:p>
              </w:tc>
              <w:tc>
                <w:tcPr>
                  <w:tcW w:w="552" w:type="pct"/>
                  <w:vMerge w:val="restart"/>
                  <w:tcBorders>
                    <w:tl2br w:val="nil"/>
                    <w:tr2bl w:val="nil"/>
                  </w:tcBorders>
                  <w:noWrap w:val="0"/>
                  <w:vAlign w:val="center"/>
                </w:tcPr>
                <w:p w14:paraId="531C9538">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DA002</w:t>
                  </w:r>
                </w:p>
              </w:tc>
              <w:tc>
                <w:tcPr>
                  <w:tcW w:w="469" w:type="pct"/>
                  <w:vMerge w:val="restart"/>
                  <w:tcBorders>
                    <w:tl2br w:val="nil"/>
                    <w:tr2bl w:val="nil"/>
                  </w:tcBorders>
                  <w:noWrap w:val="0"/>
                  <w:vAlign w:val="center"/>
                </w:tcPr>
                <w:p w14:paraId="68288E79">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15米</w:t>
                  </w:r>
                </w:p>
              </w:tc>
              <w:tc>
                <w:tcPr>
                  <w:tcW w:w="1140" w:type="pct"/>
                  <w:vMerge w:val="restart"/>
                  <w:tcBorders>
                    <w:tl2br w:val="nil"/>
                    <w:tr2bl w:val="nil"/>
                  </w:tcBorders>
                  <w:noWrap w:val="0"/>
                  <w:vAlign w:val="center"/>
                </w:tcPr>
                <w:p w14:paraId="5A9DC724">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default"/>
                      <w:color w:val="auto"/>
                      <w:highlight w:val="none"/>
                    </w:rPr>
                    <w:t>达DB32/4385-2022《锅炉大气污染物排放标准》</w:t>
                  </w:r>
                </w:p>
              </w:tc>
            </w:tr>
            <w:tr w14:paraId="0FA96F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06C3DD9D">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945" w:type="pct"/>
                  <w:tcBorders>
                    <w:tl2br w:val="nil"/>
                    <w:tr2bl w:val="nil"/>
                  </w:tcBorders>
                  <w:noWrap w:val="0"/>
                  <w:vAlign w:val="center"/>
                </w:tcPr>
                <w:p w14:paraId="14679749">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二氧化硫</w:t>
                  </w:r>
                </w:p>
              </w:tc>
              <w:tc>
                <w:tcPr>
                  <w:tcW w:w="959" w:type="pct"/>
                  <w:vMerge w:val="continue"/>
                  <w:tcBorders>
                    <w:tl2br w:val="nil"/>
                    <w:tr2bl w:val="nil"/>
                  </w:tcBorders>
                  <w:noWrap w:val="0"/>
                  <w:vAlign w:val="center"/>
                </w:tcPr>
                <w:p w14:paraId="1C0DD376">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552" w:type="pct"/>
                  <w:vMerge w:val="continue"/>
                  <w:tcBorders>
                    <w:tl2br w:val="nil"/>
                    <w:tr2bl w:val="nil"/>
                  </w:tcBorders>
                  <w:noWrap w:val="0"/>
                  <w:vAlign w:val="center"/>
                </w:tcPr>
                <w:p w14:paraId="60683F96">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69" w:type="pct"/>
                  <w:vMerge w:val="continue"/>
                  <w:tcBorders>
                    <w:tl2br w:val="nil"/>
                    <w:tr2bl w:val="nil"/>
                  </w:tcBorders>
                  <w:noWrap w:val="0"/>
                  <w:vAlign w:val="center"/>
                </w:tcPr>
                <w:p w14:paraId="166399E8">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140" w:type="pct"/>
                  <w:vMerge w:val="continue"/>
                  <w:tcBorders>
                    <w:tl2br w:val="nil"/>
                    <w:tr2bl w:val="nil"/>
                  </w:tcBorders>
                  <w:noWrap w:val="0"/>
                  <w:vAlign w:val="center"/>
                </w:tcPr>
                <w:p w14:paraId="212A9904">
                  <w:pPr>
                    <w:pStyle w:val="63"/>
                    <w:keepNext w:val="0"/>
                    <w:keepLines w:val="0"/>
                    <w:suppressLineNumbers w:val="0"/>
                    <w:bidi w:val="0"/>
                    <w:spacing w:before="0" w:beforeAutospacing="0" w:after="0" w:afterAutospacing="0"/>
                    <w:ind w:left="0" w:right="0"/>
                    <w:rPr>
                      <w:rFonts w:hint="default"/>
                      <w:color w:val="auto"/>
                      <w:highlight w:val="none"/>
                    </w:rPr>
                  </w:pPr>
                </w:p>
              </w:tc>
            </w:tr>
            <w:tr w14:paraId="66B2A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32B5BB9E">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945" w:type="pct"/>
                  <w:tcBorders>
                    <w:tl2br w:val="nil"/>
                    <w:tr2bl w:val="nil"/>
                  </w:tcBorders>
                  <w:noWrap w:val="0"/>
                  <w:vAlign w:val="center"/>
                </w:tcPr>
                <w:p w14:paraId="33835898">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氮氧化物</w:t>
                  </w:r>
                </w:p>
              </w:tc>
              <w:tc>
                <w:tcPr>
                  <w:tcW w:w="959" w:type="pct"/>
                  <w:vMerge w:val="continue"/>
                  <w:tcBorders>
                    <w:tl2br w:val="nil"/>
                    <w:tr2bl w:val="nil"/>
                  </w:tcBorders>
                  <w:noWrap w:val="0"/>
                  <w:vAlign w:val="center"/>
                </w:tcPr>
                <w:p w14:paraId="74F80544">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552" w:type="pct"/>
                  <w:vMerge w:val="continue"/>
                  <w:tcBorders>
                    <w:tl2br w:val="nil"/>
                    <w:tr2bl w:val="nil"/>
                  </w:tcBorders>
                  <w:noWrap w:val="0"/>
                  <w:vAlign w:val="center"/>
                </w:tcPr>
                <w:p w14:paraId="3BCA5BDF">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69" w:type="pct"/>
                  <w:vMerge w:val="continue"/>
                  <w:tcBorders>
                    <w:tl2br w:val="nil"/>
                    <w:tr2bl w:val="nil"/>
                  </w:tcBorders>
                  <w:noWrap w:val="0"/>
                  <w:vAlign w:val="center"/>
                </w:tcPr>
                <w:p w14:paraId="2A1E242D">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140" w:type="pct"/>
                  <w:vMerge w:val="continue"/>
                  <w:tcBorders>
                    <w:tl2br w:val="nil"/>
                    <w:tr2bl w:val="nil"/>
                  </w:tcBorders>
                  <w:noWrap w:val="0"/>
                  <w:vAlign w:val="center"/>
                </w:tcPr>
                <w:p w14:paraId="7E4C58DE">
                  <w:pPr>
                    <w:pStyle w:val="63"/>
                    <w:keepNext w:val="0"/>
                    <w:keepLines w:val="0"/>
                    <w:suppressLineNumbers w:val="0"/>
                    <w:bidi w:val="0"/>
                    <w:spacing w:before="0" w:beforeAutospacing="0" w:after="0" w:afterAutospacing="0"/>
                    <w:ind w:left="0" w:right="0"/>
                    <w:rPr>
                      <w:rFonts w:hint="default"/>
                      <w:color w:val="auto"/>
                      <w:highlight w:val="none"/>
                    </w:rPr>
                  </w:pPr>
                </w:p>
              </w:tc>
            </w:tr>
            <w:tr w14:paraId="529F5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114EE0EA">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945" w:type="pct"/>
                  <w:tcBorders>
                    <w:tl2br w:val="nil"/>
                    <w:tr2bl w:val="nil"/>
                  </w:tcBorders>
                  <w:noWrap w:val="0"/>
                  <w:vAlign w:val="center"/>
                </w:tcPr>
                <w:p w14:paraId="71324A00">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林格曼黑度</w:t>
                  </w:r>
                </w:p>
              </w:tc>
              <w:tc>
                <w:tcPr>
                  <w:tcW w:w="959" w:type="pct"/>
                  <w:vMerge w:val="continue"/>
                  <w:tcBorders>
                    <w:tl2br w:val="nil"/>
                    <w:tr2bl w:val="nil"/>
                  </w:tcBorders>
                  <w:noWrap w:val="0"/>
                  <w:vAlign w:val="center"/>
                </w:tcPr>
                <w:p w14:paraId="755E4B4E">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552" w:type="pct"/>
                  <w:vMerge w:val="continue"/>
                  <w:tcBorders>
                    <w:tl2br w:val="nil"/>
                    <w:tr2bl w:val="nil"/>
                  </w:tcBorders>
                  <w:noWrap w:val="0"/>
                  <w:vAlign w:val="center"/>
                </w:tcPr>
                <w:p w14:paraId="3A33E7B5">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69" w:type="pct"/>
                  <w:vMerge w:val="continue"/>
                  <w:tcBorders>
                    <w:tl2br w:val="nil"/>
                    <w:tr2bl w:val="nil"/>
                  </w:tcBorders>
                  <w:noWrap w:val="0"/>
                  <w:vAlign w:val="center"/>
                </w:tcPr>
                <w:p w14:paraId="6A0D0349">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140" w:type="pct"/>
                  <w:vMerge w:val="continue"/>
                  <w:tcBorders>
                    <w:tl2br w:val="nil"/>
                    <w:tr2bl w:val="nil"/>
                  </w:tcBorders>
                  <w:noWrap w:val="0"/>
                  <w:vAlign w:val="center"/>
                </w:tcPr>
                <w:p w14:paraId="491E34C6">
                  <w:pPr>
                    <w:pStyle w:val="63"/>
                    <w:keepNext w:val="0"/>
                    <w:keepLines w:val="0"/>
                    <w:suppressLineNumbers w:val="0"/>
                    <w:bidi w:val="0"/>
                    <w:spacing w:before="0" w:beforeAutospacing="0" w:after="0" w:afterAutospacing="0"/>
                    <w:ind w:left="0" w:right="0"/>
                    <w:rPr>
                      <w:rFonts w:hint="default"/>
                      <w:color w:val="auto"/>
                      <w:highlight w:val="none"/>
                    </w:rPr>
                  </w:pPr>
                </w:p>
              </w:tc>
            </w:tr>
            <w:tr w14:paraId="4FE16D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restart"/>
                  <w:tcBorders>
                    <w:tl2br w:val="nil"/>
                    <w:tr2bl w:val="nil"/>
                  </w:tcBorders>
                  <w:noWrap w:val="0"/>
                  <w:vAlign w:val="center"/>
                </w:tcPr>
                <w:p w14:paraId="7784F3CA">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污水处理站</w:t>
                  </w:r>
                  <w:r>
                    <w:rPr>
                      <w:rFonts w:hint="eastAsia"/>
                      <w:color w:val="auto"/>
                      <w:highlight w:val="none"/>
                      <w:lang w:val="en-US" w:eastAsia="zh-CN"/>
                    </w:rPr>
                    <w:t>厌氧池</w:t>
                  </w:r>
                  <w:r>
                    <w:rPr>
                      <w:rFonts w:hint="default"/>
                      <w:color w:val="auto"/>
                      <w:highlight w:val="none"/>
                      <w:lang w:val="en-US" w:eastAsia="zh-CN"/>
                    </w:rPr>
                    <w:t>废气</w:t>
                  </w:r>
                </w:p>
              </w:tc>
              <w:tc>
                <w:tcPr>
                  <w:tcW w:w="945" w:type="pct"/>
                  <w:tcBorders>
                    <w:tl2br w:val="nil"/>
                    <w:tr2bl w:val="nil"/>
                  </w:tcBorders>
                  <w:noWrap w:val="0"/>
                  <w:vAlign w:val="center"/>
                </w:tcPr>
                <w:p w14:paraId="2695D397">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硫化氢</w:t>
                  </w:r>
                </w:p>
              </w:tc>
              <w:tc>
                <w:tcPr>
                  <w:tcW w:w="959" w:type="pct"/>
                  <w:vMerge w:val="restart"/>
                  <w:tcBorders>
                    <w:tl2br w:val="nil"/>
                    <w:tr2bl w:val="nil"/>
                  </w:tcBorders>
                  <w:noWrap w:val="0"/>
                  <w:vAlign w:val="center"/>
                </w:tcPr>
                <w:p w14:paraId="19337DA6">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碱喷淋装置</w:t>
                  </w:r>
                </w:p>
              </w:tc>
              <w:tc>
                <w:tcPr>
                  <w:tcW w:w="552" w:type="pct"/>
                  <w:vMerge w:val="restart"/>
                  <w:tcBorders>
                    <w:tl2br w:val="nil"/>
                    <w:tr2bl w:val="nil"/>
                  </w:tcBorders>
                  <w:noWrap w:val="0"/>
                  <w:vAlign w:val="center"/>
                </w:tcPr>
                <w:p w14:paraId="150E1DB7">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DA003</w:t>
                  </w:r>
                </w:p>
              </w:tc>
              <w:tc>
                <w:tcPr>
                  <w:tcW w:w="469" w:type="pct"/>
                  <w:vMerge w:val="restart"/>
                  <w:tcBorders>
                    <w:tl2br w:val="nil"/>
                    <w:tr2bl w:val="nil"/>
                  </w:tcBorders>
                  <w:noWrap w:val="0"/>
                  <w:vAlign w:val="center"/>
                </w:tcPr>
                <w:p w14:paraId="1941AD18">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15米</w:t>
                  </w:r>
                </w:p>
              </w:tc>
              <w:tc>
                <w:tcPr>
                  <w:tcW w:w="1140" w:type="pct"/>
                  <w:vMerge w:val="restart"/>
                  <w:tcBorders>
                    <w:tl2br w:val="nil"/>
                    <w:tr2bl w:val="nil"/>
                  </w:tcBorders>
                  <w:noWrap w:val="0"/>
                  <w:vAlign w:val="center"/>
                </w:tcPr>
                <w:p w14:paraId="0428A094">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达GB14554-93《恶臭污染物排放标准》</w:t>
                  </w:r>
                </w:p>
              </w:tc>
            </w:tr>
            <w:tr w14:paraId="771A6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63253F5C">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945" w:type="pct"/>
                  <w:tcBorders>
                    <w:tl2br w:val="nil"/>
                    <w:tr2bl w:val="nil"/>
                  </w:tcBorders>
                  <w:noWrap w:val="0"/>
                  <w:vAlign w:val="center"/>
                </w:tcPr>
                <w:p w14:paraId="43C2F403">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氨</w:t>
                  </w:r>
                </w:p>
              </w:tc>
              <w:tc>
                <w:tcPr>
                  <w:tcW w:w="959" w:type="pct"/>
                  <w:vMerge w:val="continue"/>
                  <w:tcBorders>
                    <w:tl2br w:val="nil"/>
                    <w:tr2bl w:val="nil"/>
                  </w:tcBorders>
                  <w:noWrap w:val="0"/>
                  <w:vAlign w:val="center"/>
                </w:tcPr>
                <w:p w14:paraId="6891C0DE">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552" w:type="pct"/>
                  <w:vMerge w:val="continue"/>
                  <w:tcBorders>
                    <w:tl2br w:val="nil"/>
                    <w:tr2bl w:val="nil"/>
                  </w:tcBorders>
                  <w:noWrap w:val="0"/>
                  <w:vAlign w:val="center"/>
                </w:tcPr>
                <w:p w14:paraId="6B510D70">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69" w:type="pct"/>
                  <w:vMerge w:val="continue"/>
                  <w:tcBorders>
                    <w:tl2br w:val="nil"/>
                    <w:tr2bl w:val="nil"/>
                  </w:tcBorders>
                  <w:noWrap w:val="0"/>
                  <w:vAlign w:val="center"/>
                </w:tcPr>
                <w:p w14:paraId="40731F80">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140" w:type="pct"/>
                  <w:vMerge w:val="continue"/>
                  <w:tcBorders>
                    <w:tl2br w:val="nil"/>
                    <w:tr2bl w:val="nil"/>
                  </w:tcBorders>
                  <w:noWrap w:val="0"/>
                  <w:vAlign w:val="center"/>
                </w:tcPr>
                <w:p w14:paraId="69CAD078">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r>
            <w:tr w14:paraId="1D5E3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933" w:type="pct"/>
                  <w:vMerge w:val="continue"/>
                  <w:tcBorders>
                    <w:tl2br w:val="nil"/>
                    <w:tr2bl w:val="nil"/>
                  </w:tcBorders>
                  <w:noWrap w:val="0"/>
                  <w:vAlign w:val="center"/>
                </w:tcPr>
                <w:p w14:paraId="146AC91D">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p>
              </w:tc>
              <w:tc>
                <w:tcPr>
                  <w:tcW w:w="945" w:type="pct"/>
                  <w:tcBorders>
                    <w:tl2br w:val="nil"/>
                    <w:tr2bl w:val="nil"/>
                  </w:tcBorders>
                  <w:noWrap w:val="0"/>
                  <w:vAlign w:val="center"/>
                </w:tcPr>
                <w:p w14:paraId="492678B1">
                  <w:pPr>
                    <w:pStyle w:val="63"/>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臭气浓度</w:t>
                  </w:r>
                </w:p>
              </w:tc>
              <w:tc>
                <w:tcPr>
                  <w:tcW w:w="959" w:type="pct"/>
                  <w:vMerge w:val="continue"/>
                  <w:tcBorders>
                    <w:tl2br w:val="nil"/>
                    <w:tr2bl w:val="nil"/>
                  </w:tcBorders>
                  <w:noWrap w:val="0"/>
                  <w:vAlign w:val="center"/>
                </w:tcPr>
                <w:p w14:paraId="546C676C">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552" w:type="pct"/>
                  <w:vMerge w:val="continue"/>
                  <w:tcBorders>
                    <w:tl2br w:val="nil"/>
                    <w:tr2bl w:val="nil"/>
                  </w:tcBorders>
                  <w:noWrap w:val="0"/>
                  <w:vAlign w:val="center"/>
                </w:tcPr>
                <w:p w14:paraId="77722767">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469" w:type="pct"/>
                  <w:vMerge w:val="continue"/>
                  <w:tcBorders>
                    <w:tl2br w:val="nil"/>
                    <w:tr2bl w:val="nil"/>
                  </w:tcBorders>
                  <w:noWrap w:val="0"/>
                  <w:vAlign w:val="center"/>
                </w:tcPr>
                <w:p w14:paraId="3E8B36F3">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c>
                <w:tcPr>
                  <w:tcW w:w="1140" w:type="pct"/>
                  <w:vMerge w:val="continue"/>
                  <w:tcBorders>
                    <w:tl2br w:val="nil"/>
                    <w:tr2bl w:val="nil"/>
                  </w:tcBorders>
                  <w:noWrap w:val="0"/>
                  <w:vAlign w:val="center"/>
                </w:tcPr>
                <w:p w14:paraId="31339CC8">
                  <w:pPr>
                    <w:pStyle w:val="63"/>
                    <w:keepNext w:val="0"/>
                    <w:keepLines w:val="0"/>
                    <w:suppressLineNumbers w:val="0"/>
                    <w:bidi w:val="0"/>
                    <w:spacing w:before="0" w:beforeAutospacing="0" w:after="0" w:afterAutospacing="0"/>
                    <w:ind w:left="0" w:right="0"/>
                    <w:rPr>
                      <w:rFonts w:hint="eastAsia"/>
                      <w:color w:val="auto"/>
                      <w:highlight w:val="none"/>
                      <w:lang w:val="en-US" w:eastAsia="zh-CN"/>
                    </w:rPr>
                  </w:pPr>
                </w:p>
              </w:tc>
            </w:tr>
          </w:tbl>
          <w:p w14:paraId="46548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b/>
                <w:bCs/>
                <w:color w:val="auto"/>
                <w:kern w:val="0"/>
                <w:sz w:val="15"/>
                <w:szCs w:val="15"/>
                <w:highlight w:val="none"/>
              </w:rPr>
            </w:pPr>
          </w:p>
          <w:p w14:paraId="6FD76EC4">
            <w:pPr>
              <w:keepNext w:val="0"/>
              <w:keepLines w:val="0"/>
              <w:suppressLineNumbers w:val="0"/>
              <w:adjustRightInd w:val="0"/>
              <w:snapToGrid w:val="0"/>
              <w:spacing w:before="0" w:beforeAutospacing="0" w:after="0" w:afterAutospacing="0" w:line="360" w:lineRule="auto"/>
              <w:ind w:left="0" w:right="0" w:firstLine="422" w:firstLineChars="200"/>
              <w:jc w:val="both"/>
              <w:rPr>
                <w:rFonts w:hint="eastAsia"/>
                <w:b/>
                <w:bCs/>
                <w:color w:val="auto"/>
                <w:kern w:val="0"/>
                <w:szCs w:val="21"/>
                <w:highlight w:val="none"/>
              </w:rPr>
            </w:pPr>
            <w:r>
              <w:rPr>
                <w:rFonts w:hint="eastAsia"/>
                <w:b/>
                <w:bCs/>
                <w:color w:val="auto"/>
                <w:kern w:val="0"/>
                <w:szCs w:val="21"/>
                <w:highlight w:val="none"/>
                <w:lang w:val="en-US" w:eastAsia="zh-CN"/>
              </w:rPr>
              <w:t>本次引用已批复《8000吨/年废矿物油收集项目环境影响报告书》中已建项目</w:t>
            </w:r>
            <w:r>
              <w:rPr>
                <w:rFonts w:hint="eastAsia"/>
                <w:b/>
                <w:bCs/>
                <w:color w:val="auto"/>
                <w:kern w:val="0"/>
                <w:szCs w:val="21"/>
                <w:highlight w:val="none"/>
              </w:rPr>
              <w:t>核定排放量：</w:t>
            </w:r>
          </w:p>
          <w:p w14:paraId="2F80037B">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物料装车（船）过程产生的废气、扫线废气、装车台废气、槽罐车清洗废气产生量较少，不定量分析，经催化氧化装置处理达标后通过一根20米高的排气筒DA001排放。</w:t>
            </w:r>
          </w:p>
          <w:p w14:paraId="22FDD099">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罐区废气：罐区有醚类、醇类、芳烃类等挥发废气，均以VOCs表征，经催化氧化装置处理达标后通过一根20米高的排气筒DA001排放</w:t>
            </w:r>
            <w:r>
              <w:rPr>
                <w:rFonts w:hint="eastAsia"/>
                <w:color w:val="auto"/>
                <w:kern w:val="0"/>
                <w:szCs w:val="21"/>
                <w:highlight w:val="none"/>
                <w:lang w:val="en-US" w:eastAsia="zh-CN"/>
              </w:rPr>
              <w:t>。</w:t>
            </w:r>
            <w:r>
              <w:rPr>
                <w:rFonts w:hint="eastAsia"/>
                <w:color w:val="auto"/>
                <w:kern w:val="0"/>
                <w:szCs w:val="21"/>
                <w:highlight w:val="none"/>
              </w:rPr>
              <w:t>有组织排放VOCs2.4485t/a，去除效率90%。</w:t>
            </w:r>
          </w:p>
          <w:p w14:paraId="12BD3947">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洗舱站废气：洗舱站有醚类、醇类、芳烃类等废气产生，均以VOCs表征，经催化氧化装置处理（收集效率100%、去除效率90%）达标后通过一根20米高的排气筒DA001排放</w:t>
            </w:r>
            <w:r>
              <w:rPr>
                <w:rFonts w:hint="eastAsia"/>
                <w:color w:val="auto"/>
                <w:kern w:val="0"/>
                <w:szCs w:val="21"/>
                <w:highlight w:val="none"/>
                <w:lang w:eastAsia="zh-CN"/>
              </w:rPr>
              <w:t>。</w:t>
            </w:r>
            <w:r>
              <w:rPr>
                <w:rFonts w:hint="eastAsia"/>
                <w:color w:val="auto"/>
                <w:kern w:val="0"/>
                <w:szCs w:val="21"/>
                <w:highlight w:val="none"/>
              </w:rPr>
              <w:t>有组织排放VOCs0.7412t/a。</w:t>
            </w:r>
          </w:p>
          <w:p w14:paraId="2B729BE5">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锅炉产生的天然气燃烧废气（颗粒物0.1301t/a、0.2t/a、0.94t/a）经1根15米高排气筒DA002排放。</w:t>
            </w:r>
          </w:p>
          <w:p w14:paraId="548AE569">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污水处理站产生的硫化氢、氨（不定量分析），</w:t>
            </w:r>
            <w:r>
              <w:rPr>
                <w:rFonts w:hint="default" w:ascii="Times New Roman" w:hAnsi="Times New Roman" w:eastAsia="宋体" w:cs="Times New Roman"/>
                <w:color w:val="auto"/>
                <w:kern w:val="0"/>
                <w:szCs w:val="21"/>
                <w:highlight w:val="none"/>
                <w:lang w:val="en-US" w:eastAsia="zh-CN"/>
              </w:rPr>
              <w:t>污水处理站</w:t>
            </w:r>
            <w:r>
              <w:rPr>
                <w:rFonts w:hint="eastAsia" w:ascii="Times New Roman" w:hAnsi="Times New Roman" w:eastAsia="宋体" w:cs="Times New Roman"/>
                <w:color w:val="auto"/>
                <w:kern w:val="0"/>
                <w:szCs w:val="21"/>
                <w:highlight w:val="none"/>
                <w:lang w:val="en-US" w:eastAsia="zh-CN"/>
              </w:rPr>
              <w:t>2厌氧塔</w:t>
            </w:r>
            <w:r>
              <w:rPr>
                <w:rFonts w:hint="default" w:ascii="Times New Roman" w:hAnsi="Times New Roman" w:eastAsia="宋体" w:cs="Times New Roman"/>
                <w:color w:val="auto"/>
                <w:kern w:val="0"/>
                <w:szCs w:val="21"/>
                <w:highlight w:val="none"/>
                <w:lang w:val="en-US" w:eastAsia="zh-CN"/>
              </w:rPr>
              <w:t>产生的硫化氢、氨经1套碱喷淋装置处理后通过1根15米高排气筒</w:t>
            </w:r>
            <w:r>
              <w:rPr>
                <w:rFonts w:hint="eastAsia" w:ascii="Times New Roman" w:hAnsi="Times New Roman" w:eastAsia="宋体" w:cs="Times New Roman"/>
                <w:color w:val="auto"/>
                <w:kern w:val="0"/>
                <w:szCs w:val="21"/>
                <w:highlight w:val="none"/>
                <w:lang w:val="en-US" w:eastAsia="zh-CN"/>
              </w:rPr>
              <w:t>DA003</w:t>
            </w:r>
            <w:r>
              <w:rPr>
                <w:rFonts w:hint="default" w:ascii="Times New Roman" w:hAnsi="Times New Roman" w:eastAsia="宋体" w:cs="Times New Roman"/>
                <w:color w:val="auto"/>
                <w:kern w:val="0"/>
                <w:szCs w:val="21"/>
                <w:highlight w:val="none"/>
                <w:lang w:val="en-US" w:eastAsia="zh-CN"/>
              </w:rPr>
              <w:t>排放</w:t>
            </w:r>
            <w:r>
              <w:rPr>
                <w:rFonts w:hint="eastAsia" w:ascii="Times New Roman" w:hAnsi="Times New Roman" w:eastAsia="宋体" w:cs="Times New Roman"/>
                <w:color w:val="auto"/>
                <w:kern w:val="0"/>
                <w:szCs w:val="21"/>
                <w:highlight w:val="none"/>
                <w:lang w:val="en-US" w:eastAsia="zh-CN"/>
              </w:rPr>
              <w:t>，其余工序废气经收集后</w:t>
            </w:r>
            <w:r>
              <w:rPr>
                <w:rFonts w:hint="default" w:ascii="Times New Roman" w:hAnsi="Times New Roman" w:eastAsia="宋体" w:cs="Times New Roman"/>
                <w:color w:val="auto"/>
                <w:kern w:val="0"/>
                <w:szCs w:val="21"/>
                <w:highlight w:val="none"/>
                <w:lang w:val="en-US" w:eastAsia="zh-CN"/>
              </w:rPr>
              <w:t>接入催化氧化装置</w:t>
            </w:r>
            <w:r>
              <w:rPr>
                <w:rFonts w:hint="eastAsia" w:ascii="Times New Roman" w:hAnsi="Times New Roman" w:eastAsia="宋体" w:cs="Times New Roman"/>
                <w:color w:val="auto"/>
                <w:kern w:val="0"/>
                <w:szCs w:val="21"/>
                <w:highlight w:val="none"/>
                <w:lang w:val="en-US" w:eastAsia="zh-CN"/>
              </w:rPr>
              <w:t>处理后</w:t>
            </w:r>
            <w:r>
              <w:rPr>
                <w:rFonts w:hint="default" w:ascii="Times New Roman" w:hAnsi="Times New Roman" w:eastAsia="宋体" w:cs="Times New Roman"/>
                <w:color w:val="auto"/>
                <w:kern w:val="0"/>
                <w:szCs w:val="21"/>
                <w:highlight w:val="none"/>
                <w:lang w:val="en-US" w:eastAsia="zh-CN"/>
              </w:rPr>
              <w:t>通过一根20米高的排气筒</w:t>
            </w:r>
            <w:r>
              <w:rPr>
                <w:rFonts w:hint="eastAsia" w:ascii="Times New Roman" w:hAnsi="Times New Roman" w:eastAsia="宋体" w:cs="Times New Roman"/>
                <w:color w:val="auto"/>
                <w:kern w:val="0"/>
                <w:szCs w:val="21"/>
                <w:highlight w:val="none"/>
                <w:lang w:val="en-US" w:eastAsia="zh-CN"/>
              </w:rPr>
              <w:t>DA001</w:t>
            </w:r>
            <w:r>
              <w:rPr>
                <w:rFonts w:hint="default" w:ascii="Times New Roman" w:hAnsi="Times New Roman" w:eastAsia="宋体" w:cs="Times New Roman"/>
                <w:color w:val="auto"/>
                <w:kern w:val="0"/>
                <w:szCs w:val="21"/>
                <w:highlight w:val="none"/>
                <w:lang w:val="en-US" w:eastAsia="zh-CN"/>
              </w:rPr>
              <w:t>排放</w:t>
            </w:r>
            <w:r>
              <w:rPr>
                <w:rFonts w:hint="eastAsia"/>
                <w:color w:val="auto"/>
                <w:kern w:val="0"/>
                <w:szCs w:val="21"/>
                <w:highlight w:val="none"/>
              </w:rPr>
              <w:t>。</w:t>
            </w:r>
          </w:p>
          <w:p w14:paraId="2A7056DB">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罐区未捕集废气VOCs114.2657t/a；</w:t>
            </w:r>
          </w:p>
          <w:p w14:paraId="2D8A9B45">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olor w:val="auto"/>
                <w:kern w:val="0"/>
                <w:szCs w:val="21"/>
                <w:highlight w:val="none"/>
              </w:rPr>
            </w:pPr>
            <w:r>
              <w:rPr>
                <w:rFonts w:hint="eastAsia"/>
                <w:color w:val="auto"/>
                <w:kern w:val="0"/>
                <w:szCs w:val="21"/>
                <w:highlight w:val="none"/>
              </w:rPr>
              <w:t>船舱除气、船舱清仓产生VOCs0.08t/a，以无组织的形式排放。</w:t>
            </w:r>
          </w:p>
          <w:p w14:paraId="31810303">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1BC44F6B">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7E895F4D">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2060CF9A">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42E81D44">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6CFBFF8F">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08C38194">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4304A391">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p w14:paraId="01B7615B">
            <w:pPr>
              <w:keepNext w:val="0"/>
              <w:keepLines w:val="0"/>
              <w:suppressLineNumbers w:val="0"/>
              <w:adjustRightInd w:val="0"/>
              <w:snapToGrid w:val="0"/>
              <w:spacing w:before="0" w:beforeAutospacing="0" w:after="0" w:afterAutospacing="0"/>
              <w:ind w:left="0" w:right="0"/>
              <w:rPr>
                <w:rFonts w:hint="eastAsia" w:ascii="宋体" w:hAnsi="宋体" w:cs="宋体"/>
                <w:color w:val="auto"/>
                <w:kern w:val="0"/>
                <w:szCs w:val="21"/>
              </w:rPr>
            </w:pPr>
          </w:p>
        </w:tc>
      </w:tr>
    </w:tbl>
    <w:p w14:paraId="0EC07E30">
      <w:pPr>
        <w:pStyle w:val="19"/>
        <w:jc w:val="center"/>
        <w:outlineLvl w:val="0"/>
        <w:rPr>
          <w:rFonts w:ascii="黑体" w:hAnsi="黑体" w:eastAsia="黑体"/>
          <w:snapToGrid w:val="0"/>
          <w:color w:val="auto"/>
          <w:kern w:val="2"/>
          <w:sz w:val="36"/>
          <w:szCs w:val="36"/>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837"/>
      </w:tblGrid>
      <w:tr w14:paraId="7370D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37" w:hRule="atLeast"/>
          <w:jc w:val="center"/>
        </w:trPr>
        <w:tc>
          <w:tcPr>
            <w:tcW w:w="218" w:type="pct"/>
            <w:noWrap w:val="0"/>
            <w:vAlign w:val="center"/>
          </w:tcPr>
          <w:p w14:paraId="15DE7A5E">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bCs/>
                <w:color w:val="auto"/>
                <w:szCs w:val="21"/>
              </w:rPr>
              <w:t>与项目有关的原有环境污染和生态破坏问题</w:t>
            </w:r>
          </w:p>
        </w:tc>
        <w:tc>
          <w:tcPr>
            <w:tcW w:w="8850" w:type="dxa"/>
            <w:noWrap w:val="0"/>
            <w:vAlign w:val="center"/>
          </w:tcPr>
          <w:p w14:paraId="11915E1E">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2</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lang w:val="en-US" w:eastAsia="zh-CN"/>
              </w:rPr>
              <w:t>废水</w:t>
            </w:r>
          </w:p>
          <w:p w14:paraId="0CF7F1FB">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Hans"/>
              </w:rPr>
            </w:pPr>
            <w:r>
              <w:rPr>
                <w:rFonts w:hint="eastAsia" w:ascii="Times New Roman" w:hAnsi="Times New Roman" w:eastAsia="宋体" w:cs="Times New Roman"/>
                <w:color w:val="auto"/>
                <w:kern w:val="0"/>
                <w:szCs w:val="21"/>
                <w:highlight w:val="none"/>
                <w:lang w:val="en-US" w:eastAsia="zh-CN"/>
              </w:rPr>
              <w:t>现有</w:t>
            </w:r>
            <w:r>
              <w:rPr>
                <w:rFonts w:hint="default" w:ascii="Times New Roman" w:hAnsi="Times New Roman" w:eastAsia="宋体" w:cs="Times New Roman"/>
                <w:color w:val="auto"/>
                <w:kern w:val="0"/>
                <w:szCs w:val="21"/>
                <w:highlight w:val="none"/>
                <w:lang w:val="en-US" w:eastAsia="zh-Hans"/>
              </w:rPr>
              <w:t>已建项目废水主要为船舶舱底油污水、船舶生活污水、初期雨水、罐区与码头地面冲洗水、洗罐废水、机修废水、沥青废气处理喷淋废水、陆域生活污水、蒸舱废水和洗舱废水。</w:t>
            </w:r>
          </w:p>
          <w:p w14:paraId="5A90DDA0">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Hans"/>
              </w:rPr>
            </w:pPr>
            <w:r>
              <w:rPr>
                <w:rFonts w:hint="default" w:ascii="Times New Roman" w:hAnsi="Times New Roman" w:eastAsia="宋体" w:cs="Times New Roman"/>
                <w:color w:val="auto"/>
                <w:kern w:val="0"/>
                <w:szCs w:val="21"/>
                <w:highlight w:val="none"/>
                <w:lang w:val="en-US" w:eastAsia="zh-Hans"/>
              </w:rPr>
              <w:t>船舶舱底油污水（岸上设置油污水接收罐）和船舶生活污水（岸上设置生活污水接收罐）委托海事环保船收集处置。罐区与码头地面冲洗水、洗罐废水、机修废水、沥青废气处理喷淋废水、初期雨水收集后进入厂内污水处理站1处理后接管；陆域生活污水经化粪池处理后接管；蒸舱废水和洗舱废水经厂内污水处理站2处理后的中水一部分用于蒸舱工序，一部分中水接管污水管网。</w:t>
            </w:r>
          </w:p>
          <w:p w14:paraId="17049A7D">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Hans"/>
              </w:rPr>
            </w:pPr>
            <w:r>
              <w:rPr>
                <w:rFonts w:hint="default" w:ascii="Times New Roman" w:hAnsi="Times New Roman" w:eastAsia="宋体" w:cs="Times New Roman"/>
                <w:color w:val="auto"/>
                <w:kern w:val="0"/>
                <w:szCs w:val="21"/>
                <w:highlight w:val="none"/>
                <w:lang w:val="en-US" w:eastAsia="zh-Hans"/>
              </w:rPr>
              <w:t>污水处理站1处理能力为240t/d，处理工艺为：调节池—预曝气—微电解—絮凝沉淀—一级氧化—二级氧化（接触氧化）—斜管沉淀池—生物滤池—接管；污水处理站2处理能力为100t/d，处理工艺为：调节池—预处理—AOM生物膜—MBR池—精密过滤—RO装置—三效蒸发—回用（接管），废水处理后与生活污水一同接管至江阴市利港污水处理有限公司。</w:t>
            </w:r>
          </w:p>
          <w:p w14:paraId="2674B3B5">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3）噪声</w:t>
            </w:r>
          </w:p>
          <w:p w14:paraId="02F06AA1">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Hans"/>
              </w:rPr>
            </w:pPr>
            <w:r>
              <w:rPr>
                <w:rFonts w:hint="default" w:ascii="Times New Roman" w:hAnsi="Times New Roman" w:eastAsia="宋体" w:cs="Times New Roman"/>
                <w:color w:val="auto"/>
                <w:kern w:val="0"/>
                <w:szCs w:val="21"/>
                <w:highlight w:val="none"/>
                <w:lang w:val="en-US" w:eastAsia="zh-Hans"/>
              </w:rPr>
              <w:t>已建项目主要噪声源主要为空压机、输送泵、锅炉、风机等设备运行时产生的噪声，噪声源强≤90dB(A)。采取的措施为噪声源在厂区内合理布局和采取隔声减振措施，并对高噪声设施采取进一步的防噪、降噪措施等。风机位于车间外，出口设置消声、隔声设备；空压机放置在隔声房内；水泵安装在车间外，通过合理布局；同时合理控制作业时间，尤其是对装车装船外运时间进行限制，禁止车辆进出库区鸣叫喇叭。</w:t>
            </w:r>
          </w:p>
          <w:p w14:paraId="3E93248A">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Cs w:val="21"/>
                <w:highlight w:val="none"/>
                <w:lang w:val="en-US" w:eastAsia="zh-Hans"/>
              </w:rPr>
            </w:pPr>
            <w:r>
              <w:rPr>
                <w:rFonts w:hint="eastAsia" w:ascii="Times New Roman" w:hAnsi="Times New Roman" w:eastAsia="宋体" w:cs="Times New Roman"/>
                <w:color w:val="auto"/>
                <w:kern w:val="0"/>
                <w:szCs w:val="21"/>
                <w:highlight w:val="none"/>
                <w:lang w:val="en-US" w:eastAsia="zh-Hans"/>
              </w:rPr>
              <w:t>由</w:t>
            </w:r>
            <w:r>
              <w:rPr>
                <w:rFonts w:hint="eastAsia" w:ascii="Times New Roman" w:hAnsi="Times New Roman" w:eastAsia="宋体" w:cs="Times New Roman"/>
                <w:color w:val="auto"/>
                <w:kern w:val="0"/>
                <w:szCs w:val="21"/>
                <w:highlight w:val="none"/>
                <w:lang w:val="en-US" w:eastAsia="zh-CN"/>
              </w:rPr>
              <w:t>上表可</w:t>
            </w:r>
            <w:r>
              <w:rPr>
                <w:rFonts w:hint="eastAsia" w:ascii="Times New Roman" w:hAnsi="Times New Roman" w:eastAsia="宋体" w:cs="Times New Roman"/>
                <w:color w:val="auto"/>
                <w:kern w:val="0"/>
                <w:szCs w:val="21"/>
                <w:highlight w:val="none"/>
                <w:lang w:val="en-US" w:eastAsia="zh-Hans"/>
              </w:rPr>
              <w:t>知，现有工程产生的各固体废物均能够得到妥善处置。</w:t>
            </w:r>
          </w:p>
          <w:p w14:paraId="1ACEB3C1">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Cs w:val="21"/>
                <w:highlight w:val="none"/>
                <w:lang w:val="en-US" w:eastAsia="zh-Hans"/>
              </w:rPr>
            </w:pPr>
            <w:r>
              <w:rPr>
                <w:rFonts w:hint="eastAsia" w:ascii="Times New Roman" w:hAnsi="Times New Roman" w:eastAsia="宋体" w:cs="Times New Roman"/>
                <w:color w:val="auto"/>
                <w:kern w:val="0"/>
                <w:szCs w:val="21"/>
                <w:highlight w:val="none"/>
                <w:lang w:val="en-US" w:eastAsia="zh-Hans"/>
              </w:rPr>
              <w:t>厂区内设有一般固废仓库1处，面积10m</w:t>
            </w:r>
            <w:r>
              <w:rPr>
                <w:rFonts w:hint="eastAsia" w:ascii="Times New Roman" w:hAnsi="Times New Roman" w:eastAsia="宋体" w:cs="Times New Roman"/>
                <w:color w:val="auto"/>
                <w:kern w:val="0"/>
                <w:szCs w:val="21"/>
                <w:highlight w:val="none"/>
                <w:vertAlign w:val="superscript"/>
                <w:lang w:val="en-US" w:eastAsia="zh-Hans"/>
              </w:rPr>
              <w:t>2</w:t>
            </w:r>
            <w:r>
              <w:rPr>
                <w:rFonts w:hint="eastAsia" w:ascii="Times New Roman" w:hAnsi="Times New Roman" w:eastAsia="宋体" w:cs="Times New Roman"/>
                <w:color w:val="auto"/>
                <w:kern w:val="0"/>
                <w:szCs w:val="21"/>
                <w:highlight w:val="none"/>
                <w:lang w:val="en-US" w:eastAsia="zh-Hans"/>
              </w:rPr>
              <w:t>，建设符合《一般工业固体废物贮存和填埋污染控制标准》（GB 18599-2020）控制要求。</w:t>
            </w:r>
          </w:p>
          <w:p w14:paraId="07393A3F">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Hans"/>
              </w:rPr>
              <w:t>企业</w:t>
            </w:r>
            <w:r>
              <w:rPr>
                <w:rFonts w:hint="eastAsia" w:ascii="Times New Roman" w:hAnsi="Times New Roman" w:eastAsia="宋体" w:cs="Times New Roman"/>
                <w:color w:val="auto"/>
                <w:kern w:val="0"/>
                <w:szCs w:val="21"/>
                <w:highlight w:val="none"/>
                <w:lang w:val="en-US" w:eastAsia="zh-CN"/>
              </w:rPr>
              <w:t>已在</w:t>
            </w:r>
            <w:r>
              <w:rPr>
                <w:rFonts w:hint="eastAsia" w:ascii="Times New Roman" w:hAnsi="Times New Roman" w:eastAsia="宋体" w:cs="Times New Roman"/>
                <w:color w:val="auto"/>
                <w:kern w:val="0"/>
                <w:szCs w:val="21"/>
                <w:highlight w:val="none"/>
                <w:lang w:val="en-US" w:eastAsia="zh-Hans"/>
              </w:rPr>
              <w:t>《安全、环保提升改造项目环境影响报告表》</w:t>
            </w:r>
            <w:r>
              <w:rPr>
                <w:rFonts w:hint="eastAsia" w:ascii="Times New Roman" w:hAnsi="Times New Roman" w:eastAsia="宋体" w:cs="Times New Roman"/>
                <w:color w:val="auto"/>
                <w:kern w:val="0"/>
                <w:szCs w:val="21"/>
                <w:highlight w:val="none"/>
                <w:lang w:val="en-US" w:eastAsia="zh-CN"/>
              </w:rPr>
              <w:t>中新建一座360m</w:t>
            </w:r>
            <w:r>
              <w:rPr>
                <w:rFonts w:hint="eastAsia" w:ascii="Times New Roman" w:hAnsi="Times New Roman" w:eastAsia="宋体" w:cs="Times New Roman"/>
                <w:color w:val="auto"/>
                <w:kern w:val="0"/>
                <w:szCs w:val="21"/>
                <w:highlight w:val="none"/>
                <w:vertAlign w:val="superscript"/>
                <w:lang w:val="en-US" w:eastAsia="zh-CN"/>
              </w:rPr>
              <w:t>2</w:t>
            </w:r>
            <w:r>
              <w:rPr>
                <w:rFonts w:hint="eastAsia" w:ascii="Times New Roman" w:hAnsi="Times New Roman" w:eastAsia="宋体" w:cs="Times New Roman"/>
                <w:color w:val="auto"/>
                <w:kern w:val="0"/>
                <w:szCs w:val="21"/>
                <w:highlight w:val="none"/>
                <w:lang w:val="en-US" w:eastAsia="zh-CN"/>
              </w:rPr>
              <w:t>的危废仓库替代原有320m</w:t>
            </w:r>
            <w:r>
              <w:rPr>
                <w:rFonts w:hint="eastAsia" w:ascii="Times New Roman" w:hAnsi="Times New Roman" w:eastAsia="宋体" w:cs="Times New Roman"/>
                <w:color w:val="auto"/>
                <w:kern w:val="0"/>
                <w:szCs w:val="21"/>
                <w:highlight w:val="none"/>
                <w:vertAlign w:val="superscript"/>
                <w:lang w:val="en-US" w:eastAsia="zh-CN"/>
              </w:rPr>
              <w:t>2</w:t>
            </w:r>
            <w:r>
              <w:rPr>
                <w:rFonts w:hint="eastAsia" w:ascii="Times New Roman" w:hAnsi="Times New Roman" w:eastAsia="宋体" w:cs="Times New Roman"/>
                <w:color w:val="auto"/>
                <w:kern w:val="0"/>
                <w:szCs w:val="21"/>
                <w:highlight w:val="none"/>
                <w:lang w:val="en-US" w:eastAsia="zh-CN"/>
              </w:rPr>
              <w:t>危废仓库（淘汰原有），</w:t>
            </w:r>
            <w:r>
              <w:rPr>
                <w:rFonts w:hint="eastAsia" w:ascii="Times New Roman" w:hAnsi="Times New Roman" w:eastAsia="宋体" w:cs="Times New Roman"/>
                <w:color w:val="auto"/>
                <w:kern w:val="0"/>
                <w:szCs w:val="21"/>
                <w:highlight w:val="none"/>
                <w:lang w:val="en-US" w:eastAsia="zh-Hans"/>
              </w:rPr>
              <w:t>用于贮存危废，建设符合《危险废物贮存污染控制标准》（GB18597-2023）控制要求。</w:t>
            </w:r>
            <w:r>
              <w:rPr>
                <w:rFonts w:hint="eastAsia" w:ascii="Times New Roman" w:hAnsi="Times New Roman" w:eastAsia="宋体" w:cs="Times New Roman"/>
                <w:color w:val="auto"/>
                <w:kern w:val="0"/>
                <w:szCs w:val="21"/>
                <w:highlight w:val="none"/>
                <w:lang w:val="en-US" w:eastAsia="zh-CN"/>
              </w:rPr>
              <w:t>目前新危废仓库已建设完成并投入使用，危废仓库作为</w:t>
            </w:r>
            <w:r>
              <w:rPr>
                <w:rFonts w:hint="eastAsia" w:ascii="Times New Roman" w:hAnsi="Times New Roman" w:eastAsia="宋体" w:cs="Times New Roman"/>
                <w:color w:val="auto"/>
                <w:kern w:val="0"/>
                <w:szCs w:val="21"/>
                <w:highlight w:val="none"/>
                <w:lang w:val="en-US" w:eastAsia="zh-Hans"/>
              </w:rPr>
              <w:t>安全、环保提升改造项目</w:t>
            </w:r>
            <w:r>
              <w:rPr>
                <w:rFonts w:hint="eastAsia" w:ascii="Times New Roman" w:hAnsi="Times New Roman" w:eastAsia="宋体" w:cs="Times New Roman"/>
                <w:color w:val="auto"/>
                <w:kern w:val="0"/>
                <w:szCs w:val="21"/>
                <w:highlight w:val="none"/>
                <w:lang w:val="en-US" w:eastAsia="zh-CN"/>
              </w:rPr>
              <w:t>的一部分正在开展竣工环保验收工作。已建360m</w:t>
            </w:r>
            <w:r>
              <w:rPr>
                <w:rFonts w:hint="eastAsia" w:ascii="Times New Roman" w:hAnsi="Times New Roman" w:eastAsia="宋体" w:cs="Times New Roman"/>
                <w:color w:val="auto"/>
                <w:kern w:val="0"/>
                <w:szCs w:val="21"/>
                <w:highlight w:val="none"/>
                <w:vertAlign w:val="superscript"/>
                <w:lang w:val="en-US" w:eastAsia="zh-CN"/>
              </w:rPr>
              <w:t>2</w:t>
            </w:r>
            <w:r>
              <w:rPr>
                <w:rFonts w:hint="eastAsia" w:ascii="Times New Roman" w:hAnsi="Times New Roman" w:eastAsia="宋体" w:cs="Times New Roman"/>
                <w:color w:val="auto"/>
                <w:kern w:val="0"/>
                <w:szCs w:val="21"/>
                <w:highlight w:val="none"/>
                <w:lang w:val="en-US" w:eastAsia="zh-CN"/>
              </w:rPr>
              <w:t>危废仓库现场照片见图3-2。</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4"/>
              <w:gridCol w:w="4304"/>
            </w:tblGrid>
            <w:tr w14:paraId="495F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14:paraId="72943D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olor w:val="auto"/>
                      <w:vertAlign w:val="baseline"/>
                      <w:lang w:eastAsia="zh-CN"/>
                    </w:rPr>
                  </w:pPr>
                  <w:r>
                    <w:rPr>
                      <w:rFonts w:hint="default"/>
                      <w:color w:val="auto"/>
                    </w:rPr>
                    <w:drawing>
                      <wp:inline distT="0" distB="0" distL="114300" distR="114300">
                        <wp:extent cx="2431415" cy="1682115"/>
                        <wp:effectExtent l="0" t="0" r="6985" b="9525"/>
                        <wp:docPr id="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5"/>
                                <pic:cNvPicPr>
                                  <a:picLocks noChangeAspect="1"/>
                                </pic:cNvPicPr>
                              </pic:nvPicPr>
                              <pic:blipFill>
                                <a:blip r:embed="rId7"/>
                                <a:srcRect b="7922"/>
                                <a:stretch>
                                  <a:fillRect/>
                                </a:stretch>
                              </pic:blipFill>
                              <pic:spPr>
                                <a:xfrm>
                                  <a:off x="0" y="0"/>
                                  <a:ext cx="2431415" cy="1682115"/>
                                </a:xfrm>
                                <a:prstGeom prst="rect">
                                  <a:avLst/>
                                </a:prstGeom>
                                <a:noFill/>
                                <a:ln>
                                  <a:noFill/>
                                </a:ln>
                              </pic:spPr>
                            </pic:pic>
                          </a:graphicData>
                        </a:graphic>
                      </wp:inline>
                    </w:drawing>
                  </w:r>
                </w:p>
              </w:tc>
              <w:tc>
                <w:tcPr>
                  <w:tcW w:w="2500" w:type="pct"/>
                  <w:noWrap w:val="0"/>
                  <w:vAlign w:val="center"/>
                </w:tcPr>
                <w:p w14:paraId="1809289D">
                  <w:pPr>
                    <w:pStyle w:val="19"/>
                    <w:keepNext w:val="0"/>
                    <w:keepLines w:val="0"/>
                    <w:pageBreakBefore w:val="0"/>
                    <w:widowControl/>
                    <w:suppressLineNumbers w:val="0"/>
                    <w:kinsoku/>
                    <w:wordWrap/>
                    <w:overflowPunct/>
                    <w:topLinePunct w:val="0"/>
                    <w:autoSpaceDE/>
                    <w:autoSpaceDN/>
                    <w:bidi w:val="0"/>
                    <w:adjustRightInd w:val="0"/>
                    <w:snapToGrid w:val="0"/>
                    <w:ind w:left="0" w:right="0"/>
                    <w:jc w:val="center"/>
                    <w:textAlignment w:val="auto"/>
                    <w:rPr>
                      <w:rFonts w:hint="eastAsia" w:eastAsia="宋体"/>
                      <w:color w:val="auto"/>
                      <w:vertAlign w:val="baseline"/>
                      <w:lang w:eastAsia="zh-CN"/>
                    </w:rPr>
                  </w:pPr>
                  <w:r>
                    <w:rPr>
                      <w:rFonts w:hint="default"/>
                      <w:color w:val="auto"/>
                    </w:rPr>
                    <w:drawing>
                      <wp:inline distT="0" distB="0" distL="114300" distR="114300">
                        <wp:extent cx="2279015" cy="1593850"/>
                        <wp:effectExtent l="0" t="0" r="6985" b="6350"/>
                        <wp:docPr id="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6"/>
                                <pic:cNvPicPr>
                                  <a:picLocks noChangeAspect="1"/>
                                </pic:cNvPicPr>
                              </pic:nvPicPr>
                              <pic:blipFill>
                                <a:blip r:embed="rId8"/>
                                <a:srcRect b="6830"/>
                                <a:stretch>
                                  <a:fillRect/>
                                </a:stretch>
                              </pic:blipFill>
                              <pic:spPr>
                                <a:xfrm>
                                  <a:off x="0" y="0"/>
                                  <a:ext cx="2279015" cy="1593850"/>
                                </a:xfrm>
                                <a:prstGeom prst="rect">
                                  <a:avLst/>
                                </a:prstGeom>
                                <a:noFill/>
                                <a:ln>
                                  <a:noFill/>
                                </a:ln>
                              </pic:spPr>
                            </pic:pic>
                          </a:graphicData>
                        </a:graphic>
                      </wp:inline>
                    </w:drawing>
                  </w:r>
                </w:p>
              </w:tc>
            </w:tr>
            <w:tr w14:paraId="2AA23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14:paraId="4A12AD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eastAsia="宋体"/>
                      <w:color w:val="auto"/>
                      <w:vertAlign w:val="baseline"/>
                      <w:lang w:eastAsia="zh-CN"/>
                    </w:rPr>
                  </w:pPr>
                  <w:r>
                    <w:rPr>
                      <w:rFonts w:hint="default"/>
                      <w:color w:val="auto"/>
                    </w:rPr>
                    <w:drawing>
                      <wp:inline distT="0" distB="0" distL="114300" distR="114300">
                        <wp:extent cx="2431415" cy="1700530"/>
                        <wp:effectExtent l="0" t="0" r="6985" b="6350"/>
                        <wp:docPr id="10"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7"/>
                                <pic:cNvPicPr>
                                  <a:picLocks noChangeAspect="1"/>
                                </pic:cNvPicPr>
                              </pic:nvPicPr>
                              <pic:blipFill>
                                <a:blip r:embed="rId9"/>
                                <a:srcRect b="6863"/>
                                <a:stretch>
                                  <a:fillRect/>
                                </a:stretch>
                              </pic:blipFill>
                              <pic:spPr>
                                <a:xfrm>
                                  <a:off x="0" y="0"/>
                                  <a:ext cx="2431415" cy="1700530"/>
                                </a:xfrm>
                                <a:prstGeom prst="rect">
                                  <a:avLst/>
                                </a:prstGeom>
                                <a:noFill/>
                                <a:ln>
                                  <a:noFill/>
                                </a:ln>
                              </pic:spPr>
                            </pic:pic>
                          </a:graphicData>
                        </a:graphic>
                      </wp:inline>
                    </w:drawing>
                  </w:r>
                </w:p>
              </w:tc>
              <w:tc>
                <w:tcPr>
                  <w:tcW w:w="2500" w:type="pct"/>
                  <w:noWrap w:val="0"/>
                  <w:vAlign w:val="center"/>
                </w:tcPr>
                <w:p w14:paraId="3BA6C0AF">
                  <w:pPr>
                    <w:pStyle w:val="19"/>
                    <w:keepNext w:val="0"/>
                    <w:keepLines w:val="0"/>
                    <w:pageBreakBefore w:val="0"/>
                    <w:widowControl/>
                    <w:suppressLineNumbers w:val="0"/>
                    <w:kinsoku/>
                    <w:wordWrap/>
                    <w:overflowPunct/>
                    <w:topLinePunct w:val="0"/>
                    <w:autoSpaceDE/>
                    <w:autoSpaceDN/>
                    <w:bidi w:val="0"/>
                    <w:adjustRightInd w:val="0"/>
                    <w:snapToGrid w:val="0"/>
                    <w:ind w:left="0" w:right="0"/>
                    <w:jc w:val="center"/>
                    <w:textAlignment w:val="auto"/>
                    <w:rPr>
                      <w:rFonts w:hint="eastAsia" w:eastAsia="宋体"/>
                      <w:color w:val="auto"/>
                      <w:lang w:eastAsia="zh-CN"/>
                    </w:rPr>
                  </w:pPr>
                  <w:r>
                    <w:rPr>
                      <w:rFonts w:hint="default"/>
                      <w:color w:val="auto"/>
                    </w:rPr>
                    <w:drawing>
                      <wp:inline distT="0" distB="0" distL="114300" distR="114300">
                        <wp:extent cx="2398395" cy="1669415"/>
                        <wp:effectExtent l="0" t="0" r="9525" b="6985"/>
                        <wp:docPr id="1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8"/>
                                <pic:cNvPicPr>
                                  <a:picLocks noChangeAspect="1"/>
                                </pic:cNvPicPr>
                              </pic:nvPicPr>
                              <pic:blipFill>
                                <a:blip r:embed="rId10"/>
                                <a:srcRect b="7298"/>
                                <a:stretch>
                                  <a:fillRect/>
                                </a:stretch>
                              </pic:blipFill>
                              <pic:spPr>
                                <a:xfrm>
                                  <a:off x="0" y="0"/>
                                  <a:ext cx="2398395" cy="1669415"/>
                                </a:xfrm>
                                <a:prstGeom prst="rect">
                                  <a:avLst/>
                                </a:prstGeom>
                                <a:noFill/>
                                <a:ln>
                                  <a:noFill/>
                                </a:ln>
                              </pic:spPr>
                            </pic:pic>
                          </a:graphicData>
                        </a:graphic>
                      </wp:inline>
                    </w:drawing>
                  </w:r>
                </w:p>
              </w:tc>
            </w:tr>
            <w:tr w14:paraId="3A56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14:paraId="0288CA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olor w:val="auto"/>
                    </w:rPr>
                  </w:pPr>
                  <w:r>
                    <w:rPr>
                      <w:rFonts w:hint="default"/>
                      <w:color w:val="auto"/>
                    </w:rPr>
                    <w:drawing>
                      <wp:inline distT="0" distB="0" distL="114300" distR="114300">
                        <wp:extent cx="2405380" cy="1804035"/>
                        <wp:effectExtent l="0" t="0" r="2540" b="9525"/>
                        <wp:docPr id="1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9"/>
                                <pic:cNvPicPr>
                                  <a:picLocks noChangeAspect="1"/>
                                </pic:cNvPicPr>
                              </pic:nvPicPr>
                              <pic:blipFill>
                                <a:blip r:embed="rId11"/>
                                <a:stretch>
                                  <a:fillRect/>
                                </a:stretch>
                              </pic:blipFill>
                              <pic:spPr>
                                <a:xfrm>
                                  <a:off x="0" y="0"/>
                                  <a:ext cx="2405380" cy="1804035"/>
                                </a:xfrm>
                                <a:prstGeom prst="rect">
                                  <a:avLst/>
                                </a:prstGeom>
                                <a:noFill/>
                                <a:ln>
                                  <a:noFill/>
                                </a:ln>
                              </pic:spPr>
                            </pic:pic>
                          </a:graphicData>
                        </a:graphic>
                      </wp:inline>
                    </w:drawing>
                  </w:r>
                </w:p>
              </w:tc>
              <w:tc>
                <w:tcPr>
                  <w:tcW w:w="2500" w:type="pct"/>
                  <w:noWrap w:val="0"/>
                  <w:vAlign w:val="center"/>
                </w:tcPr>
                <w:p w14:paraId="0CCC10D6">
                  <w:pPr>
                    <w:pStyle w:val="19"/>
                    <w:keepNext w:val="0"/>
                    <w:keepLines w:val="0"/>
                    <w:pageBreakBefore w:val="0"/>
                    <w:widowControl/>
                    <w:suppressLineNumbers w:val="0"/>
                    <w:kinsoku/>
                    <w:wordWrap/>
                    <w:overflowPunct/>
                    <w:topLinePunct w:val="0"/>
                    <w:autoSpaceDE/>
                    <w:autoSpaceDN/>
                    <w:bidi w:val="0"/>
                    <w:adjustRightInd w:val="0"/>
                    <w:snapToGrid w:val="0"/>
                    <w:ind w:left="0" w:right="0"/>
                    <w:jc w:val="center"/>
                    <w:textAlignment w:val="auto"/>
                    <w:rPr>
                      <w:rFonts w:hint="eastAsia" w:eastAsia="宋体"/>
                      <w:color w:val="auto"/>
                      <w:lang w:eastAsia="zh-CN"/>
                    </w:rPr>
                  </w:pPr>
                  <w:r>
                    <w:rPr>
                      <w:rFonts w:hint="default"/>
                      <w:color w:val="auto"/>
                    </w:rPr>
                    <w:drawing>
                      <wp:inline distT="0" distB="0" distL="114300" distR="114300">
                        <wp:extent cx="2489200" cy="1702435"/>
                        <wp:effectExtent l="0" t="0" r="10160" b="4445"/>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pic:cNvPicPr>
                              </pic:nvPicPr>
                              <pic:blipFill>
                                <a:blip r:embed="rId12"/>
                                <a:stretch>
                                  <a:fillRect/>
                                </a:stretch>
                              </pic:blipFill>
                              <pic:spPr>
                                <a:xfrm>
                                  <a:off x="0" y="0"/>
                                  <a:ext cx="2489200" cy="1702435"/>
                                </a:xfrm>
                                <a:prstGeom prst="rect">
                                  <a:avLst/>
                                </a:prstGeom>
                                <a:noFill/>
                                <a:ln>
                                  <a:noFill/>
                                </a:ln>
                              </pic:spPr>
                            </pic:pic>
                          </a:graphicData>
                        </a:graphic>
                      </wp:inline>
                    </w:drawing>
                  </w:r>
                </w:p>
              </w:tc>
            </w:tr>
          </w:tbl>
          <w:p w14:paraId="39055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b/>
                <w:bCs/>
                <w:color w:val="auto"/>
                <w:szCs w:val="21"/>
                <w:highlight w:val="none"/>
                <w:lang w:val="en-US"/>
              </w:rPr>
            </w:pPr>
            <w:r>
              <w:rPr>
                <w:rFonts w:hint="default"/>
                <w:b/>
                <w:bCs/>
                <w:color w:val="auto"/>
                <w:szCs w:val="21"/>
                <w:highlight w:val="none"/>
              </w:rPr>
              <w:t>图</w:t>
            </w:r>
            <w:r>
              <w:rPr>
                <w:rFonts w:hint="eastAsia"/>
                <w:b/>
                <w:bCs/>
                <w:color w:val="auto"/>
                <w:szCs w:val="21"/>
                <w:highlight w:val="none"/>
                <w:lang w:val="en-US" w:eastAsia="zh-CN"/>
              </w:rPr>
              <w:t>3</w:t>
            </w:r>
            <w:r>
              <w:rPr>
                <w:rFonts w:hint="default"/>
                <w:b/>
                <w:bCs/>
                <w:color w:val="auto"/>
                <w:szCs w:val="21"/>
                <w:highlight w:val="none"/>
              </w:rPr>
              <w:t>-</w:t>
            </w:r>
            <w:r>
              <w:rPr>
                <w:rFonts w:hint="eastAsia"/>
                <w:b/>
                <w:bCs/>
                <w:color w:val="auto"/>
                <w:szCs w:val="21"/>
                <w:highlight w:val="none"/>
                <w:lang w:val="en-US" w:eastAsia="zh-CN"/>
              </w:rPr>
              <w:t>2  危废仓库（360m</w:t>
            </w:r>
            <w:r>
              <w:rPr>
                <w:rFonts w:hint="eastAsia"/>
                <w:b/>
                <w:bCs/>
                <w:color w:val="auto"/>
                <w:szCs w:val="21"/>
                <w:highlight w:val="none"/>
                <w:vertAlign w:val="superscript"/>
                <w:lang w:val="en-US" w:eastAsia="zh-CN"/>
              </w:rPr>
              <w:t>2</w:t>
            </w:r>
            <w:r>
              <w:rPr>
                <w:rFonts w:hint="eastAsia"/>
                <w:b/>
                <w:bCs/>
                <w:color w:val="auto"/>
                <w:szCs w:val="21"/>
                <w:highlight w:val="none"/>
                <w:lang w:val="en-US" w:eastAsia="zh-CN"/>
              </w:rPr>
              <w:t>）现场照片</w:t>
            </w:r>
          </w:p>
          <w:p w14:paraId="30C48A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宋体" w:hAnsi="宋体" w:cs="宋体"/>
                <w:color w:val="auto"/>
                <w:kern w:val="0"/>
                <w:sz w:val="15"/>
                <w:szCs w:val="15"/>
              </w:rPr>
            </w:pPr>
          </w:p>
          <w:p w14:paraId="1BD907E3">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4</w:t>
            </w:r>
            <w:r>
              <w:rPr>
                <w:rFonts w:hint="eastAsia" w:ascii="Times New Roman" w:hAnsi="Times New Roman" w:eastAsia="宋体" w:cs="Times New Roman"/>
                <w:b/>
                <w:bCs/>
                <w:color w:val="auto"/>
                <w:szCs w:val="21"/>
                <w:lang w:val="en-US" w:eastAsia="zh-CN"/>
              </w:rPr>
              <w:t>、排污许可证申领情况及执行情况</w:t>
            </w:r>
          </w:p>
          <w:p w14:paraId="6450F9CE">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丽天公司于202</w:t>
            </w:r>
            <w:r>
              <w:rPr>
                <w:rFonts w:hint="eastAsia" w:cs="Times New Roman"/>
                <w:color w:val="auto"/>
                <w:kern w:val="0"/>
                <w:szCs w:val="21"/>
                <w:highlight w:val="none"/>
                <w:lang w:val="en-US" w:eastAsia="zh-CN"/>
              </w:rPr>
              <w:t>6</w:t>
            </w:r>
            <w:r>
              <w:rPr>
                <w:rFonts w:hint="eastAsia" w:ascii="Times New Roman" w:hAnsi="Times New Roman" w:eastAsia="宋体" w:cs="Times New Roman"/>
                <w:color w:val="auto"/>
                <w:kern w:val="0"/>
                <w:szCs w:val="21"/>
                <w:highlight w:val="none"/>
                <w:lang w:val="en-US" w:eastAsia="zh-CN"/>
              </w:rPr>
              <w:t>年</w:t>
            </w:r>
            <w:r>
              <w:rPr>
                <w:rFonts w:hint="eastAsia" w:cs="Times New Roman"/>
                <w:color w:val="auto"/>
                <w:kern w:val="0"/>
                <w:szCs w:val="21"/>
                <w:highlight w:val="none"/>
                <w:lang w:val="en-US" w:eastAsia="zh-CN"/>
              </w:rPr>
              <w:t>2</w:t>
            </w:r>
            <w:r>
              <w:rPr>
                <w:rFonts w:hint="eastAsia" w:ascii="Times New Roman" w:hAnsi="Times New Roman" w:eastAsia="宋体" w:cs="Times New Roman"/>
                <w:color w:val="auto"/>
                <w:kern w:val="0"/>
                <w:szCs w:val="21"/>
                <w:highlight w:val="none"/>
                <w:lang w:val="en-US" w:eastAsia="zh-CN"/>
              </w:rPr>
              <w:t>月</w:t>
            </w:r>
            <w:r>
              <w:rPr>
                <w:rFonts w:hint="eastAsia" w:cs="Times New Roman"/>
                <w:color w:val="auto"/>
                <w:kern w:val="0"/>
                <w:szCs w:val="21"/>
                <w:highlight w:val="none"/>
                <w:lang w:val="en-US" w:eastAsia="zh-CN"/>
              </w:rPr>
              <w:t>13</w:t>
            </w:r>
            <w:r>
              <w:rPr>
                <w:rFonts w:hint="eastAsia" w:ascii="Times New Roman" w:hAnsi="Times New Roman" w:eastAsia="宋体" w:cs="Times New Roman"/>
                <w:color w:val="auto"/>
                <w:kern w:val="0"/>
                <w:szCs w:val="21"/>
                <w:highlight w:val="none"/>
                <w:lang w:val="en-US" w:eastAsia="zh-CN"/>
              </w:rPr>
              <w:t>日重新申</w:t>
            </w:r>
            <w:r>
              <w:rPr>
                <w:rFonts w:hint="eastAsia" w:cs="Times New Roman"/>
                <w:color w:val="auto"/>
                <w:kern w:val="0"/>
                <w:szCs w:val="21"/>
                <w:highlight w:val="none"/>
                <w:lang w:val="en-US" w:eastAsia="zh-CN"/>
              </w:rPr>
              <w:t>领</w:t>
            </w:r>
            <w:r>
              <w:rPr>
                <w:rFonts w:hint="eastAsia" w:ascii="Times New Roman" w:hAnsi="Times New Roman" w:eastAsia="宋体" w:cs="Times New Roman"/>
                <w:color w:val="auto"/>
                <w:kern w:val="0"/>
                <w:szCs w:val="21"/>
                <w:highlight w:val="none"/>
                <w:lang w:val="en-US" w:eastAsia="zh-CN"/>
              </w:rPr>
              <w:t>了排污许可证，许可证编号为913202817365435187001Q，有效期为202</w:t>
            </w:r>
            <w:r>
              <w:rPr>
                <w:rFonts w:hint="eastAsia" w:cs="Times New Roman"/>
                <w:color w:val="auto"/>
                <w:kern w:val="0"/>
                <w:szCs w:val="21"/>
                <w:highlight w:val="none"/>
                <w:lang w:val="en-US" w:eastAsia="zh-CN"/>
              </w:rPr>
              <w:t>6</w:t>
            </w:r>
            <w:r>
              <w:rPr>
                <w:rFonts w:hint="eastAsia" w:ascii="Times New Roman" w:hAnsi="Times New Roman" w:eastAsia="宋体" w:cs="Times New Roman"/>
                <w:color w:val="auto"/>
                <w:kern w:val="0"/>
                <w:szCs w:val="21"/>
                <w:highlight w:val="none"/>
                <w:lang w:val="en-US" w:eastAsia="zh-CN"/>
              </w:rPr>
              <w:t>-0</w:t>
            </w:r>
            <w:r>
              <w:rPr>
                <w:rFonts w:hint="eastAsia" w:cs="Times New Roman"/>
                <w:color w:val="auto"/>
                <w:kern w:val="0"/>
                <w:szCs w:val="21"/>
                <w:highlight w:val="none"/>
                <w:lang w:val="en-US" w:eastAsia="zh-CN"/>
              </w:rPr>
              <w:t>2</w:t>
            </w:r>
            <w:r>
              <w:rPr>
                <w:rFonts w:hint="eastAsia" w:ascii="Times New Roman" w:hAnsi="Times New Roman" w:eastAsia="宋体" w:cs="Times New Roman"/>
                <w:color w:val="auto"/>
                <w:kern w:val="0"/>
                <w:szCs w:val="21"/>
                <w:highlight w:val="none"/>
                <w:lang w:val="en-US" w:eastAsia="zh-CN"/>
              </w:rPr>
              <w:t>-</w:t>
            </w:r>
            <w:r>
              <w:rPr>
                <w:rFonts w:hint="eastAsia" w:cs="Times New Roman"/>
                <w:color w:val="auto"/>
                <w:kern w:val="0"/>
                <w:szCs w:val="21"/>
                <w:highlight w:val="none"/>
                <w:lang w:val="en-US" w:eastAsia="zh-CN"/>
              </w:rPr>
              <w:t>13</w:t>
            </w:r>
            <w:r>
              <w:rPr>
                <w:rFonts w:hint="eastAsia" w:ascii="Times New Roman" w:hAnsi="Times New Roman" w:eastAsia="宋体" w:cs="Times New Roman"/>
                <w:color w:val="auto"/>
                <w:kern w:val="0"/>
                <w:szCs w:val="21"/>
                <w:highlight w:val="none"/>
                <w:lang w:val="en-US" w:eastAsia="zh-CN"/>
              </w:rPr>
              <w:t>至203</w:t>
            </w:r>
            <w:r>
              <w:rPr>
                <w:rFonts w:hint="eastAsia" w:cs="Times New Roman"/>
                <w:color w:val="auto"/>
                <w:kern w:val="0"/>
                <w:szCs w:val="21"/>
                <w:highlight w:val="none"/>
                <w:lang w:val="en-US" w:eastAsia="zh-CN"/>
              </w:rPr>
              <w:t>1</w:t>
            </w:r>
            <w:r>
              <w:rPr>
                <w:rFonts w:hint="eastAsia" w:ascii="Times New Roman" w:hAnsi="Times New Roman" w:eastAsia="宋体" w:cs="Times New Roman"/>
                <w:color w:val="auto"/>
                <w:kern w:val="0"/>
                <w:szCs w:val="21"/>
                <w:highlight w:val="none"/>
                <w:lang w:val="en-US" w:eastAsia="zh-CN"/>
              </w:rPr>
              <w:t>-0</w:t>
            </w:r>
            <w:r>
              <w:rPr>
                <w:rFonts w:hint="eastAsia" w:cs="Times New Roman"/>
                <w:color w:val="auto"/>
                <w:kern w:val="0"/>
                <w:szCs w:val="21"/>
                <w:highlight w:val="none"/>
                <w:lang w:val="en-US" w:eastAsia="zh-CN"/>
              </w:rPr>
              <w:t>2</w:t>
            </w:r>
            <w:r>
              <w:rPr>
                <w:rFonts w:hint="eastAsia" w:ascii="Times New Roman" w:hAnsi="Times New Roman" w:eastAsia="宋体" w:cs="Times New Roman"/>
                <w:color w:val="auto"/>
                <w:kern w:val="0"/>
                <w:szCs w:val="21"/>
                <w:highlight w:val="none"/>
                <w:lang w:val="en-US" w:eastAsia="zh-CN"/>
              </w:rPr>
              <w:t>-</w:t>
            </w:r>
            <w:r>
              <w:rPr>
                <w:rFonts w:hint="eastAsia" w:cs="Times New Roman"/>
                <w:color w:val="auto"/>
                <w:kern w:val="0"/>
                <w:szCs w:val="21"/>
                <w:highlight w:val="none"/>
                <w:lang w:val="en-US" w:eastAsia="zh-CN"/>
              </w:rPr>
              <w:t>12</w:t>
            </w:r>
            <w:r>
              <w:rPr>
                <w:rFonts w:hint="eastAsia" w:ascii="Times New Roman" w:hAnsi="Times New Roman" w:eastAsia="宋体" w:cs="Times New Roman"/>
                <w:color w:val="auto"/>
                <w:kern w:val="0"/>
                <w:szCs w:val="21"/>
                <w:highlight w:val="none"/>
                <w:lang w:val="en-US" w:eastAsia="zh-CN"/>
              </w:rPr>
              <w:t>。企业已按排污许可监测计划开展例行监测，建立了环境管理台账制度，根据排污许可要求进行环境信息公开，并按要求提交年度执行报告。</w:t>
            </w:r>
          </w:p>
          <w:p w14:paraId="0A1E6DEF">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5</w:t>
            </w:r>
            <w:r>
              <w:rPr>
                <w:rFonts w:hint="eastAsia" w:ascii="Times New Roman" w:hAnsi="Times New Roman" w:eastAsia="宋体" w:cs="Times New Roman"/>
                <w:b/>
                <w:bCs/>
                <w:color w:val="auto"/>
                <w:szCs w:val="21"/>
                <w:lang w:val="en-US" w:eastAsia="zh-CN"/>
              </w:rPr>
              <w:t>、现有环境问题及以新带老措施</w:t>
            </w:r>
          </w:p>
          <w:p w14:paraId="1D658736">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cs="Times New Roman"/>
                <w:color w:val="auto"/>
                <w:kern w:val="0"/>
                <w:szCs w:val="21"/>
                <w:highlight w:val="none"/>
                <w:lang w:val="en-US" w:eastAsia="zh-CN"/>
              </w:rPr>
            </w:pPr>
            <w:r>
              <w:rPr>
                <w:rFonts w:hint="eastAsia" w:cs="Times New Roman"/>
                <w:color w:val="auto"/>
                <w:kern w:val="0"/>
                <w:szCs w:val="21"/>
                <w:highlight w:val="none"/>
                <w:lang w:val="en-US" w:eastAsia="zh-CN"/>
              </w:rPr>
              <w:t>①删除品种“以新带老”削减废气</w:t>
            </w:r>
          </w:p>
          <w:p w14:paraId="23E18C61">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删除丙酸丁酯、溶剂油、二氯乙烷、混合芳烃、氢氧化钠、硫酸、乙烯焦油、生物柴油（脂肪酸甲酯）、航空煤油共9个传统化工品种，本次依据已批复环评核算删除及削减品种削减排放量，作为本项目新增品种“以新带老”削减源强，删除品种可削减排放量见表3-3</w:t>
            </w:r>
            <w:r>
              <w:rPr>
                <w:rFonts w:hint="eastAsia" w:cs="Times New Roman"/>
                <w:color w:val="auto"/>
                <w:kern w:val="0"/>
                <w:szCs w:val="21"/>
                <w:highlight w:val="none"/>
                <w:lang w:val="en-US" w:eastAsia="zh-CN"/>
              </w:rPr>
              <w:t>8</w:t>
            </w:r>
            <w:r>
              <w:rPr>
                <w:rFonts w:hint="eastAsia" w:ascii="Times New Roman" w:hAnsi="Times New Roman" w:eastAsia="宋体" w:cs="Times New Roman"/>
                <w:color w:val="auto"/>
                <w:kern w:val="0"/>
                <w:szCs w:val="21"/>
                <w:highlight w:val="none"/>
                <w:lang w:val="en-US" w:eastAsia="zh-CN"/>
              </w:rPr>
              <w:t>。</w:t>
            </w:r>
          </w:p>
          <w:p w14:paraId="5BED5A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Times New Roman"/>
                <w:b/>
                <w:bCs/>
                <w:color w:val="auto"/>
                <w:kern w:val="0"/>
                <w:szCs w:val="21"/>
                <w:highlight w:val="none"/>
                <w:lang w:val="en-US" w:eastAsia="zh-CN"/>
              </w:rPr>
            </w:pPr>
            <w:r>
              <w:rPr>
                <w:rFonts w:hint="eastAsia" w:ascii="Times New Roman" w:hAnsi="Times New Roman" w:eastAsia="宋体" w:cs="Times New Roman"/>
                <w:b/>
                <w:bCs/>
                <w:color w:val="auto"/>
                <w:kern w:val="0"/>
                <w:szCs w:val="21"/>
                <w:highlight w:val="none"/>
              </w:rPr>
              <w:t>表3-</w:t>
            </w:r>
            <w:r>
              <w:rPr>
                <w:rFonts w:hint="eastAsia" w:ascii="Times New Roman" w:hAnsi="Times New Roman" w:eastAsia="宋体" w:cs="Times New Roman"/>
                <w:b/>
                <w:bCs/>
                <w:color w:val="auto"/>
                <w:kern w:val="0"/>
                <w:szCs w:val="21"/>
                <w:highlight w:val="none"/>
                <w:lang w:val="en-US" w:eastAsia="zh-CN"/>
              </w:rPr>
              <w:t>3</w:t>
            </w:r>
            <w:r>
              <w:rPr>
                <w:rFonts w:hint="eastAsia" w:cs="Times New Roman"/>
                <w:b/>
                <w:bCs/>
                <w:color w:val="auto"/>
                <w:kern w:val="0"/>
                <w:szCs w:val="21"/>
                <w:highlight w:val="none"/>
                <w:lang w:val="en-US" w:eastAsia="zh-CN"/>
              </w:rPr>
              <w:t>8</w:t>
            </w:r>
            <w:r>
              <w:rPr>
                <w:rFonts w:hint="eastAsia" w:ascii="Times New Roman" w:hAnsi="Times New Roman" w:eastAsia="宋体" w:cs="Times New Roman"/>
                <w:b/>
                <w:bCs/>
                <w:color w:val="auto"/>
                <w:kern w:val="0"/>
                <w:szCs w:val="21"/>
                <w:highlight w:val="none"/>
              </w:rPr>
              <w:t xml:space="preserve"> </w:t>
            </w:r>
            <w:r>
              <w:rPr>
                <w:rFonts w:hint="eastAsia" w:ascii="Times New Roman" w:hAnsi="Times New Roman" w:eastAsia="宋体" w:cs="Times New Roman"/>
                <w:b/>
                <w:bCs/>
                <w:color w:val="auto"/>
                <w:kern w:val="0"/>
                <w:szCs w:val="21"/>
                <w:highlight w:val="none"/>
                <w:lang w:val="en-US" w:eastAsia="zh-CN"/>
              </w:rPr>
              <w:t xml:space="preserve"> 删除品种</w:t>
            </w:r>
            <w:r>
              <w:rPr>
                <w:rFonts w:hint="eastAsia" w:ascii="Times New Roman" w:hAnsi="Times New Roman" w:eastAsia="宋体" w:cs="Times New Roman"/>
                <w:b/>
                <w:bCs/>
                <w:color w:val="auto"/>
                <w:kern w:val="0"/>
                <w:szCs w:val="21"/>
                <w:highlight w:val="none"/>
                <w:lang w:eastAsia="zh-CN"/>
              </w:rPr>
              <w:t>“</w:t>
            </w:r>
            <w:r>
              <w:rPr>
                <w:rFonts w:hint="eastAsia" w:ascii="Times New Roman" w:hAnsi="Times New Roman" w:eastAsia="宋体" w:cs="Times New Roman"/>
                <w:b/>
                <w:bCs/>
                <w:color w:val="auto"/>
                <w:kern w:val="0"/>
                <w:szCs w:val="21"/>
                <w:highlight w:val="none"/>
                <w:lang w:val="en-US" w:eastAsia="zh-CN"/>
              </w:rPr>
              <w:t>以新带老</w:t>
            </w:r>
            <w:r>
              <w:rPr>
                <w:rFonts w:hint="eastAsia" w:ascii="Times New Roman" w:hAnsi="Times New Roman" w:eastAsia="宋体" w:cs="Times New Roman"/>
                <w:b/>
                <w:bCs/>
                <w:color w:val="auto"/>
                <w:kern w:val="0"/>
                <w:szCs w:val="21"/>
                <w:highlight w:val="none"/>
                <w:lang w:eastAsia="zh-CN"/>
              </w:rPr>
              <w:t>”</w:t>
            </w:r>
            <w:r>
              <w:rPr>
                <w:rFonts w:hint="eastAsia" w:ascii="Times New Roman" w:hAnsi="Times New Roman" w:eastAsia="宋体" w:cs="Times New Roman"/>
                <w:b/>
                <w:bCs/>
                <w:color w:val="auto"/>
                <w:kern w:val="0"/>
                <w:szCs w:val="21"/>
                <w:highlight w:val="none"/>
                <w:lang w:val="en-US" w:eastAsia="zh-CN"/>
              </w:rPr>
              <w:t>削减废气排放量</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7"/>
              <w:gridCol w:w="2398"/>
              <w:gridCol w:w="2086"/>
              <w:gridCol w:w="1408"/>
              <w:gridCol w:w="1767"/>
            </w:tblGrid>
            <w:tr w14:paraId="5535E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556" w:type="pct"/>
                  <w:vMerge w:val="restart"/>
                  <w:tcBorders>
                    <w:tl2br w:val="nil"/>
                    <w:tr2bl w:val="nil"/>
                  </w:tcBorders>
                  <w:noWrap w:val="0"/>
                  <w:vAlign w:val="center"/>
                </w:tcPr>
                <w:p w14:paraId="115B5FC3">
                  <w:pPr>
                    <w:pStyle w:val="43"/>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color w:val="auto"/>
                      <w:sz w:val="21"/>
                      <w:szCs w:val="21"/>
                    </w:rPr>
                  </w:pPr>
                  <w:r>
                    <w:rPr>
                      <w:rFonts w:hint="default" w:ascii="Times New Roman" w:hAnsi="Times New Roman" w:eastAsia="宋体" w:cs="Times New Roman"/>
                      <w:b/>
                      <w:color w:val="auto"/>
                      <w:sz w:val="21"/>
                      <w:szCs w:val="21"/>
                    </w:rPr>
                    <w:t>种类</w:t>
                  </w:r>
                </w:p>
              </w:tc>
              <w:tc>
                <w:tcPr>
                  <w:tcW w:w="1391" w:type="pct"/>
                  <w:vMerge w:val="restart"/>
                  <w:tcBorders>
                    <w:tl2br w:val="nil"/>
                    <w:tr2bl w:val="nil"/>
                  </w:tcBorders>
                  <w:noWrap w:val="0"/>
                  <w:vAlign w:val="center"/>
                </w:tcPr>
                <w:p w14:paraId="3B8342AD">
                  <w:pPr>
                    <w:pStyle w:val="43"/>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val="0"/>
                      <w:color w:val="auto"/>
                      <w:sz w:val="21"/>
                      <w:szCs w:val="21"/>
                      <w:lang w:val="en-US" w:eastAsia="zh-CN"/>
                    </w:rPr>
                  </w:pPr>
                  <w:r>
                    <w:rPr>
                      <w:rFonts w:hint="default" w:ascii="Times New Roman" w:hAnsi="Times New Roman" w:eastAsia="宋体" w:cs="Times New Roman"/>
                      <w:b/>
                      <w:color w:val="auto"/>
                      <w:sz w:val="21"/>
                      <w:szCs w:val="21"/>
                    </w:rPr>
                    <w:t>污染</w:t>
                  </w:r>
                  <w:r>
                    <w:rPr>
                      <w:rFonts w:hint="eastAsia" w:ascii="Times New Roman" w:hAnsi="Times New Roman" w:eastAsia="宋体" w:cs="Times New Roman"/>
                      <w:b/>
                      <w:color w:val="auto"/>
                      <w:sz w:val="21"/>
                      <w:szCs w:val="21"/>
                      <w:lang w:val="en-US" w:eastAsia="zh-CN"/>
                    </w:rPr>
                    <w:t>物名称</w:t>
                  </w:r>
                  <w:r>
                    <w:rPr>
                      <w:rFonts w:hint="eastAsia" w:ascii="Times New Roman" w:hAnsi="Times New Roman" w:eastAsia="宋体" w:cs="Times New Roman"/>
                      <w:b/>
                      <w:color w:val="auto"/>
                      <w:sz w:val="21"/>
                      <w:szCs w:val="21"/>
                      <w:vertAlign w:val="superscript"/>
                      <w:lang w:val="en-US" w:eastAsia="zh-CN"/>
                    </w:rPr>
                    <w:t>[1]</w:t>
                  </w:r>
                </w:p>
              </w:tc>
              <w:tc>
                <w:tcPr>
                  <w:tcW w:w="3052" w:type="pct"/>
                  <w:gridSpan w:val="3"/>
                  <w:tcBorders>
                    <w:tl2br w:val="nil"/>
                    <w:tr2bl w:val="nil"/>
                  </w:tcBorders>
                  <w:noWrap w:val="0"/>
                  <w:vAlign w:val="center"/>
                </w:tcPr>
                <w:p w14:paraId="33919CF8">
                  <w:pPr>
                    <w:pStyle w:val="43"/>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排放量（t/a）</w:t>
                  </w:r>
                </w:p>
              </w:tc>
            </w:tr>
            <w:tr w14:paraId="0189E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2" w:hRule="atLeast"/>
                <w:tblHeader/>
                <w:jc w:val="center"/>
              </w:trPr>
              <w:tc>
                <w:tcPr>
                  <w:tcW w:w="556" w:type="pct"/>
                  <w:vMerge w:val="continue"/>
                  <w:tcBorders>
                    <w:tl2br w:val="nil"/>
                    <w:tr2bl w:val="nil"/>
                  </w:tcBorders>
                  <w:noWrap w:val="0"/>
                  <w:vAlign w:val="center"/>
                </w:tcPr>
                <w:p w14:paraId="7C81A19F">
                  <w:pPr>
                    <w:pStyle w:val="43"/>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1"/>
                      <w:szCs w:val="21"/>
                    </w:rPr>
                  </w:pPr>
                </w:p>
              </w:tc>
              <w:tc>
                <w:tcPr>
                  <w:tcW w:w="1391" w:type="pct"/>
                  <w:vMerge w:val="continue"/>
                  <w:tcBorders>
                    <w:tl2br w:val="nil"/>
                    <w:tr2bl w:val="nil"/>
                  </w:tcBorders>
                  <w:noWrap w:val="0"/>
                  <w:vAlign w:val="center"/>
                </w:tcPr>
                <w:p w14:paraId="1D0AFB98">
                  <w:pPr>
                    <w:pStyle w:val="43"/>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1"/>
                      <w:szCs w:val="21"/>
                    </w:rPr>
                  </w:pPr>
                </w:p>
              </w:tc>
              <w:tc>
                <w:tcPr>
                  <w:tcW w:w="1210" w:type="pct"/>
                  <w:tcBorders>
                    <w:tl2br w:val="nil"/>
                    <w:tr2bl w:val="nil"/>
                  </w:tcBorders>
                  <w:shd w:val="clear" w:color="auto" w:fill="auto"/>
                  <w:noWrap w:val="0"/>
                  <w:vAlign w:val="center"/>
                </w:tcPr>
                <w:p w14:paraId="6E26D5FF">
                  <w:pPr>
                    <w:pStyle w:val="4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有组织（DA001）</w:t>
                  </w:r>
                </w:p>
              </w:tc>
              <w:tc>
                <w:tcPr>
                  <w:tcW w:w="817" w:type="pct"/>
                  <w:tcBorders>
                    <w:tl2br w:val="nil"/>
                    <w:tr2bl w:val="nil"/>
                  </w:tcBorders>
                  <w:shd w:val="clear" w:color="auto" w:fill="auto"/>
                  <w:noWrap w:val="0"/>
                  <w:vAlign w:val="center"/>
                </w:tcPr>
                <w:p w14:paraId="01B49C36">
                  <w:pPr>
                    <w:pStyle w:val="43"/>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无组织</w:t>
                  </w:r>
                </w:p>
              </w:tc>
              <w:tc>
                <w:tcPr>
                  <w:tcW w:w="1025" w:type="pct"/>
                  <w:tcBorders>
                    <w:tl2br w:val="nil"/>
                    <w:tr2bl w:val="nil"/>
                  </w:tcBorders>
                  <w:noWrap w:val="0"/>
                  <w:vAlign w:val="center"/>
                </w:tcPr>
                <w:p w14:paraId="0EE2A5BB">
                  <w:pPr>
                    <w:pStyle w:val="43"/>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合计</w:t>
                  </w:r>
                </w:p>
              </w:tc>
            </w:tr>
            <w:tr w14:paraId="6D669D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556" w:type="pct"/>
                  <w:vMerge w:val="restart"/>
                  <w:tcBorders>
                    <w:tl2br w:val="nil"/>
                    <w:tr2bl w:val="nil"/>
                  </w:tcBorders>
                  <w:noWrap w:val="0"/>
                  <w:vAlign w:val="center"/>
                </w:tcPr>
                <w:p w14:paraId="0ADB4B40">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391" w:type="pct"/>
                  <w:tcBorders>
                    <w:tl2br w:val="nil"/>
                    <w:tr2bl w:val="nil"/>
                  </w:tcBorders>
                  <w:noWrap w:val="0"/>
                  <w:vAlign w:val="center"/>
                </w:tcPr>
                <w:p w14:paraId="0566F312">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混合芳烃</w:t>
                  </w:r>
                </w:p>
              </w:tc>
              <w:tc>
                <w:tcPr>
                  <w:tcW w:w="1210" w:type="pct"/>
                  <w:tcBorders>
                    <w:tl2br w:val="nil"/>
                    <w:tr2bl w:val="nil"/>
                  </w:tcBorders>
                  <w:noWrap w:val="0"/>
                  <w:vAlign w:val="center"/>
                </w:tcPr>
                <w:p w14:paraId="213E6F73">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0.013</w:t>
                  </w:r>
                </w:p>
              </w:tc>
              <w:tc>
                <w:tcPr>
                  <w:tcW w:w="817" w:type="pct"/>
                  <w:tcBorders>
                    <w:tl2br w:val="nil"/>
                    <w:tr2bl w:val="nil"/>
                  </w:tcBorders>
                  <w:noWrap w:val="0"/>
                  <w:vAlign w:val="center"/>
                </w:tcPr>
                <w:p w14:paraId="47DE8EC1">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0.627</w:t>
                  </w:r>
                </w:p>
              </w:tc>
              <w:tc>
                <w:tcPr>
                  <w:tcW w:w="1025" w:type="pct"/>
                  <w:tcBorders>
                    <w:tl2br w:val="nil"/>
                    <w:tr2bl w:val="nil"/>
                  </w:tcBorders>
                  <w:noWrap w:val="0"/>
                  <w:vAlign w:val="center"/>
                </w:tcPr>
                <w:p w14:paraId="729AD7E0">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0.641</w:t>
                  </w:r>
                </w:p>
              </w:tc>
            </w:tr>
            <w:tr w14:paraId="5E546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556" w:type="pct"/>
                  <w:vMerge w:val="continue"/>
                  <w:tcBorders>
                    <w:tl2br w:val="nil"/>
                    <w:tr2bl w:val="nil"/>
                  </w:tcBorders>
                  <w:noWrap w:val="0"/>
                  <w:vAlign w:val="center"/>
                </w:tcPr>
                <w:p w14:paraId="007D5F7D">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91" w:type="pct"/>
                  <w:tcBorders>
                    <w:tl2br w:val="nil"/>
                    <w:tr2bl w:val="nil"/>
                  </w:tcBorders>
                  <w:noWrap w:val="0"/>
                  <w:vAlign w:val="center"/>
                </w:tcPr>
                <w:p w14:paraId="0637FA52">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溶剂油</w:t>
                  </w:r>
                </w:p>
              </w:tc>
              <w:tc>
                <w:tcPr>
                  <w:tcW w:w="1210" w:type="pct"/>
                  <w:tcBorders>
                    <w:tl2br w:val="nil"/>
                    <w:tr2bl w:val="nil"/>
                  </w:tcBorders>
                  <w:noWrap w:val="0"/>
                  <w:vAlign w:val="center"/>
                </w:tcPr>
                <w:p w14:paraId="61344772">
                  <w:pPr>
                    <w:pStyle w:val="4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0.038</w:t>
                  </w:r>
                </w:p>
              </w:tc>
              <w:tc>
                <w:tcPr>
                  <w:tcW w:w="817" w:type="pct"/>
                  <w:tcBorders>
                    <w:tl2br w:val="nil"/>
                    <w:tr2bl w:val="nil"/>
                  </w:tcBorders>
                  <w:noWrap w:val="0"/>
                  <w:vAlign w:val="center"/>
                </w:tcPr>
                <w:p w14:paraId="3AA59E24">
                  <w:pPr>
                    <w:pStyle w:val="4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1.771</w:t>
                  </w:r>
                </w:p>
              </w:tc>
              <w:tc>
                <w:tcPr>
                  <w:tcW w:w="1025" w:type="pct"/>
                  <w:tcBorders>
                    <w:tl2br w:val="nil"/>
                    <w:tr2bl w:val="nil"/>
                  </w:tcBorders>
                  <w:noWrap w:val="0"/>
                  <w:vAlign w:val="center"/>
                </w:tcPr>
                <w:p w14:paraId="0FB1EFCB">
                  <w:pPr>
                    <w:pStyle w:val="4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1.808</w:t>
                  </w:r>
                </w:p>
              </w:tc>
            </w:tr>
            <w:tr w14:paraId="6AA68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556" w:type="pct"/>
                  <w:vMerge w:val="continue"/>
                  <w:tcBorders>
                    <w:tl2br w:val="nil"/>
                    <w:tr2bl w:val="nil"/>
                  </w:tcBorders>
                  <w:noWrap w:val="0"/>
                  <w:vAlign w:val="center"/>
                </w:tcPr>
                <w:p w14:paraId="02298123">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91" w:type="pct"/>
                  <w:tcBorders>
                    <w:tl2br w:val="nil"/>
                    <w:tr2bl w:val="nil"/>
                  </w:tcBorders>
                  <w:noWrap w:val="0"/>
                  <w:vAlign w:val="center"/>
                </w:tcPr>
                <w:p w14:paraId="7229F780">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丙酸丁酯</w:t>
                  </w:r>
                </w:p>
              </w:tc>
              <w:tc>
                <w:tcPr>
                  <w:tcW w:w="1210" w:type="pct"/>
                  <w:tcBorders>
                    <w:tl2br w:val="nil"/>
                    <w:tr2bl w:val="nil"/>
                  </w:tcBorders>
                  <w:noWrap w:val="0"/>
                  <w:vAlign w:val="center"/>
                </w:tcPr>
                <w:p w14:paraId="71EF9CED">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c>
                <w:tcPr>
                  <w:tcW w:w="817" w:type="pct"/>
                  <w:tcBorders>
                    <w:tl2br w:val="nil"/>
                    <w:tr2bl w:val="nil"/>
                  </w:tcBorders>
                  <w:noWrap w:val="0"/>
                  <w:vAlign w:val="center"/>
                </w:tcPr>
                <w:p w14:paraId="519D5796">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0.046</w:t>
                  </w:r>
                </w:p>
              </w:tc>
              <w:tc>
                <w:tcPr>
                  <w:tcW w:w="1025" w:type="pct"/>
                  <w:tcBorders>
                    <w:tl2br w:val="nil"/>
                    <w:tr2bl w:val="nil"/>
                  </w:tcBorders>
                  <w:noWrap w:val="0"/>
                  <w:vAlign w:val="center"/>
                </w:tcPr>
                <w:p w14:paraId="5299E639">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0.047</w:t>
                  </w:r>
                </w:p>
              </w:tc>
            </w:tr>
            <w:tr w14:paraId="1EFA22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556" w:type="pct"/>
                  <w:vMerge w:val="continue"/>
                  <w:tcBorders>
                    <w:tl2br w:val="nil"/>
                    <w:tr2bl w:val="nil"/>
                  </w:tcBorders>
                  <w:noWrap w:val="0"/>
                  <w:vAlign w:val="center"/>
                </w:tcPr>
                <w:p w14:paraId="3AA4BF55">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91" w:type="pct"/>
                  <w:tcBorders>
                    <w:tl2br w:val="nil"/>
                    <w:tr2bl w:val="nil"/>
                  </w:tcBorders>
                  <w:noWrap w:val="0"/>
                  <w:vAlign w:val="center"/>
                </w:tcPr>
                <w:p w14:paraId="14BBAAEC">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二氯乙烷</w:t>
                  </w:r>
                </w:p>
              </w:tc>
              <w:tc>
                <w:tcPr>
                  <w:tcW w:w="1210" w:type="pct"/>
                  <w:tcBorders>
                    <w:tl2br w:val="nil"/>
                    <w:tr2bl w:val="nil"/>
                  </w:tcBorders>
                  <w:noWrap w:val="0"/>
                  <w:vAlign w:val="center"/>
                </w:tcPr>
                <w:p w14:paraId="02AD9428">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0.003</w:t>
                  </w:r>
                </w:p>
              </w:tc>
              <w:tc>
                <w:tcPr>
                  <w:tcW w:w="817" w:type="pct"/>
                  <w:tcBorders>
                    <w:tl2br w:val="nil"/>
                    <w:tr2bl w:val="nil"/>
                  </w:tcBorders>
                  <w:noWrap w:val="0"/>
                  <w:vAlign w:val="center"/>
                </w:tcPr>
                <w:p w14:paraId="4A8260B3">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0.124</w:t>
                  </w:r>
                </w:p>
              </w:tc>
              <w:tc>
                <w:tcPr>
                  <w:tcW w:w="1025" w:type="pct"/>
                  <w:tcBorders>
                    <w:tl2br w:val="nil"/>
                    <w:tr2bl w:val="nil"/>
                  </w:tcBorders>
                  <w:noWrap w:val="0"/>
                  <w:vAlign w:val="center"/>
                </w:tcPr>
                <w:p w14:paraId="679F6712">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0.127</w:t>
                  </w:r>
                </w:p>
              </w:tc>
            </w:tr>
            <w:tr w14:paraId="51E453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556" w:type="pct"/>
                  <w:vMerge w:val="continue"/>
                  <w:tcBorders>
                    <w:tl2br w:val="nil"/>
                    <w:tr2bl w:val="nil"/>
                  </w:tcBorders>
                  <w:noWrap w:val="0"/>
                  <w:vAlign w:val="center"/>
                </w:tcPr>
                <w:p w14:paraId="227A2B55">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91" w:type="pct"/>
                  <w:tcBorders>
                    <w:tl2br w:val="nil"/>
                    <w:tr2bl w:val="nil"/>
                  </w:tcBorders>
                  <w:noWrap w:val="0"/>
                  <w:vAlign w:val="center"/>
                </w:tcPr>
                <w:p w14:paraId="4F62958B">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生物柴油</w:t>
                  </w:r>
                </w:p>
              </w:tc>
              <w:tc>
                <w:tcPr>
                  <w:tcW w:w="1210" w:type="pct"/>
                  <w:tcBorders>
                    <w:tl2br w:val="nil"/>
                    <w:tr2bl w:val="nil"/>
                  </w:tcBorders>
                  <w:noWrap w:val="0"/>
                  <w:vAlign w:val="center"/>
                </w:tcPr>
                <w:p w14:paraId="7972E43E">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1.291</w:t>
                  </w:r>
                </w:p>
              </w:tc>
              <w:tc>
                <w:tcPr>
                  <w:tcW w:w="817" w:type="pct"/>
                  <w:tcBorders>
                    <w:tl2br w:val="nil"/>
                    <w:tr2bl w:val="nil"/>
                  </w:tcBorders>
                  <w:noWrap w:val="0"/>
                  <w:vAlign w:val="center"/>
                </w:tcPr>
                <w:p w14:paraId="0F568CF9">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0.130</w:t>
                  </w:r>
                </w:p>
              </w:tc>
              <w:tc>
                <w:tcPr>
                  <w:tcW w:w="1025" w:type="pct"/>
                  <w:tcBorders>
                    <w:tl2br w:val="nil"/>
                    <w:tr2bl w:val="nil"/>
                  </w:tcBorders>
                  <w:noWrap w:val="0"/>
                  <w:vAlign w:val="center"/>
                </w:tcPr>
                <w:p w14:paraId="252D5A26">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1.421</w:t>
                  </w:r>
                </w:p>
              </w:tc>
            </w:tr>
            <w:tr w14:paraId="5478F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556" w:type="pct"/>
                  <w:vMerge w:val="continue"/>
                  <w:tcBorders>
                    <w:tl2br w:val="nil"/>
                    <w:tr2bl w:val="nil"/>
                  </w:tcBorders>
                  <w:noWrap w:val="0"/>
                  <w:vAlign w:val="center"/>
                </w:tcPr>
                <w:p w14:paraId="6DE3C825">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91" w:type="pct"/>
                  <w:tcBorders>
                    <w:tl2br w:val="nil"/>
                    <w:tr2bl w:val="nil"/>
                  </w:tcBorders>
                  <w:noWrap w:val="0"/>
                  <w:vAlign w:val="center"/>
                </w:tcPr>
                <w:p w14:paraId="1EC7AD35">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航空煤油</w:t>
                  </w:r>
                </w:p>
              </w:tc>
              <w:tc>
                <w:tcPr>
                  <w:tcW w:w="1210" w:type="pct"/>
                  <w:tcBorders>
                    <w:tl2br w:val="nil"/>
                    <w:tr2bl w:val="nil"/>
                  </w:tcBorders>
                  <w:noWrap w:val="0"/>
                  <w:vAlign w:val="center"/>
                </w:tcPr>
                <w:p w14:paraId="2800247C">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1.024</w:t>
                  </w:r>
                </w:p>
              </w:tc>
              <w:tc>
                <w:tcPr>
                  <w:tcW w:w="817" w:type="pct"/>
                  <w:tcBorders>
                    <w:tl2br w:val="nil"/>
                    <w:tr2bl w:val="nil"/>
                  </w:tcBorders>
                  <w:noWrap w:val="0"/>
                  <w:vAlign w:val="center"/>
                </w:tcPr>
                <w:p w14:paraId="29BF1DEC">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0.103</w:t>
                  </w:r>
                </w:p>
              </w:tc>
              <w:tc>
                <w:tcPr>
                  <w:tcW w:w="1025" w:type="pct"/>
                  <w:tcBorders>
                    <w:tl2br w:val="nil"/>
                    <w:tr2bl w:val="nil"/>
                  </w:tcBorders>
                  <w:noWrap w:val="0"/>
                  <w:vAlign w:val="center"/>
                </w:tcPr>
                <w:p w14:paraId="51E19139">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1.128</w:t>
                  </w:r>
                </w:p>
              </w:tc>
            </w:tr>
            <w:tr w14:paraId="3F0A18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blHeader/>
                <w:jc w:val="center"/>
              </w:trPr>
              <w:tc>
                <w:tcPr>
                  <w:tcW w:w="556" w:type="pct"/>
                  <w:vMerge w:val="continue"/>
                  <w:tcBorders>
                    <w:tl2br w:val="nil"/>
                    <w:tr2bl w:val="nil"/>
                  </w:tcBorders>
                  <w:noWrap w:val="0"/>
                  <w:vAlign w:val="center"/>
                </w:tcPr>
                <w:p w14:paraId="1190B19C">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91" w:type="pct"/>
                  <w:tcBorders>
                    <w:tl2br w:val="nil"/>
                    <w:tr2bl w:val="nil"/>
                  </w:tcBorders>
                  <w:noWrap w:val="0"/>
                  <w:vAlign w:val="center"/>
                </w:tcPr>
                <w:p w14:paraId="136A933B">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合计（以非甲烷总烃计）</w:t>
                  </w:r>
                </w:p>
              </w:tc>
              <w:tc>
                <w:tcPr>
                  <w:tcW w:w="2197" w:type="dxa"/>
                  <w:tcBorders>
                    <w:tl2br w:val="nil"/>
                    <w:tr2bl w:val="nil"/>
                  </w:tcBorders>
                  <w:noWrap w:val="0"/>
                  <w:vAlign w:val="center"/>
                </w:tcPr>
                <w:p w14:paraId="6C9F2D88">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2.371</w:t>
                  </w:r>
                </w:p>
              </w:tc>
              <w:tc>
                <w:tcPr>
                  <w:tcW w:w="1484" w:type="dxa"/>
                  <w:tcBorders>
                    <w:tl2br w:val="nil"/>
                    <w:tr2bl w:val="nil"/>
                  </w:tcBorders>
                  <w:noWrap w:val="0"/>
                  <w:vAlign w:val="center"/>
                </w:tcPr>
                <w:p w14:paraId="230EA997">
                  <w:pPr>
                    <w:pStyle w:val="43"/>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2.801</w:t>
                  </w:r>
                </w:p>
              </w:tc>
              <w:tc>
                <w:tcPr>
                  <w:tcW w:w="1861" w:type="dxa"/>
                  <w:tcBorders>
                    <w:tl2br w:val="nil"/>
                    <w:tr2bl w:val="nil"/>
                  </w:tcBorders>
                  <w:noWrap w:val="0"/>
                  <w:vAlign w:val="center"/>
                </w:tcPr>
                <w:p w14:paraId="50636D7A">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5.172</w:t>
                  </w:r>
                </w:p>
              </w:tc>
            </w:tr>
            <w:tr w14:paraId="0F8F7F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6" w:hRule="atLeast"/>
                <w:tblHeader/>
                <w:jc w:val="center"/>
              </w:trPr>
              <w:tc>
                <w:tcPr>
                  <w:tcW w:w="556" w:type="pct"/>
                  <w:vMerge w:val="continue"/>
                  <w:tcBorders>
                    <w:tl2br w:val="nil"/>
                    <w:tr2bl w:val="nil"/>
                  </w:tcBorders>
                  <w:noWrap w:val="0"/>
                  <w:vAlign w:val="center"/>
                </w:tcPr>
                <w:p w14:paraId="2231832E">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91" w:type="pct"/>
                  <w:tcBorders>
                    <w:tl2br w:val="nil"/>
                    <w:tr2bl w:val="nil"/>
                  </w:tcBorders>
                  <w:noWrap w:val="0"/>
                  <w:vAlign w:val="center"/>
                </w:tcPr>
                <w:p w14:paraId="28D3E024">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VOCs</w:t>
                  </w:r>
                </w:p>
              </w:tc>
              <w:tc>
                <w:tcPr>
                  <w:tcW w:w="2197" w:type="dxa"/>
                  <w:tcBorders>
                    <w:tl2br w:val="nil"/>
                    <w:tr2bl w:val="nil"/>
                  </w:tcBorders>
                  <w:noWrap w:val="0"/>
                  <w:vAlign w:val="center"/>
                </w:tcPr>
                <w:p w14:paraId="7AFCAB4F">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2.371</w:t>
                  </w:r>
                </w:p>
              </w:tc>
              <w:tc>
                <w:tcPr>
                  <w:tcW w:w="1484" w:type="dxa"/>
                  <w:tcBorders>
                    <w:tl2br w:val="nil"/>
                    <w:tr2bl w:val="nil"/>
                  </w:tcBorders>
                  <w:noWrap w:val="0"/>
                  <w:vAlign w:val="center"/>
                </w:tcPr>
                <w:p w14:paraId="19EB4060">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2.801</w:t>
                  </w:r>
                </w:p>
              </w:tc>
              <w:tc>
                <w:tcPr>
                  <w:tcW w:w="1861" w:type="dxa"/>
                  <w:tcBorders>
                    <w:tl2br w:val="nil"/>
                    <w:tr2bl w:val="nil"/>
                  </w:tcBorders>
                  <w:noWrap w:val="0"/>
                  <w:vAlign w:val="center"/>
                </w:tcPr>
                <w:p w14:paraId="5C18D926">
                  <w:pPr>
                    <w:pStyle w:val="43"/>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5.172</w:t>
                  </w:r>
                </w:p>
              </w:tc>
            </w:tr>
          </w:tbl>
          <w:p w14:paraId="6755D0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注：[1]本次仅对删除的9个品种中现有环评已核算的污染物进行核算，现有环评未核算的污染物忽略不计。</w:t>
            </w:r>
          </w:p>
          <w:p w14:paraId="3CA729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18"/>
                <w:szCs w:val="18"/>
                <w:highlight w:val="none"/>
                <w:lang w:val="en-US" w:eastAsia="zh-CN"/>
              </w:rPr>
            </w:pPr>
          </w:p>
          <w:p w14:paraId="7F685E11">
            <w:pPr>
              <w:keepNext w:val="0"/>
              <w:keepLines w:val="0"/>
              <w:suppressLineNumbers w:val="0"/>
              <w:adjustRightInd w:val="0"/>
              <w:snapToGrid w:val="0"/>
              <w:spacing w:before="0" w:beforeAutospacing="0" w:after="0" w:afterAutospacing="0" w:line="360" w:lineRule="auto"/>
              <w:ind w:left="0" w:right="0" w:firstLine="420" w:firstLineChars="200"/>
              <w:jc w:val="both"/>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②</w:t>
            </w:r>
            <w:r>
              <w:rPr>
                <w:rFonts w:hint="eastAsia" w:ascii="Times New Roman" w:hAnsi="Times New Roman" w:eastAsia="宋体" w:cs="Times New Roman"/>
                <w:color w:val="auto"/>
                <w:kern w:val="0"/>
                <w:szCs w:val="21"/>
                <w:highlight w:val="none"/>
                <w:lang w:val="en-US" w:eastAsia="zh-CN"/>
              </w:rPr>
              <w:t>沥青装卸方式变更“以新带老”削减废气</w:t>
            </w:r>
          </w:p>
          <w:p w14:paraId="6818E5BA">
            <w:pPr>
              <w:keepNext w:val="0"/>
              <w:keepLines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w:t>
            </w:r>
            <w:bookmarkStart w:id="11" w:name="_GoBack"/>
            <w:bookmarkEnd w:id="11"/>
            <w:r>
              <w:rPr>
                <w:rFonts w:hint="eastAsia" w:ascii="Times New Roman" w:hAnsi="Times New Roman" w:eastAsia="宋体" w:cs="Times New Roman"/>
                <w:color w:val="auto"/>
                <w:kern w:val="0"/>
                <w:szCs w:val="21"/>
                <w:highlight w:val="none"/>
                <w:lang w:val="en-US" w:eastAsia="zh-CN"/>
              </w:rPr>
              <w:t>新增2万吨沥青装车功能，同时减少2万吨沥青装船，沥青总周转量不变。本次核算2万吨沥青装船废气作为“以新带老”削减废气</w:t>
            </w:r>
            <w:r>
              <w:rPr>
                <w:rFonts w:hint="eastAsia" w:cs="Times New Roman"/>
                <w:color w:val="auto"/>
                <w:kern w:val="0"/>
                <w:szCs w:val="21"/>
                <w:highlight w:val="none"/>
                <w:lang w:val="en-US" w:eastAsia="zh-CN"/>
              </w:rPr>
              <w:t>。根据计算，</w:t>
            </w:r>
            <w:r>
              <w:rPr>
                <w:rFonts w:hint="eastAsia" w:ascii="Times New Roman" w:hAnsi="Times New Roman" w:eastAsia="宋体" w:cs="Times New Roman"/>
                <w:color w:val="auto"/>
                <w:kern w:val="0"/>
                <w:szCs w:val="21"/>
                <w:highlight w:val="none"/>
                <w:lang w:val="en-US" w:eastAsia="zh-CN"/>
              </w:rPr>
              <w:t>装船废气沥青烟气产生量为0.409t/a，</w:t>
            </w:r>
            <w:r>
              <w:rPr>
                <w:rFonts w:hint="default" w:ascii="Times New Roman" w:hAnsi="Times New Roman" w:eastAsia="宋体" w:cs="Times New Roman"/>
                <w:color w:val="auto"/>
                <w:kern w:val="0"/>
                <w:szCs w:val="21"/>
                <w:highlight w:val="none"/>
                <w:lang w:val="en-US" w:eastAsia="zh-CN"/>
              </w:rPr>
              <w:t>沥青烟中非甲烷总烃为0.</w:t>
            </w:r>
            <w:r>
              <w:rPr>
                <w:rFonts w:hint="eastAsia" w:ascii="Times New Roman" w:hAnsi="Times New Roman" w:eastAsia="宋体" w:cs="Times New Roman"/>
                <w:color w:val="auto"/>
                <w:kern w:val="0"/>
                <w:szCs w:val="21"/>
                <w:highlight w:val="none"/>
                <w:lang w:val="en-US" w:eastAsia="zh-CN"/>
              </w:rPr>
              <w:t>319</w:t>
            </w:r>
            <w:r>
              <w:rPr>
                <w:rFonts w:hint="default" w:ascii="Times New Roman" w:hAnsi="Times New Roman" w:eastAsia="宋体" w:cs="Times New Roman"/>
                <w:color w:val="auto"/>
                <w:kern w:val="0"/>
                <w:szCs w:val="21"/>
                <w:highlight w:val="none"/>
                <w:lang w:val="en-US" w:eastAsia="zh-CN"/>
              </w:rPr>
              <w:t>t/a，颗粒物（沥青烟）为0.0</w:t>
            </w:r>
            <w:r>
              <w:rPr>
                <w:rFonts w:hint="eastAsia" w:ascii="Times New Roman" w:hAnsi="Times New Roman" w:eastAsia="宋体" w:cs="Times New Roman"/>
                <w:color w:val="auto"/>
                <w:kern w:val="0"/>
                <w:szCs w:val="21"/>
                <w:highlight w:val="none"/>
                <w:lang w:val="en-US" w:eastAsia="zh-CN"/>
              </w:rPr>
              <w:t>90</w:t>
            </w:r>
            <w:r>
              <w:rPr>
                <w:rFonts w:hint="default" w:ascii="Times New Roman" w:hAnsi="Times New Roman" w:eastAsia="宋体" w:cs="Times New Roman"/>
                <w:color w:val="auto"/>
                <w:kern w:val="0"/>
                <w:szCs w:val="21"/>
                <w:highlight w:val="none"/>
                <w:lang w:val="en-US" w:eastAsia="zh-CN"/>
              </w:rPr>
              <w:t>t/a</w:t>
            </w:r>
            <w:r>
              <w:rPr>
                <w:rFonts w:hint="eastAsia"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lang w:val="en-US" w:eastAsia="zh-CN"/>
              </w:rPr>
              <w:t>苯并[a]芘为4.</w:t>
            </w:r>
            <w:r>
              <w:rPr>
                <w:rFonts w:hint="eastAsia" w:ascii="Times New Roman" w:hAnsi="Times New Roman" w:eastAsia="宋体" w:cs="Times New Roman"/>
                <w:color w:val="auto"/>
                <w:kern w:val="0"/>
                <w:szCs w:val="21"/>
                <w:highlight w:val="none"/>
                <w:lang w:val="en-US" w:eastAsia="zh-CN"/>
              </w:rPr>
              <w:t>6</w:t>
            </w:r>
            <w:r>
              <w:rPr>
                <w:rFonts w:hint="default" w:ascii="Times New Roman" w:hAnsi="Times New Roman" w:eastAsia="宋体" w:cs="Times New Roman"/>
                <w:color w:val="auto"/>
                <w:kern w:val="0"/>
                <w:szCs w:val="21"/>
                <w:highlight w:val="none"/>
                <w:lang w:val="en-US" w:eastAsia="zh-CN"/>
              </w:rPr>
              <w:t>×10</w:t>
            </w:r>
            <w:r>
              <w:rPr>
                <w:rFonts w:hint="default" w:ascii="Times New Roman" w:hAnsi="Times New Roman" w:eastAsia="宋体" w:cs="Times New Roman"/>
                <w:color w:val="auto"/>
                <w:kern w:val="0"/>
                <w:szCs w:val="21"/>
                <w:highlight w:val="none"/>
                <w:vertAlign w:val="superscript"/>
                <w:lang w:val="en-US" w:eastAsia="zh-CN"/>
              </w:rPr>
              <w:t>-</w:t>
            </w:r>
            <w:r>
              <w:rPr>
                <w:rFonts w:hint="eastAsia" w:ascii="Times New Roman" w:hAnsi="Times New Roman" w:eastAsia="宋体" w:cs="Times New Roman"/>
                <w:color w:val="auto"/>
                <w:kern w:val="0"/>
                <w:szCs w:val="21"/>
                <w:highlight w:val="none"/>
                <w:vertAlign w:val="superscript"/>
                <w:lang w:val="en-US" w:eastAsia="zh-CN"/>
              </w:rPr>
              <w:t>6</w:t>
            </w:r>
            <w:r>
              <w:rPr>
                <w:rFonts w:hint="default" w:ascii="Times New Roman" w:hAnsi="Times New Roman" w:eastAsia="宋体" w:cs="Times New Roman"/>
                <w:color w:val="auto"/>
                <w:kern w:val="0"/>
                <w:szCs w:val="21"/>
                <w:highlight w:val="none"/>
                <w:lang w:val="en-US" w:eastAsia="zh-CN"/>
              </w:rPr>
              <w:t>t/a。</w:t>
            </w:r>
          </w:p>
        </w:tc>
      </w:tr>
      <w:tr w14:paraId="05D76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 w:type="pct"/>
            <w:noWrap w:val="0"/>
            <w:vAlign w:val="center"/>
          </w:tcPr>
          <w:p w14:paraId="754FB188">
            <w:pPr>
              <w:keepNext w:val="0"/>
              <w:keepLines w:val="0"/>
              <w:suppressLineNumbers w:val="0"/>
              <w:adjustRightInd w:val="0"/>
              <w:snapToGrid w:val="0"/>
              <w:spacing w:before="0" w:beforeAutospacing="0" w:after="0" w:afterAutospacing="0"/>
              <w:ind w:left="0" w:right="0"/>
              <w:jc w:val="center"/>
              <w:rPr>
                <w:rFonts w:hint="eastAsia" w:ascii="宋体" w:hAnsi="宋体"/>
                <w:bCs/>
                <w:color w:val="auto"/>
                <w:szCs w:val="21"/>
              </w:rPr>
            </w:pPr>
            <w:r>
              <w:rPr>
                <w:rFonts w:hint="eastAsia" w:ascii="宋体" w:hAnsi="宋体" w:cs="宋体"/>
                <w:color w:val="auto"/>
                <w:kern w:val="0"/>
                <w:szCs w:val="21"/>
              </w:rPr>
              <w:t>生态环境保护目标</w:t>
            </w:r>
          </w:p>
        </w:tc>
        <w:tc>
          <w:tcPr>
            <w:tcW w:w="8850" w:type="dxa"/>
            <w:noWrap w:val="0"/>
            <w:vAlign w:val="center"/>
          </w:tcPr>
          <w:p w14:paraId="445B32DD">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1、生态环境</w:t>
            </w:r>
          </w:p>
          <w:p w14:paraId="5E7E7D26">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本项目位于丽天公司现有厂区内，用地范围内无生态环境保护目标。距离本项目最近的</w:t>
            </w:r>
            <w:r>
              <w:rPr>
                <w:rFonts w:hint="eastAsia" w:ascii="Times New Roman" w:hAnsi="Times New Roman" w:eastAsia="宋体" w:cs="Times New Roman"/>
                <w:color w:val="auto"/>
                <w:highlight w:val="none"/>
                <w:lang w:val="en-US" w:eastAsia="zh-CN"/>
              </w:rPr>
              <w:t>生态保护红线</w:t>
            </w:r>
            <w:r>
              <w:rPr>
                <w:rFonts w:hint="eastAsia" w:ascii="Times New Roman" w:hAnsi="Times New Roman" w:eastAsia="宋体" w:cs="Times New Roman"/>
                <w:color w:val="auto"/>
                <w:kern w:val="0"/>
                <w:szCs w:val="21"/>
                <w:highlight w:val="none"/>
                <w:lang w:val="en-US" w:eastAsia="zh-CN"/>
              </w:rPr>
              <w:t>为</w:t>
            </w:r>
            <w:r>
              <w:rPr>
                <w:rFonts w:hint="eastAsia" w:ascii="Times New Roman" w:hAnsi="Times New Roman" w:eastAsia="宋体" w:cs="Times New Roman"/>
                <w:color w:val="auto"/>
                <w:highlight w:val="none"/>
                <w:lang w:val="en-US" w:eastAsia="zh-CN"/>
              </w:rPr>
              <w:t>西石桥饮用水水源保护区，位于本项目上游西北侧约850m；距离本项目最近的生态空间管控区为</w:t>
            </w:r>
            <w:r>
              <w:rPr>
                <w:rFonts w:hint="eastAsia"/>
                <w:color w:val="auto"/>
              </w:rPr>
              <w:t>长江西石桥饮用水水源保护区</w:t>
            </w:r>
            <w:r>
              <w:rPr>
                <w:rFonts w:hint="eastAsia"/>
                <w:color w:val="auto"/>
                <w:lang w:eastAsia="zh-CN"/>
              </w:rPr>
              <w:t>，</w:t>
            </w:r>
            <w:r>
              <w:rPr>
                <w:rFonts w:hint="eastAsia" w:ascii="Times New Roman" w:hAnsi="Times New Roman" w:cs="Times New Roman"/>
                <w:color w:val="auto"/>
                <w:highlight w:val="none"/>
                <w:lang w:val="en-US" w:eastAsia="zh-CN"/>
              </w:rPr>
              <w:t>位于本</w:t>
            </w:r>
            <w:r>
              <w:rPr>
                <w:rFonts w:hint="eastAsia"/>
                <w:color w:val="auto"/>
              </w:rPr>
              <w:t>项目</w:t>
            </w:r>
            <w:r>
              <w:rPr>
                <w:rFonts w:hint="eastAsia"/>
                <w:color w:val="auto"/>
                <w:lang w:val="en-US" w:eastAsia="zh-CN"/>
              </w:rPr>
              <w:t>上游西北</w:t>
            </w:r>
            <w:r>
              <w:rPr>
                <w:rFonts w:hint="eastAsia"/>
                <w:color w:val="auto"/>
              </w:rPr>
              <w:t>侧</w:t>
            </w:r>
            <w:r>
              <w:rPr>
                <w:rFonts w:hint="eastAsia"/>
                <w:color w:val="auto"/>
                <w:lang w:val="en-US" w:eastAsia="zh-CN"/>
              </w:rPr>
              <w:t>约680</w:t>
            </w:r>
            <w:r>
              <w:rPr>
                <w:rFonts w:hint="eastAsia"/>
                <w:color w:val="auto"/>
              </w:rPr>
              <w:t>m</w:t>
            </w:r>
            <w:r>
              <w:rPr>
                <w:rFonts w:hint="eastAsia"/>
                <w:color w:val="auto"/>
                <w:lang w:eastAsia="zh-CN"/>
              </w:rPr>
              <w:t>，</w:t>
            </w:r>
            <w:r>
              <w:rPr>
                <w:rFonts w:hint="eastAsia"/>
                <w:color w:val="auto"/>
                <w:lang w:val="en-US" w:eastAsia="zh-CN"/>
              </w:rPr>
              <w:t>项目周边生态敏感目标见</w:t>
            </w:r>
            <w:r>
              <w:rPr>
                <w:rFonts w:hint="eastAsia"/>
                <w:color w:val="auto"/>
                <w:highlight w:val="none"/>
                <w:lang w:val="en-US" w:eastAsia="zh-CN"/>
              </w:rPr>
              <w:t>附图7</w:t>
            </w:r>
            <w:r>
              <w:rPr>
                <w:rFonts w:hint="eastAsia" w:ascii="Times New Roman" w:hAnsi="Times New Roman" w:eastAsia="宋体" w:cs="Times New Roman"/>
                <w:color w:val="auto"/>
                <w:highlight w:val="none"/>
                <w:lang w:val="en-US" w:eastAsia="zh-CN"/>
              </w:rPr>
              <w:t>。</w:t>
            </w:r>
          </w:p>
          <w:p w14:paraId="27635C3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2、大气环境</w:t>
            </w:r>
          </w:p>
          <w:p w14:paraId="69AB20C8">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rPr>
              <w:t>本项目</w:t>
            </w:r>
            <w:r>
              <w:rPr>
                <w:rFonts w:hint="eastAsia" w:ascii="Times New Roman" w:hAnsi="Times New Roman" w:eastAsia="宋体" w:cs="Times New Roman"/>
                <w:color w:val="auto"/>
                <w:kern w:val="0"/>
                <w:szCs w:val="21"/>
                <w:highlight w:val="none"/>
                <w:lang w:val="en-US" w:eastAsia="zh-CN"/>
              </w:rPr>
              <w:t>设置大气环境专项评价，根据大气专项评价内容，项目大气评价等级为三级</w:t>
            </w:r>
            <w:r>
              <w:rPr>
                <w:rFonts w:hint="eastAsia" w:ascii="Times New Roman" w:hAnsi="Times New Roman" w:eastAsia="宋体" w:cs="Times New Roman"/>
                <w:color w:val="auto"/>
                <w:kern w:val="0"/>
                <w:szCs w:val="21"/>
                <w:highlight w:val="none"/>
              </w:rPr>
              <w:t>评价（详见大气专项），</w:t>
            </w:r>
            <w:r>
              <w:rPr>
                <w:rFonts w:hint="eastAsia" w:ascii="Times New Roman" w:hAnsi="Times New Roman" w:eastAsia="宋体" w:cs="Times New Roman"/>
                <w:color w:val="auto"/>
                <w:kern w:val="0"/>
                <w:szCs w:val="21"/>
                <w:highlight w:val="none"/>
                <w:lang w:val="en-US" w:eastAsia="zh-CN"/>
              </w:rPr>
              <w:t>三级评价项目不需设置大气环境影响评价范围。</w:t>
            </w:r>
          </w:p>
          <w:p w14:paraId="26CD08CD">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本项目</w:t>
            </w:r>
            <w:r>
              <w:rPr>
                <w:rFonts w:hint="eastAsia"/>
                <w:color w:val="auto"/>
                <w:kern w:val="0"/>
                <w:szCs w:val="21"/>
                <w:highlight w:val="none"/>
                <w:lang w:eastAsia="zh-CN"/>
              </w:rPr>
              <w:t>厂界外</w:t>
            </w:r>
            <w:r>
              <w:rPr>
                <w:rFonts w:hint="eastAsia"/>
                <w:color w:val="auto"/>
                <w:kern w:val="0"/>
                <w:szCs w:val="21"/>
                <w:highlight w:val="none"/>
              </w:rPr>
              <w:t>500m范围内无自然保护区、风景名胜区、居住区、文化区和农村地区中人群较集中的区域等保护目标</w:t>
            </w:r>
            <w:r>
              <w:rPr>
                <w:rFonts w:hint="eastAsia"/>
                <w:color w:val="auto"/>
                <w:kern w:val="0"/>
                <w:szCs w:val="21"/>
                <w:highlight w:val="none"/>
                <w:lang w:eastAsia="zh-CN"/>
              </w:rPr>
              <w:t>，</w:t>
            </w:r>
            <w:r>
              <w:rPr>
                <w:rFonts w:hint="eastAsia"/>
                <w:color w:val="auto"/>
                <w:kern w:val="0"/>
                <w:szCs w:val="21"/>
                <w:highlight w:val="none"/>
                <w:lang w:val="en-US" w:eastAsia="zh-CN"/>
              </w:rPr>
              <w:t>项目周边500m环境概况图见附图10</w:t>
            </w:r>
            <w:r>
              <w:rPr>
                <w:rFonts w:hint="eastAsia"/>
                <w:color w:val="auto"/>
                <w:kern w:val="0"/>
                <w:szCs w:val="21"/>
                <w:highlight w:val="none"/>
              </w:rPr>
              <w:t>。</w:t>
            </w:r>
          </w:p>
          <w:p w14:paraId="51E1F2F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3、地表水环境</w:t>
            </w:r>
          </w:p>
          <w:p w14:paraId="6988B3F5">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lang w:val="en-US" w:eastAsia="zh-CN"/>
              </w:rPr>
              <w:t>本次改建项目</w:t>
            </w:r>
            <w:r>
              <w:rPr>
                <w:rFonts w:hint="default"/>
                <w:color w:val="auto"/>
                <w:highlight w:val="none"/>
                <w:lang w:val="en-US" w:eastAsia="zh-CN"/>
              </w:rPr>
              <w:t>不涉及码头岸线、水工建筑物</w:t>
            </w:r>
            <w:r>
              <w:rPr>
                <w:rFonts w:hint="eastAsia"/>
                <w:color w:val="auto"/>
                <w:highlight w:val="none"/>
                <w:lang w:val="en-US" w:eastAsia="zh-CN"/>
              </w:rPr>
              <w:t>等</w:t>
            </w:r>
            <w:r>
              <w:rPr>
                <w:rFonts w:hint="default"/>
                <w:color w:val="auto"/>
                <w:highlight w:val="none"/>
                <w:lang w:val="en-US" w:eastAsia="zh-CN"/>
              </w:rPr>
              <w:t>建设</w:t>
            </w:r>
            <w:r>
              <w:rPr>
                <w:rFonts w:hint="eastAsia"/>
                <w:color w:val="auto"/>
                <w:highlight w:val="none"/>
                <w:lang w:val="en-US" w:eastAsia="zh-CN"/>
              </w:rPr>
              <w:t>，</w:t>
            </w:r>
            <w:r>
              <w:rPr>
                <w:rFonts w:hint="eastAsia"/>
                <w:color w:val="auto"/>
                <w:kern w:val="0"/>
                <w:szCs w:val="21"/>
                <w:highlight w:val="none"/>
              </w:rPr>
              <w:t>项目</w:t>
            </w:r>
            <w:r>
              <w:rPr>
                <w:rFonts w:hint="eastAsia"/>
                <w:color w:val="auto"/>
                <w:kern w:val="0"/>
                <w:szCs w:val="21"/>
                <w:highlight w:val="none"/>
                <w:lang w:val="en-US" w:eastAsia="zh-CN"/>
              </w:rPr>
              <w:t>周边地表水环境</w:t>
            </w:r>
            <w:r>
              <w:rPr>
                <w:rFonts w:hint="eastAsia"/>
                <w:color w:val="auto"/>
                <w:kern w:val="0"/>
                <w:szCs w:val="21"/>
                <w:highlight w:val="none"/>
                <w:lang w:eastAsia="zh-CN"/>
              </w:rPr>
              <w:t>保护目标</w:t>
            </w:r>
            <w:r>
              <w:rPr>
                <w:rFonts w:hint="eastAsia"/>
                <w:color w:val="auto"/>
                <w:kern w:val="0"/>
                <w:szCs w:val="21"/>
                <w:highlight w:val="none"/>
                <w:lang w:val="en-US" w:eastAsia="zh-CN"/>
              </w:rPr>
              <w:t>详见表3-39</w:t>
            </w:r>
            <w:r>
              <w:rPr>
                <w:rFonts w:hint="eastAsia"/>
                <w:color w:val="auto"/>
                <w:kern w:val="0"/>
                <w:szCs w:val="21"/>
                <w:highlight w:val="none"/>
              </w:rPr>
              <w:t>。</w:t>
            </w:r>
          </w:p>
          <w:p w14:paraId="7F56884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eastAsia" w:ascii="Times New Roman" w:hAnsi="Times New Roman" w:eastAsia="宋体" w:cs="Times New Roman"/>
                <w:b/>
                <w:bCs/>
                <w:color w:val="auto"/>
                <w:kern w:val="0"/>
                <w:szCs w:val="21"/>
                <w:highlight w:val="none"/>
              </w:rPr>
            </w:pPr>
            <w:r>
              <w:rPr>
                <w:rFonts w:hint="eastAsia" w:ascii="Times New Roman" w:hAnsi="Times New Roman" w:eastAsia="宋体" w:cs="Times New Roman"/>
                <w:b/>
                <w:bCs/>
                <w:color w:val="auto"/>
                <w:kern w:val="0"/>
                <w:szCs w:val="21"/>
                <w:highlight w:val="none"/>
              </w:rPr>
              <w:t>表3</w:t>
            </w:r>
            <w:r>
              <w:rPr>
                <w:rFonts w:hint="eastAsia" w:ascii="Times New Roman" w:hAnsi="Times New Roman" w:eastAsia="宋体" w:cs="Times New Roman"/>
                <w:b/>
                <w:bCs/>
                <w:color w:val="auto"/>
                <w:kern w:val="0"/>
                <w:szCs w:val="21"/>
                <w:highlight w:val="none"/>
                <w:lang w:val="en-US" w:eastAsia="zh-CN"/>
              </w:rPr>
              <w:t>-3</w:t>
            </w:r>
            <w:r>
              <w:rPr>
                <w:rFonts w:hint="eastAsia" w:cs="Times New Roman"/>
                <w:b/>
                <w:bCs/>
                <w:color w:val="auto"/>
                <w:kern w:val="0"/>
                <w:szCs w:val="21"/>
                <w:highlight w:val="none"/>
                <w:lang w:val="en-US" w:eastAsia="zh-CN"/>
              </w:rPr>
              <w:t>9</w:t>
            </w:r>
            <w:r>
              <w:rPr>
                <w:rFonts w:hint="eastAsia" w:ascii="Times New Roman" w:hAnsi="Times New Roman" w:eastAsia="宋体" w:cs="Times New Roman"/>
                <w:b/>
                <w:bCs/>
                <w:color w:val="auto"/>
                <w:kern w:val="0"/>
                <w:szCs w:val="21"/>
                <w:highlight w:val="none"/>
              </w:rPr>
              <w:t xml:space="preserve"> </w:t>
            </w:r>
            <w:r>
              <w:rPr>
                <w:rFonts w:hint="eastAsia" w:ascii="Times New Roman" w:hAnsi="Times New Roman" w:eastAsia="宋体" w:cs="Times New Roman"/>
                <w:b/>
                <w:bCs/>
                <w:color w:val="auto"/>
                <w:kern w:val="0"/>
                <w:szCs w:val="21"/>
                <w:highlight w:val="none"/>
                <w:lang w:val="en-US" w:eastAsia="zh-CN"/>
              </w:rPr>
              <w:t xml:space="preserve"> 地表</w:t>
            </w:r>
            <w:r>
              <w:rPr>
                <w:rFonts w:hint="eastAsia" w:ascii="Times New Roman" w:hAnsi="Times New Roman" w:eastAsia="宋体" w:cs="Times New Roman"/>
                <w:b/>
                <w:bCs/>
                <w:color w:val="auto"/>
                <w:kern w:val="0"/>
                <w:szCs w:val="21"/>
                <w:highlight w:val="none"/>
              </w:rPr>
              <w:t>水环境保护目标表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fixed"/>
              <w:tblCellMar>
                <w:top w:w="0" w:type="dxa"/>
                <w:left w:w="28" w:type="dxa"/>
                <w:bottom w:w="0" w:type="dxa"/>
                <w:right w:w="28" w:type="dxa"/>
              </w:tblCellMar>
            </w:tblPr>
            <w:tblGrid>
              <w:gridCol w:w="2088"/>
              <w:gridCol w:w="3045"/>
              <w:gridCol w:w="709"/>
              <w:gridCol w:w="997"/>
              <w:gridCol w:w="1779"/>
            </w:tblGrid>
            <w:tr w14:paraId="59A465FF">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12" w:hRule="atLeast"/>
                <w:tblHeader/>
                <w:jc w:val="center"/>
              </w:trPr>
              <w:tc>
                <w:tcPr>
                  <w:tcW w:w="1211" w:type="pct"/>
                  <w:tcBorders>
                    <w:tl2br w:val="nil"/>
                    <w:tr2bl w:val="nil"/>
                  </w:tcBorders>
                  <w:noWrap w:val="0"/>
                  <w:tcMar>
                    <w:top w:w="0" w:type="dxa"/>
                    <w:left w:w="0" w:type="dxa"/>
                    <w:bottom w:w="0" w:type="dxa"/>
                    <w:right w:w="0" w:type="dxa"/>
                  </w:tcMar>
                  <w:vAlign w:val="center"/>
                </w:tcPr>
                <w:p w14:paraId="01009514">
                  <w:pPr>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sz w:val="18"/>
                      <w:szCs w:val="18"/>
                      <w:highlight w:val="none"/>
                    </w:rPr>
                    <w:t>保护</w:t>
                  </w:r>
                  <w:r>
                    <w:rPr>
                      <w:rFonts w:hint="eastAsia" w:ascii="Times New Roman" w:hAnsi="Times New Roman" w:eastAsia="宋体" w:cs="Times New Roman"/>
                      <w:b/>
                      <w:color w:val="auto"/>
                      <w:sz w:val="18"/>
                      <w:szCs w:val="18"/>
                      <w:highlight w:val="none"/>
                      <w:lang w:val="en-US" w:eastAsia="zh-CN"/>
                    </w:rPr>
                    <w:t>目标</w:t>
                  </w:r>
                </w:p>
              </w:tc>
              <w:tc>
                <w:tcPr>
                  <w:tcW w:w="1766" w:type="pct"/>
                  <w:tcBorders>
                    <w:tl2br w:val="nil"/>
                    <w:tr2bl w:val="nil"/>
                  </w:tcBorders>
                  <w:noWrap w:val="0"/>
                  <w:tcMar>
                    <w:top w:w="0" w:type="dxa"/>
                    <w:left w:w="0" w:type="dxa"/>
                    <w:bottom w:w="0" w:type="dxa"/>
                    <w:right w:w="0" w:type="dxa"/>
                  </w:tcMar>
                  <w:vAlign w:val="center"/>
                </w:tcPr>
                <w:p w14:paraId="27440BC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保护要求</w:t>
                  </w:r>
                </w:p>
              </w:tc>
              <w:tc>
                <w:tcPr>
                  <w:tcW w:w="411" w:type="pct"/>
                  <w:tcBorders>
                    <w:tl2br w:val="nil"/>
                    <w:tr2bl w:val="nil"/>
                  </w:tcBorders>
                  <w:noWrap w:val="0"/>
                  <w:tcMar>
                    <w:top w:w="0" w:type="dxa"/>
                    <w:left w:w="0" w:type="dxa"/>
                    <w:bottom w:w="0" w:type="dxa"/>
                    <w:right w:w="0" w:type="dxa"/>
                  </w:tcMar>
                  <w:vAlign w:val="center"/>
                </w:tcPr>
                <w:p w14:paraId="099FF7B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方位</w:t>
                  </w:r>
                </w:p>
              </w:tc>
              <w:tc>
                <w:tcPr>
                  <w:tcW w:w="578" w:type="pct"/>
                  <w:tcBorders>
                    <w:tl2br w:val="nil"/>
                    <w:tr2bl w:val="nil"/>
                  </w:tcBorders>
                  <w:noWrap w:val="0"/>
                  <w:tcMar>
                    <w:top w:w="0" w:type="dxa"/>
                    <w:left w:w="0" w:type="dxa"/>
                    <w:bottom w:w="0" w:type="dxa"/>
                    <w:right w:w="0" w:type="dxa"/>
                  </w:tcMar>
                  <w:vAlign w:val="center"/>
                </w:tcPr>
                <w:p w14:paraId="510B7C2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相对距离/m</w:t>
                  </w:r>
                </w:p>
              </w:tc>
              <w:tc>
                <w:tcPr>
                  <w:tcW w:w="1032" w:type="pct"/>
                  <w:tcBorders>
                    <w:tl2br w:val="nil"/>
                    <w:tr2bl w:val="nil"/>
                  </w:tcBorders>
                  <w:noWrap w:val="0"/>
                  <w:tcMar>
                    <w:top w:w="0" w:type="dxa"/>
                    <w:left w:w="0" w:type="dxa"/>
                    <w:bottom w:w="0" w:type="dxa"/>
                    <w:right w:w="0" w:type="dxa"/>
                  </w:tcMar>
                  <w:vAlign w:val="center"/>
                </w:tcPr>
                <w:p w14:paraId="3828BBF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与本项目的水力联系</w:t>
                  </w:r>
                </w:p>
              </w:tc>
            </w:tr>
            <w:tr w14:paraId="0906B14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0" w:hRule="atLeast"/>
                <w:jc w:val="center"/>
              </w:trPr>
              <w:tc>
                <w:tcPr>
                  <w:tcW w:w="1211" w:type="pct"/>
                  <w:tcBorders>
                    <w:tl2br w:val="nil"/>
                    <w:tr2bl w:val="nil"/>
                  </w:tcBorders>
                  <w:noWrap w:val="0"/>
                  <w:tcMar>
                    <w:top w:w="0" w:type="dxa"/>
                    <w:left w:w="0" w:type="dxa"/>
                    <w:bottom w:w="0" w:type="dxa"/>
                    <w:right w:w="0" w:type="dxa"/>
                  </w:tcMar>
                  <w:vAlign w:val="center"/>
                </w:tcPr>
                <w:p w14:paraId="566A0D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长江</w:t>
                  </w:r>
                </w:p>
              </w:tc>
              <w:tc>
                <w:tcPr>
                  <w:tcW w:w="1766" w:type="pct"/>
                  <w:tcBorders>
                    <w:tl2br w:val="nil"/>
                    <w:tr2bl w:val="nil"/>
                  </w:tcBorders>
                  <w:noWrap w:val="0"/>
                  <w:tcMar>
                    <w:top w:w="0" w:type="dxa"/>
                    <w:left w:w="0" w:type="dxa"/>
                    <w:bottom w:w="0" w:type="dxa"/>
                    <w:right w:w="0" w:type="dxa"/>
                  </w:tcMar>
                  <w:vAlign w:val="center"/>
                </w:tcPr>
                <w:p w14:paraId="7B3B1E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《地表水环境质量标准》（GB3838-2002）中的Ⅱ类标准</w:t>
                  </w:r>
                </w:p>
              </w:tc>
              <w:tc>
                <w:tcPr>
                  <w:tcW w:w="411" w:type="pct"/>
                  <w:tcBorders>
                    <w:tl2br w:val="nil"/>
                    <w:tr2bl w:val="nil"/>
                  </w:tcBorders>
                  <w:noWrap w:val="0"/>
                  <w:tcMar>
                    <w:top w:w="0" w:type="dxa"/>
                    <w:left w:w="0" w:type="dxa"/>
                    <w:bottom w:w="0" w:type="dxa"/>
                    <w:right w:w="0" w:type="dxa"/>
                  </w:tcMar>
                  <w:vAlign w:val="center"/>
                </w:tcPr>
                <w:p w14:paraId="376DB1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t>
                  </w:r>
                </w:p>
              </w:tc>
              <w:tc>
                <w:tcPr>
                  <w:tcW w:w="578" w:type="pct"/>
                  <w:tcBorders>
                    <w:tl2br w:val="nil"/>
                    <w:tr2bl w:val="nil"/>
                  </w:tcBorders>
                  <w:noWrap w:val="0"/>
                  <w:tcMar>
                    <w:top w:w="0" w:type="dxa"/>
                    <w:left w:w="0" w:type="dxa"/>
                    <w:bottom w:w="0" w:type="dxa"/>
                    <w:right w:w="0" w:type="dxa"/>
                  </w:tcMar>
                  <w:vAlign w:val="center"/>
                </w:tcPr>
                <w:p w14:paraId="2475DC4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eastAsia="zh-CN"/>
                    </w:rPr>
                  </w:pPr>
                  <w:r>
                    <w:rPr>
                      <w:rFonts w:hint="eastAsia" w:cs="Times New Roman"/>
                      <w:color w:val="auto"/>
                      <w:sz w:val="18"/>
                      <w:szCs w:val="18"/>
                      <w:highlight w:val="none"/>
                      <w:lang w:val="en-US" w:eastAsia="zh-CN"/>
                    </w:rPr>
                    <w:t>紧邻</w:t>
                  </w:r>
                </w:p>
              </w:tc>
              <w:tc>
                <w:tcPr>
                  <w:tcW w:w="1032" w:type="pct"/>
                  <w:tcBorders>
                    <w:tl2br w:val="nil"/>
                    <w:tr2bl w:val="nil"/>
                  </w:tcBorders>
                  <w:noWrap w:val="0"/>
                  <w:tcMar>
                    <w:top w:w="0" w:type="dxa"/>
                    <w:left w:w="0" w:type="dxa"/>
                    <w:bottom w:w="0" w:type="dxa"/>
                    <w:right w:w="0" w:type="dxa"/>
                  </w:tcMar>
                  <w:vAlign w:val="center"/>
                </w:tcPr>
                <w:p w14:paraId="1282A0F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w:t>
                  </w:r>
                </w:p>
              </w:tc>
            </w:tr>
            <w:tr w14:paraId="7368407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0" w:hRule="atLeast"/>
                <w:jc w:val="center"/>
              </w:trPr>
              <w:tc>
                <w:tcPr>
                  <w:tcW w:w="1211" w:type="pct"/>
                  <w:tcBorders>
                    <w:tl2br w:val="nil"/>
                    <w:tr2bl w:val="nil"/>
                  </w:tcBorders>
                  <w:noWrap w:val="0"/>
                  <w:tcMar>
                    <w:top w:w="0" w:type="dxa"/>
                    <w:left w:w="0" w:type="dxa"/>
                    <w:bottom w:w="0" w:type="dxa"/>
                    <w:right w:w="0" w:type="dxa"/>
                  </w:tcMar>
                  <w:vAlign w:val="center"/>
                </w:tcPr>
                <w:p w14:paraId="28FB3C8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利港河</w:t>
                  </w:r>
                </w:p>
              </w:tc>
              <w:tc>
                <w:tcPr>
                  <w:tcW w:w="1766" w:type="pct"/>
                  <w:vMerge w:val="restart"/>
                  <w:tcBorders>
                    <w:tl2br w:val="nil"/>
                    <w:tr2bl w:val="nil"/>
                  </w:tcBorders>
                  <w:noWrap w:val="0"/>
                  <w:tcMar>
                    <w:top w:w="0" w:type="dxa"/>
                    <w:left w:w="0" w:type="dxa"/>
                    <w:bottom w:w="0" w:type="dxa"/>
                    <w:right w:w="0" w:type="dxa"/>
                  </w:tcMar>
                  <w:vAlign w:val="center"/>
                </w:tcPr>
                <w:p w14:paraId="561AC7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《地表水环境质量标准》（GB3838-2002）中的Ⅲ类标准</w:t>
                  </w:r>
                </w:p>
              </w:tc>
              <w:tc>
                <w:tcPr>
                  <w:tcW w:w="411" w:type="pct"/>
                  <w:tcBorders>
                    <w:tl2br w:val="nil"/>
                    <w:tr2bl w:val="nil"/>
                  </w:tcBorders>
                  <w:noWrap w:val="0"/>
                  <w:tcMar>
                    <w:top w:w="0" w:type="dxa"/>
                    <w:left w:w="0" w:type="dxa"/>
                    <w:bottom w:w="0" w:type="dxa"/>
                    <w:right w:w="0" w:type="dxa"/>
                  </w:tcMar>
                  <w:vAlign w:val="center"/>
                </w:tcPr>
                <w:p w14:paraId="43295FA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w:t>
                  </w:r>
                </w:p>
              </w:tc>
              <w:tc>
                <w:tcPr>
                  <w:tcW w:w="578" w:type="pct"/>
                  <w:tcBorders>
                    <w:tl2br w:val="nil"/>
                    <w:tr2bl w:val="nil"/>
                  </w:tcBorders>
                  <w:noWrap w:val="0"/>
                  <w:tcMar>
                    <w:top w:w="0" w:type="dxa"/>
                    <w:left w:w="0" w:type="dxa"/>
                    <w:bottom w:w="0" w:type="dxa"/>
                    <w:right w:w="0" w:type="dxa"/>
                  </w:tcMar>
                  <w:vAlign w:val="center"/>
                </w:tcPr>
                <w:p w14:paraId="1EB3CBD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690</w:t>
                  </w:r>
                </w:p>
              </w:tc>
              <w:tc>
                <w:tcPr>
                  <w:tcW w:w="1032" w:type="pct"/>
                  <w:tcBorders>
                    <w:tl2br w:val="nil"/>
                    <w:tr2bl w:val="nil"/>
                  </w:tcBorders>
                  <w:noWrap w:val="0"/>
                  <w:tcMar>
                    <w:top w:w="0" w:type="dxa"/>
                    <w:left w:w="0" w:type="dxa"/>
                    <w:bottom w:w="0" w:type="dxa"/>
                    <w:right w:w="0" w:type="dxa"/>
                  </w:tcMar>
                  <w:vAlign w:val="center"/>
                </w:tcPr>
                <w:p w14:paraId="5FBE68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雨水汇入</w:t>
                  </w:r>
                </w:p>
              </w:tc>
            </w:tr>
            <w:tr w14:paraId="7AD6333C">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0" w:hRule="atLeast"/>
                <w:jc w:val="center"/>
              </w:trPr>
              <w:tc>
                <w:tcPr>
                  <w:tcW w:w="1211" w:type="pct"/>
                  <w:tcBorders>
                    <w:tl2br w:val="nil"/>
                    <w:tr2bl w:val="nil"/>
                  </w:tcBorders>
                  <w:noWrap w:val="0"/>
                  <w:tcMar>
                    <w:top w:w="0" w:type="dxa"/>
                    <w:left w:w="0" w:type="dxa"/>
                    <w:bottom w:w="0" w:type="dxa"/>
                    <w:right w:w="0" w:type="dxa"/>
                  </w:tcMar>
                  <w:vAlign w:val="center"/>
                </w:tcPr>
                <w:p w14:paraId="566E0DA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芦埠港河</w:t>
                  </w:r>
                </w:p>
              </w:tc>
              <w:tc>
                <w:tcPr>
                  <w:tcW w:w="1766" w:type="pct"/>
                  <w:vMerge w:val="continue"/>
                  <w:tcBorders>
                    <w:tl2br w:val="nil"/>
                    <w:tr2bl w:val="nil"/>
                  </w:tcBorders>
                  <w:noWrap w:val="0"/>
                  <w:vAlign w:val="center"/>
                </w:tcPr>
                <w:p w14:paraId="039B95E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sz w:val="18"/>
                      <w:szCs w:val="18"/>
                      <w:highlight w:val="none"/>
                    </w:rPr>
                  </w:pPr>
                </w:p>
              </w:tc>
              <w:tc>
                <w:tcPr>
                  <w:tcW w:w="411" w:type="pct"/>
                  <w:tcBorders>
                    <w:tl2br w:val="nil"/>
                    <w:tr2bl w:val="nil"/>
                  </w:tcBorders>
                  <w:noWrap w:val="0"/>
                  <w:tcMar>
                    <w:top w:w="0" w:type="dxa"/>
                    <w:left w:w="0" w:type="dxa"/>
                    <w:bottom w:w="0" w:type="dxa"/>
                    <w:right w:w="0" w:type="dxa"/>
                  </w:tcMar>
                  <w:vAlign w:val="center"/>
                </w:tcPr>
                <w:p w14:paraId="4FBE842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E</w:t>
                  </w:r>
                </w:p>
              </w:tc>
              <w:tc>
                <w:tcPr>
                  <w:tcW w:w="578" w:type="pct"/>
                  <w:tcBorders>
                    <w:tl2br w:val="nil"/>
                    <w:tr2bl w:val="nil"/>
                  </w:tcBorders>
                  <w:noWrap w:val="0"/>
                  <w:tcMar>
                    <w:top w:w="0" w:type="dxa"/>
                    <w:left w:w="0" w:type="dxa"/>
                    <w:bottom w:w="0" w:type="dxa"/>
                    <w:right w:w="0" w:type="dxa"/>
                  </w:tcMar>
                  <w:vAlign w:val="center"/>
                </w:tcPr>
                <w:p w14:paraId="07A2BF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1</w:t>
                  </w:r>
                  <w:r>
                    <w:rPr>
                      <w:rFonts w:hint="eastAsia" w:ascii="Times New Roman" w:hAnsi="Times New Roman" w:eastAsia="宋体" w:cs="Times New Roman"/>
                      <w:color w:val="auto"/>
                      <w:sz w:val="18"/>
                      <w:szCs w:val="18"/>
                      <w:highlight w:val="none"/>
                      <w:lang w:val="en-US" w:eastAsia="zh-CN"/>
                    </w:rPr>
                    <w:t>1</w:t>
                  </w:r>
                  <w:r>
                    <w:rPr>
                      <w:rFonts w:hint="default" w:ascii="Times New Roman" w:hAnsi="Times New Roman" w:eastAsia="宋体" w:cs="Times New Roman"/>
                      <w:color w:val="auto"/>
                      <w:sz w:val="18"/>
                      <w:szCs w:val="18"/>
                      <w:highlight w:val="none"/>
                    </w:rPr>
                    <w:t>00</w:t>
                  </w:r>
                </w:p>
              </w:tc>
              <w:tc>
                <w:tcPr>
                  <w:tcW w:w="1032" w:type="pct"/>
                  <w:tcBorders>
                    <w:tl2br w:val="nil"/>
                    <w:tr2bl w:val="nil"/>
                  </w:tcBorders>
                  <w:noWrap w:val="0"/>
                  <w:tcMar>
                    <w:top w:w="0" w:type="dxa"/>
                    <w:left w:w="0" w:type="dxa"/>
                    <w:bottom w:w="0" w:type="dxa"/>
                    <w:right w:w="0" w:type="dxa"/>
                  </w:tcMar>
                  <w:vAlign w:val="center"/>
                </w:tcPr>
                <w:p w14:paraId="1E46A36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污水厂纳污河流</w:t>
                  </w:r>
                </w:p>
              </w:tc>
            </w:tr>
            <w:tr w14:paraId="14FFF3DA">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0" w:hRule="atLeast"/>
                <w:jc w:val="center"/>
              </w:trPr>
              <w:tc>
                <w:tcPr>
                  <w:tcW w:w="1211" w:type="pct"/>
                  <w:tcBorders>
                    <w:tl2br w:val="nil"/>
                    <w:tr2bl w:val="nil"/>
                  </w:tcBorders>
                  <w:noWrap w:val="0"/>
                  <w:tcMar>
                    <w:top w:w="0" w:type="dxa"/>
                    <w:left w:w="0" w:type="dxa"/>
                    <w:bottom w:w="0" w:type="dxa"/>
                    <w:right w:w="0" w:type="dxa"/>
                  </w:tcMar>
                  <w:vAlign w:val="center"/>
                </w:tcPr>
                <w:p w14:paraId="1C7501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长江西石桥水源地保护区</w:t>
                  </w:r>
                </w:p>
              </w:tc>
              <w:tc>
                <w:tcPr>
                  <w:tcW w:w="1766" w:type="pct"/>
                  <w:tcBorders>
                    <w:tl2br w:val="nil"/>
                    <w:tr2bl w:val="nil"/>
                  </w:tcBorders>
                  <w:noWrap w:val="0"/>
                  <w:tcMar>
                    <w:top w:w="0" w:type="dxa"/>
                    <w:left w:w="0" w:type="dxa"/>
                    <w:bottom w:w="0" w:type="dxa"/>
                    <w:right w:w="0" w:type="dxa"/>
                  </w:tcMar>
                  <w:vAlign w:val="center"/>
                </w:tcPr>
                <w:p w14:paraId="42B70B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《地表水环境质量标准》（GB3838-2002）中的Ⅱ类标准</w:t>
                  </w:r>
                </w:p>
              </w:tc>
              <w:tc>
                <w:tcPr>
                  <w:tcW w:w="411" w:type="pct"/>
                  <w:tcBorders>
                    <w:tl2br w:val="nil"/>
                    <w:tr2bl w:val="nil"/>
                  </w:tcBorders>
                  <w:noWrap w:val="0"/>
                  <w:tcMar>
                    <w:top w:w="0" w:type="dxa"/>
                    <w:left w:w="0" w:type="dxa"/>
                    <w:bottom w:w="0" w:type="dxa"/>
                    <w:right w:w="0" w:type="dxa"/>
                  </w:tcMar>
                  <w:vAlign w:val="center"/>
                </w:tcPr>
                <w:p w14:paraId="5FA709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color w:val="auto"/>
                      <w:sz w:val="18"/>
                      <w:szCs w:val="18"/>
                      <w:highlight w:val="none"/>
                    </w:rPr>
                    <w:t>N</w:t>
                  </w:r>
                  <w:r>
                    <w:rPr>
                      <w:rFonts w:hint="eastAsia" w:cs="Times New Roman"/>
                      <w:color w:val="auto"/>
                      <w:sz w:val="18"/>
                      <w:szCs w:val="18"/>
                      <w:highlight w:val="none"/>
                      <w:lang w:val="en-US" w:eastAsia="zh-CN"/>
                    </w:rPr>
                    <w:t>W</w:t>
                  </w:r>
                </w:p>
              </w:tc>
              <w:tc>
                <w:tcPr>
                  <w:tcW w:w="578" w:type="pct"/>
                  <w:tcBorders>
                    <w:tl2br w:val="nil"/>
                    <w:tr2bl w:val="nil"/>
                  </w:tcBorders>
                  <w:noWrap w:val="0"/>
                  <w:tcMar>
                    <w:top w:w="0" w:type="dxa"/>
                    <w:left w:w="0" w:type="dxa"/>
                    <w:bottom w:w="0" w:type="dxa"/>
                    <w:right w:w="0" w:type="dxa"/>
                  </w:tcMar>
                  <w:vAlign w:val="center"/>
                </w:tcPr>
                <w:p w14:paraId="25551C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68</w:t>
                  </w:r>
                  <w:r>
                    <w:rPr>
                      <w:rFonts w:hint="default" w:ascii="Times New Roman" w:hAnsi="Times New Roman" w:eastAsia="宋体" w:cs="Times New Roman"/>
                      <w:color w:val="auto"/>
                      <w:sz w:val="18"/>
                      <w:szCs w:val="18"/>
                      <w:highlight w:val="none"/>
                    </w:rPr>
                    <w:t>0</w:t>
                  </w:r>
                </w:p>
              </w:tc>
              <w:tc>
                <w:tcPr>
                  <w:tcW w:w="1032" w:type="pct"/>
                  <w:tcBorders>
                    <w:tl2br w:val="nil"/>
                    <w:tr2bl w:val="nil"/>
                  </w:tcBorders>
                  <w:noWrap w:val="0"/>
                  <w:tcMar>
                    <w:top w:w="0" w:type="dxa"/>
                    <w:left w:w="0" w:type="dxa"/>
                    <w:bottom w:w="0" w:type="dxa"/>
                    <w:right w:w="0" w:type="dxa"/>
                  </w:tcMar>
                  <w:vAlign w:val="center"/>
                </w:tcPr>
                <w:p w14:paraId="6623814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w:t>
                  </w:r>
                </w:p>
              </w:tc>
            </w:tr>
            <w:tr w14:paraId="63FCB24D">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0" w:hRule="atLeast"/>
                <w:jc w:val="center"/>
              </w:trPr>
              <w:tc>
                <w:tcPr>
                  <w:tcW w:w="1211" w:type="pct"/>
                  <w:tcBorders>
                    <w:tl2br w:val="nil"/>
                    <w:tr2bl w:val="nil"/>
                  </w:tcBorders>
                  <w:noWrap w:val="0"/>
                  <w:tcMar>
                    <w:top w:w="0" w:type="dxa"/>
                    <w:left w:w="0" w:type="dxa"/>
                    <w:bottom w:w="0" w:type="dxa"/>
                    <w:right w:w="0" w:type="dxa"/>
                  </w:tcMar>
                  <w:vAlign w:val="center"/>
                </w:tcPr>
                <w:p w14:paraId="32D5AE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窑港口取水口</w:t>
                  </w:r>
                </w:p>
              </w:tc>
              <w:tc>
                <w:tcPr>
                  <w:tcW w:w="1766" w:type="pct"/>
                  <w:tcBorders>
                    <w:tl2br w:val="nil"/>
                    <w:tr2bl w:val="nil"/>
                  </w:tcBorders>
                  <w:noWrap w:val="0"/>
                  <w:tcMar>
                    <w:top w:w="0" w:type="dxa"/>
                    <w:left w:w="0" w:type="dxa"/>
                    <w:bottom w:w="0" w:type="dxa"/>
                    <w:right w:w="0" w:type="dxa"/>
                  </w:tcMar>
                  <w:vAlign w:val="center"/>
                </w:tcPr>
                <w:p w14:paraId="01B523B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411" w:type="pct"/>
                  <w:tcBorders>
                    <w:tl2br w:val="nil"/>
                    <w:tr2bl w:val="nil"/>
                  </w:tcBorders>
                  <w:noWrap w:val="0"/>
                  <w:tcMar>
                    <w:top w:w="0" w:type="dxa"/>
                    <w:left w:w="0" w:type="dxa"/>
                    <w:bottom w:w="0" w:type="dxa"/>
                    <w:right w:w="0" w:type="dxa"/>
                  </w:tcMar>
                  <w:vAlign w:val="center"/>
                </w:tcPr>
                <w:p w14:paraId="2ED956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NW</w:t>
                  </w:r>
                </w:p>
              </w:tc>
              <w:tc>
                <w:tcPr>
                  <w:tcW w:w="578" w:type="pct"/>
                  <w:tcBorders>
                    <w:tl2br w:val="nil"/>
                    <w:tr2bl w:val="nil"/>
                  </w:tcBorders>
                  <w:noWrap w:val="0"/>
                  <w:tcMar>
                    <w:top w:w="0" w:type="dxa"/>
                    <w:left w:w="0" w:type="dxa"/>
                    <w:bottom w:w="0" w:type="dxa"/>
                    <w:right w:w="0" w:type="dxa"/>
                  </w:tcMar>
                  <w:vAlign w:val="center"/>
                </w:tcPr>
                <w:p w14:paraId="66FE609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lang w:val="en-US" w:eastAsia="zh-CN"/>
                    </w:rPr>
                  </w:pPr>
                  <w:r>
                    <w:rPr>
                      <w:rFonts w:hint="eastAsia" w:cs="Times New Roman"/>
                      <w:color w:val="auto"/>
                      <w:sz w:val="18"/>
                      <w:szCs w:val="18"/>
                      <w:highlight w:val="none"/>
                      <w:lang w:val="en-US" w:eastAsia="zh-CN"/>
                    </w:rPr>
                    <w:t>2340</w:t>
                  </w:r>
                </w:p>
              </w:tc>
              <w:tc>
                <w:tcPr>
                  <w:tcW w:w="1032" w:type="pct"/>
                  <w:tcBorders>
                    <w:tl2br w:val="nil"/>
                    <w:tr2bl w:val="nil"/>
                  </w:tcBorders>
                  <w:noWrap w:val="0"/>
                  <w:tcMar>
                    <w:top w:w="0" w:type="dxa"/>
                    <w:left w:w="0" w:type="dxa"/>
                    <w:bottom w:w="0" w:type="dxa"/>
                    <w:right w:w="0" w:type="dxa"/>
                  </w:tcMar>
                  <w:vAlign w:val="center"/>
                </w:tcPr>
                <w:p w14:paraId="1EC555B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w:t>
                  </w:r>
                </w:p>
              </w:tc>
            </w:tr>
            <w:tr w14:paraId="51044512">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0" w:hRule="atLeast"/>
                <w:jc w:val="center"/>
              </w:trPr>
              <w:tc>
                <w:tcPr>
                  <w:tcW w:w="1211" w:type="pct"/>
                  <w:tcBorders>
                    <w:tl2br w:val="nil"/>
                    <w:tr2bl w:val="nil"/>
                  </w:tcBorders>
                  <w:noWrap w:val="0"/>
                  <w:tcMar>
                    <w:top w:w="0" w:type="dxa"/>
                    <w:left w:w="0" w:type="dxa"/>
                    <w:bottom w:w="0" w:type="dxa"/>
                    <w:right w:w="0" w:type="dxa"/>
                  </w:tcMar>
                  <w:vAlign w:val="center"/>
                </w:tcPr>
                <w:p w14:paraId="2026FB6E">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西石桥取水口</w:t>
                  </w:r>
                </w:p>
              </w:tc>
              <w:tc>
                <w:tcPr>
                  <w:tcW w:w="1766" w:type="pct"/>
                  <w:tcBorders>
                    <w:tl2br w:val="nil"/>
                    <w:tr2bl w:val="nil"/>
                  </w:tcBorders>
                  <w:noWrap w:val="0"/>
                  <w:tcMar>
                    <w:top w:w="0" w:type="dxa"/>
                    <w:left w:w="0" w:type="dxa"/>
                    <w:bottom w:w="0" w:type="dxa"/>
                    <w:right w:w="0" w:type="dxa"/>
                  </w:tcMar>
                  <w:vAlign w:val="center"/>
                </w:tcPr>
                <w:p w14:paraId="351339D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w:t>
                  </w:r>
                </w:p>
              </w:tc>
              <w:tc>
                <w:tcPr>
                  <w:tcW w:w="411" w:type="pct"/>
                  <w:tcBorders>
                    <w:tl2br w:val="nil"/>
                    <w:tr2bl w:val="nil"/>
                  </w:tcBorders>
                  <w:noWrap w:val="0"/>
                  <w:tcMar>
                    <w:top w:w="0" w:type="dxa"/>
                    <w:left w:w="0" w:type="dxa"/>
                    <w:bottom w:w="0" w:type="dxa"/>
                    <w:right w:w="0" w:type="dxa"/>
                  </w:tcMar>
                  <w:vAlign w:val="center"/>
                </w:tcPr>
                <w:p w14:paraId="0A60F73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NW</w:t>
                  </w:r>
                </w:p>
              </w:tc>
              <w:tc>
                <w:tcPr>
                  <w:tcW w:w="578" w:type="pct"/>
                  <w:tcBorders>
                    <w:tl2br w:val="nil"/>
                    <w:tr2bl w:val="nil"/>
                  </w:tcBorders>
                  <w:noWrap w:val="0"/>
                  <w:tcMar>
                    <w:top w:w="0" w:type="dxa"/>
                    <w:left w:w="0" w:type="dxa"/>
                    <w:bottom w:w="0" w:type="dxa"/>
                    <w:right w:w="0" w:type="dxa"/>
                  </w:tcMar>
                  <w:vAlign w:val="center"/>
                </w:tcPr>
                <w:p w14:paraId="2793822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18"/>
                      <w:szCs w:val="18"/>
                      <w:highlight w:val="yellow"/>
                      <w:lang w:val="en-US" w:eastAsia="zh-CN"/>
                    </w:rPr>
                  </w:pPr>
                  <w:r>
                    <w:rPr>
                      <w:rFonts w:hint="eastAsia" w:cs="Times New Roman"/>
                      <w:color w:val="auto"/>
                      <w:sz w:val="18"/>
                      <w:szCs w:val="18"/>
                      <w:highlight w:val="none"/>
                      <w:lang w:val="en-US" w:eastAsia="zh-CN"/>
                    </w:rPr>
                    <w:t>2820</w:t>
                  </w:r>
                </w:p>
              </w:tc>
              <w:tc>
                <w:tcPr>
                  <w:tcW w:w="1032" w:type="pct"/>
                  <w:tcBorders>
                    <w:tl2br w:val="nil"/>
                    <w:tr2bl w:val="nil"/>
                  </w:tcBorders>
                  <w:noWrap w:val="0"/>
                  <w:tcMar>
                    <w:top w:w="0" w:type="dxa"/>
                    <w:left w:w="0" w:type="dxa"/>
                    <w:bottom w:w="0" w:type="dxa"/>
                    <w:right w:w="0" w:type="dxa"/>
                  </w:tcMar>
                  <w:vAlign w:val="center"/>
                </w:tcPr>
                <w:p w14:paraId="35917BD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18"/>
                      <w:szCs w:val="18"/>
                      <w:highlight w:val="yellow"/>
                      <w:lang w:val="en-US" w:eastAsia="zh-CN"/>
                    </w:rPr>
                  </w:pPr>
                  <w:r>
                    <w:rPr>
                      <w:rFonts w:hint="eastAsia" w:ascii="Times New Roman" w:hAnsi="Times New Roman" w:eastAsia="宋体" w:cs="Times New Roman"/>
                      <w:color w:val="auto"/>
                      <w:sz w:val="18"/>
                      <w:szCs w:val="18"/>
                      <w:highlight w:val="none"/>
                      <w:lang w:val="en-US" w:eastAsia="zh-CN"/>
                    </w:rPr>
                    <w:t>/</w:t>
                  </w:r>
                </w:p>
              </w:tc>
            </w:tr>
            <w:tr w14:paraId="231E9E35">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0" w:hRule="atLeast"/>
                <w:jc w:val="center"/>
              </w:trPr>
              <w:tc>
                <w:tcPr>
                  <w:tcW w:w="1211" w:type="pct"/>
                  <w:tcBorders>
                    <w:tl2br w:val="nil"/>
                    <w:tr2bl w:val="nil"/>
                  </w:tcBorders>
                  <w:noWrap w:val="0"/>
                  <w:tcMar>
                    <w:top w:w="0" w:type="dxa"/>
                    <w:left w:w="0" w:type="dxa"/>
                    <w:bottom w:w="0" w:type="dxa"/>
                    <w:right w:w="0" w:type="dxa"/>
                  </w:tcMar>
                  <w:vAlign w:val="center"/>
                </w:tcPr>
                <w:p w14:paraId="278123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利港河卫东桥（省考断面）</w:t>
                  </w:r>
                </w:p>
              </w:tc>
              <w:tc>
                <w:tcPr>
                  <w:tcW w:w="1766" w:type="pct"/>
                  <w:tcBorders>
                    <w:tl2br w:val="nil"/>
                    <w:tr2bl w:val="nil"/>
                  </w:tcBorders>
                  <w:noWrap w:val="0"/>
                  <w:tcMar>
                    <w:top w:w="0" w:type="dxa"/>
                    <w:left w:w="0" w:type="dxa"/>
                    <w:bottom w:w="0" w:type="dxa"/>
                    <w:right w:w="0" w:type="dxa"/>
                  </w:tcMar>
                  <w:vAlign w:val="center"/>
                </w:tcPr>
                <w:p w14:paraId="7E8D8E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《地表水环境质量标准》（GB3838-2002）中的Ⅲ类标准</w:t>
                  </w:r>
                </w:p>
              </w:tc>
              <w:tc>
                <w:tcPr>
                  <w:tcW w:w="411" w:type="pct"/>
                  <w:tcBorders>
                    <w:tl2br w:val="nil"/>
                    <w:tr2bl w:val="nil"/>
                  </w:tcBorders>
                  <w:noWrap w:val="0"/>
                  <w:tcMar>
                    <w:top w:w="0" w:type="dxa"/>
                    <w:left w:w="0" w:type="dxa"/>
                    <w:bottom w:w="0" w:type="dxa"/>
                    <w:right w:w="0" w:type="dxa"/>
                  </w:tcMar>
                  <w:vAlign w:val="center"/>
                </w:tcPr>
                <w:p w14:paraId="631BCA0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SW</w:t>
                  </w:r>
                </w:p>
              </w:tc>
              <w:tc>
                <w:tcPr>
                  <w:tcW w:w="578" w:type="pct"/>
                  <w:tcBorders>
                    <w:tl2br w:val="nil"/>
                    <w:tr2bl w:val="nil"/>
                  </w:tcBorders>
                  <w:noWrap w:val="0"/>
                  <w:tcMar>
                    <w:top w:w="0" w:type="dxa"/>
                    <w:left w:w="0" w:type="dxa"/>
                    <w:bottom w:w="0" w:type="dxa"/>
                    <w:right w:w="0" w:type="dxa"/>
                  </w:tcMar>
                  <w:vAlign w:val="center"/>
                </w:tcPr>
                <w:p w14:paraId="1FB6A48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yellow"/>
                    </w:rPr>
                  </w:pPr>
                  <w:r>
                    <w:rPr>
                      <w:rFonts w:hint="default" w:ascii="Times New Roman" w:hAnsi="Times New Roman" w:eastAsia="宋体" w:cs="Times New Roman"/>
                      <w:color w:val="auto"/>
                      <w:sz w:val="18"/>
                      <w:szCs w:val="18"/>
                      <w:highlight w:val="none"/>
                    </w:rPr>
                    <w:t>16</w:t>
                  </w:r>
                  <w:r>
                    <w:rPr>
                      <w:rFonts w:hint="eastAsia" w:ascii="Times New Roman" w:hAnsi="Times New Roman" w:eastAsia="宋体" w:cs="Times New Roman"/>
                      <w:color w:val="auto"/>
                      <w:sz w:val="18"/>
                      <w:szCs w:val="18"/>
                      <w:highlight w:val="none"/>
                      <w:lang w:val="en-US" w:eastAsia="zh-CN"/>
                    </w:rPr>
                    <w:t>0</w:t>
                  </w:r>
                  <w:r>
                    <w:rPr>
                      <w:rFonts w:hint="default" w:ascii="Times New Roman" w:hAnsi="Times New Roman" w:eastAsia="宋体" w:cs="Times New Roman"/>
                      <w:color w:val="auto"/>
                      <w:sz w:val="18"/>
                      <w:szCs w:val="18"/>
                      <w:highlight w:val="none"/>
                    </w:rPr>
                    <w:t>0</w:t>
                  </w:r>
                </w:p>
              </w:tc>
              <w:tc>
                <w:tcPr>
                  <w:tcW w:w="1032" w:type="pct"/>
                  <w:tcBorders>
                    <w:tl2br w:val="nil"/>
                    <w:tr2bl w:val="nil"/>
                  </w:tcBorders>
                  <w:noWrap w:val="0"/>
                  <w:tcMar>
                    <w:top w:w="0" w:type="dxa"/>
                    <w:left w:w="0" w:type="dxa"/>
                    <w:bottom w:w="0" w:type="dxa"/>
                    <w:right w:w="0" w:type="dxa"/>
                  </w:tcMar>
                  <w:vAlign w:val="center"/>
                </w:tcPr>
                <w:p w14:paraId="26C04C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r>
          </w:tbl>
          <w:p w14:paraId="298A42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color w:val="auto"/>
                <w:kern w:val="0"/>
                <w:sz w:val="15"/>
                <w:szCs w:val="15"/>
                <w:highlight w:val="none"/>
              </w:rPr>
            </w:pPr>
          </w:p>
          <w:p w14:paraId="6DE25C1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4、声环境</w:t>
            </w:r>
          </w:p>
          <w:p w14:paraId="35150115">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rPr>
            </w:pPr>
            <w:r>
              <w:rPr>
                <w:rFonts w:hint="eastAsia"/>
                <w:color w:val="auto"/>
                <w:kern w:val="0"/>
                <w:szCs w:val="21"/>
                <w:highlight w:val="none"/>
              </w:rPr>
              <w:t>本项目</w:t>
            </w:r>
            <w:r>
              <w:rPr>
                <w:rFonts w:hint="eastAsia"/>
                <w:color w:val="auto"/>
                <w:kern w:val="0"/>
                <w:szCs w:val="21"/>
                <w:highlight w:val="none"/>
                <w:lang w:eastAsia="zh-CN"/>
              </w:rPr>
              <w:t>厂界外</w:t>
            </w:r>
            <w:r>
              <w:rPr>
                <w:rFonts w:hint="eastAsia"/>
                <w:color w:val="auto"/>
                <w:kern w:val="0"/>
                <w:szCs w:val="21"/>
                <w:highlight w:val="none"/>
                <w:lang w:val="en-US" w:eastAsia="zh-CN"/>
              </w:rPr>
              <w:t>200</w:t>
            </w:r>
            <w:r>
              <w:rPr>
                <w:rFonts w:hint="eastAsia"/>
                <w:color w:val="auto"/>
                <w:kern w:val="0"/>
                <w:szCs w:val="21"/>
                <w:highlight w:val="none"/>
              </w:rPr>
              <w:t>m范围内</w:t>
            </w:r>
            <w:r>
              <w:rPr>
                <w:rFonts w:hint="eastAsia"/>
                <w:color w:val="auto"/>
                <w:kern w:val="0"/>
                <w:szCs w:val="21"/>
                <w:highlight w:val="none"/>
                <w:lang w:eastAsia="zh-CN"/>
              </w:rPr>
              <w:t>无声环境保护目标</w:t>
            </w:r>
            <w:r>
              <w:rPr>
                <w:rFonts w:hint="eastAsia"/>
                <w:color w:val="auto"/>
                <w:kern w:val="0"/>
                <w:szCs w:val="21"/>
                <w:highlight w:val="none"/>
              </w:rPr>
              <w:t>。</w:t>
            </w:r>
          </w:p>
          <w:p w14:paraId="7A0BE18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5、地下水环境</w:t>
            </w:r>
          </w:p>
          <w:p w14:paraId="59E32CB7">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highlight w:val="none"/>
                <w:lang w:val="en-US" w:eastAsia="zh-CN"/>
              </w:rPr>
            </w:pPr>
            <w:r>
              <w:rPr>
                <w:rFonts w:hint="eastAsia"/>
                <w:color w:val="auto"/>
                <w:kern w:val="0"/>
                <w:szCs w:val="21"/>
                <w:highlight w:val="none"/>
                <w:lang w:val="en-US" w:eastAsia="zh-CN"/>
              </w:rPr>
              <w:t>本项目厂界外500m范围内无地下水集中式饮用水水源和热水、矿泉水、温泉等特殊地下水资源。</w:t>
            </w:r>
          </w:p>
          <w:p w14:paraId="75093A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6、环境风险敏感目标</w:t>
            </w:r>
          </w:p>
          <w:p w14:paraId="04116A72">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环境风险敏感目标详见环境风险专项评价报告，大气环境风险敏感目标详见附图11，地表水环境风险敏感目标详见附图12。</w:t>
            </w:r>
          </w:p>
        </w:tc>
      </w:tr>
      <w:tr w14:paraId="487B5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 w:type="pct"/>
            <w:noWrap w:val="0"/>
            <w:vAlign w:val="center"/>
          </w:tcPr>
          <w:p w14:paraId="2896D198">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评价标准</w:t>
            </w:r>
          </w:p>
        </w:tc>
        <w:tc>
          <w:tcPr>
            <w:tcW w:w="8850" w:type="dxa"/>
            <w:noWrap w:val="0"/>
            <w:vAlign w:val="center"/>
          </w:tcPr>
          <w:p w14:paraId="01627152">
            <w:pPr>
              <w:keepNext w:val="0"/>
              <w:keepLines w:val="0"/>
              <w:suppressLineNumbers w:val="0"/>
              <w:adjustRightInd w:val="0"/>
              <w:snapToGrid w:val="0"/>
              <w:spacing w:before="0" w:beforeAutospacing="0" w:after="0" w:afterAutospacing="0" w:line="360" w:lineRule="auto"/>
              <w:ind w:left="0" w:right="0"/>
              <w:rPr>
                <w:rFonts w:hint="default"/>
                <w:b/>
                <w:color w:val="auto"/>
                <w:kern w:val="0"/>
                <w:szCs w:val="21"/>
              </w:rPr>
            </w:pPr>
            <w:r>
              <w:rPr>
                <w:rFonts w:hint="eastAsia"/>
                <w:b/>
                <w:color w:val="auto"/>
                <w:kern w:val="0"/>
                <w:szCs w:val="21"/>
              </w:rPr>
              <w:t>1、环境质量标准</w:t>
            </w:r>
          </w:p>
          <w:p w14:paraId="0E76E5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（1）环境空气质量标准</w:t>
            </w:r>
          </w:p>
          <w:p w14:paraId="16111153">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kern w:val="0"/>
                <w:szCs w:val="21"/>
              </w:rPr>
            </w:pPr>
            <w:r>
              <w:rPr>
                <w:rFonts w:hint="eastAsia"/>
                <w:color w:val="auto"/>
                <w:kern w:val="0"/>
                <w:szCs w:val="21"/>
              </w:rPr>
              <w:t>本项目位于</w:t>
            </w:r>
            <w:r>
              <w:rPr>
                <w:rFonts w:hint="default"/>
                <w:color w:val="auto"/>
                <w:kern w:val="0"/>
                <w:szCs w:val="21"/>
              </w:rPr>
              <w:t>空气质量二类功能区，SO</w:t>
            </w:r>
            <w:r>
              <w:rPr>
                <w:rFonts w:hint="default"/>
                <w:color w:val="auto"/>
                <w:kern w:val="0"/>
                <w:szCs w:val="21"/>
                <w:vertAlign w:val="subscript"/>
              </w:rPr>
              <w:t>2</w:t>
            </w:r>
            <w:r>
              <w:rPr>
                <w:rFonts w:hint="default"/>
                <w:color w:val="auto"/>
                <w:kern w:val="0"/>
                <w:szCs w:val="21"/>
              </w:rPr>
              <w:t>、NO</w:t>
            </w:r>
            <w:r>
              <w:rPr>
                <w:rFonts w:hint="default"/>
                <w:color w:val="auto"/>
                <w:kern w:val="0"/>
                <w:szCs w:val="21"/>
                <w:vertAlign w:val="subscript"/>
              </w:rPr>
              <w:t>2</w:t>
            </w:r>
            <w:r>
              <w:rPr>
                <w:rFonts w:hint="default"/>
                <w:color w:val="auto"/>
                <w:kern w:val="0"/>
                <w:szCs w:val="21"/>
              </w:rPr>
              <w:t>、PM</w:t>
            </w:r>
            <w:r>
              <w:rPr>
                <w:rFonts w:hint="default"/>
                <w:color w:val="auto"/>
                <w:kern w:val="0"/>
                <w:szCs w:val="21"/>
                <w:vertAlign w:val="subscript"/>
              </w:rPr>
              <w:t>10</w:t>
            </w:r>
            <w:r>
              <w:rPr>
                <w:rFonts w:hint="default"/>
                <w:color w:val="auto"/>
                <w:kern w:val="0"/>
                <w:szCs w:val="21"/>
              </w:rPr>
              <w:t>、PM</w:t>
            </w:r>
            <w:r>
              <w:rPr>
                <w:rFonts w:hint="default"/>
                <w:color w:val="auto"/>
                <w:kern w:val="0"/>
                <w:szCs w:val="21"/>
                <w:vertAlign w:val="subscript"/>
              </w:rPr>
              <w:t>2.5</w:t>
            </w:r>
            <w:r>
              <w:rPr>
                <w:rFonts w:hint="default"/>
                <w:color w:val="auto"/>
                <w:kern w:val="0"/>
                <w:szCs w:val="21"/>
              </w:rPr>
              <w:t>、CO、O</w:t>
            </w:r>
            <w:r>
              <w:rPr>
                <w:rFonts w:hint="default"/>
                <w:color w:val="auto"/>
                <w:kern w:val="0"/>
                <w:szCs w:val="21"/>
                <w:vertAlign w:val="subscript"/>
              </w:rPr>
              <w:t>3</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kern w:val="2"/>
                <w:sz w:val="24"/>
                <w:szCs w:val="24"/>
              </w:rPr>
              <w:t>BaP</w:t>
            </w:r>
            <w:r>
              <w:rPr>
                <w:rFonts w:hint="default"/>
                <w:color w:val="auto"/>
                <w:kern w:val="0"/>
                <w:szCs w:val="21"/>
              </w:rPr>
              <w:t>执行</w:t>
            </w:r>
            <w:r>
              <w:rPr>
                <w:rFonts w:hint="eastAsia"/>
                <w:color w:val="auto"/>
                <w:kern w:val="0"/>
                <w:szCs w:val="21"/>
              </w:rPr>
              <w:t>《环境空气质量标准》（GB3095-2026）二级标准</w:t>
            </w:r>
            <w:r>
              <w:rPr>
                <w:rFonts w:hint="eastAsia"/>
                <w:color w:val="auto"/>
                <w:kern w:val="0"/>
                <w:szCs w:val="21"/>
                <w:lang w:eastAsia="zh-CN"/>
              </w:rPr>
              <w:t>，</w:t>
            </w:r>
            <w:r>
              <w:rPr>
                <w:rFonts w:hint="eastAsia"/>
                <w:color w:val="auto"/>
                <w:kern w:val="0"/>
                <w:szCs w:val="21"/>
                <w:highlight w:val="none"/>
              </w:rPr>
              <w:t>自2026年3月1日起至2030年12月31日止，执行过渡阶段二级浓度限值，自2031年1月1日起，执行二级浓度限值</w:t>
            </w:r>
            <w:r>
              <w:rPr>
                <w:rFonts w:hint="eastAsia"/>
                <w:color w:val="auto"/>
                <w:kern w:val="0"/>
                <w:szCs w:val="21"/>
                <w:lang w:eastAsia="zh-CN"/>
              </w:rPr>
              <w:t>；非甲烷总烃参照执行《大气污染物综合排放标准详解》中的标准，</w:t>
            </w:r>
            <w:r>
              <w:rPr>
                <w:rFonts w:hint="eastAsia"/>
                <w:color w:val="auto"/>
                <w:kern w:val="0"/>
                <w:szCs w:val="21"/>
                <w:lang w:val="en-US" w:eastAsia="zh-CN"/>
              </w:rPr>
              <w:t>详见表3-</w:t>
            </w:r>
            <w:r>
              <w:rPr>
                <w:rFonts w:hint="eastAsia"/>
                <w:color w:val="auto"/>
                <w:kern w:val="0"/>
                <w:szCs w:val="21"/>
                <w:highlight w:val="none"/>
                <w:lang w:val="en-US" w:eastAsia="zh-CN"/>
              </w:rPr>
              <w:t>40</w:t>
            </w:r>
            <w:r>
              <w:rPr>
                <w:rFonts w:hint="eastAsia"/>
                <w:color w:val="auto"/>
                <w:kern w:val="0"/>
                <w:szCs w:val="21"/>
              </w:rPr>
              <w:t>。</w:t>
            </w:r>
          </w:p>
          <w:p w14:paraId="6A50E4BC">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vertAlign w:val="superscript"/>
              </w:rPr>
            </w:pPr>
            <w:r>
              <w:rPr>
                <w:rFonts w:hint="default"/>
                <w:b/>
                <w:color w:val="auto"/>
                <w:kern w:val="0"/>
                <w:szCs w:val="21"/>
              </w:rPr>
              <w:t>表3-</w:t>
            </w:r>
            <w:r>
              <w:rPr>
                <w:rFonts w:hint="eastAsia"/>
                <w:b/>
                <w:color w:val="auto"/>
                <w:kern w:val="0"/>
                <w:szCs w:val="21"/>
                <w:lang w:val="en-US" w:eastAsia="zh-CN"/>
              </w:rPr>
              <w:t>40</w:t>
            </w:r>
            <w:r>
              <w:rPr>
                <w:rFonts w:hint="default"/>
                <w:b/>
                <w:color w:val="auto"/>
                <w:kern w:val="0"/>
                <w:szCs w:val="21"/>
              </w:rPr>
              <w:t xml:space="preserve">  大气环境质量标准</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538"/>
              <w:gridCol w:w="1571"/>
              <w:gridCol w:w="1662"/>
              <w:gridCol w:w="1362"/>
              <w:gridCol w:w="598"/>
              <w:gridCol w:w="1887"/>
            </w:tblGrid>
            <w:tr w14:paraId="18252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892" w:type="pct"/>
                  <w:vMerge w:val="restart"/>
                  <w:tcBorders>
                    <w:tl2br w:val="nil"/>
                    <w:tr2bl w:val="nil"/>
                  </w:tcBorders>
                  <w:noWrap w:val="0"/>
                  <w:vAlign w:val="center"/>
                </w:tcPr>
                <w:p w14:paraId="18D7944C">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污染物项目</w:t>
                  </w:r>
                </w:p>
              </w:tc>
              <w:tc>
                <w:tcPr>
                  <w:tcW w:w="911" w:type="pct"/>
                  <w:vMerge w:val="restart"/>
                  <w:tcBorders>
                    <w:tl2br w:val="nil"/>
                    <w:tr2bl w:val="nil"/>
                  </w:tcBorders>
                  <w:noWrap w:val="0"/>
                  <w:vAlign w:val="center"/>
                </w:tcPr>
                <w:p w14:paraId="7B68F8E4">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平均时间</w:t>
                  </w:r>
                </w:p>
              </w:tc>
              <w:tc>
                <w:tcPr>
                  <w:tcW w:w="1754" w:type="pct"/>
                  <w:gridSpan w:val="2"/>
                  <w:tcBorders>
                    <w:tl2br w:val="nil"/>
                    <w:tr2bl w:val="nil"/>
                  </w:tcBorders>
                  <w:noWrap w:val="0"/>
                  <w:vAlign w:val="center"/>
                </w:tcPr>
                <w:p w14:paraId="140CA8E9">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二级浓度限值</w:t>
                  </w:r>
                </w:p>
              </w:tc>
              <w:tc>
                <w:tcPr>
                  <w:tcW w:w="347" w:type="pct"/>
                  <w:vMerge w:val="restart"/>
                  <w:tcBorders>
                    <w:tl2br w:val="nil"/>
                    <w:tr2bl w:val="nil"/>
                  </w:tcBorders>
                  <w:noWrap w:val="0"/>
                  <w:vAlign w:val="center"/>
                </w:tcPr>
                <w:p w14:paraId="6307EDD3">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单位</w:t>
                  </w:r>
                </w:p>
              </w:tc>
              <w:tc>
                <w:tcPr>
                  <w:tcW w:w="1094" w:type="pct"/>
                  <w:vMerge w:val="restart"/>
                  <w:tcBorders>
                    <w:tl2br w:val="nil"/>
                    <w:tr2bl w:val="nil"/>
                  </w:tcBorders>
                  <w:noWrap w:val="0"/>
                  <w:vAlign w:val="center"/>
                </w:tcPr>
                <w:p w14:paraId="38D21E5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标准来源</w:t>
                  </w:r>
                </w:p>
              </w:tc>
            </w:tr>
            <w:tr w14:paraId="6DD10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892" w:type="pct"/>
                  <w:vMerge w:val="continue"/>
                  <w:tcBorders>
                    <w:tl2br w:val="nil"/>
                    <w:tr2bl w:val="nil"/>
                  </w:tcBorders>
                  <w:noWrap w:val="0"/>
                  <w:vAlign w:val="center"/>
                </w:tcPr>
                <w:p w14:paraId="7BFFAE7F">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p>
              </w:tc>
              <w:tc>
                <w:tcPr>
                  <w:tcW w:w="911" w:type="pct"/>
                  <w:vMerge w:val="continue"/>
                  <w:tcBorders>
                    <w:tl2br w:val="nil"/>
                    <w:tr2bl w:val="nil"/>
                  </w:tcBorders>
                  <w:noWrap w:val="0"/>
                  <w:vAlign w:val="center"/>
                </w:tcPr>
                <w:p w14:paraId="47F9120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p>
              </w:tc>
              <w:tc>
                <w:tcPr>
                  <w:tcW w:w="964" w:type="pct"/>
                  <w:tcBorders>
                    <w:tl2br w:val="nil"/>
                    <w:tr2bl w:val="nil"/>
                  </w:tcBorders>
                  <w:noWrap w:val="0"/>
                  <w:vAlign w:val="center"/>
                </w:tcPr>
                <w:p w14:paraId="7C21672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过渡阶段浓度限值</w:t>
                  </w:r>
                  <w:r>
                    <w:rPr>
                      <w:rFonts w:hint="default" w:ascii="Times New Roman" w:hAnsi="Times New Roman" w:eastAsia="宋体" w:cs="Times New Roman"/>
                      <w:b/>
                      <w:bCs/>
                      <w:color w:val="auto"/>
                      <w:sz w:val="18"/>
                      <w:szCs w:val="18"/>
                      <w:vertAlign w:val="superscript"/>
                      <w:lang w:val="en-US" w:eastAsia="zh-CN"/>
                    </w:rPr>
                    <w:t>[1]</w:t>
                  </w:r>
                </w:p>
              </w:tc>
              <w:tc>
                <w:tcPr>
                  <w:tcW w:w="790" w:type="pct"/>
                  <w:tcBorders>
                    <w:tl2br w:val="nil"/>
                    <w:tr2bl w:val="nil"/>
                  </w:tcBorders>
                  <w:noWrap w:val="0"/>
                  <w:vAlign w:val="center"/>
                </w:tcPr>
                <w:p w14:paraId="3CE91100">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rPr>
                    <w:t>二级浓度限值</w:t>
                  </w:r>
                  <w:r>
                    <w:rPr>
                      <w:rFonts w:hint="default" w:ascii="Times New Roman" w:hAnsi="Times New Roman" w:eastAsia="宋体" w:cs="Times New Roman"/>
                      <w:b/>
                      <w:bCs/>
                      <w:color w:val="auto"/>
                      <w:sz w:val="18"/>
                      <w:szCs w:val="18"/>
                      <w:vertAlign w:val="superscript"/>
                      <w:lang w:val="en-US" w:eastAsia="zh-CN"/>
                    </w:rPr>
                    <w:t>[2]</w:t>
                  </w:r>
                </w:p>
              </w:tc>
              <w:tc>
                <w:tcPr>
                  <w:tcW w:w="347" w:type="pct"/>
                  <w:vMerge w:val="continue"/>
                  <w:tcBorders>
                    <w:tl2br w:val="nil"/>
                    <w:tr2bl w:val="nil"/>
                  </w:tcBorders>
                  <w:noWrap w:val="0"/>
                  <w:vAlign w:val="center"/>
                </w:tcPr>
                <w:p w14:paraId="0FD666C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p>
              </w:tc>
              <w:tc>
                <w:tcPr>
                  <w:tcW w:w="1094" w:type="pct"/>
                  <w:vMerge w:val="continue"/>
                  <w:tcBorders>
                    <w:tl2br w:val="nil"/>
                    <w:tr2bl w:val="nil"/>
                  </w:tcBorders>
                  <w:noWrap w:val="0"/>
                  <w:vAlign w:val="center"/>
                </w:tcPr>
                <w:p w14:paraId="4DEFBD6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b/>
                      <w:bCs/>
                      <w:color w:val="auto"/>
                      <w:sz w:val="18"/>
                      <w:szCs w:val="18"/>
                    </w:rPr>
                  </w:pPr>
                </w:p>
              </w:tc>
            </w:tr>
            <w:tr w14:paraId="6EE5D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92" w:type="pct"/>
                  <w:vMerge w:val="restart"/>
                  <w:tcBorders>
                    <w:tl2br w:val="nil"/>
                    <w:tr2bl w:val="nil"/>
                  </w:tcBorders>
                  <w:noWrap w:val="0"/>
                  <w:vAlign w:val="center"/>
                </w:tcPr>
                <w:p w14:paraId="67D55B50">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二氧化硫（</w:t>
                  </w:r>
                  <w:r>
                    <w:rPr>
                      <w:rFonts w:hint="default" w:ascii="Times New Roman" w:hAnsi="Times New Roman" w:eastAsia="宋体" w:cs="Times New Roman"/>
                      <w:color w:val="auto"/>
                      <w:sz w:val="18"/>
                      <w:szCs w:val="18"/>
                    </w:rPr>
                    <w:t>SO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lang w:val="en-US" w:eastAsia="zh-CN"/>
                    </w:rPr>
                    <w:t>）</w:t>
                  </w:r>
                </w:p>
              </w:tc>
              <w:tc>
                <w:tcPr>
                  <w:tcW w:w="911" w:type="pct"/>
                  <w:tcBorders>
                    <w:tl2br w:val="nil"/>
                    <w:tr2bl w:val="nil"/>
                  </w:tcBorders>
                  <w:noWrap w:val="0"/>
                  <w:vAlign w:val="center"/>
                </w:tcPr>
                <w:p w14:paraId="3892AE64">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w:t>
                  </w:r>
                </w:p>
              </w:tc>
              <w:tc>
                <w:tcPr>
                  <w:tcW w:w="964" w:type="pct"/>
                  <w:tcBorders>
                    <w:tl2br w:val="nil"/>
                    <w:tr2bl w:val="nil"/>
                  </w:tcBorders>
                  <w:noWrap w:val="0"/>
                  <w:vAlign w:val="center"/>
                </w:tcPr>
                <w:p w14:paraId="01B6B1F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c>
                <w:tcPr>
                  <w:tcW w:w="790" w:type="pct"/>
                  <w:tcBorders>
                    <w:tl2br w:val="nil"/>
                    <w:tr2bl w:val="nil"/>
                  </w:tcBorders>
                  <w:noWrap w:val="0"/>
                  <w:vAlign w:val="center"/>
                </w:tcPr>
                <w:p w14:paraId="3D964E3F">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w:t>
                  </w:r>
                </w:p>
              </w:tc>
              <w:tc>
                <w:tcPr>
                  <w:tcW w:w="347" w:type="pct"/>
                  <w:vMerge w:val="restart"/>
                  <w:tcBorders>
                    <w:tl2br w:val="nil"/>
                    <w:tr2bl w:val="nil"/>
                  </w:tcBorders>
                  <w:noWrap w:val="0"/>
                  <w:vAlign w:val="center"/>
                </w:tcPr>
                <w:p w14:paraId="13CB11C6">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μg/m³</w:t>
                  </w:r>
                </w:p>
              </w:tc>
              <w:tc>
                <w:tcPr>
                  <w:tcW w:w="1094" w:type="pct"/>
                  <w:vMerge w:val="restart"/>
                  <w:tcBorders>
                    <w:tl2br w:val="nil"/>
                    <w:tr2bl w:val="nil"/>
                  </w:tcBorders>
                  <w:noWrap w:val="0"/>
                  <w:vAlign w:val="center"/>
                </w:tcPr>
                <w:p w14:paraId="2D6223C0">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《环境空气质量标准》（GB3095-2026）</w:t>
                  </w:r>
                </w:p>
              </w:tc>
            </w:tr>
            <w:tr w14:paraId="10628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00EE2950">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4ACA620E">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日</w:t>
                  </w:r>
                  <w:r>
                    <w:rPr>
                      <w:rFonts w:hint="default" w:ascii="Times New Roman" w:hAnsi="Times New Roman" w:eastAsia="宋体" w:cs="Times New Roman"/>
                      <w:color w:val="auto"/>
                      <w:sz w:val="18"/>
                      <w:szCs w:val="18"/>
                    </w:rPr>
                    <w:t>平均</w:t>
                  </w:r>
                </w:p>
              </w:tc>
              <w:tc>
                <w:tcPr>
                  <w:tcW w:w="964" w:type="pct"/>
                  <w:tcBorders>
                    <w:tl2br w:val="nil"/>
                    <w:tr2bl w:val="nil"/>
                  </w:tcBorders>
                  <w:noWrap w:val="0"/>
                  <w:vAlign w:val="center"/>
                </w:tcPr>
                <w:p w14:paraId="1185F4D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790" w:type="pct"/>
                  <w:tcBorders>
                    <w:tl2br w:val="nil"/>
                    <w:tr2bl w:val="nil"/>
                  </w:tcBorders>
                  <w:noWrap w:val="0"/>
                  <w:vAlign w:val="center"/>
                </w:tcPr>
                <w:p w14:paraId="6694FB6B">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0</w:t>
                  </w:r>
                </w:p>
              </w:tc>
              <w:tc>
                <w:tcPr>
                  <w:tcW w:w="347" w:type="pct"/>
                  <w:vMerge w:val="continue"/>
                  <w:tcBorders>
                    <w:tl2br w:val="nil"/>
                    <w:tr2bl w:val="nil"/>
                  </w:tcBorders>
                  <w:noWrap w:val="0"/>
                  <w:vAlign w:val="center"/>
                </w:tcPr>
                <w:p w14:paraId="07A3E703">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172B9BE7">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0B9FF7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767C3260">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2329577B">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1小时平均</w:t>
                  </w:r>
                </w:p>
              </w:tc>
              <w:tc>
                <w:tcPr>
                  <w:tcW w:w="964" w:type="pct"/>
                  <w:tcBorders>
                    <w:tl2br w:val="nil"/>
                    <w:tr2bl w:val="nil"/>
                  </w:tcBorders>
                  <w:noWrap w:val="0"/>
                  <w:vAlign w:val="center"/>
                </w:tcPr>
                <w:p w14:paraId="62770334">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790" w:type="pct"/>
                  <w:tcBorders>
                    <w:tl2br w:val="nil"/>
                    <w:tr2bl w:val="nil"/>
                  </w:tcBorders>
                  <w:noWrap w:val="0"/>
                  <w:vAlign w:val="center"/>
                </w:tcPr>
                <w:p w14:paraId="773A6573">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150</w:t>
                  </w:r>
                </w:p>
              </w:tc>
              <w:tc>
                <w:tcPr>
                  <w:tcW w:w="347" w:type="pct"/>
                  <w:vMerge w:val="continue"/>
                  <w:tcBorders>
                    <w:tl2br w:val="nil"/>
                    <w:tr2bl w:val="nil"/>
                  </w:tcBorders>
                  <w:noWrap w:val="0"/>
                  <w:vAlign w:val="center"/>
                </w:tcPr>
                <w:p w14:paraId="6FD3DBBB">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5056D3D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58383E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restart"/>
                  <w:tcBorders>
                    <w:tl2br w:val="nil"/>
                    <w:tr2bl w:val="nil"/>
                  </w:tcBorders>
                  <w:noWrap w:val="0"/>
                  <w:vAlign w:val="center"/>
                </w:tcPr>
                <w:p w14:paraId="4FDA6F34">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二氧化氮</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NO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lang w:eastAsia="zh-CN"/>
                    </w:rPr>
                    <w:t>）</w:t>
                  </w:r>
                </w:p>
              </w:tc>
              <w:tc>
                <w:tcPr>
                  <w:tcW w:w="911" w:type="pct"/>
                  <w:tcBorders>
                    <w:tl2br w:val="nil"/>
                    <w:tr2bl w:val="nil"/>
                  </w:tcBorders>
                  <w:noWrap w:val="0"/>
                  <w:vAlign w:val="center"/>
                </w:tcPr>
                <w:p w14:paraId="2974B38F">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w:t>
                  </w:r>
                </w:p>
              </w:tc>
              <w:tc>
                <w:tcPr>
                  <w:tcW w:w="964" w:type="pct"/>
                  <w:tcBorders>
                    <w:tl2br w:val="nil"/>
                    <w:tr2bl w:val="nil"/>
                  </w:tcBorders>
                  <w:noWrap w:val="0"/>
                  <w:vAlign w:val="center"/>
                </w:tcPr>
                <w:p w14:paraId="1D979A3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790" w:type="pct"/>
                  <w:tcBorders>
                    <w:tl2br w:val="nil"/>
                    <w:tr2bl w:val="nil"/>
                  </w:tcBorders>
                  <w:noWrap w:val="0"/>
                  <w:vAlign w:val="center"/>
                </w:tcPr>
                <w:p w14:paraId="5FE5483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0</w:t>
                  </w:r>
                </w:p>
              </w:tc>
              <w:tc>
                <w:tcPr>
                  <w:tcW w:w="347" w:type="pct"/>
                  <w:vMerge w:val="continue"/>
                  <w:tcBorders>
                    <w:tl2br w:val="nil"/>
                    <w:tr2bl w:val="nil"/>
                  </w:tcBorders>
                  <w:noWrap w:val="0"/>
                  <w:vAlign w:val="center"/>
                </w:tcPr>
                <w:p w14:paraId="48248DDE">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4A0CC6FC">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3361E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5C065E6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4D2A353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日</w:t>
                  </w:r>
                  <w:r>
                    <w:rPr>
                      <w:rFonts w:hint="default" w:ascii="Times New Roman" w:hAnsi="Times New Roman" w:eastAsia="宋体" w:cs="Times New Roman"/>
                      <w:color w:val="auto"/>
                      <w:sz w:val="18"/>
                      <w:szCs w:val="18"/>
                    </w:rPr>
                    <w:t>平均</w:t>
                  </w:r>
                </w:p>
              </w:tc>
              <w:tc>
                <w:tcPr>
                  <w:tcW w:w="964" w:type="pct"/>
                  <w:tcBorders>
                    <w:tl2br w:val="nil"/>
                    <w:tr2bl w:val="nil"/>
                  </w:tcBorders>
                  <w:noWrap w:val="0"/>
                  <w:vAlign w:val="center"/>
                </w:tcPr>
                <w:p w14:paraId="6BBEFD9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w:t>
                  </w:r>
                </w:p>
              </w:tc>
              <w:tc>
                <w:tcPr>
                  <w:tcW w:w="790" w:type="pct"/>
                  <w:tcBorders>
                    <w:tl2br w:val="nil"/>
                    <w:tr2bl w:val="nil"/>
                  </w:tcBorders>
                  <w:noWrap w:val="0"/>
                  <w:vAlign w:val="center"/>
                </w:tcPr>
                <w:p w14:paraId="10CCD61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0</w:t>
                  </w:r>
                </w:p>
              </w:tc>
              <w:tc>
                <w:tcPr>
                  <w:tcW w:w="347" w:type="pct"/>
                  <w:vMerge w:val="continue"/>
                  <w:tcBorders>
                    <w:tl2br w:val="nil"/>
                    <w:tr2bl w:val="nil"/>
                  </w:tcBorders>
                  <w:noWrap w:val="0"/>
                  <w:vAlign w:val="center"/>
                </w:tcPr>
                <w:p w14:paraId="176E8B9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77840CE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55A20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45C0913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6683848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1小时平均</w:t>
                  </w:r>
                </w:p>
              </w:tc>
              <w:tc>
                <w:tcPr>
                  <w:tcW w:w="964" w:type="pct"/>
                  <w:tcBorders>
                    <w:tl2br w:val="nil"/>
                    <w:tr2bl w:val="nil"/>
                  </w:tcBorders>
                  <w:noWrap w:val="0"/>
                  <w:vAlign w:val="center"/>
                </w:tcPr>
                <w:p w14:paraId="609DEB56">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790" w:type="pct"/>
                  <w:tcBorders>
                    <w:tl2br w:val="nil"/>
                    <w:tr2bl w:val="nil"/>
                  </w:tcBorders>
                  <w:noWrap w:val="0"/>
                  <w:vAlign w:val="center"/>
                </w:tcPr>
                <w:p w14:paraId="6A403D20">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347" w:type="pct"/>
                  <w:vMerge w:val="continue"/>
                  <w:tcBorders>
                    <w:tl2br w:val="nil"/>
                    <w:tr2bl w:val="nil"/>
                  </w:tcBorders>
                  <w:noWrap w:val="0"/>
                  <w:vAlign w:val="center"/>
                </w:tcPr>
                <w:p w14:paraId="58797516">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7C8018AD">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7F887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restart"/>
                  <w:tcBorders>
                    <w:tl2br w:val="nil"/>
                    <w:tr2bl w:val="nil"/>
                  </w:tcBorders>
                  <w:noWrap w:val="0"/>
                  <w:vAlign w:val="center"/>
                </w:tcPr>
                <w:p w14:paraId="0750B0BC">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一氧化碳（</w:t>
                  </w:r>
                  <w:r>
                    <w:rPr>
                      <w:rFonts w:hint="default" w:ascii="Times New Roman" w:hAnsi="Times New Roman" w:eastAsia="宋体" w:cs="Times New Roman"/>
                      <w:color w:val="auto"/>
                      <w:sz w:val="18"/>
                      <w:szCs w:val="18"/>
                    </w:rPr>
                    <w:t>CO</w:t>
                  </w:r>
                  <w:r>
                    <w:rPr>
                      <w:rFonts w:hint="default" w:ascii="Times New Roman" w:hAnsi="Times New Roman" w:eastAsia="宋体" w:cs="Times New Roman"/>
                      <w:color w:val="auto"/>
                      <w:sz w:val="18"/>
                      <w:szCs w:val="18"/>
                      <w:lang w:val="en-US" w:eastAsia="zh-CN"/>
                    </w:rPr>
                    <w:t>）</w:t>
                  </w:r>
                </w:p>
              </w:tc>
              <w:tc>
                <w:tcPr>
                  <w:tcW w:w="911" w:type="pct"/>
                  <w:tcBorders>
                    <w:tl2br w:val="nil"/>
                    <w:tr2bl w:val="nil"/>
                  </w:tcBorders>
                  <w:noWrap w:val="0"/>
                  <w:vAlign w:val="center"/>
                </w:tcPr>
                <w:p w14:paraId="19B119B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日</w:t>
                  </w:r>
                  <w:r>
                    <w:rPr>
                      <w:rFonts w:hint="default" w:ascii="Times New Roman" w:hAnsi="Times New Roman" w:eastAsia="宋体" w:cs="Times New Roman"/>
                      <w:color w:val="auto"/>
                      <w:sz w:val="18"/>
                      <w:szCs w:val="18"/>
                    </w:rPr>
                    <w:t>平均</w:t>
                  </w:r>
                </w:p>
              </w:tc>
              <w:tc>
                <w:tcPr>
                  <w:tcW w:w="964" w:type="pct"/>
                  <w:tcBorders>
                    <w:tl2br w:val="nil"/>
                    <w:tr2bl w:val="nil"/>
                  </w:tcBorders>
                  <w:noWrap w:val="0"/>
                  <w:vAlign w:val="center"/>
                </w:tcPr>
                <w:p w14:paraId="5851C5E6">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790" w:type="pct"/>
                  <w:tcBorders>
                    <w:tl2br w:val="nil"/>
                    <w:tr2bl w:val="nil"/>
                  </w:tcBorders>
                  <w:noWrap w:val="0"/>
                  <w:vAlign w:val="center"/>
                </w:tcPr>
                <w:p w14:paraId="70801ED7">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347" w:type="pct"/>
                  <w:vMerge w:val="restart"/>
                  <w:tcBorders>
                    <w:tl2br w:val="nil"/>
                    <w:tr2bl w:val="nil"/>
                  </w:tcBorders>
                  <w:noWrap w:val="0"/>
                  <w:vAlign w:val="center"/>
                </w:tcPr>
                <w:p w14:paraId="3780DCF2">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mg/m³</w:t>
                  </w:r>
                </w:p>
              </w:tc>
              <w:tc>
                <w:tcPr>
                  <w:tcW w:w="1094" w:type="pct"/>
                  <w:vMerge w:val="continue"/>
                  <w:tcBorders>
                    <w:tl2br w:val="nil"/>
                    <w:tr2bl w:val="nil"/>
                  </w:tcBorders>
                  <w:noWrap w:val="0"/>
                  <w:vAlign w:val="center"/>
                </w:tcPr>
                <w:p w14:paraId="668E2C9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3DBB77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0D55EEF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4E760DE7">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1小时平均</w:t>
                  </w:r>
                </w:p>
              </w:tc>
              <w:tc>
                <w:tcPr>
                  <w:tcW w:w="964" w:type="pct"/>
                  <w:tcBorders>
                    <w:tl2br w:val="nil"/>
                    <w:tr2bl w:val="nil"/>
                  </w:tcBorders>
                  <w:noWrap w:val="0"/>
                  <w:vAlign w:val="center"/>
                </w:tcPr>
                <w:p w14:paraId="3B59E7D2">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790" w:type="pct"/>
                  <w:tcBorders>
                    <w:tl2br w:val="nil"/>
                    <w:tr2bl w:val="nil"/>
                  </w:tcBorders>
                  <w:noWrap w:val="0"/>
                  <w:vAlign w:val="center"/>
                </w:tcPr>
                <w:p w14:paraId="10F5D4EF">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347" w:type="pct"/>
                  <w:vMerge w:val="continue"/>
                  <w:tcBorders>
                    <w:tl2br w:val="nil"/>
                    <w:tr2bl w:val="nil"/>
                  </w:tcBorders>
                  <w:noWrap w:val="0"/>
                  <w:vAlign w:val="center"/>
                </w:tcPr>
                <w:p w14:paraId="20A4E58D">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6F56CCD3">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3E799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restart"/>
                  <w:tcBorders>
                    <w:tl2br w:val="nil"/>
                    <w:tr2bl w:val="nil"/>
                  </w:tcBorders>
                  <w:noWrap w:val="0"/>
                  <w:vAlign w:val="center"/>
                </w:tcPr>
                <w:p w14:paraId="4580EB1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臭氧（</w:t>
                  </w:r>
                  <w:r>
                    <w:rPr>
                      <w:rFonts w:hint="default" w:ascii="Times New Roman" w:hAnsi="Times New Roman" w:eastAsia="宋体" w:cs="Times New Roman"/>
                      <w:color w:val="auto"/>
                      <w:sz w:val="18"/>
                      <w:szCs w:val="18"/>
                    </w:rPr>
                    <w:t>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lang w:val="en-US" w:eastAsia="zh-CN"/>
                    </w:rPr>
                    <w:t>）</w:t>
                  </w:r>
                </w:p>
              </w:tc>
              <w:tc>
                <w:tcPr>
                  <w:tcW w:w="911" w:type="pct"/>
                  <w:tcBorders>
                    <w:tl2br w:val="nil"/>
                    <w:tr2bl w:val="nil"/>
                  </w:tcBorders>
                  <w:noWrap w:val="0"/>
                  <w:vAlign w:val="center"/>
                </w:tcPr>
                <w:p w14:paraId="4CB88F4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日最大8小时平均</w:t>
                  </w:r>
                </w:p>
              </w:tc>
              <w:tc>
                <w:tcPr>
                  <w:tcW w:w="964" w:type="pct"/>
                  <w:tcBorders>
                    <w:tl2br w:val="nil"/>
                    <w:tr2bl w:val="nil"/>
                  </w:tcBorders>
                  <w:noWrap w:val="0"/>
                  <w:vAlign w:val="center"/>
                </w:tcPr>
                <w:p w14:paraId="0C10C949">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790" w:type="pct"/>
                  <w:tcBorders>
                    <w:tl2br w:val="nil"/>
                    <w:tr2bl w:val="nil"/>
                  </w:tcBorders>
                  <w:noWrap w:val="0"/>
                  <w:vAlign w:val="center"/>
                </w:tcPr>
                <w:p w14:paraId="5E911207">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160</w:t>
                  </w:r>
                </w:p>
              </w:tc>
              <w:tc>
                <w:tcPr>
                  <w:tcW w:w="347" w:type="pct"/>
                  <w:vMerge w:val="restart"/>
                  <w:tcBorders>
                    <w:tl2br w:val="nil"/>
                    <w:tr2bl w:val="nil"/>
                  </w:tcBorders>
                  <w:noWrap w:val="0"/>
                  <w:vAlign w:val="center"/>
                </w:tcPr>
                <w:p w14:paraId="7EC36CF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μg/m³</w:t>
                  </w:r>
                </w:p>
              </w:tc>
              <w:tc>
                <w:tcPr>
                  <w:tcW w:w="1094" w:type="pct"/>
                  <w:vMerge w:val="continue"/>
                  <w:tcBorders>
                    <w:tl2br w:val="nil"/>
                    <w:tr2bl w:val="nil"/>
                  </w:tcBorders>
                  <w:noWrap w:val="0"/>
                  <w:vAlign w:val="center"/>
                </w:tcPr>
                <w:p w14:paraId="6C50A857">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6EE239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2ABB126C">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09945B97">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1小时平均</w:t>
                  </w:r>
                </w:p>
              </w:tc>
              <w:tc>
                <w:tcPr>
                  <w:tcW w:w="964" w:type="pct"/>
                  <w:tcBorders>
                    <w:tl2br w:val="nil"/>
                    <w:tr2bl w:val="nil"/>
                  </w:tcBorders>
                  <w:noWrap w:val="0"/>
                  <w:vAlign w:val="center"/>
                </w:tcPr>
                <w:p w14:paraId="2486DE2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790" w:type="pct"/>
                  <w:tcBorders>
                    <w:tl2br w:val="nil"/>
                    <w:tr2bl w:val="nil"/>
                  </w:tcBorders>
                  <w:noWrap w:val="0"/>
                  <w:vAlign w:val="center"/>
                </w:tcPr>
                <w:p w14:paraId="209558EF">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firstLine="0" w:firstLineChars="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347" w:type="pct"/>
                  <w:vMerge w:val="continue"/>
                  <w:tcBorders>
                    <w:tl2br w:val="nil"/>
                    <w:tr2bl w:val="nil"/>
                  </w:tcBorders>
                  <w:noWrap w:val="0"/>
                  <w:vAlign w:val="center"/>
                </w:tcPr>
                <w:p w14:paraId="1850F7DC">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2847CE0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72595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restart"/>
                  <w:tcBorders>
                    <w:tl2br w:val="nil"/>
                    <w:tr2bl w:val="nil"/>
                  </w:tcBorders>
                  <w:noWrap w:val="0"/>
                  <w:vAlign w:val="center"/>
                </w:tcPr>
                <w:p w14:paraId="17FCA5F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颗粒物（粒径小于等于10μm，</w:t>
                  </w:r>
                  <w:r>
                    <w:rPr>
                      <w:rFonts w:hint="default" w:ascii="Times New Roman" w:hAnsi="Times New Roman" w:eastAsia="宋体" w:cs="Times New Roman"/>
                      <w:color w:val="auto"/>
                      <w:sz w:val="18"/>
                      <w:szCs w:val="18"/>
                    </w:rPr>
                    <w:t>PM</w:t>
                  </w:r>
                  <w:r>
                    <w:rPr>
                      <w:rFonts w:hint="default" w:ascii="Times New Roman" w:hAnsi="Times New Roman" w:eastAsia="宋体" w:cs="Times New Roman"/>
                      <w:color w:val="auto"/>
                      <w:sz w:val="18"/>
                      <w:szCs w:val="18"/>
                      <w:vertAlign w:val="subscript"/>
                    </w:rPr>
                    <w:t>10</w:t>
                  </w:r>
                  <w:r>
                    <w:rPr>
                      <w:rFonts w:hint="default" w:ascii="Times New Roman" w:hAnsi="Times New Roman" w:eastAsia="宋体" w:cs="Times New Roman"/>
                      <w:color w:val="auto"/>
                      <w:sz w:val="18"/>
                      <w:szCs w:val="18"/>
                      <w:lang w:val="en-US" w:eastAsia="zh-CN"/>
                    </w:rPr>
                    <w:t>）</w:t>
                  </w:r>
                </w:p>
              </w:tc>
              <w:tc>
                <w:tcPr>
                  <w:tcW w:w="911" w:type="pct"/>
                  <w:tcBorders>
                    <w:tl2br w:val="nil"/>
                    <w:tr2bl w:val="nil"/>
                  </w:tcBorders>
                  <w:noWrap w:val="0"/>
                  <w:vAlign w:val="center"/>
                </w:tcPr>
                <w:p w14:paraId="5AD0CD9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w:t>
                  </w:r>
                </w:p>
              </w:tc>
              <w:tc>
                <w:tcPr>
                  <w:tcW w:w="964" w:type="pct"/>
                  <w:tcBorders>
                    <w:tl2br w:val="nil"/>
                    <w:tr2bl w:val="nil"/>
                  </w:tcBorders>
                  <w:noWrap w:val="0"/>
                  <w:vAlign w:val="center"/>
                </w:tcPr>
                <w:p w14:paraId="29ACBFF4">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790" w:type="pct"/>
                  <w:tcBorders>
                    <w:tl2br w:val="nil"/>
                    <w:tr2bl w:val="nil"/>
                  </w:tcBorders>
                  <w:noWrap w:val="0"/>
                  <w:vAlign w:val="center"/>
                </w:tcPr>
                <w:p w14:paraId="2F2FF545">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w:t>
                  </w:r>
                </w:p>
              </w:tc>
              <w:tc>
                <w:tcPr>
                  <w:tcW w:w="347" w:type="pct"/>
                  <w:vMerge w:val="continue"/>
                  <w:tcBorders>
                    <w:tl2br w:val="nil"/>
                    <w:tr2bl w:val="nil"/>
                  </w:tcBorders>
                  <w:noWrap w:val="0"/>
                  <w:vAlign w:val="center"/>
                </w:tcPr>
                <w:p w14:paraId="628DFF3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4F63532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717E7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41B3D558">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4E38E26B">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日</w:t>
                  </w:r>
                  <w:r>
                    <w:rPr>
                      <w:rFonts w:hint="default" w:ascii="Times New Roman" w:hAnsi="Times New Roman" w:eastAsia="宋体" w:cs="Times New Roman"/>
                      <w:color w:val="auto"/>
                      <w:sz w:val="18"/>
                      <w:szCs w:val="18"/>
                    </w:rPr>
                    <w:t>平均</w:t>
                  </w:r>
                </w:p>
              </w:tc>
              <w:tc>
                <w:tcPr>
                  <w:tcW w:w="964" w:type="pct"/>
                  <w:tcBorders>
                    <w:tl2br w:val="nil"/>
                    <w:tr2bl w:val="nil"/>
                  </w:tcBorders>
                  <w:noWrap w:val="0"/>
                  <w:vAlign w:val="center"/>
                </w:tcPr>
                <w:p w14:paraId="05792C1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120</w:t>
                  </w:r>
                </w:p>
              </w:tc>
              <w:tc>
                <w:tcPr>
                  <w:tcW w:w="790" w:type="pct"/>
                  <w:tcBorders>
                    <w:tl2br w:val="nil"/>
                    <w:tr2bl w:val="nil"/>
                  </w:tcBorders>
                  <w:noWrap w:val="0"/>
                  <w:vAlign w:val="center"/>
                </w:tcPr>
                <w:p w14:paraId="2DC8AA29">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w:t>
                  </w:r>
                </w:p>
              </w:tc>
              <w:tc>
                <w:tcPr>
                  <w:tcW w:w="347" w:type="pct"/>
                  <w:vMerge w:val="continue"/>
                  <w:tcBorders>
                    <w:tl2br w:val="nil"/>
                    <w:tr2bl w:val="nil"/>
                  </w:tcBorders>
                  <w:noWrap w:val="0"/>
                  <w:vAlign w:val="center"/>
                </w:tcPr>
                <w:p w14:paraId="1042C28D">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5A377AF2">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7CB2F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restart"/>
                  <w:tcBorders>
                    <w:tl2br w:val="nil"/>
                    <w:tr2bl w:val="nil"/>
                  </w:tcBorders>
                  <w:noWrap w:val="0"/>
                  <w:vAlign w:val="center"/>
                </w:tcPr>
                <w:p w14:paraId="463EA79B">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颗粒物（粒径小于等于2.5μm，</w:t>
                  </w:r>
                  <w:r>
                    <w:rPr>
                      <w:rFonts w:hint="default" w:ascii="Times New Roman" w:hAnsi="Times New Roman" w:eastAsia="宋体" w:cs="Times New Roman"/>
                      <w:color w:val="auto"/>
                      <w:sz w:val="18"/>
                      <w:szCs w:val="18"/>
                    </w:rPr>
                    <w:t>PM</w:t>
                  </w:r>
                  <w:r>
                    <w:rPr>
                      <w:rFonts w:hint="default" w:ascii="Times New Roman" w:hAnsi="Times New Roman" w:eastAsia="宋体" w:cs="Times New Roman"/>
                      <w:color w:val="auto"/>
                      <w:sz w:val="18"/>
                      <w:szCs w:val="18"/>
                      <w:vertAlign w:val="subscript"/>
                      <w:lang w:val="en-US" w:eastAsia="zh-CN"/>
                    </w:rPr>
                    <w:t>2.5</w:t>
                  </w:r>
                  <w:r>
                    <w:rPr>
                      <w:rFonts w:hint="default" w:ascii="Times New Roman" w:hAnsi="Times New Roman" w:eastAsia="宋体" w:cs="Times New Roman"/>
                      <w:color w:val="auto"/>
                      <w:sz w:val="18"/>
                      <w:szCs w:val="18"/>
                      <w:lang w:val="en-US" w:eastAsia="zh-CN"/>
                    </w:rPr>
                    <w:t>）</w:t>
                  </w:r>
                </w:p>
              </w:tc>
              <w:tc>
                <w:tcPr>
                  <w:tcW w:w="911" w:type="pct"/>
                  <w:tcBorders>
                    <w:tl2br w:val="nil"/>
                    <w:tr2bl w:val="nil"/>
                  </w:tcBorders>
                  <w:noWrap w:val="0"/>
                  <w:vAlign w:val="center"/>
                </w:tcPr>
                <w:p w14:paraId="117EEACA">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年平均</w:t>
                  </w:r>
                </w:p>
              </w:tc>
              <w:tc>
                <w:tcPr>
                  <w:tcW w:w="964" w:type="pct"/>
                  <w:tcBorders>
                    <w:tl2br w:val="nil"/>
                    <w:tr2bl w:val="nil"/>
                  </w:tcBorders>
                  <w:noWrap w:val="0"/>
                  <w:vAlign w:val="center"/>
                </w:tcPr>
                <w:p w14:paraId="55AA23ED">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p>
              </w:tc>
              <w:tc>
                <w:tcPr>
                  <w:tcW w:w="790" w:type="pct"/>
                  <w:tcBorders>
                    <w:tl2br w:val="nil"/>
                    <w:tr2bl w:val="nil"/>
                  </w:tcBorders>
                  <w:noWrap w:val="0"/>
                  <w:vAlign w:val="center"/>
                </w:tcPr>
                <w:p w14:paraId="6E911673">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347" w:type="pct"/>
                  <w:vMerge w:val="continue"/>
                  <w:tcBorders>
                    <w:tl2br w:val="nil"/>
                    <w:tr2bl w:val="nil"/>
                  </w:tcBorders>
                  <w:noWrap w:val="0"/>
                  <w:vAlign w:val="center"/>
                </w:tcPr>
                <w:p w14:paraId="7F724E7E">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6BFF1796">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6A44A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0A1DE0E3">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7FC40146">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日</w:t>
                  </w:r>
                  <w:r>
                    <w:rPr>
                      <w:rFonts w:hint="default" w:ascii="Times New Roman" w:hAnsi="Times New Roman" w:eastAsia="宋体" w:cs="Times New Roman"/>
                      <w:color w:val="auto"/>
                      <w:sz w:val="18"/>
                      <w:szCs w:val="18"/>
                    </w:rPr>
                    <w:t>平均</w:t>
                  </w:r>
                </w:p>
              </w:tc>
              <w:tc>
                <w:tcPr>
                  <w:tcW w:w="964" w:type="pct"/>
                  <w:tcBorders>
                    <w:tl2br w:val="nil"/>
                    <w:tr2bl w:val="nil"/>
                  </w:tcBorders>
                  <w:noWrap w:val="0"/>
                  <w:vAlign w:val="center"/>
                </w:tcPr>
                <w:p w14:paraId="71AB3842">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790" w:type="pct"/>
                  <w:tcBorders>
                    <w:tl2br w:val="nil"/>
                    <w:tr2bl w:val="nil"/>
                  </w:tcBorders>
                  <w:noWrap w:val="0"/>
                  <w:vAlign w:val="center"/>
                </w:tcPr>
                <w:p w14:paraId="372B328F">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w:t>
                  </w:r>
                </w:p>
              </w:tc>
              <w:tc>
                <w:tcPr>
                  <w:tcW w:w="347" w:type="pct"/>
                  <w:vMerge w:val="continue"/>
                  <w:tcBorders>
                    <w:tl2br w:val="nil"/>
                    <w:tr2bl w:val="nil"/>
                  </w:tcBorders>
                  <w:noWrap w:val="0"/>
                  <w:vAlign w:val="center"/>
                </w:tcPr>
                <w:p w14:paraId="5425BF3C">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67D8987C">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4984E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restart"/>
                  <w:tcBorders>
                    <w:tl2br w:val="nil"/>
                    <w:tr2bl w:val="nil"/>
                  </w:tcBorders>
                  <w:noWrap w:val="0"/>
                  <w:vAlign w:val="center"/>
                </w:tcPr>
                <w:p w14:paraId="511855BB">
                  <w:pPr>
                    <w:pStyle w:val="77"/>
                    <w:keepNext w:val="0"/>
                    <w:keepLines w:val="0"/>
                    <w:widowControl w:val="0"/>
                    <w:suppressLineNumbers w:val="0"/>
                    <w:autoSpaceDE w:val="0"/>
                    <w:autoSpaceDN/>
                    <w:adjustRightInd w:val="0"/>
                    <w:snapToGrid w:val="0"/>
                    <w:spacing w:before="0" w:beforeAutospacing="1" w:afterAutospacing="0"/>
                    <w:ind w:left="0" w:leftChars="0" w:right="0" w:rightChars="0" w:firstLine="0" w:firstLineChars="0"/>
                    <w:rPr>
                      <w:rFonts w:hint="default" w:ascii="Times New Roman" w:hAnsi="Times New Roman" w:eastAsia="宋体" w:cs="Times New Roman"/>
                      <w:color w:val="auto"/>
                      <w:sz w:val="18"/>
                      <w:szCs w:val="18"/>
                    </w:rPr>
                  </w:pPr>
                  <w:r>
                    <w:rPr>
                      <w:rFonts w:hint="eastAsia" w:ascii="宋体" w:hAnsi="宋体" w:eastAsia="宋体" w:cs="宋体"/>
                      <w:color w:val="auto"/>
                      <w:kern w:val="2"/>
                      <w:sz w:val="21"/>
                      <w:szCs w:val="21"/>
                    </w:rPr>
                    <w:t>苯并</w:t>
                  </w:r>
                  <w:r>
                    <w:rPr>
                      <w:rFonts w:hint="default" w:ascii="Times New Roman" w:hAnsi="Times New Roman" w:eastAsia="宋体" w:cs="Times New Roman"/>
                      <w:color w:val="auto"/>
                      <w:kern w:val="2"/>
                      <w:sz w:val="21"/>
                      <w:szCs w:val="21"/>
                    </w:rPr>
                    <w:t>[a]</w:t>
                  </w:r>
                  <w:r>
                    <w:rPr>
                      <w:rFonts w:hint="eastAsia" w:ascii="宋体" w:hAnsi="宋体" w:eastAsia="宋体" w:cs="宋体"/>
                      <w:color w:val="auto"/>
                      <w:kern w:val="2"/>
                      <w:sz w:val="21"/>
                      <w:szCs w:val="21"/>
                    </w:rPr>
                    <w:t>芘（</w:t>
                  </w:r>
                  <w:r>
                    <w:rPr>
                      <w:rFonts w:hint="default" w:ascii="Times New Roman" w:hAnsi="Times New Roman" w:eastAsia="宋体" w:cs="Times New Roman"/>
                      <w:color w:val="auto"/>
                      <w:kern w:val="2"/>
                      <w:sz w:val="21"/>
                      <w:szCs w:val="21"/>
                    </w:rPr>
                    <w:t>BaP</w:t>
                  </w:r>
                  <w:r>
                    <w:rPr>
                      <w:rFonts w:hint="eastAsia" w:ascii="宋体" w:hAnsi="宋体" w:eastAsia="宋体" w:cs="宋体"/>
                      <w:color w:val="auto"/>
                      <w:kern w:val="2"/>
                      <w:sz w:val="21"/>
                      <w:szCs w:val="21"/>
                    </w:rPr>
                    <w:t>）</w:t>
                  </w:r>
                </w:p>
              </w:tc>
              <w:tc>
                <w:tcPr>
                  <w:tcW w:w="911" w:type="pct"/>
                  <w:tcBorders>
                    <w:tl2br w:val="nil"/>
                    <w:tr2bl w:val="nil"/>
                  </w:tcBorders>
                  <w:noWrap w:val="0"/>
                  <w:vAlign w:val="center"/>
                </w:tcPr>
                <w:p w14:paraId="03ADEF6C">
                  <w:pPr>
                    <w:pStyle w:val="77"/>
                    <w:keepNext w:val="0"/>
                    <w:keepLines w:val="0"/>
                    <w:widowControl w:val="0"/>
                    <w:suppressLineNumbers w:val="0"/>
                    <w:autoSpaceDE w:val="0"/>
                    <w:autoSpaceDN/>
                    <w:adjustRightInd w:val="0"/>
                    <w:snapToGrid w:val="0"/>
                    <w:spacing w:before="0" w:beforeAutospacing="1" w:afterAutospacing="0"/>
                    <w:ind w:left="0" w:leftChars="0" w:right="0" w:rightChars="0" w:firstLine="0" w:firstLineChars="0"/>
                    <w:rPr>
                      <w:rFonts w:hint="default" w:ascii="Times New Roman" w:hAnsi="Times New Roman" w:eastAsia="宋体" w:cs="Times New Roman"/>
                      <w:color w:val="auto"/>
                      <w:sz w:val="18"/>
                      <w:szCs w:val="18"/>
                      <w:lang w:val="en-US" w:eastAsia="zh-CN"/>
                    </w:rPr>
                  </w:pPr>
                  <w:r>
                    <w:rPr>
                      <w:rFonts w:hint="eastAsia" w:ascii="宋体" w:hAnsi="宋体" w:eastAsia="宋体" w:cs="宋体"/>
                      <w:color w:val="auto"/>
                      <w:kern w:val="2"/>
                      <w:sz w:val="21"/>
                      <w:szCs w:val="21"/>
                    </w:rPr>
                    <w:t>年平均</w:t>
                  </w:r>
                </w:p>
              </w:tc>
              <w:tc>
                <w:tcPr>
                  <w:tcW w:w="964" w:type="pct"/>
                  <w:tcBorders>
                    <w:tl2br w:val="nil"/>
                    <w:tr2bl w:val="nil"/>
                  </w:tcBorders>
                  <w:noWrap w:val="0"/>
                  <w:vAlign w:val="center"/>
                </w:tcPr>
                <w:p w14:paraId="0EAF91C4">
                  <w:pPr>
                    <w:pStyle w:val="77"/>
                    <w:keepNext w:val="0"/>
                    <w:keepLines w:val="0"/>
                    <w:widowControl w:val="0"/>
                    <w:suppressLineNumbers w:val="0"/>
                    <w:autoSpaceDE w:val="0"/>
                    <w:autoSpaceDN/>
                    <w:adjustRightInd w:val="0"/>
                    <w:snapToGrid w:val="0"/>
                    <w:spacing w:before="0" w:beforeAutospacing="1" w:afterAutospacing="0"/>
                    <w:ind w:left="0" w:leftChars="0" w:right="0" w:righ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21"/>
                      <w:szCs w:val="21"/>
                    </w:rPr>
                    <w:t>0.001</w:t>
                  </w:r>
                </w:p>
              </w:tc>
              <w:tc>
                <w:tcPr>
                  <w:tcW w:w="790" w:type="pct"/>
                  <w:tcBorders>
                    <w:tl2br w:val="nil"/>
                    <w:tr2bl w:val="nil"/>
                  </w:tcBorders>
                  <w:noWrap w:val="0"/>
                  <w:vAlign w:val="center"/>
                </w:tcPr>
                <w:p w14:paraId="7E2D9D61">
                  <w:pPr>
                    <w:pStyle w:val="77"/>
                    <w:keepNext w:val="0"/>
                    <w:keepLines w:val="0"/>
                    <w:widowControl w:val="0"/>
                    <w:suppressLineNumbers w:val="0"/>
                    <w:autoSpaceDE w:val="0"/>
                    <w:autoSpaceDN/>
                    <w:adjustRightInd w:val="0"/>
                    <w:snapToGrid w:val="0"/>
                    <w:spacing w:before="0" w:beforeAutospacing="1" w:afterAutospacing="0"/>
                    <w:ind w:left="0" w:leftChars="0" w:right="0" w:righ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21"/>
                      <w:szCs w:val="21"/>
                    </w:rPr>
                    <w:t>0.001</w:t>
                  </w:r>
                </w:p>
              </w:tc>
              <w:tc>
                <w:tcPr>
                  <w:tcW w:w="347" w:type="pct"/>
                  <w:vMerge w:val="restart"/>
                  <w:tcBorders>
                    <w:tl2br w:val="nil"/>
                    <w:tr2bl w:val="nil"/>
                  </w:tcBorders>
                  <w:noWrap w:val="0"/>
                  <w:vAlign w:val="center"/>
                </w:tcPr>
                <w:p w14:paraId="554D4CC1">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μg/m³</w:t>
                  </w:r>
                </w:p>
              </w:tc>
              <w:tc>
                <w:tcPr>
                  <w:tcW w:w="1094" w:type="pct"/>
                  <w:vMerge w:val="continue"/>
                  <w:tcBorders>
                    <w:tl2br w:val="nil"/>
                    <w:tr2bl w:val="nil"/>
                  </w:tcBorders>
                  <w:noWrap w:val="0"/>
                  <w:vAlign w:val="center"/>
                </w:tcPr>
                <w:p w14:paraId="5B9BD45E">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11DC9E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vMerge w:val="continue"/>
                  <w:tcBorders>
                    <w:tl2br w:val="nil"/>
                    <w:tr2bl w:val="nil"/>
                  </w:tcBorders>
                  <w:noWrap w:val="0"/>
                  <w:vAlign w:val="center"/>
                </w:tcPr>
                <w:p w14:paraId="34575C1B">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auto"/>
                      <w:sz w:val="18"/>
                      <w:szCs w:val="18"/>
                    </w:rPr>
                  </w:pPr>
                </w:p>
              </w:tc>
              <w:tc>
                <w:tcPr>
                  <w:tcW w:w="911" w:type="pct"/>
                  <w:tcBorders>
                    <w:tl2br w:val="nil"/>
                    <w:tr2bl w:val="nil"/>
                  </w:tcBorders>
                  <w:noWrap w:val="0"/>
                  <w:vAlign w:val="center"/>
                </w:tcPr>
                <w:p w14:paraId="67896513">
                  <w:pPr>
                    <w:pStyle w:val="77"/>
                    <w:keepNext w:val="0"/>
                    <w:keepLines w:val="0"/>
                    <w:widowControl w:val="0"/>
                    <w:suppressLineNumbers w:val="0"/>
                    <w:autoSpaceDE w:val="0"/>
                    <w:autoSpaceDN/>
                    <w:adjustRightInd w:val="0"/>
                    <w:snapToGrid w:val="0"/>
                    <w:spacing w:before="0" w:beforeAutospacing="1" w:afterAutospacing="0"/>
                    <w:ind w:left="0" w:leftChars="0" w:right="0" w:rightChars="0" w:firstLine="0" w:firstLineChars="0"/>
                    <w:rPr>
                      <w:rFonts w:hint="default" w:ascii="Times New Roman" w:hAnsi="Times New Roman" w:eastAsia="宋体" w:cs="Times New Roman"/>
                      <w:color w:val="auto"/>
                      <w:sz w:val="18"/>
                      <w:szCs w:val="18"/>
                      <w:lang w:val="en-US" w:eastAsia="zh-CN"/>
                    </w:rPr>
                  </w:pPr>
                  <w:r>
                    <w:rPr>
                      <w:rFonts w:hint="eastAsia" w:ascii="宋体" w:hAnsi="宋体" w:eastAsia="宋体" w:cs="宋体"/>
                      <w:color w:val="auto"/>
                      <w:kern w:val="2"/>
                      <w:sz w:val="21"/>
                      <w:szCs w:val="21"/>
                    </w:rPr>
                    <w:t>日平均</w:t>
                  </w:r>
                </w:p>
              </w:tc>
              <w:tc>
                <w:tcPr>
                  <w:tcW w:w="964" w:type="pct"/>
                  <w:tcBorders>
                    <w:tl2br w:val="nil"/>
                    <w:tr2bl w:val="nil"/>
                  </w:tcBorders>
                  <w:noWrap w:val="0"/>
                  <w:vAlign w:val="center"/>
                </w:tcPr>
                <w:p w14:paraId="02B1B6D2">
                  <w:pPr>
                    <w:pStyle w:val="77"/>
                    <w:keepNext w:val="0"/>
                    <w:keepLines w:val="0"/>
                    <w:widowControl w:val="0"/>
                    <w:suppressLineNumbers w:val="0"/>
                    <w:autoSpaceDE w:val="0"/>
                    <w:autoSpaceDN/>
                    <w:adjustRightInd w:val="0"/>
                    <w:snapToGrid w:val="0"/>
                    <w:spacing w:before="0" w:beforeAutospacing="1" w:afterAutospacing="0"/>
                    <w:ind w:left="0" w:leftChars="0" w:right="0" w:righ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21"/>
                      <w:szCs w:val="21"/>
                    </w:rPr>
                    <w:t>0.0025</w:t>
                  </w:r>
                </w:p>
              </w:tc>
              <w:tc>
                <w:tcPr>
                  <w:tcW w:w="790" w:type="pct"/>
                  <w:tcBorders>
                    <w:tl2br w:val="nil"/>
                    <w:tr2bl w:val="nil"/>
                  </w:tcBorders>
                  <w:noWrap w:val="0"/>
                  <w:vAlign w:val="center"/>
                </w:tcPr>
                <w:p w14:paraId="20A30F11">
                  <w:pPr>
                    <w:pStyle w:val="77"/>
                    <w:keepNext w:val="0"/>
                    <w:keepLines w:val="0"/>
                    <w:widowControl w:val="0"/>
                    <w:suppressLineNumbers w:val="0"/>
                    <w:autoSpaceDE w:val="0"/>
                    <w:autoSpaceDN/>
                    <w:adjustRightInd w:val="0"/>
                    <w:snapToGrid w:val="0"/>
                    <w:spacing w:before="0" w:beforeAutospacing="1" w:afterAutospacing="0"/>
                    <w:ind w:left="0" w:leftChars="0" w:right="0" w:rightChars="0" w:firstLine="0" w:firstLineChars="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21"/>
                      <w:szCs w:val="21"/>
                    </w:rPr>
                    <w:t>0.0025</w:t>
                  </w:r>
                </w:p>
              </w:tc>
              <w:tc>
                <w:tcPr>
                  <w:tcW w:w="347" w:type="pct"/>
                  <w:vMerge w:val="continue"/>
                  <w:tcBorders>
                    <w:tl2br w:val="nil"/>
                    <w:tr2bl w:val="nil"/>
                  </w:tcBorders>
                  <w:noWrap w:val="0"/>
                  <w:vAlign w:val="center"/>
                </w:tcPr>
                <w:p w14:paraId="6599647F">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c>
                <w:tcPr>
                  <w:tcW w:w="1094" w:type="pct"/>
                  <w:vMerge w:val="continue"/>
                  <w:tcBorders>
                    <w:tl2br w:val="nil"/>
                    <w:tr2bl w:val="nil"/>
                  </w:tcBorders>
                  <w:noWrap w:val="0"/>
                  <w:vAlign w:val="center"/>
                </w:tcPr>
                <w:p w14:paraId="1846FDB4">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p>
              </w:tc>
            </w:tr>
            <w:tr w14:paraId="4EA25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892" w:type="pct"/>
                  <w:tcBorders>
                    <w:tl2br w:val="nil"/>
                    <w:tr2bl w:val="nil"/>
                  </w:tcBorders>
                  <w:noWrap w:val="0"/>
                  <w:vAlign w:val="center"/>
                </w:tcPr>
                <w:p w14:paraId="6BD107E2">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911" w:type="pct"/>
                  <w:tcBorders>
                    <w:tl2br w:val="nil"/>
                    <w:tr2bl w:val="nil"/>
                  </w:tcBorders>
                  <w:noWrap w:val="0"/>
                  <w:vAlign w:val="center"/>
                </w:tcPr>
                <w:p w14:paraId="196ED7F2">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一次值</w:t>
                  </w:r>
                </w:p>
              </w:tc>
              <w:tc>
                <w:tcPr>
                  <w:tcW w:w="1754" w:type="pct"/>
                  <w:gridSpan w:val="2"/>
                  <w:tcBorders>
                    <w:tl2br w:val="nil"/>
                    <w:tr2bl w:val="nil"/>
                  </w:tcBorders>
                  <w:noWrap w:val="0"/>
                  <w:vAlign w:val="center"/>
                </w:tcPr>
                <w:p w14:paraId="12BD8B03">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2000</w:t>
                  </w:r>
                </w:p>
              </w:tc>
              <w:tc>
                <w:tcPr>
                  <w:tcW w:w="347" w:type="pct"/>
                  <w:tcBorders>
                    <w:tl2br w:val="nil"/>
                    <w:tr2bl w:val="nil"/>
                  </w:tcBorders>
                  <w:noWrap w:val="0"/>
                  <w:vAlign w:val="center"/>
                </w:tcPr>
                <w:p w14:paraId="7D533740">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μg/m³</w:t>
                  </w:r>
                </w:p>
              </w:tc>
              <w:tc>
                <w:tcPr>
                  <w:tcW w:w="1094" w:type="pct"/>
                  <w:tcBorders>
                    <w:tl2br w:val="nil"/>
                    <w:tr2bl w:val="nil"/>
                  </w:tcBorders>
                  <w:noWrap w:val="0"/>
                  <w:vAlign w:val="center"/>
                </w:tcPr>
                <w:p w14:paraId="37560E3D">
                  <w:pPr>
                    <w:pStyle w:val="7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参照执行《大气污染物综合排放标准详解》</w:t>
                  </w:r>
                </w:p>
              </w:tc>
            </w:tr>
          </w:tbl>
          <w:p w14:paraId="371803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注：[1]自2026年3月1日起至2030年12月31日止，执行过渡阶段二级浓度限值；</w:t>
            </w:r>
          </w:p>
          <w:p w14:paraId="4F9DB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 xml:space="preserve">    [2]自2031年1月1日起，执行二级浓度限值。</w:t>
            </w:r>
          </w:p>
          <w:p w14:paraId="0DFB4E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b/>
                <w:color w:val="auto"/>
                <w:kern w:val="0"/>
                <w:sz w:val="15"/>
                <w:szCs w:val="15"/>
              </w:rPr>
            </w:pPr>
          </w:p>
          <w:p w14:paraId="11B576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（2）水环境质量标准</w:t>
            </w:r>
          </w:p>
          <w:p w14:paraId="7A708B40">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auto"/>
                <w:kern w:val="0"/>
                <w:szCs w:val="21"/>
                <w:lang w:val="en-US" w:eastAsia="zh-CN"/>
              </w:rPr>
            </w:pPr>
            <w:r>
              <w:rPr>
                <w:rFonts w:hint="eastAsia"/>
                <w:color w:val="auto"/>
                <w:kern w:val="0"/>
                <w:szCs w:val="21"/>
              </w:rPr>
              <w:t>本项目纳污水体芦埠港河执行《地表水环境质量标准》（GB3838-2002）Ⅲ类水标准，长江江阴段执行《地表水环境质量标准》（GB3838-2002）</w:t>
            </w:r>
            <w:r>
              <w:rPr>
                <w:rFonts w:hint="default" w:ascii="Times New Roman" w:hAnsi="Times New Roman" w:cs="Times New Roman"/>
                <w:color w:val="auto"/>
                <w:kern w:val="0"/>
                <w:szCs w:val="21"/>
              </w:rPr>
              <w:t>Ⅱ</w:t>
            </w:r>
            <w:r>
              <w:rPr>
                <w:rFonts w:hint="eastAsia"/>
                <w:color w:val="auto"/>
                <w:kern w:val="0"/>
                <w:szCs w:val="21"/>
              </w:rPr>
              <w:t>类标准</w:t>
            </w:r>
            <w:r>
              <w:rPr>
                <w:rFonts w:hint="eastAsia"/>
                <w:color w:val="auto"/>
                <w:kern w:val="0"/>
                <w:szCs w:val="21"/>
                <w:lang w:eastAsia="zh-CN"/>
              </w:rPr>
              <w:t>，</w:t>
            </w:r>
            <w:r>
              <w:rPr>
                <w:rFonts w:hint="eastAsia"/>
                <w:color w:val="auto"/>
                <w:kern w:val="0"/>
                <w:szCs w:val="21"/>
              </w:rPr>
              <w:t>具体见表</w:t>
            </w:r>
            <w:r>
              <w:rPr>
                <w:rFonts w:hint="eastAsia"/>
                <w:color w:val="auto"/>
                <w:kern w:val="0"/>
                <w:szCs w:val="21"/>
                <w:lang w:val="en-US" w:eastAsia="zh-CN"/>
              </w:rPr>
              <w:t>3</w:t>
            </w:r>
            <w:r>
              <w:rPr>
                <w:rFonts w:hint="eastAsia"/>
                <w:color w:val="auto"/>
                <w:kern w:val="0"/>
                <w:szCs w:val="21"/>
              </w:rPr>
              <w:t>-</w:t>
            </w:r>
            <w:r>
              <w:rPr>
                <w:rFonts w:hint="eastAsia"/>
                <w:color w:val="auto"/>
                <w:kern w:val="0"/>
                <w:szCs w:val="21"/>
                <w:highlight w:val="none"/>
                <w:lang w:val="en-US" w:eastAsia="zh-CN"/>
              </w:rPr>
              <w:t>41</w:t>
            </w:r>
            <w:r>
              <w:rPr>
                <w:rFonts w:hint="eastAsia"/>
                <w:color w:val="auto"/>
                <w:kern w:val="0"/>
                <w:szCs w:val="21"/>
                <w:lang w:val="en-US" w:eastAsia="zh-CN"/>
              </w:rPr>
              <w:t>。</w:t>
            </w:r>
          </w:p>
          <w:p w14:paraId="022ED548">
            <w:pPr>
              <w:keepNext w:val="0"/>
              <w:keepLines w:val="0"/>
              <w:suppressLineNumbers w:val="0"/>
              <w:autoSpaceDE w:val="0"/>
              <w:autoSpaceDN w:val="0"/>
              <w:adjustRightInd w:val="0"/>
              <w:snapToGrid w:val="0"/>
              <w:spacing w:before="0" w:beforeAutospacing="0" w:after="0" w:afterAutospacing="0"/>
              <w:ind w:left="0" w:right="0"/>
              <w:jc w:val="center"/>
              <w:rPr>
                <w:rFonts w:hint="default"/>
                <w:b/>
                <w:color w:val="auto"/>
                <w:kern w:val="0"/>
                <w:szCs w:val="21"/>
              </w:rPr>
            </w:pPr>
            <w:r>
              <w:rPr>
                <w:rFonts w:hint="default"/>
                <w:b/>
                <w:color w:val="auto"/>
                <w:kern w:val="0"/>
                <w:szCs w:val="21"/>
              </w:rPr>
              <w:t>表</w:t>
            </w:r>
            <w:r>
              <w:rPr>
                <w:rFonts w:hint="eastAsia"/>
                <w:b/>
                <w:color w:val="auto"/>
                <w:kern w:val="0"/>
                <w:szCs w:val="21"/>
              </w:rPr>
              <w:t>3</w:t>
            </w:r>
            <w:r>
              <w:rPr>
                <w:rFonts w:hint="default"/>
                <w:b/>
                <w:color w:val="auto"/>
                <w:kern w:val="0"/>
                <w:szCs w:val="21"/>
              </w:rPr>
              <w:t>-</w:t>
            </w:r>
            <w:r>
              <w:rPr>
                <w:rFonts w:hint="eastAsia"/>
                <w:b/>
                <w:color w:val="auto"/>
                <w:kern w:val="0"/>
                <w:szCs w:val="21"/>
                <w:highlight w:val="none"/>
                <w:lang w:val="en-US" w:eastAsia="zh-CN"/>
              </w:rPr>
              <w:t>41</w:t>
            </w:r>
            <w:r>
              <w:rPr>
                <w:rFonts w:hint="eastAsia"/>
                <w:b/>
                <w:color w:val="auto"/>
                <w:kern w:val="0"/>
                <w:szCs w:val="21"/>
              </w:rPr>
              <w:t xml:space="preserve"> </w:t>
            </w:r>
            <w:r>
              <w:rPr>
                <w:rFonts w:hint="default"/>
                <w:b/>
                <w:color w:val="auto"/>
                <w:kern w:val="0"/>
                <w:szCs w:val="21"/>
              </w:rPr>
              <w:t xml:space="preserve"> </w:t>
            </w:r>
            <w:r>
              <w:rPr>
                <w:rFonts w:hint="eastAsia"/>
                <w:b/>
                <w:color w:val="auto"/>
                <w:kern w:val="0"/>
                <w:szCs w:val="21"/>
                <w:lang w:val="en-US" w:eastAsia="zh-CN"/>
              </w:rPr>
              <w:t>地表水</w:t>
            </w:r>
            <w:r>
              <w:rPr>
                <w:rFonts w:hint="default"/>
                <w:b/>
                <w:color w:val="auto"/>
                <w:kern w:val="0"/>
                <w:szCs w:val="21"/>
              </w:rPr>
              <w:t>环境质量标准</w:t>
            </w:r>
            <w:r>
              <w:rPr>
                <w:rFonts w:hint="eastAsia"/>
                <w:b/>
                <w:color w:val="auto"/>
                <w:kern w:val="0"/>
                <w:szCs w:val="21"/>
              </w:rPr>
              <w:t xml:space="preserve"> </w:t>
            </w:r>
            <w:r>
              <w:rPr>
                <w:rFonts w:hint="default"/>
                <w:b/>
                <w:color w:val="auto"/>
                <w:kern w:val="0"/>
                <w:szCs w:val="21"/>
              </w:rPr>
              <w:t xml:space="preserve"> </w:t>
            </w:r>
            <w:r>
              <w:rPr>
                <w:rFonts w:hint="eastAsia"/>
                <w:b/>
                <w:color w:val="auto"/>
                <w:kern w:val="0"/>
                <w:szCs w:val="21"/>
              </w:rPr>
              <w:t>单位：mg/L（pH无量纲）</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028"/>
              <w:gridCol w:w="1028"/>
              <w:gridCol w:w="1028"/>
              <w:gridCol w:w="1028"/>
              <w:gridCol w:w="1034"/>
              <w:gridCol w:w="2363"/>
            </w:tblGrid>
            <w:tr w14:paraId="728BEC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noWrap w:val="0"/>
                  <w:vAlign w:val="center"/>
                </w:tcPr>
                <w:p w14:paraId="4E91B8C7">
                  <w:pPr>
                    <w:pStyle w:val="66"/>
                    <w:keepNext w:val="0"/>
                    <w:keepLines w:val="0"/>
                    <w:suppressLineNumbers w:val="0"/>
                    <w:spacing w:before="0" w:beforeAutospacing="0" w:after="0" w:afterAutospacing="0"/>
                    <w:ind w:left="0" w:right="0"/>
                    <w:rPr>
                      <w:rFonts w:hint="default"/>
                      <w:b/>
                      <w:color w:val="auto"/>
                      <w:sz w:val="18"/>
                      <w:szCs w:val="18"/>
                    </w:rPr>
                  </w:pPr>
                  <w:r>
                    <w:rPr>
                      <w:rFonts w:hint="default"/>
                      <w:b/>
                      <w:color w:val="auto"/>
                      <w:sz w:val="18"/>
                      <w:szCs w:val="18"/>
                    </w:rPr>
                    <w:t>项目</w:t>
                  </w:r>
                </w:p>
              </w:tc>
              <w:tc>
                <w:tcPr>
                  <w:tcW w:w="596" w:type="pct"/>
                  <w:noWrap w:val="0"/>
                  <w:vAlign w:val="center"/>
                </w:tcPr>
                <w:p w14:paraId="4A5B54F3">
                  <w:pPr>
                    <w:pStyle w:val="66"/>
                    <w:keepNext w:val="0"/>
                    <w:keepLines w:val="0"/>
                    <w:suppressLineNumbers w:val="0"/>
                    <w:spacing w:before="0" w:beforeAutospacing="0" w:after="0" w:afterAutospacing="0"/>
                    <w:ind w:left="0" w:right="0"/>
                    <w:rPr>
                      <w:rFonts w:hint="default"/>
                      <w:b/>
                      <w:color w:val="auto"/>
                      <w:sz w:val="18"/>
                      <w:szCs w:val="18"/>
                    </w:rPr>
                  </w:pPr>
                  <w:r>
                    <w:rPr>
                      <w:rFonts w:hint="default"/>
                      <w:b/>
                      <w:color w:val="auto"/>
                      <w:sz w:val="18"/>
                      <w:szCs w:val="18"/>
                    </w:rPr>
                    <w:t>pH</w:t>
                  </w:r>
                </w:p>
              </w:tc>
              <w:tc>
                <w:tcPr>
                  <w:tcW w:w="596" w:type="pct"/>
                  <w:noWrap w:val="0"/>
                  <w:vAlign w:val="center"/>
                </w:tcPr>
                <w:p w14:paraId="1EE3BE71">
                  <w:pPr>
                    <w:pStyle w:val="66"/>
                    <w:keepNext w:val="0"/>
                    <w:keepLines w:val="0"/>
                    <w:suppressLineNumbers w:val="0"/>
                    <w:spacing w:before="0" w:beforeAutospacing="0" w:after="0" w:afterAutospacing="0"/>
                    <w:ind w:left="0" w:right="0"/>
                    <w:rPr>
                      <w:rFonts w:hint="default"/>
                      <w:b/>
                      <w:color w:val="auto"/>
                      <w:sz w:val="18"/>
                      <w:szCs w:val="18"/>
                    </w:rPr>
                  </w:pPr>
                  <w:r>
                    <w:rPr>
                      <w:rFonts w:hint="default"/>
                      <w:b/>
                      <w:color w:val="auto"/>
                      <w:sz w:val="18"/>
                      <w:szCs w:val="18"/>
                    </w:rPr>
                    <w:t>COD</w:t>
                  </w:r>
                </w:p>
              </w:tc>
              <w:tc>
                <w:tcPr>
                  <w:tcW w:w="596" w:type="pct"/>
                  <w:noWrap w:val="0"/>
                  <w:vAlign w:val="center"/>
                </w:tcPr>
                <w:p w14:paraId="3758CE18">
                  <w:pPr>
                    <w:pStyle w:val="66"/>
                    <w:keepNext w:val="0"/>
                    <w:keepLines w:val="0"/>
                    <w:suppressLineNumbers w:val="0"/>
                    <w:spacing w:before="0" w:beforeAutospacing="0" w:after="0" w:afterAutospacing="0"/>
                    <w:ind w:left="0" w:right="0"/>
                    <w:rPr>
                      <w:rFonts w:hint="default"/>
                      <w:b/>
                      <w:color w:val="auto"/>
                      <w:sz w:val="18"/>
                      <w:szCs w:val="18"/>
                    </w:rPr>
                  </w:pPr>
                  <w:r>
                    <w:rPr>
                      <w:rFonts w:hint="default"/>
                      <w:b/>
                      <w:color w:val="auto"/>
                      <w:sz w:val="18"/>
                      <w:szCs w:val="18"/>
                    </w:rPr>
                    <w:t>氨氮</w:t>
                  </w:r>
                </w:p>
              </w:tc>
              <w:tc>
                <w:tcPr>
                  <w:tcW w:w="596" w:type="pct"/>
                  <w:noWrap w:val="0"/>
                  <w:vAlign w:val="center"/>
                </w:tcPr>
                <w:p w14:paraId="0A677240">
                  <w:pPr>
                    <w:pStyle w:val="66"/>
                    <w:keepNext w:val="0"/>
                    <w:keepLines w:val="0"/>
                    <w:suppressLineNumbers w:val="0"/>
                    <w:spacing w:before="0" w:beforeAutospacing="0" w:after="0" w:afterAutospacing="0"/>
                    <w:ind w:left="0" w:right="0"/>
                    <w:rPr>
                      <w:rFonts w:hint="default"/>
                      <w:b/>
                      <w:color w:val="auto"/>
                      <w:sz w:val="18"/>
                      <w:szCs w:val="18"/>
                    </w:rPr>
                  </w:pPr>
                  <w:r>
                    <w:rPr>
                      <w:rFonts w:hint="default"/>
                      <w:b/>
                      <w:color w:val="auto"/>
                      <w:sz w:val="18"/>
                      <w:szCs w:val="18"/>
                    </w:rPr>
                    <w:t>总磷</w:t>
                  </w:r>
                </w:p>
              </w:tc>
              <w:tc>
                <w:tcPr>
                  <w:tcW w:w="599" w:type="pct"/>
                  <w:noWrap w:val="0"/>
                  <w:vAlign w:val="center"/>
                </w:tcPr>
                <w:p w14:paraId="1B001940">
                  <w:pPr>
                    <w:pStyle w:val="66"/>
                    <w:keepNext w:val="0"/>
                    <w:keepLines w:val="0"/>
                    <w:suppressLineNumbers w:val="0"/>
                    <w:spacing w:before="0" w:beforeAutospacing="0" w:after="0" w:afterAutospacing="0"/>
                    <w:ind w:left="0" w:right="0"/>
                    <w:rPr>
                      <w:rFonts w:hint="default"/>
                      <w:b/>
                      <w:color w:val="auto"/>
                      <w:sz w:val="18"/>
                      <w:szCs w:val="18"/>
                    </w:rPr>
                  </w:pPr>
                  <w:r>
                    <w:rPr>
                      <w:rFonts w:hint="default"/>
                      <w:b/>
                      <w:color w:val="auto"/>
                      <w:sz w:val="18"/>
                      <w:szCs w:val="18"/>
                    </w:rPr>
                    <w:t>石油类</w:t>
                  </w:r>
                </w:p>
              </w:tc>
              <w:tc>
                <w:tcPr>
                  <w:tcW w:w="1369" w:type="pct"/>
                  <w:noWrap w:val="0"/>
                  <w:vAlign w:val="center"/>
                </w:tcPr>
                <w:p w14:paraId="415441FE">
                  <w:pPr>
                    <w:pStyle w:val="66"/>
                    <w:keepNext w:val="0"/>
                    <w:keepLines w:val="0"/>
                    <w:suppressLineNumbers w:val="0"/>
                    <w:spacing w:before="0" w:beforeAutospacing="0" w:after="0" w:afterAutospacing="0"/>
                    <w:ind w:left="0" w:right="0"/>
                    <w:rPr>
                      <w:rFonts w:hint="default"/>
                      <w:b/>
                      <w:color w:val="auto"/>
                      <w:sz w:val="18"/>
                      <w:szCs w:val="18"/>
                    </w:rPr>
                  </w:pPr>
                  <w:r>
                    <w:rPr>
                      <w:rFonts w:hint="eastAsia"/>
                      <w:b/>
                      <w:color w:val="auto"/>
                      <w:sz w:val="18"/>
                      <w:szCs w:val="18"/>
                      <w:lang w:val="en-US" w:eastAsia="zh-CN"/>
                    </w:rPr>
                    <w:t>标准来源</w:t>
                  </w:r>
                </w:p>
              </w:tc>
            </w:tr>
            <w:tr w14:paraId="1BDE5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3" w:type="pct"/>
                  <w:noWrap w:val="0"/>
                  <w:vAlign w:val="center"/>
                </w:tcPr>
                <w:p w14:paraId="22C37F32">
                  <w:pPr>
                    <w:pStyle w:val="66"/>
                    <w:keepNext w:val="0"/>
                    <w:keepLines w:val="0"/>
                    <w:suppressLineNumbers w:val="0"/>
                    <w:spacing w:before="0" w:beforeAutospacing="0" w:after="0" w:afterAutospacing="0"/>
                    <w:ind w:left="0" w:right="0"/>
                    <w:rPr>
                      <w:rFonts w:hint="default"/>
                      <w:color w:val="auto"/>
                      <w:sz w:val="18"/>
                      <w:szCs w:val="18"/>
                    </w:rPr>
                  </w:pPr>
                  <w:r>
                    <w:rPr>
                      <w:rFonts w:hint="default" w:ascii="Times New Roman" w:hAnsi="Times New Roman" w:cs="Times New Roman"/>
                      <w:color w:val="auto"/>
                      <w:sz w:val="18"/>
                      <w:szCs w:val="18"/>
                    </w:rPr>
                    <w:t>Ⅱ</w:t>
                  </w:r>
                  <w:r>
                    <w:rPr>
                      <w:rFonts w:hint="eastAsia"/>
                      <w:color w:val="auto"/>
                      <w:sz w:val="18"/>
                      <w:szCs w:val="18"/>
                      <w:lang w:val="en-US" w:eastAsia="zh-CN"/>
                    </w:rPr>
                    <w:t>类</w:t>
                  </w:r>
                  <w:r>
                    <w:rPr>
                      <w:rFonts w:hint="default"/>
                      <w:color w:val="auto"/>
                      <w:sz w:val="18"/>
                      <w:szCs w:val="18"/>
                    </w:rPr>
                    <w:t>标准</w:t>
                  </w:r>
                </w:p>
              </w:tc>
              <w:tc>
                <w:tcPr>
                  <w:tcW w:w="596" w:type="pct"/>
                  <w:noWrap w:val="0"/>
                  <w:vAlign w:val="center"/>
                </w:tcPr>
                <w:p w14:paraId="48CD7972">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color w:val="auto"/>
                      <w:sz w:val="18"/>
                      <w:szCs w:val="18"/>
                    </w:rPr>
                    <w:t>6-9</w:t>
                  </w:r>
                </w:p>
              </w:tc>
              <w:tc>
                <w:tcPr>
                  <w:tcW w:w="596" w:type="pct"/>
                  <w:noWrap w:val="0"/>
                  <w:vAlign w:val="center"/>
                </w:tcPr>
                <w:p w14:paraId="30042607">
                  <w:pPr>
                    <w:pStyle w:val="66"/>
                    <w:keepNext w:val="0"/>
                    <w:keepLines w:val="0"/>
                    <w:suppressLineNumbers w:val="0"/>
                    <w:spacing w:before="0" w:beforeAutospacing="0" w:after="0" w:afterAutospacing="0"/>
                    <w:ind w:left="0" w:right="0"/>
                    <w:rPr>
                      <w:rFonts w:hint="default" w:eastAsia="等线"/>
                      <w:color w:val="auto"/>
                      <w:kern w:val="2"/>
                      <w:sz w:val="18"/>
                      <w:szCs w:val="18"/>
                      <w:lang w:val="en-US" w:eastAsia="zh-CN" w:bidi="ar-SA"/>
                    </w:rPr>
                  </w:pPr>
                  <w:r>
                    <w:rPr>
                      <w:rFonts w:hint="default" w:eastAsia="等线"/>
                      <w:color w:val="auto"/>
                      <w:sz w:val="18"/>
                      <w:szCs w:val="18"/>
                    </w:rPr>
                    <w:t>≤</w:t>
                  </w:r>
                  <w:r>
                    <w:rPr>
                      <w:rFonts w:hint="eastAsia" w:eastAsia="等线"/>
                      <w:color w:val="auto"/>
                      <w:sz w:val="18"/>
                      <w:szCs w:val="18"/>
                      <w:lang w:val="en-US" w:eastAsia="zh-CN"/>
                    </w:rPr>
                    <w:t>15</w:t>
                  </w:r>
                </w:p>
              </w:tc>
              <w:tc>
                <w:tcPr>
                  <w:tcW w:w="596" w:type="pct"/>
                  <w:noWrap w:val="0"/>
                  <w:vAlign w:val="center"/>
                </w:tcPr>
                <w:p w14:paraId="4B52DF7A">
                  <w:pPr>
                    <w:pStyle w:val="66"/>
                    <w:keepNext w:val="0"/>
                    <w:keepLines w:val="0"/>
                    <w:suppressLineNumbers w:val="0"/>
                    <w:spacing w:before="0" w:beforeAutospacing="0" w:after="0" w:afterAutospacing="0"/>
                    <w:ind w:left="0" w:right="0"/>
                    <w:rPr>
                      <w:rFonts w:hint="default" w:eastAsia="等线"/>
                      <w:color w:val="auto"/>
                      <w:kern w:val="2"/>
                      <w:sz w:val="18"/>
                      <w:szCs w:val="18"/>
                      <w:lang w:val="en-US" w:eastAsia="zh-CN" w:bidi="ar-SA"/>
                    </w:rPr>
                  </w:pPr>
                  <w:r>
                    <w:rPr>
                      <w:rFonts w:hint="default" w:eastAsia="等线"/>
                      <w:color w:val="auto"/>
                      <w:sz w:val="18"/>
                      <w:szCs w:val="18"/>
                    </w:rPr>
                    <w:t>≤</w:t>
                  </w:r>
                  <w:r>
                    <w:rPr>
                      <w:rFonts w:hint="eastAsia" w:eastAsia="等线"/>
                      <w:color w:val="auto"/>
                      <w:sz w:val="18"/>
                      <w:szCs w:val="18"/>
                      <w:lang w:val="en-US" w:eastAsia="zh-CN"/>
                    </w:rPr>
                    <w:t>0.5</w:t>
                  </w:r>
                </w:p>
              </w:tc>
              <w:tc>
                <w:tcPr>
                  <w:tcW w:w="596" w:type="pct"/>
                  <w:noWrap w:val="0"/>
                  <w:vAlign w:val="center"/>
                </w:tcPr>
                <w:p w14:paraId="46B493F1">
                  <w:pPr>
                    <w:pStyle w:val="66"/>
                    <w:keepNext w:val="0"/>
                    <w:keepLines w:val="0"/>
                    <w:suppressLineNumbers w:val="0"/>
                    <w:spacing w:before="0" w:beforeAutospacing="0" w:after="0" w:afterAutospacing="0"/>
                    <w:ind w:left="0" w:right="0"/>
                    <w:rPr>
                      <w:rFonts w:hint="eastAsia" w:eastAsia="宋体"/>
                      <w:color w:val="auto"/>
                      <w:kern w:val="2"/>
                      <w:sz w:val="18"/>
                      <w:szCs w:val="18"/>
                      <w:lang w:val="en-US" w:eastAsia="zh-CN" w:bidi="ar-SA"/>
                    </w:rPr>
                  </w:pPr>
                  <w:r>
                    <w:rPr>
                      <w:rFonts w:hint="default" w:eastAsia="等线"/>
                      <w:color w:val="auto"/>
                      <w:sz w:val="18"/>
                      <w:szCs w:val="18"/>
                    </w:rPr>
                    <w:t>≤</w:t>
                  </w:r>
                  <w:r>
                    <w:rPr>
                      <w:rFonts w:hint="default"/>
                      <w:color w:val="auto"/>
                      <w:sz w:val="18"/>
                      <w:szCs w:val="18"/>
                    </w:rPr>
                    <w:t>0.</w:t>
                  </w:r>
                  <w:r>
                    <w:rPr>
                      <w:rFonts w:hint="eastAsia"/>
                      <w:color w:val="auto"/>
                      <w:sz w:val="18"/>
                      <w:szCs w:val="18"/>
                      <w:lang w:val="en-US" w:eastAsia="zh-CN"/>
                    </w:rPr>
                    <w:t>1</w:t>
                  </w:r>
                </w:p>
              </w:tc>
              <w:tc>
                <w:tcPr>
                  <w:tcW w:w="599" w:type="pct"/>
                  <w:noWrap w:val="0"/>
                  <w:vAlign w:val="center"/>
                </w:tcPr>
                <w:p w14:paraId="7AB74475">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eastAsia="等线"/>
                      <w:color w:val="auto"/>
                      <w:sz w:val="18"/>
                      <w:szCs w:val="18"/>
                    </w:rPr>
                    <w:t>≤</w:t>
                  </w:r>
                  <w:r>
                    <w:rPr>
                      <w:rFonts w:hint="default"/>
                      <w:color w:val="auto"/>
                      <w:sz w:val="18"/>
                      <w:szCs w:val="18"/>
                    </w:rPr>
                    <w:t>0.05</w:t>
                  </w:r>
                </w:p>
              </w:tc>
              <w:tc>
                <w:tcPr>
                  <w:tcW w:w="1369" w:type="pct"/>
                  <w:vMerge w:val="restart"/>
                  <w:noWrap w:val="0"/>
                  <w:vAlign w:val="center"/>
                </w:tcPr>
                <w:p w14:paraId="58F916F2">
                  <w:pPr>
                    <w:pStyle w:val="66"/>
                    <w:keepNext w:val="0"/>
                    <w:keepLines w:val="0"/>
                    <w:suppressLineNumbers w:val="0"/>
                    <w:spacing w:before="0" w:beforeAutospacing="0" w:after="0" w:afterAutospacing="0"/>
                    <w:ind w:left="0" w:right="0"/>
                    <w:rPr>
                      <w:rFonts w:hint="default" w:eastAsia="等线"/>
                      <w:color w:val="auto"/>
                      <w:sz w:val="18"/>
                      <w:szCs w:val="18"/>
                    </w:rPr>
                  </w:pPr>
                  <w:r>
                    <w:rPr>
                      <w:rFonts w:hint="eastAsia" w:eastAsia="等线"/>
                      <w:color w:val="auto"/>
                      <w:sz w:val="18"/>
                      <w:szCs w:val="18"/>
                    </w:rPr>
                    <w:t>《地表水环境质量标准》（GB3838-2002）表1标准</w:t>
                  </w:r>
                </w:p>
              </w:tc>
            </w:tr>
            <w:tr w14:paraId="0191A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43" w:type="pct"/>
                  <w:noWrap w:val="0"/>
                  <w:vAlign w:val="center"/>
                </w:tcPr>
                <w:p w14:paraId="6A098970">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ascii="Times New Roman" w:hAnsi="Times New Roman" w:cs="Times New Roman"/>
                      <w:color w:val="auto"/>
                      <w:sz w:val="18"/>
                      <w:szCs w:val="18"/>
                    </w:rPr>
                    <w:t>Ⅲ</w:t>
                  </w:r>
                  <w:r>
                    <w:rPr>
                      <w:rFonts w:hint="eastAsia"/>
                      <w:color w:val="auto"/>
                      <w:sz w:val="18"/>
                      <w:szCs w:val="18"/>
                      <w:lang w:val="en-US" w:eastAsia="zh-CN"/>
                    </w:rPr>
                    <w:t>类</w:t>
                  </w:r>
                  <w:r>
                    <w:rPr>
                      <w:rFonts w:hint="default"/>
                      <w:color w:val="auto"/>
                      <w:sz w:val="18"/>
                      <w:szCs w:val="18"/>
                    </w:rPr>
                    <w:t>标准</w:t>
                  </w:r>
                </w:p>
              </w:tc>
              <w:tc>
                <w:tcPr>
                  <w:tcW w:w="596" w:type="pct"/>
                  <w:noWrap w:val="0"/>
                  <w:vAlign w:val="center"/>
                </w:tcPr>
                <w:p w14:paraId="2E63062A">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color w:val="auto"/>
                      <w:sz w:val="18"/>
                      <w:szCs w:val="18"/>
                    </w:rPr>
                    <w:t>6-9</w:t>
                  </w:r>
                </w:p>
              </w:tc>
              <w:tc>
                <w:tcPr>
                  <w:tcW w:w="596" w:type="pct"/>
                  <w:noWrap w:val="0"/>
                  <w:vAlign w:val="center"/>
                </w:tcPr>
                <w:p w14:paraId="5DE9344A">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eastAsia="等线"/>
                      <w:color w:val="auto"/>
                      <w:sz w:val="18"/>
                      <w:szCs w:val="18"/>
                    </w:rPr>
                    <w:t>≤20</w:t>
                  </w:r>
                </w:p>
              </w:tc>
              <w:tc>
                <w:tcPr>
                  <w:tcW w:w="596" w:type="pct"/>
                  <w:noWrap w:val="0"/>
                  <w:vAlign w:val="center"/>
                </w:tcPr>
                <w:p w14:paraId="4871C65B">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eastAsia="等线"/>
                      <w:color w:val="auto"/>
                      <w:sz w:val="18"/>
                      <w:szCs w:val="18"/>
                    </w:rPr>
                    <w:t>≤</w:t>
                  </w:r>
                  <w:r>
                    <w:rPr>
                      <w:rFonts w:hint="default"/>
                      <w:color w:val="auto"/>
                      <w:sz w:val="18"/>
                      <w:szCs w:val="18"/>
                    </w:rPr>
                    <w:t>1.0</w:t>
                  </w:r>
                </w:p>
              </w:tc>
              <w:tc>
                <w:tcPr>
                  <w:tcW w:w="596" w:type="pct"/>
                  <w:noWrap w:val="0"/>
                  <w:vAlign w:val="center"/>
                </w:tcPr>
                <w:p w14:paraId="6DB9A50E">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eastAsia="等线"/>
                      <w:color w:val="auto"/>
                      <w:sz w:val="18"/>
                      <w:szCs w:val="18"/>
                    </w:rPr>
                    <w:t>≤</w:t>
                  </w:r>
                  <w:r>
                    <w:rPr>
                      <w:rFonts w:hint="default"/>
                      <w:color w:val="auto"/>
                      <w:sz w:val="18"/>
                      <w:szCs w:val="18"/>
                    </w:rPr>
                    <w:t>0.2</w:t>
                  </w:r>
                </w:p>
              </w:tc>
              <w:tc>
                <w:tcPr>
                  <w:tcW w:w="599" w:type="pct"/>
                  <w:noWrap w:val="0"/>
                  <w:vAlign w:val="center"/>
                </w:tcPr>
                <w:p w14:paraId="5AC9F8DC">
                  <w:pPr>
                    <w:pStyle w:val="66"/>
                    <w:keepNext w:val="0"/>
                    <w:keepLines w:val="0"/>
                    <w:suppressLineNumbers w:val="0"/>
                    <w:spacing w:before="0" w:beforeAutospacing="0" w:after="0" w:afterAutospacing="0"/>
                    <w:ind w:left="0" w:right="0"/>
                    <w:rPr>
                      <w:rFonts w:hint="default"/>
                      <w:color w:val="auto"/>
                      <w:kern w:val="2"/>
                      <w:sz w:val="18"/>
                      <w:szCs w:val="18"/>
                      <w:lang w:val="en-US" w:eastAsia="zh-CN" w:bidi="ar-SA"/>
                    </w:rPr>
                  </w:pPr>
                  <w:r>
                    <w:rPr>
                      <w:rFonts w:hint="default" w:eastAsia="等线"/>
                      <w:color w:val="auto"/>
                      <w:sz w:val="18"/>
                      <w:szCs w:val="18"/>
                    </w:rPr>
                    <w:t>≤</w:t>
                  </w:r>
                  <w:r>
                    <w:rPr>
                      <w:rFonts w:hint="default"/>
                      <w:color w:val="auto"/>
                      <w:sz w:val="18"/>
                      <w:szCs w:val="18"/>
                    </w:rPr>
                    <w:t>0.05</w:t>
                  </w:r>
                </w:p>
              </w:tc>
              <w:tc>
                <w:tcPr>
                  <w:tcW w:w="1369" w:type="pct"/>
                  <w:vMerge w:val="continue"/>
                  <w:noWrap w:val="0"/>
                  <w:vAlign w:val="center"/>
                </w:tcPr>
                <w:p w14:paraId="516C079F">
                  <w:pPr>
                    <w:pStyle w:val="66"/>
                    <w:keepNext w:val="0"/>
                    <w:keepLines w:val="0"/>
                    <w:suppressLineNumbers w:val="0"/>
                    <w:spacing w:before="0" w:beforeAutospacing="0" w:after="0" w:afterAutospacing="0"/>
                    <w:ind w:left="0" w:right="0"/>
                    <w:rPr>
                      <w:rFonts w:hint="default" w:eastAsia="等线"/>
                      <w:color w:val="auto"/>
                      <w:sz w:val="18"/>
                      <w:szCs w:val="18"/>
                    </w:rPr>
                  </w:pPr>
                </w:p>
              </w:tc>
            </w:tr>
          </w:tbl>
          <w:p w14:paraId="79E9407B">
            <w:pPr>
              <w:keepNext w:val="0"/>
              <w:keepLines w:val="0"/>
              <w:suppressLineNumbers w:val="0"/>
              <w:adjustRightInd w:val="0"/>
              <w:snapToGrid w:val="0"/>
              <w:spacing w:before="0" w:beforeAutospacing="0" w:after="0" w:afterAutospacing="0"/>
              <w:ind w:left="0" w:right="0"/>
              <w:rPr>
                <w:rFonts w:hint="eastAsia"/>
                <w:b/>
                <w:bCs/>
                <w:color w:val="auto"/>
                <w:sz w:val="15"/>
                <w:szCs w:val="15"/>
              </w:rPr>
            </w:pPr>
          </w:p>
          <w:p w14:paraId="3999BE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（3）声环境质量标准</w:t>
            </w:r>
          </w:p>
          <w:p w14:paraId="1A2A614A">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auto"/>
                <w:kern w:val="0"/>
                <w:szCs w:val="21"/>
                <w:lang w:val="en-US" w:eastAsia="zh-CN"/>
              </w:rPr>
            </w:pPr>
            <w:r>
              <w:rPr>
                <w:rFonts w:hint="eastAsia"/>
                <w:color w:val="auto"/>
                <w:kern w:val="0"/>
                <w:szCs w:val="21"/>
              </w:rPr>
              <w:t>根据《市政府办公室关于印发&lt;江阴市声环境功能区划分调整方案&gt;的通知》（澄政办发〔2020〕71号），本项目位于江阴市利港街道润华路9号，属于站场、服务区。根据《市政府办公室关于印发&lt;江阴市声环境功能区划分调整方案&gt;的通知》（澄政办发〔2020〕71号），④交通枢纽</w:t>
            </w:r>
            <w:r>
              <w:rPr>
                <w:rFonts w:hint="eastAsia"/>
                <w:color w:val="auto"/>
                <w:kern w:val="0"/>
                <w:szCs w:val="21"/>
                <w:lang w:eastAsia="zh-CN"/>
              </w:rPr>
              <w:t>（</w:t>
            </w:r>
            <w:r>
              <w:rPr>
                <w:rFonts w:hint="eastAsia"/>
                <w:color w:val="auto"/>
                <w:kern w:val="0"/>
                <w:szCs w:val="21"/>
              </w:rPr>
              <w:t>客货运枢纽、城市轨道交通地面站场、高速公路服务区、内河港口</w:t>
            </w:r>
            <w:r>
              <w:rPr>
                <w:rFonts w:hint="eastAsia"/>
                <w:color w:val="auto"/>
                <w:kern w:val="0"/>
                <w:szCs w:val="21"/>
                <w:lang w:eastAsia="zh-CN"/>
              </w:rPr>
              <w:t>）</w:t>
            </w:r>
            <w:r>
              <w:rPr>
                <w:rFonts w:hint="eastAsia"/>
                <w:color w:val="auto"/>
                <w:kern w:val="0"/>
                <w:szCs w:val="21"/>
              </w:rPr>
              <w:t>区域划为4a类声环境功能区</w:t>
            </w:r>
            <w:r>
              <w:rPr>
                <w:rFonts w:hint="eastAsia"/>
                <w:color w:val="auto"/>
                <w:kern w:val="0"/>
                <w:szCs w:val="21"/>
                <w:lang w:eastAsia="zh-CN"/>
              </w:rPr>
              <w:t>，</w:t>
            </w:r>
            <w:r>
              <w:rPr>
                <w:rFonts w:hint="eastAsia"/>
                <w:color w:val="auto"/>
                <w:kern w:val="0"/>
                <w:szCs w:val="21"/>
                <w:lang w:val="en-US" w:eastAsia="zh-CN"/>
              </w:rPr>
              <w:t>本项目声环境功能区划图详见附图13</w:t>
            </w:r>
            <w:r>
              <w:rPr>
                <w:rFonts w:hint="eastAsia"/>
                <w:color w:val="auto"/>
                <w:kern w:val="0"/>
                <w:szCs w:val="21"/>
              </w:rPr>
              <w:t>。因此本项目各厂界均执行《声环境质量标准》（GB3096-2008）中4a类标准，具体标准限值见表</w:t>
            </w:r>
            <w:r>
              <w:rPr>
                <w:rFonts w:hint="eastAsia"/>
                <w:color w:val="auto"/>
                <w:kern w:val="0"/>
                <w:szCs w:val="21"/>
                <w:lang w:val="en-US" w:eastAsia="zh-CN"/>
              </w:rPr>
              <w:t>3</w:t>
            </w:r>
            <w:r>
              <w:rPr>
                <w:rFonts w:hint="eastAsia"/>
                <w:color w:val="auto"/>
                <w:kern w:val="0"/>
                <w:szCs w:val="21"/>
              </w:rPr>
              <w:t>-</w:t>
            </w:r>
            <w:r>
              <w:rPr>
                <w:rFonts w:hint="eastAsia"/>
                <w:color w:val="auto"/>
                <w:kern w:val="0"/>
                <w:szCs w:val="21"/>
                <w:highlight w:val="none"/>
                <w:lang w:val="en-US" w:eastAsia="zh-CN"/>
              </w:rPr>
              <w:t>42</w:t>
            </w:r>
            <w:r>
              <w:rPr>
                <w:rFonts w:hint="eastAsia"/>
                <w:color w:val="auto"/>
                <w:kern w:val="0"/>
                <w:szCs w:val="21"/>
                <w:lang w:val="en-US" w:eastAsia="zh-CN"/>
              </w:rPr>
              <w:t>。</w:t>
            </w:r>
          </w:p>
          <w:p w14:paraId="154B5311">
            <w:pPr>
              <w:keepNext w:val="0"/>
              <w:keepLines w:val="0"/>
              <w:suppressLineNumbers w:val="0"/>
              <w:autoSpaceDE w:val="0"/>
              <w:autoSpaceDN w:val="0"/>
              <w:adjustRightInd w:val="0"/>
              <w:snapToGrid w:val="0"/>
              <w:spacing w:before="0" w:beforeAutospacing="0" w:after="0" w:afterAutospacing="0"/>
              <w:ind w:left="0" w:right="0"/>
              <w:jc w:val="center"/>
              <w:rPr>
                <w:rFonts w:hint="eastAsia"/>
                <w:b/>
                <w:color w:val="auto"/>
                <w:kern w:val="0"/>
                <w:szCs w:val="21"/>
              </w:rPr>
            </w:pPr>
            <w:r>
              <w:rPr>
                <w:rFonts w:hint="default"/>
                <w:b/>
                <w:color w:val="auto"/>
                <w:kern w:val="0"/>
                <w:szCs w:val="21"/>
              </w:rPr>
              <w:t>表</w:t>
            </w:r>
            <w:r>
              <w:rPr>
                <w:rFonts w:hint="eastAsia"/>
                <w:b/>
                <w:color w:val="auto"/>
                <w:kern w:val="0"/>
                <w:szCs w:val="21"/>
              </w:rPr>
              <w:t>3</w:t>
            </w:r>
            <w:r>
              <w:rPr>
                <w:rFonts w:hint="default"/>
                <w:b/>
                <w:color w:val="auto"/>
                <w:kern w:val="0"/>
                <w:szCs w:val="21"/>
              </w:rPr>
              <w:t>-</w:t>
            </w:r>
            <w:r>
              <w:rPr>
                <w:rFonts w:hint="eastAsia"/>
                <w:b/>
                <w:color w:val="auto"/>
                <w:kern w:val="0"/>
                <w:szCs w:val="21"/>
                <w:highlight w:val="none"/>
                <w:lang w:val="en-US" w:eastAsia="zh-CN"/>
              </w:rPr>
              <w:t>42</w:t>
            </w:r>
            <w:r>
              <w:rPr>
                <w:rFonts w:hint="eastAsia"/>
                <w:b/>
                <w:color w:val="auto"/>
                <w:kern w:val="0"/>
                <w:szCs w:val="21"/>
              </w:rPr>
              <w:t xml:space="preserve"> </w:t>
            </w:r>
            <w:r>
              <w:rPr>
                <w:rFonts w:hint="default"/>
                <w:b/>
                <w:color w:val="auto"/>
                <w:kern w:val="0"/>
                <w:szCs w:val="21"/>
              </w:rPr>
              <w:t xml:space="preserve"> 声环境质量标准</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764"/>
              <w:gridCol w:w="1547"/>
              <w:gridCol w:w="3152"/>
            </w:tblGrid>
            <w:tr w14:paraId="7E3DA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0" w:type="pct"/>
                  <w:noWrap w:val="0"/>
                  <w:vAlign w:val="center"/>
                </w:tcPr>
                <w:p w14:paraId="7447F59B">
                  <w:pPr>
                    <w:keepNext w:val="0"/>
                    <w:keepLines w:val="0"/>
                    <w:suppressLineNumbers w:val="0"/>
                    <w:spacing w:before="0" w:beforeAutospacing="0" w:after="0" w:afterAutospacing="0"/>
                    <w:ind w:left="0" w:right="0"/>
                    <w:jc w:val="center"/>
                    <w:rPr>
                      <w:rFonts w:hint="default"/>
                      <w:b/>
                      <w:color w:val="auto"/>
                      <w:sz w:val="18"/>
                      <w:szCs w:val="18"/>
                    </w:rPr>
                  </w:pPr>
                  <w:r>
                    <w:rPr>
                      <w:rFonts w:hint="default"/>
                      <w:b/>
                      <w:color w:val="auto"/>
                      <w:sz w:val="18"/>
                      <w:szCs w:val="18"/>
                    </w:rPr>
                    <w:t>功能区类别</w:t>
                  </w:r>
                </w:p>
              </w:tc>
              <w:tc>
                <w:tcPr>
                  <w:tcW w:w="1023" w:type="pct"/>
                  <w:noWrap w:val="0"/>
                  <w:vAlign w:val="center"/>
                </w:tcPr>
                <w:p w14:paraId="73D641B4">
                  <w:pPr>
                    <w:keepNext w:val="0"/>
                    <w:keepLines w:val="0"/>
                    <w:suppressLineNumbers w:val="0"/>
                    <w:spacing w:before="0" w:beforeAutospacing="0" w:after="0" w:afterAutospacing="0"/>
                    <w:ind w:left="0" w:right="0"/>
                    <w:jc w:val="center"/>
                    <w:rPr>
                      <w:rFonts w:hint="default"/>
                      <w:b/>
                      <w:color w:val="auto"/>
                      <w:sz w:val="18"/>
                      <w:szCs w:val="18"/>
                    </w:rPr>
                  </w:pPr>
                  <w:r>
                    <w:rPr>
                      <w:rFonts w:hint="default"/>
                      <w:b/>
                      <w:color w:val="auto"/>
                      <w:sz w:val="18"/>
                      <w:szCs w:val="18"/>
                    </w:rPr>
                    <w:t>昼间dB（A）</w:t>
                  </w:r>
                </w:p>
              </w:tc>
              <w:tc>
                <w:tcPr>
                  <w:tcW w:w="897" w:type="pct"/>
                  <w:noWrap w:val="0"/>
                  <w:vAlign w:val="center"/>
                </w:tcPr>
                <w:p w14:paraId="6DD6B424">
                  <w:pPr>
                    <w:keepNext w:val="0"/>
                    <w:keepLines w:val="0"/>
                    <w:suppressLineNumbers w:val="0"/>
                    <w:spacing w:before="0" w:beforeAutospacing="0" w:after="0" w:afterAutospacing="0"/>
                    <w:ind w:left="0" w:right="0"/>
                    <w:jc w:val="center"/>
                    <w:rPr>
                      <w:rFonts w:hint="default"/>
                      <w:b/>
                      <w:color w:val="auto"/>
                      <w:sz w:val="18"/>
                      <w:szCs w:val="18"/>
                    </w:rPr>
                  </w:pPr>
                  <w:r>
                    <w:rPr>
                      <w:rFonts w:hint="default"/>
                      <w:b/>
                      <w:color w:val="auto"/>
                      <w:sz w:val="18"/>
                      <w:szCs w:val="18"/>
                    </w:rPr>
                    <w:t>夜间dB（A）</w:t>
                  </w:r>
                </w:p>
              </w:tc>
              <w:tc>
                <w:tcPr>
                  <w:tcW w:w="1828" w:type="pct"/>
                  <w:noWrap w:val="0"/>
                  <w:vAlign w:val="center"/>
                </w:tcPr>
                <w:p w14:paraId="040AEA1B">
                  <w:pPr>
                    <w:keepNext w:val="0"/>
                    <w:keepLines w:val="0"/>
                    <w:suppressLineNumbers w:val="0"/>
                    <w:spacing w:before="0" w:beforeAutospacing="0" w:after="0" w:afterAutospacing="0"/>
                    <w:ind w:left="0" w:right="0"/>
                    <w:jc w:val="center"/>
                    <w:rPr>
                      <w:rFonts w:hint="default" w:eastAsia="宋体"/>
                      <w:b/>
                      <w:color w:val="auto"/>
                      <w:sz w:val="18"/>
                      <w:szCs w:val="18"/>
                      <w:lang w:val="en-US" w:eastAsia="zh-CN"/>
                    </w:rPr>
                  </w:pPr>
                  <w:r>
                    <w:rPr>
                      <w:rFonts w:hint="eastAsia"/>
                      <w:b/>
                      <w:color w:val="auto"/>
                      <w:sz w:val="18"/>
                      <w:szCs w:val="18"/>
                      <w:lang w:val="en-US" w:eastAsia="zh-CN"/>
                    </w:rPr>
                    <w:t>标准来源</w:t>
                  </w:r>
                </w:p>
              </w:tc>
            </w:tr>
            <w:tr w14:paraId="1B2D0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50" w:type="pct"/>
                  <w:noWrap w:val="0"/>
                  <w:vAlign w:val="center"/>
                </w:tcPr>
                <w:p w14:paraId="5614FA2D">
                  <w:pPr>
                    <w:keepNext w:val="0"/>
                    <w:keepLines w:val="0"/>
                    <w:suppressLineNumbers w:val="0"/>
                    <w:spacing w:before="0" w:beforeAutospacing="0" w:after="0" w:afterAutospacing="0"/>
                    <w:ind w:left="0" w:right="0"/>
                    <w:jc w:val="center"/>
                    <w:rPr>
                      <w:rFonts w:hint="default"/>
                      <w:color w:val="auto"/>
                      <w:sz w:val="18"/>
                      <w:szCs w:val="18"/>
                    </w:rPr>
                  </w:pPr>
                  <w:r>
                    <w:rPr>
                      <w:rFonts w:hint="eastAsia"/>
                      <w:color w:val="auto"/>
                      <w:sz w:val="18"/>
                      <w:szCs w:val="18"/>
                      <w:lang w:val="en-US" w:eastAsia="zh-CN"/>
                    </w:rPr>
                    <w:t>4a</w:t>
                  </w:r>
                  <w:r>
                    <w:rPr>
                      <w:rFonts w:hint="default"/>
                      <w:color w:val="auto"/>
                      <w:sz w:val="18"/>
                      <w:szCs w:val="18"/>
                    </w:rPr>
                    <w:t>类</w:t>
                  </w:r>
                </w:p>
              </w:tc>
              <w:tc>
                <w:tcPr>
                  <w:tcW w:w="1023" w:type="pct"/>
                  <w:noWrap w:val="0"/>
                  <w:vAlign w:val="center"/>
                </w:tcPr>
                <w:p w14:paraId="6EFC1854">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70</w:t>
                  </w:r>
                </w:p>
              </w:tc>
              <w:tc>
                <w:tcPr>
                  <w:tcW w:w="897" w:type="pct"/>
                  <w:noWrap w:val="0"/>
                  <w:vAlign w:val="center"/>
                </w:tcPr>
                <w:p w14:paraId="706AE82F">
                  <w:pPr>
                    <w:keepNext w:val="0"/>
                    <w:keepLines w:val="0"/>
                    <w:suppressLineNumbers w:val="0"/>
                    <w:spacing w:before="0" w:beforeAutospacing="0" w:after="0" w:afterAutospacing="0"/>
                    <w:ind w:left="0" w:right="0"/>
                    <w:jc w:val="center"/>
                    <w:rPr>
                      <w:rFonts w:hint="default" w:eastAsia="宋体"/>
                      <w:color w:val="auto"/>
                      <w:sz w:val="18"/>
                      <w:szCs w:val="18"/>
                      <w:lang w:val="en-US" w:eastAsia="zh-CN"/>
                    </w:rPr>
                  </w:pPr>
                  <w:r>
                    <w:rPr>
                      <w:rFonts w:hint="eastAsia"/>
                      <w:color w:val="auto"/>
                      <w:sz w:val="18"/>
                      <w:szCs w:val="18"/>
                      <w:lang w:val="en-US" w:eastAsia="zh-CN"/>
                    </w:rPr>
                    <w:t>55</w:t>
                  </w:r>
                </w:p>
              </w:tc>
              <w:tc>
                <w:tcPr>
                  <w:tcW w:w="1828" w:type="pct"/>
                  <w:noWrap w:val="0"/>
                  <w:vAlign w:val="center"/>
                </w:tcPr>
                <w:p w14:paraId="5B7AD4CA">
                  <w:pPr>
                    <w:keepNext w:val="0"/>
                    <w:keepLines w:val="0"/>
                    <w:suppressLineNumbers w:val="0"/>
                    <w:spacing w:before="0" w:beforeAutospacing="0" w:after="0" w:afterAutospacing="0"/>
                    <w:ind w:left="0" w:right="0"/>
                    <w:jc w:val="center"/>
                    <w:rPr>
                      <w:rFonts w:hint="eastAsia"/>
                      <w:color w:val="auto"/>
                      <w:sz w:val="18"/>
                      <w:szCs w:val="18"/>
                      <w:lang w:val="en-US" w:eastAsia="zh-CN"/>
                    </w:rPr>
                  </w:pPr>
                  <w:r>
                    <w:rPr>
                      <w:rFonts w:hint="eastAsia"/>
                      <w:color w:val="auto"/>
                      <w:sz w:val="18"/>
                      <w:szCs w:val="18"/>
                      <w:lang w:val="en-US" w:eastAsia="zh-CN"/>
                    </w:rPr>
                    <w:t>《声环境质量标准》（GB3096-2008）</w:t>
                  </w:r>
                </w:p>
              </w:tc>
            </w:tr>
          </w:tbl>
          <w:p w14:paraId="43559B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b/>
                <w:color w:val="auto"/>
                <w:kern w:val="0"/>
                <w:sz w:val="15"/>
                <w:szCs w:val="15"/>
              </w:rPr>
            </w:pPr>
          </w:p>
          <w:p w14:paraId="276C1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w:t>
            </w:r>
            <w:r>
              <w:rPr>
                <w:rFonts w:hint="eastAsia" w:ascii="Times New Roman" w:hAnsi="Times New Roman" w:eastAsia="宋体" w:cs="Times New Roman"/>
                <w:b/>
                <w:color w:val="auto"/>
                <w:kern w:val="0"/>
                <w:szCs w:val="21"/>
                <w:lang w:val="en-US" w:eastAsia="zh-CN"/>
              </w:rPr>
              <w:t>4</w:t>
            </w:r>
            <w:r>
              <w:rPr>
                <w:rFonts w:hint="eastAsia" w:ascii="Times New Roman" w:hAnsi="Times New Roman" w:eastAsia="宋体" w:cs="Times New Roman"/>
                <w:b/>
                <w:color w:val="auto"/>
                <w:kern w:val="0"/>
                <w:szCs w:val="21"/>
              </w:rPr>
              <w:t>）</w:t>
            </w:r>
            <w:r>
              <w:rPr>
                <w:rFonts w:hint="eastAsia" w:ascii="Times New Roman" w:hAnsi="Times New Roman" w:eastAsia="宋体" w:cs="Times New Roman"/>
                <w:b/>
                <w:color w:val="auto"/>
                <w:kern w:val="0"/>
                <w:szCs w:val="21"/>
                <w:lang w:val="en-US" w:eastAsia="zh-CN"/>
              </w:rPr>
              <w:t>地下水</w:t>
            </w:r>
            <w:r>
              <w:rPr>
                <w:rFonts w:hint="eastAsia" w:ascii="Times New Roman" w:hAnsi="Times New Roman" w:eastAsia="宋体" w:cs="Times New Roman"/>
                <w:b/>
                <w:color w:val="auto"/>
                <w:kern w:val="0"/>
                <w:szCs w:val="21"/>
              </w:rPr>
              <w:t>环境质量标准</w:t>
            </w:r>
          </w:p>
          <w:p w14:paraId="4A09B133">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rPr>
              <w:t>地下水执行《地下水质量标准》</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GB/T14848-2017</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rPr>
              <w:t>，具体标准值见表</w:t>
            </w:r>
            <w:r>
              <w:rPr>
                <w:rFonts w:hint="eastAsia" w:ascii="Times New Roman" w:hAnsi="Times New Roman" w:eastAsia="宋体" w:cs="Times New Roman"/>
                <w:color w:val="auto"/>
                <w:kern w:val="0"/>
                <w:szCs w:val="21"/>
                <w:lang w:val="en-US" w:eastAsia="zh-CN"/>
              </w:rPr>
              <w:t>3</w:t>
            </w:r>
            <w:r>
              <w:rPr>
                <w:rFonts w:hint="eastAsia" w:ascii="Times New Roman" w:hAnsi="Times New Roman" w:eastAsia="宋体" w:cs="Times New Roman"/>
                <w:color w:val="auto"/>
                <w:kern w:val="0"/>
                <w:szCs w:val="21"/>
              </w:rPr>
              <w:t>-</w:t>
            </w:r>
            <w:r>
              <w:rPr>
                <w:rFonts w:hint="eastAsia" w:cs="Times New Roman"/>
                <w:color w:val="auto"/>
                <w:kern w:val="0"/>
                <w:szCs w:val="21"/>
                <w:highlight w:val="none"/>
                <w:lang w:val="en-US" w:eastAsia="zh-CN"/>
              </w:rPr>
              <w:t>43</w:t>
            </w:r>
            <w:r>
              <w:rPr>
                <w:rFonts w:hint="eastAsia" w:ascii="Times New Roman" w:hAnsi="Times New Roman" w:eastAsia="宋体" w:cs="Times New Roman"/>
                <w:color w:val="auto"/>
                <w:kern w:val="0"/>
                <w:szCs w:val="21"/>
                <w:lang w:val="en-US" w:eastAsia="zh-CN"/>
              </w:rPr>
              <w:t>。</w:t>
            </w:r>
          </w:p>
          <w:p w14:paraId="6899737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w:t>
            </w:r>
            <w:r>
              <w:rPr>
                <w:rFonts w:hint="eastAsia" w:ascii="Times New Roman" w:hAnsi="Times New Roman" w:eastAsia="宋体" w:cs="Times New Roman"/>
                <w:b/>
                <w:color w:val="auto"/>
                <w:kern w:val="0"/>
                <w:szCs w:val="21"/>
                <w:lang w:val="en-US" w:eastAsia="zh-CN"/>
              </w:rPr>
              <w:t>3</w:t>
            </w:r>
            <w:r>
              <w:rPr>
                <w:rFonts w:hint="default" w:ascii="Times New Roman" w:hAnsi="Times New Roman" w:eastAsia="宋体" w:cs="Times New Roman"/>
                <w:b/>
                <w:color w:val="auto"/>
                <w:kern w:val="0"/>
                <w:szCs w:val="21"/>
              </w:rPr>
              <w:t>-</w:t>
            </w:r>
            <w:r>
              <w:rPr>
                <w:rFonts w:hint="eastAsia" w:cs="Times New Roman"/>
                <w:b/>
                <w:color w:val="auto"/>
                <w:kern w:val="0"/>
                <w:szCs w:val="21"/>
                <w:highlight w:val="none"/>
                <w:lang w:val="en-US" w:eastAsia="zh-CN"/>
              </w:rPr>
              <w:t>43</w:t>
            </w:r>
            <w:r>
              <w:rPr>
                <w:rFonts w:hint="eastAsia" w:ascii="Times New Roman" w:hAnsi="Times New Roman" w:eastAsia="宋体" w:cs="Times New Roman"/>
                <w:b/>
                <w:color w:val="auto"/>
                <w:kern w:val="0"/>
                <w:szCs w:val="21"/>
                <w:highlight w:val="none"/>
                <w:lang w:val="en-US" w:eastAsia="zh-CN"/>
              </w:rPr>
              <w:t xml:space="preserve"> </w:t>
            </w:r>
            <w:r>
              <w:rPr>
                <w:rFonts w:hint="default" w:ascii="Times New Roman" w:hAnsi="Times New Roman" w:eastAsia="宋体" w:cs="Times New Roman"/>
                <w:b/>
                <w:color w:val="auto"/>
                <w:kern w:val="0"/>
                <w:szCs w:val="21"/>
              </w:rPr>
              <w:t xml:space="preserve"> 地下水质量分类指标（单位：mg/L，pH无量纲）</w:t>
            </w:r>
          </w:p>
          <w:tbl>
            <w:tblPr>
              <w:tblStyle w:val="21"/>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624"/>
              <w:gridCol w:w="2212"/>
              <w:gridCol w:w="814"/>
              <w:gridCol w:w="1040"/>
              <w:gridCol w:w="1001"/>
              <w:gridCol w:w="1646"/>
              <w:gridCol w:w="1284"/>
            </w:tblGrid>
            <w:tr w14:paraId="13244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blHeader/>
              </w:trPr>
              <w:tc>
                <w:tcPr>
                  <w:tcW w:w="362" w:type="pct"/>
                  <w:tcBorders>
                    <w:tl2br w:val="nil"/>
                    <w:tr2bl w:val="nil"/>
                  </w:tcBorders>
                  <w:noWrap w:val="0"/>
                  <w:vAlign w:val="center"/>
                </w:tcPr>
                <w:p w14:paraId="519D03B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序号</w:t>
                  </w:r>
                </w:p>
              </w:tc>
              <w:tc>
                <w:tcPr>
                  <w:tcW w:w="1282" w:type="pct"/>
                  <w:tcBorders>
                    <w:tl2br w:val="nil"/>
                    <w:tr2bl w:val="nil"/>
                  </w:tcBorders>
                  <w:noWrap w:val="0"/>
                  <w:vAlign w:val="center"/>
                </w:tcPr>
                <w:p w14:paraId="7D9AD27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评价因子</w:t>
                  </w:r>
                </w:p>
              </w:tc>
              <w:tc>
                <w:tcPr>
                  <w:tcW w:w="472" w:type="pct"/>
                  <w:tcBorders>
                    <w:tl2br w:val="nil"/>
                    <w:tr2bl w:val="nil"/>
                  </w:tcBorders>
                  <w:noWrap w:val="0"/>
                  <w:vAlign w:val="center"/>
                </w:tcPr>
                <w:p w14:paraId="70EDD34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fldChar w:fldCharType="begin"/>
                  </w:r>
                  <w:r>
                    <w:rPr>
                      <w:rFonts w:hint="default" w:ascii="Times New Roman" w:hAnsi="Times New Roman" w:eastAsia="宋体" w:cs="Times New Roman"/>
                      <w:b/>
                      <w:color w:val="auto"/>
                      <w:sz w:val="18"/>
                      <w:szCs w:val="18"/>
                    </w:rPr>
                    <w:instrText xml:space="preserve"> = 1 \* ROMAN </w:instrText>
                  </w:r>
                  <w:r>
                    <w:rPr>
                      <w:rFonts w:hint="default" w:ascii="Times New Roman" w:hAnsi="Times New Roman" w:eastAsia="宋体" w:cs="Times New Roman"/>
                      <w:b/>
                      <w:color w:val="auto"/>
                      <w:sz w:val="18"/>
                      <w:szCs w:val="18"/>
                    </w:rPr>
                    <w:fldChar w:fldCharType="separate"/>
                  </w:r>
                  <w:r>
                    <w:rPr>
                      <w:rFonts w:hint="default" w:ascii="Times New Roman" w:hAnsi="Times New Roman" w:eastAsia="宋体" w:cs="Times New Roman"/>
                      <w:b/>
                      <w:color w:val="auto"/>
                      <w:sz w:val="18"/>
                      <w:szCs w:val="18"/>
                    </w:rPr>
                    <w:t>I</w:t>
                  </w:r>
                  <w:r>
                    <w:rPr>
                      <w:rFonts w:hint="default" w:ascii="Times New Roman" w:hAnsi="Times New Roman" w:eastAsia="宋体" w:cs="Times New Roman"/>
                      <w:b/>
                      <w:color w:val="auto"/>
                      <w:sz w:val="18"/>
                      <w:szCs w:val="18"/>
                    </w:rPr>
                    <w:fldChar w:fldCharType="end"/>
                  </w:r>
                  <w:r>
                    <w:rPr>
                      <w:rFonts w:hint="default" w:ascii="Times New Roman" w:hAnsi="Times New Roman" w:eastAsia="宋体" w:cs="Times New Roman"/>
                      <w:b/>
                      <w:color w:val="auto"/>
                      <w:sz w:val="18"/>
                      <w:szCs w:val="18"/>
                    </w:rPr>
                    <w:t>类</w:t>
                  </w:r>
                </w:p>
              </w:tc>
              <w:tc>
                <w:tcPr>
                  <w:tcW w:w="603" w:type="pct"/>
                  <w:tcBorders>
                    <w:tl2br w:val="nil"/>
                    <w:tr2bl w:val="nil"/>
                  </w:tcBorders>
                  <w:noWrap w:val="0"/>
                  <w:vAlign w:val="center"/>
                </w:tcPr>
                <w:p w14:paraId="386ED68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Ⅱ类</w:t>
                  </w:r>
                </w:p>
              </w:tc>
              <w:tc>
                <w:tcPr>
                  <w:tcW w:w="579" w:type="pct"/>
                  <w:tcBorders>
                    <w:tl2br w:val="nil"/>
                    <w:tr2bl w:val="nil"/>
                  </w:tcBorders>
                  <w:noWrap w:val="0"/>
                  <w:vAlign w:val="center"/>
                </w:tcPr>
                <w:p w14:paraId="4B503AB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Ⅲ类</w:t>
                  </w:r>
                </w:p>
              </w:tc>
              <w:tc>
                <w:tcPr>
                  <w:tcW w:w="954" w:type="pct"/>
                  <w:tcBorders>
                    <w:tl2br w:val="nil"/>
                    <w:tr2bl w:val="nil"/>
                  </w:tcBorders>
                  <w:noWrap w:val="0"/>
                  <w:vAlign w:val="center"/>
                </w:tcPr>
                <w:p w14:paraId="39B9EEA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微软雅黑" w:cs="Times New Roman"/>
                      <w:b/>
                      <w:color w:val="auto"/>
                      <w:sz w:val="18"/>
                      <w:szCs w:val="18"/>
                    </w:rPr>
                    <w:t>Ⅳ</w:t>
                  </w:r>
                  <w:r>
                    <w:rPr>
                      <w:rFonts w:hint="default" w:ascii="Times New Roman" w:hAnsi="Times New Roman" w:eastAsia="宋体" w:cs="Times New Roman"/>
                      <w:b/>
                      <w:color w:val="auto"/>
                      <w:sz w:val="18"/>
                      <w:szCs w:val="18"/>
                    </w:rPr>
                    <w:t>类</w:t>
                  </w:r>
                </w:p>
              </w:tc>
              <w:tc>
                <w:tcPr>
                  <w:tcW w:w="744" w:type="pct"/>
                  <w:tcBorders>
                    <w:tl2br w:val="nil"/>
                    <w:tr2bl w:val="nil"/>
                  </w:tcBorders>
                  <w:noWrap w:val="0"/>
                  <w:vAlign w:val="center"/>
                </w:tcPr>
                <w:p w14:paraId="772F07B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fldChar w:fldCharType="begin"/>
                  </w:r>
                  <w:r>
                    <w:rPr>
                      <w:rFonts w:hint="default" w:ascii="Times New Roman" w:hAnsi="Times New Roman" w:eastAsia="宋体" w:cs="Times New Roman"/>
                      <w:b/>
                      <w:color w:val="auto"/>
                      <w:sz w:val="18"/>
                      <w:szCs w:val="18"/>
                    </w:rPr>
                    <w:instrText xml:space="preserve"> = 5 \* ROMAN </w:instrText>
                  </w:r>
                  <w:r>
                    <w:rPr>
                      <w:rFonts w:hint="default" w:ascii="Times New Roman" w:hAnsi="Times New Roman" w:eastAsia="宋体" w:cs="Times New Roman"/>
                      <w:b/>
                      <w:color w:val="auto"/>
                      <w:sz w:val="18"/>
                      <w:szCs w:val="18"/>
                    </w:rPr>
                    <w:fldChar w:fldCharType="separate"/>
                  </w:r>
                  <w:r>
                    <w:rPr>
                      <w:rFonts w:hint="default" w:ascii="Times New Roman" w:hAnsi="Times New Roman" w:eastAsia="宋体" w:cs="Times New Roman"/>
                      <w:b/>
                      <w:color w:val="auto"/>
                      <w:sz w:val="18"/>
                      <w:szCs w:val="18"/>
                    </w:rPr>
                    <w:t>V</w:t>
                  </w:r>
                  <w:r>
                    <w:rPr>
                      <w:rFonts w:hint="default" w:ascii="Times New Roman" w:hAnsi="Times New Roman" w:eastAsia="宋体" w:cs="Times New Roman"/>
                      <w:b/>
                      <w:color w:val="auto"/>
                      <w:sz w:val="18"/>
                      <w:szCs w:val="18"/>
                    </w:rPr>
                    <w:fldChar w:fldCharType="end"/>
                  </w:r>
                  <w:r>
                    <w:rPr>
                      <w:rFonts w:hint="default" w:ascii="Times New Roman" w:hAnsi="Times New Roman" w:eastAsia="宋体" w:cs="Times New Roman"/>
                      <w:b/>
                      <w:color w:val="auto"/>
                      <w:sz w:val="18"/>
                      <w:szCs w:val="18"/>
                    </w:rPr>
                    <w:t>类</w:t>
                  </w:r>
                </w:p>
              </w:tc>
            </w:tr>
            <w:tr w14:paraId="2021A7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7AFFD0EB">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6CA90C1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pH（无量纲）</w:t>
                  </w:r>
                </w:p>
              </w:tc>
              <w:tc>
                <w:tcPr>
                  <w:tcW w:w="1655" w:type="pct"/>
                  <w:gridSpan w:val="3"/>
                  <w:tcBorders>
                    <w:tl2br w:val="nil"/>
                    <w:tr2bl w:val="nil"/>
                  </w:tcBorders>
                  <w:noWrap w:val="0"/>
                  <w:vAlign w:val="center"/>
                </w:tcPr>
                <w:p w14:paraId="7F0C2E3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6.5～8.5</w:t>
                  </w:r>
                </w:p>
              </w:tc>
              <w:tc>
                <w:tcPr>
                  <w:tcW w:w="954" w:type="pct"/>
                  <w:tcBorders>
                    <w:tl2br w:val="nil"/>
                    <w:tr2bl w:val="nil"/>
                  </w:tcBorders>
                  <w:noWrap w:val="0"/>
                  <w:vAlign w:val="center"/>
                </w:tcPr>
                <w:p w14:paraId="2E28403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5.5～6.5，8.5~9</w:t>
                  </w:r>
                </w:p>
              </w:tc>
              <w:tc>
                <w:tcPr>
                  <w:tcW w:w="744" w:type="pct"/>
                  <w:tcBorders>
                    <w:tl2br w:val="nil"/>
                    <w:tr2bl w:val="nil"/>
                  </w:tcBorders>
                  <w:noWrap w:val="0"/>
                  <w:vAlign w:val="center"/>
                </w:tcPr>
                <w:p w14:paraId="799B315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＜5.5或＞9</w:t>
                  </w:r>
                </w:p>
              </w:tc>
            </w:tr>
            <w:tr w14:paraId="6981C6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3C2AB278">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05EEF1E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总硬度（以CaCO</w:t>
                  </w:r>
                  <w:r>
                    <w:rPr>
                      <w:rFonts w:hint="default" w:ascii="Times New Roman" w:hAnsi="Times New Roman" w:eastAsia="宋体" w:cs="Times New Roman"/>
                      <w:color w:val="auto"/>
                      <w:sz w:val="18"/>
                      <w:szCs w:val="18"/>
                      <w:vertAlign w:val="subscript"/>
                    </w:rPr>
                    <w:t>3</w:t>
                  </w:r>
                  <w:r>
                    <w:rPr>
                      <w:rFonts w:hint="default" w:ascii="Times New Roman" w:hAnsi="Times New Roman" w:eastAsia="宋体" w:cs="Times New Roman"/>
                      <w:color w:val="auto"/>
                      <w:sz w:val="18"/>
                      <w:szCs w:val="18"/>
                    </w:rPr>
                    <w:t>计）</w:t>
                  </w:r>
                </w:p>
              </w:tc>
              <w:tc>
                <w:tcPr>
                  <w:tcW w:w="472" w:type="pct"/>
                  <w:tcBorders>
                    <w:tl2br w:val="nil"/>
                    <w:tr2bl w:val="nil"/>
                  </w:tcBorders>
                  <w:noWrap w:val="0"/>
                  <w:vAlign w:val="center"/>
                </w:tcPr>
                <w:p w14:paraId="1989AC4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603" w:type="pct"/>
                  <w:tcBorders>
                    <w:tl2br w:val="nil"/>
                    <w:tr2bl w:val="nil"/>
                  </w:tcBorders>
                  <w:noWrap w:val="0"/>
                  <w:vAlign w:val="center"/>
                </w:tcPr>
                <w:p w14:paraId="36A11D4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≤300</w:t>
                  </w:r>
                </w:p>
              </w:tc>
              <w:tc>
                <w:tcPr>
                  <w:tcW w:w="579" w:type="pct"/>
                  <w:tcBorders>
                    <w:tl2br w:val="nil"/>
                    <w:tr2bl w:val="nil"/>
                  </w:tcBorders>
                  <w:noWrap w:val="0"/>
                  <w:vAlign w:val="center"/>
                </w:tcPr>
                <w:p w14:paraId="7C38C84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w:t>
                  </w:r>
                </w:p>
              </w:tc>
              <w:tc>
                <w:tcPr>
                  <w:tcW w:w="954" w:type="pct"/>
                  <w:tcBorders>
                    <w:tl2br w:val="nil"/>
                    <w:tr2bl w:val="nil"/>
                  </w:tcBorders>
                  <w:noWrap w:val="0"/>
                  <w:vAlign w:val="center"/>
                </w:tcPr>
                <w:p w14:paraId="5FB69C4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≤650</w:t>
                  </w:r>
                </w:p>
              </w:tc>
              <w:tc>
                <w:tcPr>
                  <w:tcW w:w="744" w:type="pct"/>
                  <w:tcBorders>
                    <w:tl2br w:val="nil"/>
                    <w:tr2bl w:val="nil"/>
                  </w:tcBorders>
                  <w:noWrap w:val="0"/>
                  <w:vAlign w:val="center"/>
                </w:tcPr>
                <w:p w14:paraId="5D6AA88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≥650</w:t>
                  </w:r>
                </w:p>
              </w:tc>
            </w:tr>
            <w:tr w14:paraId="04B66C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127E1251">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0B5D10C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氨氮</w:t>
                  </w:r>
                </w:p>
              </w:tc>
              <w:tc>
                <w:tcPr>
                  <w:tcW w:w="472" w:type="pct"/>
                  <w:tcBorders>
                    <w:tl2br w:val="nil"/>
                    <w:tr2bl w:val="nil"/>
                  </w:tcBorders>
                  <w:noWrap w:val="0"/>
                  <w:vAlign w:val="center"/>
                </w:tcPr>
                <w:p w14:paraId="1D3872C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603" w:type="pct"/>
                  <w:tcBorders>
                    <w:tl2br w:val="nil"/>
                    <w:tr2bl w:val="nil"/>
                  </w:tcBorders>
                  <w:noWrap w:val="0"/>
                  <w:vAlign w:val="center"/>
                </w:tcPr>
                <w:p w14:paraId="0BC8CA9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579" w:type="pct"/>
                  <w:tcBorders>
                    <w:tl2br w:val="nil"/>
                    <w:tr2bl w:val="nil"/>
                  </w:tcBorders>
                  <w:noWrap w:val="0"/>
                  <w:vAlign w:val="center"/>
                </w:tcPr>
                <w:p w14:paraId="0246424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954" w:type="pct"/>
                  <w:tcBorders>
                    <w:tl2br w:val="nil"/>
                    <w:tr2bl w:val="nil"/>
                  </w:tcBorders>
                  <w:noWrap w:val="0"/>
                  <w:vAlign w:val="center"/>
                </w:tcPr>
                <w:p w14:paraId="67BBC19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744" w:type="pct"/>
                  <w:tcBorders>
                    <w:tl2br w:val="nil"/>
                    <w:tr2bl w:val="nil"/>
                  </w:tcBorders>
                  <w:noWrap w:val="0"/>
                  <w:vAlign w:val="center"/>
                </w:tcPr>
                <w:p w14:paraId="1ABA486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7ADC8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283EEA52">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07D5788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472" w:type="pct"/>
                  <w:tcBorders>
                    <w:tl2br w:val="nil"/>
                    <w:tr2bl w:val="nil"/>
                  </w:tcBorders>
                  <w:noWrap w:val="0"/>
                  <w:vAlign w:val="center"/>
                </w:tcPr>
                <w:p w14:paraId="584E895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603" w:type="pct"/>
                  <w:tcBorders>
                    <w:tl2br w:val="nil"/>
                    <w:tr2bl w:val="nil"/>
                  </w:tcBorders>
                  <w:noWrap w:val="0"/>
                  <w:vAlign w:val="center"/>
                </w:tcPr>
                <w:p w14:paraId="7F65384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579" w:type="pct"/>
                  <w:tcBorders>
                    <w:tl2br w:val="nil"/>
                    <w:tr2bl w:val="nil"/>
                  </w:tcBorders>
                  <w:noWrap w:val="0"/>
                  <w:vAlign w:val="center"/>
                </w:tcPr>
                <w:p w14:paraId="074B17A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954" w:type="pct"/>
                  <w:tcBorders>
                    <w:tl2br w:val="nil"/>
                    <w:tr2bl w:val="nil"/>
                  </w:tcBorders>
                  <w:noWrap w:val="0"/>
                  <w:vAlign w:val="center"/>
                </w:tcPr>
                <w:p w14:paraId="5D8F72C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744" w:type="pct"/>
                  <w:tcBorders>
                    <w:tl2br w:val="nil"/>
                    <w:tr2bl w:val="nil"/>
                  </w:tcBorders>
                  <w:noWrap w:val="0"/>
                  <w:vAlign w:val="center"/>
                </w:tcPr>
                <w:p w14:paraId="12E106D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&gt;0.10</w:t>
                  </w:r>
                </w:p>
              </w:tc>
            </w:tr>
            <w:tr w14:paraId="3FB6CE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107C2880">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01DACDB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硝酸盐（以N计）</w:t>
                  </w:r>
                </w:p>
              </w:tc>
              <w:tc>
                <w:tcPr>
                  <w:tcW w:w="472" w:type="pct"/>
                  <w:tcBorders>
                    <w:tl2br w:val="nil"/>
                    <w:tr2bl w:val="nil"/>
                  </w:tcBorders>
                  <w:noWrap w:val="0"/>
                  <w:vAlign w:val="center"/>
                </w:tcPr>
                <w:p w14:paraId="50F36A7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603" w:type="pct"/>
                  <w:tcBorders>
                    <w:tl2br w:val="nil"/>
                    <w:tr2bl w:val="nil"/>
                  </w:tcBorders>
                  <w:noWrap w:val="0"/>
                  <w:vAlign w:val="center"/>
                </w:tcPr>
                <w:p w14:paraId="29A3BB8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c>
                <w:tcPr>
                  <w:tcW w:w="579" w:type="pct"/>
                  <w:tcBorders>
                    <w:tl2br w:val="nil"/>
                    <w:tr2bl w:val="nil"/>
                  </w:tcBorders>
                  <w:noWrap w:val="0"/>
                  <w:vAlign w:val="center"/>
                </w:tcPr>
                <w:p w14:paraId="0EC7586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954" w:type="pct"/>
                  <w:tcBorders>
                    <w:tl2br w:val="nil"/>
                    <w:tr2bl w:val="nil"/>
                  </w:tcBorders>
                  <w:noWrap w:val="0"/>
                  <w:vAlign w:val="center"/>
                </w:tcPr>
                <w:p w14:paraId="6ED4E8C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744" w:type="pct"/>
                  <w:tcBorders>
                    <w:tl2br w:val="nil"/>
                    <w:tr2bl w:val="nil"/>
                  </w:tcBorders>
                  <w:noWrap w:val="0"/>
                  <w:vAlign w:val="center"/>
                </w:tcPr>
                <w:p w14:paraId="34ED54C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r>
            <w:tr w14:paraId="0C9207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04D70244">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2B99D92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亚硝酸盐（以N计）</w:t>
                  </w:r>
                </w:p>
              </w:tc>
              <w:tc>
                <w:tcPr>
                  <w:tcW w:w="472" w:type="pct"/>
                  <w:tcBorders>
                    <w:tl2br w:val="nil"/>
                    <w:tr2bl w:val="nil"/>
                  </w:tcBorders>
                  <w:noWrap w:val="0"/>
                  <w:vAlign w:val="center"/>
                </w:tcPr>
                <w:p w14:paraId="6106F90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603" w:type="pct"/>
                  <w:tcBorders>
                    <w:tl2br w:val="nil"/>
                    <w:tr2bl w:val="nil"/>
                  </w:tcBorders>
                  <w:noWrap w:val="0"/>
                  <w:vAlign w:val="center"/>
                </w:tcPr>
                <w:p w14:paraId="213E4FB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579" w:type="pct"/>
                  <w:tcBorders>
                    <w:tl2br w:val="nil"/>
                    <w:tr2bl w:val="nil"/>
                  </w:tcBorders>
                  <w:noWrap w:val="0"/>
                  <w:vAlign w:val="center"/>
                </w:tcPr>
                <w:p w14:paraId="6C31550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954" w:type="pct"/>
                  <w:tcBorders>
                    <w:tl2br w:val="nil"/>
                    <w:tr2bl w:val="nil"/>
                  </w:tcBorders>
                  <w:noWrap w:val="0"/>
                  <w:vAlign w:val="center"/>
                </w:tcPr>
                <w:p w14:paraId="778FC36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≤4.8</w:t>
                  </w:r>
                </w:p>
              </w:tc>
              <w:tc>
                <w:tcPr>
                  <w:tcW w:w="744" w:type="pct"/>
                  <w:tcBorders>
                    <w:tl2br w:val="nil"/>
                    <w:tr2bl w:val="nil"/>
                  </w:tcBorders>
                  <w:noWrap w:val="0"/>
                  <w:vAlign w:val="center"/>
                </w:tcPr>
                <w:p w14:paraId="27EABBB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＞4.8</w:t>
                  </w:r>
                </w:p>
              </w:tc>
            </w:tr>
            <w:tr w14:paraId="54DFB1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0D7442AE">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35B1E1F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472" w:type="pct"/>
                  <w:tcBorders>
                    <w:tl2br w:val="nil"/>
                    <w:tr2bl w:val="nil"/>
                  </w:tcBorders>
                  <w:noWrap w:val="0"/>
                  <w:vAlign w:val="center"/>
                </w:tcPr>
                <w:p w14:paraId="4E62635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603" w:type="pct"/>
                  <w:tcBorders>
                    <w:tl2br w:val="nil"/>
                    <w:tr2bl w:val="nil"/>
                  </w:tcBorders>
                  <w:noWrap w:val="0"/>
                  <w:vAlign w:val="center"/>
                </w:tcPr>
                <w:p w14:paraId="3DEA127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579" w:type="pct"/>
                  <w:tcBorders>
                    <w:tl2br w:val="nil"/>
                    <w:tr2bl w:val="nil"/>
                  </w:tcBorders>
                  <w:noWrap w:val="0"/>
                  <w:vAlign w:val="center"/>
                </w:tcPr>
                <w:p w14:paraId="5785A08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954" w:type="pct"/>
                  <w:tcBorders>
                    <w:tl2br w:val="nil"/>
                    <w:tr2bl w:val="nil"/>
                  </w:tcBorders>
                  <w:noWrap w:val="0"/>
                  <w:vAlign w:val="center"/>
                </w:tcPr>
                <w:p w14:paraId="6C412F2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744" w:type="pct"/>
                  <w:tcBorders>
                    <w:tl2br w:val="nil"/>
                    <w:tr2bl w:val="nil"/>
                  </w:tcBorders>
                  <w:noWrap w:val="0"/>
                  <w:vAlign w:val="center"/>
                </w:tcPr>
                <w:p w14:paraId="7A12B1D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&gt;0.05</w:t>
                  </w:r>
                </w:p>
              </w:tc>
            </w:tr>
            <w:tr w14:paraId="5CE488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1209C139">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7AD0E6D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472" w:type="pct"/>
                  <w:tcBorders>
                    <w:tl2br w:val="nil"/>
                    <w:tr2bl w:val="nil"/>
                  </w:tcBorders>
                  <w:noWrap w:val="0"/>
                  <w:vAlign w:val="center"/>
                </w:tcPr>
                <w:p w14:paraId="423F729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603" w:type="pct"/>
                  <w:tcBorders>
                    <w:tl2br w:val="nil"/>
                    <w:tr2bl w:val="nil"/>
                  </w:tcBorders>
                  <w:noWrap w:val="0"/>
                  <w:vAlign w:val="center"/>
                </w:tcPr>
                <w:p w14:paraId="6CA66AD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≤0.0001</w:t>
                  </w:r>
                </w:p>
              </w:tc>
              <w:tc>
                <w:tcPr>
                  <w:tcW w:w="579" w:type="pct"/>
                  <w:tcBorders>
                    <w:tl2br w:val="nil"/>
                    <w:tr2bl w:val="nil"/>
                  </w:tcBorders>
                  <w:noWrap w:val="0"/>
                  <w:vAlign w:val="center"/>
                </w:tcPr>
                <w:p w14:paraId="7E67EA7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954" w:type="pct"/>
                  <w:tcBorders>
                    <w:tl2br w:val="nil"/>
                    <w:tr2bl w:val="nil"/>
                  </w:tcBorders>
                  <w:noWrap w:val="0"/>
                  <w:vAlign w:val="center"/>
                </w:tcPr>
                <w:p w14:paraId="54B1807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744" w:type="pct"/>
                  <w:tcBorders>
                    <w:tl2br w:val="nil"/>
                    <w:tr2bl w:val="nil"/>
                  </w:tcBorders>
                  <w:noWrap w:val="0"/>
                  <w:vAlign w:val="center"/>
                </w:tcPr>
                <w:p w14:paraId="75063F0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&gt;0.002</w:t>
                  </w:r>
                </w:p>
              </w:tc>
            </w:tr>
            <w:tr w14:paraId="6A35EE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385F4A3C">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3995FEE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铬（六价）</w:t>
                  </w:r>
                </w:p>
              </w:tc>
              <w:tc>
                <w:tcPr>
                  <w:tcW w:w="472" w:type="pct"/>
                  <w:tcBorders>
                    <w:tl2br w:val="nil"/>
                    <w:tr2bl w:val="nil"/>
                  </w:tcBorders>
                  <w:noWrap w:val="0"/>
                  <w:vAlign w:val="center"/>
                </w:tcPr>
                <w:p w14:paraId="21CF276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603" w:type="pct"/>
                  <w:tcBorders>
                    <w:tl2br w:val="nil"/>
                    <w:tr2bl w:val="nil"/>
                  </w:tcBorders>
                  <w:noWrap w:val="0"/>
                  <w:vAlign w:val="center"/>
                </w:tcPr>
                <w:p w14:paraId="2450674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579" w:type="pct"/>
                  <w:tcBorders>
                    <w:tl2br w:val="nil"/>
                    <w:tr2bl w:val="nil"/>
                  </w:tcBorders>
                  <w:noWrap w:val="0"/>
                  <w:vAlign w:val="center"/>
                </w:tcPr>
                <w:p w14:paraId="0CF5644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954" w:type="pct"/>
                  <w:tcBorders>
                    <w:tl2br w:val="nil"/>
                    <w:tr2bl w:val="nil"/>
                  </w:tcBorders>
                  <w:noWrap w:val="0"/>
                  <w:vAlign w:val="center"/>
                </w:tcPr>
                <w:p w14:paraId="5FAABF5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744" w:type="pct"/>
                  <w:tcBorders>
                    <w:tl2br w:val="nil"/>
                    <w:tr2bl w:val="nil"/>
                  </w:tcBorders>
                  <w:noWrap w:val="0"/>
                  <w:vAlign w:val="center"/>
                </w:tcPr>
                <w:p w14:paraId="3FF954A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&gt;0.10</w:t>
                  </w:r>
                </w:p>
              </w:tc>
            </w:tr>
            <w:tr w14:paraId="269EAC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24EBB649">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2DE6D99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472" w:type="pct"/>
                  <w:tcBorders>
                    <w:tl2br w:val="nil"/>
                    <w:tr2bl w:val="nil"/>
                  </w:tcBorders>
                  <w:noWrap w:val="0"/>
                  <w:vAlign w:val="center"/>
                </w:tcPr>
                <w:p w14:paraId="5E02423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603" w:type="pct"/>
                  <w:tcBorders>
                    <w:tl2br w:val="nil"/>
                    <w:tr2bl w:val="nil"/>
                  </w:tcBorders>
                  <w:noWrap w:val="0"/>
                  <w:vAlign w:val="center"/>
                </w:tcPr>
                <w:p w14:paraId="2C5E89E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≤0.005</w:t>
                  </w:r>
                </w:p>
              </w:tc>
              <w:tc>
                <w:tcPr>
                  <w:tcW w:w="579" w:type="pct"/>
                  <w:tcBorders>
                    <w:tl2br w:val="nil"/>
                    <w:tr2bl w:val="nil"/>
                  </w:tcBorders>
                  <w:noWrap w:val="0"/>
                  <w:vAlign w:val="center"/>
                </w:tcPr>
                <w:p w14:paraId="30D4FAC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954" w:type="pct"/>
                  <w:tcBorders>
                    <w:tl2br w:val="nil"/>
                    <w:tr2bl w:val="nil"/>
                  </w:tcBorders>
                  <w:noWrap w:val="0"/>
                  <w:vAlign w:val="center"/>
                </w:tcPr>
                <w:p w14:paraId="545CBB0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744" w:type="pct"/>
                  <w:tcBorders>
                    <w:tl2br w:val="nil"/>
                    <w:tr2bl w:val="nil"/>
                  </w:tcBorders>
                  <w:noWrap w:val="0"/>
                  <w:vAlign w:val="center"/>
                </w:tcPr>
                <w:p w14:paraId="6E0B6E9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&gt;0.10</w:t>
                  </w:r>
                </w:p>
              </w:tc>
            </w:tr>
            <w:tr w14:paraId="1BD013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333B32AD">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2F65D33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铁</w:t>
                  </w:r>
                </w:p>
              </w:tc>
              <w:tc>
                <w:tcPr>
                  <w:tcW w:w="472" w:type="pct"/>
                  <w:tcBorders>
                    <w:tl2br w:val="nil"/>
                    <w:tr2bl w:val="nil"/>
                  </w:tcBorders>
                  <w:noWrap w:val="0"/>
                  <w:vAlign w:val="center"/>
                </w:tcPr>
                <w:p w14:paraId="2F9DDE2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p>
              </w:tc>
              <w:tc>
                <w:tcPr>
                  <w:tcW w:w="603" w:type="pct"/>
                  <w:tcBorders>
                    <w:tl2br w:val="nil"/>
                    <w:tr2bl w:val="nil"/>
                  </w:tcBorders>
                  <w:noWrap w:val="0"/>
                  <w:vAlign w:val="center"/>
                </w:tcPr>
                <w:p w14:paraId="383329B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c>
                <w:tcPr>
                  <w:tcW w:w="579" w:type="pct"/>
                  <w:tcBorders>
                    <w:tl2br w:val="nil"/>
                    <w:tr2bl w:val="nil"/>
                  </w:tcBorders>
                  <w:noWrap w:val="0"/>
                  <w:vAlign w:val="center"/>
                </w:tcPr>
                <w:p w14:paraId="4A9833B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≤0.30</w:t>
                  </w:r>
                </w:p>
              </w:tc>
              <w:tc>
                <w:tcPr>
                  <w:tcW w:w="954" w:type="pct"/>
                  <w:tcBorders>
                    <w:tl2br w:val="nil"/>
                    <w:tr2bl w:val="nil"/>
                  </w:tcBorders>
                  <w:noWrap w:val="0"/>
                  <w:vAlign w:val="center"/>
                </w:tcPr>
                <w:p w14:paraId="48A0107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744" w:type="pct"/>
                  <w:tcBorders>
                    <w:tl2br w:val="nil"/>
                    <w:tr2bl w:val="nil"/>
                  </w:tcBorders>
                  <w:noWrap w:val="0"/>
                  <w:vAlign w:val="center"/>
                </w:tcPr>
                <w:p w14:paraId="3EE6181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&gt;2.0</w:t>
                  </w:r>
                </w:p>
              </w:tc>
            </w:tr>
            <w:tr w14:paraId="504E05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7C2C3A32">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6EF78BD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锰</w:t>
                  </w:r>
                </w:p>
              </w:tc>
              <w:tc>
                <w:tcPr>
                  <w:tcW w:w="472" w:type="pct"/>
                  <w:tcBorders>
                    <w:tl2br w:val="nil"/>
                    <w:tr2bl w:val="nil"/>
                  </w:tcBorders>
                  <w:noWrap w:val="0"/>
                  <w:vAlign w:val="center"/>
                </w:tcPr>
                <w:p w14:paraId="05FC68E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603" w:type="pct"/>
                  <w:tcBorders>
                    <w:tl2br w:val="nil"/>
                    <w:tr2bl w:val="nil"/>
                  </w:tcBorders>
                  <w:noWrap w:val="0"/>
                  <w:vAlign w:val="center"/>
                </w:tcPr>
                <w:p w14:paraId="1B8E243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579" w:type="pct"/>
                  <w:tcBorders>
                    <w:tl2br w:val="nil"/>
                    <w:tr2bl w:val="nil"/>
                  </w:tcBorders>
                  <w:noWrap w:val="0"/>
                  <w:vAlign w:val="center"/>
                </w:tcPr>
                <w:p w14:paraId="5488FCE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954" w:type="pct"/>
                  <w:tcBorders>
                    <w:tl2br w:val="nil"/>
                    <w:tr2bl w:val="nil"/>
                  </w:tcBorders>
                  <w:noWrap w:val="0"/>
                  <w:vAlign w:val="center"/>
                </w:tcPr>
                <w:p w14:paraId="65BBCE2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744" w:type="pct"/>
                  <w:tcBorders>
                    <w:tl2br w:val="nil"/>
                    <w:tr2bl w:val="nil"/>
                  </w:tcBorders>
                  <w:noWrap w:val="0"/>
                  <w:vAlign w:val="center"/>
                </w:tcPr>
                <w:p w14:paraId="3BD2172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&gt;1.50</w:t>
                  </w:r>
                </w:p>
              </w:tc>
            </w:tr>
            <w:tr w14:paraId="4D9C4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5AA255A3">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1403F69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溶解性总固体</w:t>
                  </w:r>
                </w:p>
              </w:tc>
              <w:tc>
                <w:tcPr>
                  <w:tcW w:w="472" w:type="pct"/>
                  <w:tcBorders>
                    <w:tl2br w:val="nil"/>
                    <w:tr2bl w:val="nil"/>
                  </w:tcBorders>
                  <w:noWrap w:val="0"/>
                  <w:vAlign w:val="center"/>
                </w:tcPr>
                <w:p w14:paraId="58A2EBE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≤300</w:t>
                  </w:r>
                </w:p>
              </w:tc>
              <w:tc>
                <w:tcPr>
                  <w:tcW w:w="603" w:type="pct"/>
                  <w:tcBorders>
                    <w:tl2br w:val="nil"/>
                    <w:tr2bl w:val="nil"/>
                  </w:tcBorders>
                  <w:noWrap w:val="0"/>
                  <w:vAlign w:val="center"/>
                </w:tcPr>
                <w:p w14:paraId="22E7998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579" w:type="pct"/>
                  <w:tcBorders>
                    <w:tl2br w:val="nil"/>
                    <w:tr2bl w:val="nil"/>
                  </w:tcBorders>
                  <w:noWrap w:val="0"/>
                  <w:vAlign w:val="center"/>
                </w:tcPr>
                <w:p w14:paraId="599CA90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≤1000</w:t>
                  </w:r>
                </w:p>
              </w:tc>
              <w:tc>
                <w:tcPr>
                  <w:tcW w:w="954" w:type="pct"/>
                  <w:tcBorders>
                    <w:tl2br w:val="nil"/>
                    <w:tr2bl w:val="nil"/>
                  </w:tcBorders>
                  <w:noWrap w:val="0"/>
                  <w:vAlign w:val="center"/>
                </w:tcPr>
                <w:p w14:paraId="55958B4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≤2000</w:t>
                  </w:r>
                </w:p>
              </w:tc>
              <w:tc>
                <w:tcPr>
                  <w:tcW w:w="744" w:type="pct"/>
                  <w:tcBorders>
                    <w:tl2br w:val="nil"/>
                    <w:tr2bl w:val="nil"/>
                  </w:tcBorders>
                  <w:noWrap w:val="0"/>
                  <w:vAlign w:val="center"/>
                </w:tcPr>
                <w:p w14:paraId="356471E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&gt;2000</w:t>
                  </w:r>
                </w:p>
              </w:tc>
            </w:tr>
            <w:tr w14:paraId="78D937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6632C5FF">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2388EE5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472" w:type="pct"/>
                  <w:tcBorders>
                    <w:tl2br w:val="nil"/>
                    <w:tr2bl w:val="nil"/>
                  </w:tcBorders>
                  <w:noWrap w:val="0"/>
                  <w:vAlign w:val="center"/>
                </w:tcPr>
                <w:p w14:paraId="2C24935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603" w:type="pct"/>
                  <w:tcBorders>
                    <w:tl2br w:val="nil"/>
                    <w:tr2bl w:val="nil"/>
                  </w:tcBorders>
                  <w:noWrap w:val="0"/>
                  <w:vAlign w:val="center"/>
                </w:tcPr>
                <w:p w14:paraId="526810F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579" w:type="pct"/>
                  <w:tcBorders>
                    <w:tl2br w:val="nil"/>
                    <w:tr2bl w:val="nil"/>
                  </w:tcBorders>
                  <w:noWrap w:val="0"/>
                  <w:vAlign w:val="center"/>
                </w:tcPr>
                <w:p w14:paraId="655772F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954" w:type="pct"/>
                  <w:tcBorders>
                    <w:tl2br w:val="nil"/>
                    <w:tr2bl w:val="nil"/>
                  </w:tcBorders>
                  <w:noWrap w:val="0"/>
                  <w:vAlign w:val="center"/>
                </w:tcPr>
                <w:p w14:paraId="765E441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744" w:type="pct"/>
                  <w:tcBorders>
                    <w:tl2br w:val="nil"/>
                    <w:tr2bl w:val="nil"/>
                  </w:tcBorders>
                  <w:noWrap w:val="0"/>
                  <w:vAlign w:val="center"/>
                </w:tcPr>
                <w:p w14:paraId="7EE0153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r>
            <w:tr w14:paraId="4CAE1B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6DE461CB">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3895D6E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锌</w:t>
                  </w:r>
                </w:p>
              </w:tc>
              <w:tc>
                <w:tcPr>
                  <w:tcW w:w="472" w:type="pct"/>
                  <w:tcBorders>
                    <w:tl2br w:val="nil"/>
                    <w:tr2bl w:val="nil"/>
                  </w:tcBorders>
                  <w:noWrap w:val="0"/>
                  <w:vAlign w:val="center"/>
                </w:tcPr>
                <w:p w14:paraId="2F410CE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603" w:type="pct"/>
                  <w:tcBorders>
                    <w:tl2br w:val="nil"/>
                    <w:tr2bl w:val="nil"/>
                  </w:tcBorders>
                  <w:noWrap w:val="0"/>
                  <w:vAlign w:val="center"/>
                </w:tcPr>
                <w:p w14:paraId="25B539E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579" w:type="pct"/>
                  <w:tcBorders>
                    <w:tl2br w:val="nil"/>
                    <w:tr2bl w:val="nil"/>
                  </w:tcBorders>
                  <w:noWrap w:val="0"/>
                  <w:vAlign w:val="center"/>
                </w:tcPr>
                <w:p w14:paraId="5854B6B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954" w:type="pct"/>
                  <w:tcBorders>
                    <w:tl2br w:val="nil"/>
                    <w:tr2bl w:val="nil"/>
                  </w:tcBorders>
                  <w:noWrap w:val="0"/>
                  <w:vAlign w:val="center"/>
                </w:tcPr>
                <w:p w14:paraId="7706966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c>
                <w:tcPr>
                  <w:tcW w:w="744" w:type="pct"/>
                  <w:tcBorders>
                    <w:tl2br w:val="nil"/>
                    <w:tr2bl w:val="nil"/>
                  </w:tcBorders>
                  <w:noWrap w:val="0"/>
                  <w:vAlign w:val="center"/>
                </w:tcPr>
                <w:p w14:paraId="57E2200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&gt;5.0</w:t>
                  </w:r>
                </w:p>
              </w:tc>
            </w:tr>
            <w:tr w14:paraId="24D607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0EF89C70">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19B4474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氟化物</w:t>
                  </w:r>
                </w:p>
              </w:tc>
              <w:tc>
                <w:tcPr>
                  <w:tcW w:w="472" w:type="pct"/>
                  <w:tcBorders>
                    <w:tl2br w:val="nil"/>
                    <w:tr2bl w:val="nil"/>
                  </w:tcBorders>
                  <w:noWrap w:val="0"/>
                  <w:vAlign w:val="center"/>
                </w:tcPr>
                <w:p w14:paraId="49531C1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03" w:type="pct"/>
                  <w:tcBorders>
                    <w:tl2br w:val="nil"/>
                    <w:tr2bl w:val="nil"/>
                  </w:tcBorders>
                  <w:noWrap w:val="0"/>
                  <w:vAlign w:val="center"/>
                </w:tcPr>
                <w:p w14:paraId="1CDDB93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579" w:type="pct"/>
                  <w:tcBorders>
                    <w:tl2br w:val="nil"/>
                    <w:tr2bl w:val="nil"/>
                  </w:tcBorders>
                  <w:noWrap w:val="0"/>
                  <w:vAlign w:val="center"/>
                </w:tcPr>
                <w:p w14:paraId="0357D1E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954" w:type="pct"/>
                  <w:tcBorders>
                    <w:tl2br w:val="nil"/>
                    <w:tr2bl w:val="nil"/>
                  </w:tcBorders>
                  <w:noWrap w:val="0"/>
                  <w:vAlign w:val="center"/>
                </w:tcPr>
                <w:p w14:paraId="6E0BC6D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744" w:type="pct"/>
                  <w:tcBorders>
                    <w:tl2br w:val="nil"/>
                    <w:tr2bl w:val="nil"/>
                  </w:tcBorders>
                  <w:noWrap w:val="0"/>
                  <w:vAlign w:val="center"/>
                </w:tcPr>
                <w:p w14:paraId="5904147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409109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2214D038">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049BA31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氯化物</w:t>
                  </w:r>
                </w:p>
              </w:tc>
              <w:tc>
                <w:tcPr>
                  <w:tcW w:w="472" w:type="pct"/>
                  <w:tcBorders>
                    <w:tl2br w:val="nil"/>
                    <w:tr2bl w:val="nil"/>
                  </w:tcBorders>
                  <w:noWrap w:val="0"/>
                  <w:vAlign w:val="center"/>
                </w:tcPr>
                <w:p w14:paraId="5163A95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c>
                <w:tcPr>
                  <w:tcW w:w="603" w:type="pct"/>
                  <w:tcBorders>
                    <w:tl2br w:val="nil"/>
                    <w:tr2bl w:val="nil"/>
                  </w:tcBorders>
                  <w:noWrap w:val="0"/>
                  <w:vAlign w:val="center"/>
                </w:tcPr>
                <w:p w14:paraId="3766B3F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579" w:type="pct"/>
                  <w:tcBorders>
                    <w:tl2br w:val="nil"/>
                    <w:tr2bl w:val="nil"/>
                  </w:tcBorders>
                  <w:noWrap w:val="0"/>
                  <w:vAlign w:val="center"/>
                </w:tcPr>
                <w:p w14:paraId="27F71A0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≤250</w:t>
                  </w:r>
                </w:p>
              </w:tc>
              <w:tc>
                <w:tcPr>
                  <w:tcW w:w="954" w:type="pct"/>
                  <w:tcBorders>
                    <w:tl2br w:val="nil"/>
                    <w:tr2bl w:val="nil"/>
                  </w:tcBorders>
                  <w:noWrap w:val="0"/>
                  <w:vAlign w:val="center"/>
                </w:tcPr>
                <w:p w14:paraId="5DFFAE1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c>
                <w:tcPr>
                  <w:tcW w:w="744" w:type="pct"/>
                  <w:tcBorders>
                    <w:tl2br w:val="nil"/>
                    <w:tr2bl w:val="nil"/>
                  </w:tcBorders>
                  <w:noWrap w:val="0"/>
                  <w:vAlign w:val="center"/>
                </w:tcPr>
                <w:p w14:paraId="3364EA6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r>
            <w:tr w14:paraId="7320A4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367DD36E">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1FF54E1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钠</w:t>
                  </w:r>
                </w:p>
              </w:tc>
              <w:tc>
                <w:tcPr>
                  <w:tcW w:w="472" w:type="pct"/>
                  <w:tcBorders>
                    <w:tl2br w:val="nil"/>
                    <w:tr2bl w:val="nil"/>
                  </w:tcBorders>
                  <w:noWrap w:val="0"/>
                  <w:vAlign w:val="center"/>
                </w:tcPr>
                <w:p w14:paraId="63AB0C8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603" w:type="pct"/>
                  <w:tcBorders>
                    <w:tl2br w:val="nil"/>
                    <w:tr2bl w:val="nil"/>
                  </w:tcBorders>
                  <w:noWrap w:val="0"/>
                  <w:vAlign w:val="center"/>
                </w:tcPr>
                <w:p w14:paraId="2D9910C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579" w:type="pct"/>
                  <w:tcBorders>
                    <w:tl2br w:val="nil"/>
                    <w:tr2bl w:val="nil"/>
                  </w:tcBorders>
                  <w:noWrap w:val="0"/>
                  <w:vAlign w:val="center"/>
                </w:tcPr>
                <w:p w14:paraId="18003DA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954" w:type="pct"/>
                  <w:tcBorders>
                    <w:tl2br w:val="nil"/>
                    <w:tr2bl w:val="nil"/>
                  </w:tcBorders>
                  <w:noWrap w:val="0"/>
                  <w:vAlign w:val="center"/>
                </w:tcPr>
                <w:p w14:paraId="71DBFB3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tc>
              <w:tc>
                <w:tcPr>
                  <w:tcW w:w="744" w:type="pct"/>
                  <w:tcBorders>
                    <w:tl2br w:val="nil"/>
                    <w:tr2bl w:val="nil"/>
                  </w:tcBorders>
                  <w:noWrap w:val="0"/>
                  <w:vAlign w:val="center"/>
                </w:tcPr>
                <w:p w14:paraId="191A402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tc>
            </w:tr>
            <w:tr w14:paraId="4CC698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35FED4EA">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7E934BC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挥发酚</w:t>
                  </w:r>
                </w:p>
              </w:tc>
              <w:tc>
                <w:tcPr>
                  <w:tcW w:w="472" w:type="pct"/>
                  <w:tcBorders>
                    <w:tl2br w:val="nil"/>
                    <w:tr2bl w:val="nil"/>
                  </w:tcBorders>
                  <w:noWrap w:val="0"/>
                  <w:vAlign w:val="center"/>
                </w:tcPr>
                <w:p w14:paraId="15CC459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603" w:type="pct"/>
                  <w:tcBorders>
                    <w:tl2br w:val="nil"/>
                    <w:tr2bl w:val="nil"/>
                  </w:tcBorders>
                  <w:noWrap w:val="0"/>
                  <w:vAlign w:val="center"/>
                </w:tcPr>
                <w:p w14:paraId="3D32822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≤0.001</w:t>
                  </w:r>
                </w:p>
              </w:tc>
              <w:tc>
                <w:tcPr>
                  <w:tcW w:w="579" w:type="pct"/>
                  <w:tcBorders>
                    <w:tl2br w:val="nil"/>
                    <w:tr2bl w:val="nil"/>
                  </w:tcBorders>
                  <w:noWrap w:val="0"/>
                  <w:vAlign w:val="center"/>
                </w:tcPr>
                <w:p w14:paraId="09DFEF3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954" w:type="pct"/>
                  <w:tcBorders>
                    <w:tl2br w:val="nil"/>
                    <w:tr2bl w:val="nil"/>
                  </w:tcBorders>
                  <w:noWrap w:val="0"/>
                  <w:vAlign w:val="center"/>
                </w:tcPr>
                <w:p w14:paraId="32696F8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c>
                <w:tcPr>
                  <w:tcW w:w="744" w:type="pct"/>
                  <w:tcBorders>
                    <w:tl2br w:val="nil"/>
                    <w:tr2bl w:val="nil"/>
                  </w:tcBorders>
                  <w:noWrap w:val="0"/>
                  <w:vAlign w:val="center"/>
                </w:tcPr>
                <w:p w14:paraId="4BF8C22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w:t>
                  </w:r>
                </w:p>
              </w:tc>
            </w:tr>
            <w:tr w14:paraId="155894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181793A6">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00DD81A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氯化物</w:t>
                  </w:r>
                </w:p>
              </w:tc>
              <w:tc>
                <w:tcPr>
                  <w:tcW w:w="472" w:type="pct"/>
                  <w:tcBorders>
                    <w:tl2br w:val="nil"/>
                    <w:tr2bl w:val="nil"/>
                  </w:tcBorders>
                  <w:noWrap w:val="0"/>
                  <w:vAlign w:val="center"/>
                </w:tcPr>
                <w:p w14:paraId="73E96B0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c>
                <w:tcPr>
                  <w:tcW w:w="603" w:type="pct"/>
                  <w:tcBorders>
                    <w:tl2br w:val="nil"/>
                    <w:tr2bl w:val="nil"/>
                  </w:tcBorders>
                  <w:noWrap w:val="0"/>
                  <w:vAlign w:val="center"/>
                </w:tcPr>
                <w:p w14:paraId="036A5FB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579" w:type="pct"/>
                  <w:tcBorders>
                    <w:tl2br w:val="nil"/>
                    <w:tr2bl w:val="nil"/>
                  </w:tcBorders>
                  <w:noWrap w:val="0"/>
                  <w:vAlign w:val="center"/>
                </w:tcPr>
                <w:p w14:paraId="42A3F76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≤250</w:t>
                  </w:r>
                </w:p>
              </w:tc>
              <w:tc>
                <w:tcPr>
                  <w:tcW w:w="954" w:type="pct"/>
                  <w:tcBorders>
                    <w:tl2br w:val="nil"/>
                    <w:tr2bl w:val="nil"/>
                  </w:tcBorders>
                  <w:noWrap w:val="0"/>
                  <w:vAlign w:val="center"/>
                </w:tcPr>
                <w:p w14:paraId="3D0E30A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c>
                <w:tcPr>
                  <w:tcW w:w="744" w:type="pct"/>
                  <w:tcBorders>
                    <w:tl2br w:val="nil"/>
                    <w:tr2bl w:val="nil"/>
                  </w:tcBorders>
                  <w:noWrap w:val="0"/>
                  <w:vAlign w:val="center"/>
                </w:tcPr>
                <w:p w14:paraId="1584E0B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r>
            <w:tr w14:paraId="561CA5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52C1E601">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4D72187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硫酸盐</w:t>
                  </w:r>
                </w:p>
              </w:tc>
              <w:tc>
                <w:tcPr>
                  <w:tcW w:w="472" w:type="pct"/>
                  <w:tcBorders>
                    <w:tl2br w:val="nil"/>
                    <w:tr2bl w:val="nil"/>
                  </w:tcBorders>
                  <w:noWrap w:val="0"/>
                  <w:vAlign w:val="center"/>
                </w:tcPr>
                <w:p w14:paraId="25B0E1F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c>
                <w:tcPr>
                  <w:tcW w:w="603" w:type="pct"/>
                  <w:tcBorders>
                    <w:tl2br w:val="nil"/>
                    <w:tr2bl w:val="nil"/>
                  </w:tcBorders>
                  <w:noWrap w:val="0"/>
                  <w:vAlign w:val="center"/>
                </w:tcPr>
                <w:p w14:paraId="0176F22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579" w:type="pct"/>
                  <w:tcBorders>
                    <w:tl2br w:val="nil"/>
                    <w:tr2bl w:val="nil"/>
                  </w:tcBorders>
                  <w:noWrap w:val="0"/>
                  <w:vAlign w:val="center"/>
                </w:tcPr>
                <w:p w14:paraId="18A2E0C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≤250</w:t>
                  </w:r>
                </w:p>
              </w:tc>
              <w:tc>
                <w:tcPr>
                  <w:tcW w:w="954" w:type="pct"/>
                  <w:tcBorders>
                    <w:tl2br w:val="nil"/>
                    <w:tr2bl w:val="nil"/>
                  </w:tcBorders>
                  <w:noWrap w:val="0"/>
                  <w:vAlign w:val="center"/>
                </w:tcPr>
                <w:p w14:paraId="11977F1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c>
                <w:tcPr>
                  <w:tcW w:w="744" w:type="pct"/>
                  <w:tcBorders>
                    <w:tl2br w:val="nil"/>
                    <w:tr2bl w:val="nil"/>
                  </w:tcBorders>
                  <w:noWrap w:val="0"/>
                  <w:vAlign w:val="center"/>
                </w:tcPr>
                <w:p w14:paraId="36BEB37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＞350</w:t>
                  </w:r>
                </w:p>
              </w:tc>
            </w:tr>
            <w:tr w14:paraId="3BB94E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430A6C72">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30D2655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472" w:type="pct"/>
                  <w:tcBorders>
                    <w:tl2br w:val="nil"/>
                    <w:tr2bl w:val="nil"/>
                  </w:tcBorders>
                  <w:noWrap w:val="0"/>
                  <w:vAlign w:val="center"/>
                </w:tcPr>
                <w:p w14:paraId="2E4CC50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603" w:type="pct"/>
                  <w:tcBorders>
                    <w:tl2br w:val="nil"/>
                    <w:tr2bl w:val="nil"/>
                  </w:tcBorders>
                  <w:noWrap w:val="0"/>
                  <w:vAlign w:val="center"/>
                </w:tcPr>
                <w:p w14:paraId="721A693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≤0.002</w:t>
                  </w:r>
                </w:p>
              </w:tc>
              <w:tc>
                <w:tcPr>
                  <w:tcW w:w="579" w:type="pct"/>
                  <w:tcBorders>
                    <w:tl2br w:val="nil"/>
                    <w:tr2bl w:val="nil"/>
                  </w:tcBorders>
                  <w:noWrap w:val="0"/>
                  <w:vAlign w:val="center"/>
                </w:tcPr>
                <w:p w14:paraId="0B43DAC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≤0.02</w:t>
                  </w:r>
                </w:p>
              </w:tc>
              <w:tc>
                <w:tcPr>
                  <w:tcW w:w="954" w:type="pct"/>
                  <w:tcBorders>
                    <w:tl2br w:val="nil"/>
                    <w:tr2bl w:val="nil"/>
                  </w:tcBorders>
                  <w:noWrap w:val="0"/>
                  <w:vAlign w:val="center"/>
                </w:tcPr>
                <w:p w14:paraId="6235323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c>
                <w:tcPr>
                  <w:tcW w:w="744" w:type="pct"/>
                  <w:tcBorders>
                    <w:tl2br w:val="nil"/>
                    <w:tr2bl w:val="nil"/>
                  </w:tcBorders>
                  <w:noWrap w:val="0"/>
                  <w:vAlign w:val="center"/>
                </w:tcPr>
                <w:p w14:paraId="081F0CB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＞0.10</w:t>
                  </w:r>
                </w:p>
              </w:tc>
            </w:tr>
            <w:tr w14:paraId="4D6F59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7133DB43">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3759B15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总大肠菌群/（MPN/100mL或CFU/100mL）</w:t>
                  </w:r>
                </w:p>
              </w:tc>
              <w:tc>
                <w:tcPr>
                  <w:tcW w:w="472" w:type="pct"/>
                  <w:tcBorders>
                    <w:tl2br w:val="nil"/>
                    <w:tr2bl w:val="nil"/>
                  </w:tcBorders>
                  <w:noWrap w:val="0"/>
                  <w:vAlign w:val="center"/>
                </w:tcPr>
                <w:p w14:paraId="70F0F29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603" w:type="pct"/>
                  <w:tcBorders>
                    <w:tl2br w:val="nil"/>
                    <w:tr2bl w:val="nil"/>
                  </w:tcBorders>
                  <w:noWrap w:val="0"/>
                  <w:vAlign w:val="center"/>
                </w:tcPr>
                <w:p w14:paraId="56D079C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579" w:type="pct"/>
                  <w:tcBorders>
                    <w:tl2br w:val="nil"/>
                    <w:tr2bl w:val="nil"/>
                  </w:tcBorders>
                  <w:noWrap w:val="0"/>
                  <w:vAlign w:val="center"/>
                </w:tcPr>
                <w:p w14:paraId="1DBC173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954" w:type="pct"/>
                  <w:tcBorders>
                    <w:tl2br w:val="nil"/>
                    <w:tr2bl w:val="nil"/>
                  </w:tcBorders>
                  <w:noWrap w:val="0"/>
                  <w:vAlign w:val="center"/>
                </w:tcPr>
                <w:p w14:paraId="4ABE5B8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744" w:type="pct"/>
                  <w:tcBorders>
                    <w:tl2br w:val="nil"/>
                    <w:tr2bl w:val="nil"/>
                  </w:tcBorders>
                  <w:noWrap w:val="0"/>
                  <w:vAlign w:val="center"/>
                </w:tcPr>
                <w:p w14:paraId="062AA54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r>
            <w:tr w14:paraId="02DD35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0" w:hRule="atLeast"/>
              </w:trPr>
              <w:tc>
                <w:tcPr>
                  <w:tcW w:w="362" w:type="pct"/>
                  <w:tcBorders>
                    <w:tl2br w:val="nil"/>
                    <w:tr2bl w:val="nil"/>
                  </w:tcBorders>
                  <w:noWrap w:val="0"/>
                  <w:vAlign w:val="center"/>
                </w:tcPr>
                <w:p w14:paraId="57A841CB">
                  <w:pPr>
                    <w:pStyle w:val="66"/>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default" w:ascii="Times New Roman" w:hAnsi="Times New Roman" w:eastAsia="宋体" w:cs="Times New Roman"/>
                      <w:color w:val="auto"/>
                      <w:sz w:val="18"/>
                      <w:szCs w:val="18"/>
                    </w:rPr>
                  </w:pPr>
                </w:p>
              </w:tc>
              <w:tc>
                <w:tcPr>
                  <w:tcW w:w="1282" w:type="pct"/>
                  <w:tcBorders>
                    <w:tl2br w:val="nil"/>
                    <w:tr2bl w:val="nil"/>
                  </w:tcBorders>
                  <w:noWrap w:val="0"/>
                  <w:vAlign w:val="center"/>
                </w:tcPr>
                <w:p w14:paraId="56B2A07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菌落总数（CFU/100mL）</w:t>
                  </w:r>
                </w:p>
              </w:tc>
              <w:tc>
                <w:tcPr>
                  <w:tcW w:w="472" w:type="pct"/>
                  <w:tcBorders>
                    <w:tl2br w:val="nil"/>
                    <w:tr2bl w:val="nil"/>
                  </w:tcBorders>
                  <w:noWrap w:val="0"/>
                  <w:vAlign w:val="center"/>
                </w:tcPr>
                <w:p w14:paraId="1636997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603" w:type="pct"/>
                  <w:tcBorders>
                    <w:tl2br w:val="nil"/>
                    <w:tr2bl w:val="nil"/>
                  </w:tcBorders>
                  <w:noWrap w:val="0"/>
                  <w:vAlign w:val="center"/>
                </w:tcPr>
                <w:p w14:paraId="46F28D4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579" w:type="pct"/>
                  <w:tcBorders>
                    <w:tl2br w:val="nil"/>
                    <w:tr2bl w:val="nil"/>
                  </w:tcBorders>
                  <w:noWrap w:val="0"/>
                  <w:vAlign w:val="center"/>
                </w:tcPr>
                <w:p w14:paraId="168ABD8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954" w:type="pct"/>
                  <w:tcBorders>
                    <w:tl2br w:val="nil"/>
                    <w:tr2bl w:val="nil"/>
                  </w:tcBorders>
                  <w:noWrap w:val="0"/>
                  <w:vAlign w:val="center"/>
                </w:tcPr>
                <w:p w14:paraId="3487C7E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≤1000</w:t>
                  </w:r>
                </w:p>
              </w:tc>
              <w:tc>
                <w:tcPr>
                  <w:tcW w:w="744" w:type="pct"/>
                  <w:tcBorders>
                    <w:tl2br w:val="nil"/>
                    <w:tr2bl w:val="nil"/>
                  </w:tcBorders>
                  <w:noWrap w:val="0"/>
                  <w:vAlign w:val="center"/>
                </w:tcPr>
                <w:p w14:paraId="0AD234B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＞1000</w:t>
                  </w:r>
                </w:p>
              </w:tc>
            </w:tr>
          </w:tbl>
          <w:p w14:paraId="372F3B57">
            <w:pPr>
              <w:pStyle w:val="54"/>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default" w:ascii="Times New Roman" w:hAnsi="Times New Roman" w:eastAsia="宋体" w:cs="Times New Roman"/>
                <w:color w:val="auto"/>
                <w:sz w:val="15"/>
                <w:szCs w:val="15"/>
              </w:rPr>
            </w:pPr>
          </w:p>
          <w:p w14:paraId="7682B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（5）土壤环境质量标准</w:t>
            </w:r>
          </w:p>
          <w:p w14:paraId="2ABD4EF6">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本项目所在区域土壤环境标准执行《土壤环境质量</w:t>
            </w:r>
            <w:r>
              <w:rPr>
                <w:rFonts w:hint="eastAsia" w:ascii="Times New Roman" w:hAnsi="Times New Roman" w:eastAsia="宋体" w:cs="Times New Roman"/>
                <w:color w:val="auto"/>
                <w:kern w:val="0"/>
                <w:szCs w:val="21"/>
                <w:lang w:val="en-US" w:eastAsia="zh-CN"/>
              </w:rPr>
              <w:t xml:space="preserve"> </w:t>
            </w:r>
            <w:r>
              <w:rPr>
                <w:rFonts w:hint="eastAsia" w:ascii="Times New Roman" w:hAnsi="Times New Roman" w:eastAsia="宋体" w:cs="Times New Roman"/>
                <w:color w:val="auto"/>
                <w:kern w:val="0"/>
                <w:szCs w:val="21"/>
              </w:rPr>
              <w:t>建设用地土壤污染风险管控标准（试行）》（GB36600-2018）中表1筛选值中“第二类用地”标准，具体标准值见</w:t>
            </w:r>
            <w:r>
              <w:rPr>
                <w:rFonts w:hint="eastAsia" w:ascii="Times New Roman" w:hAnsi="Times New Roman" w:eastAsia="宋体" w:cs="Times New Roman"/>
                <w:color w:val="auto"/>
                <w:kern w:val="0"/>
                <w:szCs w:val="21"/>
                <w:lang w:val="zh-CN"/>
              </w:rPr>
              <w:t>表</w:t>
            </w:r>
            <w:r>
              <w:rPr>
                <w:rFonts w:hint="eastAsia" w:ascii="Times New Roman" w:hAnsi="Times New Roman" w:eastAsia="宋体" w:cs="Times New Roman"/>
                <w:color w:val="auto"/>
                <w:kern w:val="0"/>
                <w:szCs w:val="21"/>
                <w:lang w:val="en-US" w:eastAsia="zh-CN"/>
              </w:rPr>
              <w:t>3</w:t>
            </w:r>
            <w:r>
              <w:rPr>
                <w:rFonts w:hint="eastAsia" w:ascii="Times New Roman" w:hAnsi="Times New Roman" w:eastAsia="宋体" w:cs="Times New Roman"/>
                <w:color w:val="auto"/>
                <w:kern w:val="0"/>
                <w:szCs w:val="21"/>
                <w:highlight w:val="none"/>
                <w:lang w:val="zh-CN"/>
              </w:rPr>
              <w:t>-</w:t>
            </w:r>
            <w:r>
              <w:rPr>
                <w:rFonts w:hint="eastAsia" w:ascii="Times New Roman" w:hAnsi="Times New Roman" w:eastAsia="宋体" w:cs="Times New Roman"/>
                <w:color w:val="auto"/>
                <w:kern w:val="0"/>
                <w:szCs w:val="21"/>
                <w:highlight w:val="none"/>
                <w:lang w:val="en-US" w:eastAsia="zh-CN"/>
              </w:rPr>
              <w:t>4</w:t>
            </w:r>
            <w:r>
              <w:rPr>
                <w:rFonts w:hint="eastAsia" w:cs="Times New Roman"/>
                <w:color w:val="auto"/>
                <w:kern w:val="0"/>
                <w:szCs w:val="21"/>
                <w:highlight w:val="none"/>
                <w:lang w:val="en-US" w:eastAsia="zh-CN"/>
              </w:rPr>
              <w:t>4</w:t>
            </w:r>
            <w:r>
              <w:rPr>
                <w:rFonts w:hint="eastAsia" w:ascii="Times New Roman" w:hAnsi="Times New Roman" w:eastAsia="宋体" w:cs="Times New Roman"/>
                <w:color w:val="auto"/>
                <w:kern w:val="0"/>
                <w:szCs w:val="21"/>
              </w:rPr>
              <w:t>。</w:t>
            </w:r>
          </w:p>
          <w:p w14:paraId="557DDEB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w:t>
            </w:r>
            <w:r>
              <w:rPr>
                <w:rFonts w:hint="eastAsia" w:ascii="Times New Roman" w:hAnsi="Times New Roman" w:eastAsia="宋体" w:cs="Times New Roman"/>
                <w:b/>
                <w:color w:val="auto"/>
                <w:kern w:val="0"/>
                <w:szCs w:val="21"/>
                <w:lang w:val="en-US" w:eastAsia="zh-CN"/>
              </w:rPr>
              <w:t>3</w:t>
            </w:r>
            <w:r>
              <w:rPr>
                <w:rFonts w:hint="default" w:ascii="Times New Roman" w:hAnsi="Times New Roman" w:eastAsia="宋体" w:cs="Times New Roman"/>
                <w:b/>
                <w:color w:val="auto"/>
                <w:kern w:val="0"/>
                <w:szCs w:val="21"/>
              </w:rPr>
              <w:t>-</w:t>
            </w:r>
            <w:r>
              <w:rPr>
                <w:rFonts w:hint="eastAsia" w:ascii="Times New Roman" w:hAnsi="Times New Roman" w:eastAsia="宋体" w:cs="Times New Roman"/>
                <w:b/>
                <w:color w:val="auto"/>
                <w:kern w:val="0"/>
                <w:szCs w:val="21"/>
                <w:highlight w:val="none"/>
                <w:lang w:val="en-US" w:eastAsia="zh-CN"/>
              </w:rPr>
              <w:t>4</w:t>
            </w:r>
            <w:r>
              <w:rPr>
                <w:rFonts w:hint="eastAsia" w:cs="Times New Roman"/>
                <w:b/>
                <w:color w:val="auto"/>
                <w:kern w:val="0"/>
                <w:szCs w:val="21"/>
                <w:highlight w:val="none"/>
                <w:lang w:val="en-US" w:eastAsia="zh-CN"/>
              </w:rPr>
              <w:t>4</w:t>
            </w:r>
            <w:r>
              <w:rPr>
                <w:rFonts w:hint="default" w:ascii="Times New Roman" w:hAnsi="Times New Roman" w:eastAsia="宋体" w:cs="Times New Roman"/>
                <w:b/>
                <w:color w:val="auto"/>
                <w:kern w:val="0"/>
                <w:szCs w:val="21"/>
              </w:rPr>
              <w:t xml:space="preserve"> </w:t>
            </w:r>
            <w:r>
              <w:rPr>
                <w:rFonts w:hint="eastAsia" w:ascii="Times New Roman" w:hAnsi="Times New Roman" w:eastAsia="宋体" w:cs="Times New Roman"/>
                <w:b/>
                <w:color w:val="auto"/>
                <w:kern w:val="0"/>
                <w:szCs w:val="21"/>
                <w:lang w:val="en-US" w:eastAsia="zh-CN"/>
              </w:rPr>
              <w:t xml:space="preserve"> </w:t>
            </w:r>
            <w:r>
              <w:rPr>
                <w:rFonts w:hint="default" w:ascii="Times New Roman" w:hAnsi="Times New Roman" w:eastAsia="宋体" w:cs="Times New Roman"/>
                <w:b/>
                <w:color w:val="auto"/>
                <w:kern w:val="0"/>
                <w:szCs w:val="21"/>
              </w:rPr>
              <w:t>土壤环境质量标准值（单位：mg/kg）</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59"/>
              <w:gridCol w:w="1804"/>
              <w:gridCol w:w="1695"/>
              <w:gridCol w:w="1190"/>
              <w:gridCol w:w="1191"/>
              <w:gridCol w:w="1091"/>
              <w:gridCol w:w="1091"/>
            </w:tblGrid>
            <w:tr w14:paraId="59CCE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324" w:type="pct"/>
                  <w:vMerge w:val="restart"/>
                  <w:tcBorders>
                    <w:tl2br w:val="nil"/>
                    <w:tr2bl w:val="nil"/>
                  </w:tcBorders>
                  <w:noWrap w:val="0"/>
                  <w:vAlign w:val="center"/>
                </w:tcPr>
                <w:p w14:paraId="4BDEB8C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序号</w:t>
                  </w:r>
                </w:p>
              </w:tc>
              <w:tc>
                <w:tcPr>
                  <w:tcW w:w="1046" w:type="pct"/>
                  <w:vMerge w:val="restart"/>
                  <w:tcBorders>
                    <w:tl2br w:val="nil"/>
                    <w:tr2bl w:val="nil"/>
                  </w:tcBorders>
                  <w:noWrap w:val="0"/>
                  <w:vAlign w:val="center"/>
                </w:tcPr>
                <w:p w14:paraId="6FC539B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污染物项目</w:t>
                  </w:r>
                </w:p>
              </w:tc>
              <w:tc>
                <w:tcPr>
                  <w:tcW w:w="983" w:type="pct"/>
                  <w:vMerge w:val="restart"/>
                  <w:tcBorders>
                    <w:tl2br w:val="nil"/>
                    <w:tr2bl w:val="nil"/>
                  </w:tcBorders>
                  <w:noWrap w:val="0"/>
                  <w:vAlign w:val="center"/>
                </w:tcPr>
                <w:p w14:paraId="0159914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Cas编号</w:t>
                  </w:r>
                </w:p>
              </w:tc>
              <w:tc>
                <w:tcPr>
                  <w:tcW w:w="1381" w:type="pct"/>
                  <w:gridSpan w:val="2"/>
                  <w:tcBorders>
                    <w:tl2br w:val="nil"/>
                    <w:tr2bl w:val="nil"/>
                  </w:tcBorders>
                  <w:noWrap w:val="0"/>
                  <w:vAlign w:val="center"/>
                </w:tcPr>
                <w:p w14:paraId="6C08264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筛选值</w:t>
                  </w:r>
                </w:p>
              </w:tc>
              <w:tc>
                <w:tcPr>
                  <w:tcW w:w="1264" w:type="pct"/>
                  <w:gridSpan w:val="2"/>
                  <w:tcBorders>
                    <w:tl2br w:val="nil"/>
                    <w:tr2bl w:val="nil"/>
                  </w:tcBorders>
                  <w:noWrap w:val="0"/>
                  <w:vAlign w:val="center"/>
                </w:tcPr>
                <w:p w14:paraId="3D109E8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管制值</w:t>
                  </w:r>
                </w:p>
              </w:tc>
            </w:tr>
            <w:tr w14:paraId="3228E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6" w:hRule="atLeast"/>
                <w:tblHeader/>
                <w:jc w:val="center"/>
              </w:trPr>
              <w:tc>
                <w:tcPr>
                  <w:tcW w:w="324" w:type="pct"/>
                  <w:vMerge w:val="continue"/>
                  <w:tcBorders>
                    <w:tl2br w:val="nil"/>
                    <w:tr2bl w:val="nil"/>
                  </w:tcBorders>
                  <w:shd w:val="clear" w:color="auto" w:fill="auto"/>
                  <w:noWrap w:val="0"/>
                  <w:vAlign w:val="center"/>
                </w:tcPr>
                <w:p w14:paraId="6CE0E02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p>
              </w:tc>
              <w:tc>
                <w:tcPr>
                  <w:tcW w:w="1046" w:type="pct"/>
                  <w:vMerge w:val="continue"/>
                  <w:tcBorders>
                    <w:tl2br w:val="nil"/>
                    <w:tr2bl w:val="nil"/>
                  </w:tcBorders>
                  <w:shd w:val="clear" w:color="auto" w:fill="auto"/>
                  <w:noWrap w:val="0"/>
                  <w:vAlign w:val="center"/>
                </w:tcPr>
                <w:p w14:paraId="4583BB3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p>
              </w:tc>
              <w:tc>
                <w:tcPr>
                  <w:tcW w:w="983" w:type="pct"/>
                  <w:vMerge w:val="continue"/>
                  <w:tcBorders>
                    <w:tl2br w:val="nil"/>
                    <w:tr2bl w:val="nil"/>
                  </w:tcBorders>
                  <w:shd w:val="clear" w:color="auto" w:fill="auto"/>
                  <w:noWrap w:val="0"/>
                  <w:vAlign w:val="center"/>
                </w:tcPr>
                <w:p w14:paraId="2881E8D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p>
              </w:tc>
              <w:tc>
                <w:tcPr>
                  <w:tcW w:w="690" w:type="pct"/>
                  <w:tcBorders>
                    <w:tl2br w:val="nil"/>
                    <w:tr2bl w:val="nil"/>
                  </w:tcBorders>
                  <w:shd w:val="clear" w:color="auto" w:fill="auto"/>
                  <w:noWrap w:val="0"/>
                  <w:vAlign w:val="center"/>
                </w:tcPr>
                <w:p w14:paraId="19BA3D1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第一类用地</w:t>
                  </w:r>
                </w:p>
              </w:tc>
              <w:tc>
                <w:tcPr>
                  <w:tcW w:w="690" w:type="pct"/>
                  <w:tcBorders>
                    <w:tl2br w:val="nil"/>
                    <w:tr2bl w:val="nil"/>
                  </w:tcBorders>
                  <w:shd w:val="clear" w:color="auto" w:fill="FBD4B4"/>
                  <w:noWrap w:val="0"/>
                  <w:vAlign w:val="center"/>
                </w:tcPr>
                <w:p w14:paraId="55F2364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第二类用地</w:t>
                  </w:r>
                </w:p>
              </w:tc>
              <w:tc>
                <w:tcPr>
                  <w:tcW w:w="633" w:type="pct"/>
                  <w:tcBorders>
                    <w:tl2br w:val="nil"/>
                    <w:tr2bl w:val="nil"/>
                  </w:tcBorders>
                  <w:noWrap w:val="0"/>
                  <w:vAlign w:val="center"/>
                </w:tcPr>
                <w:p w14:paraId="7602AEE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第一类用地</w:t>
                  </w:r>
                </w:p>
              </w:tc>
              <w:tc>
                <w:tcPr>
                  <w:tcW w:w="630" w:type="pct"/>
                  <w:tcBorders>
                    <w:tl2br w:val="nil"/>
                    <w:tr2bl w:val="nil"/>
                  </w:tcBorders>
                  <w:noWrap w:val="0"/>
                  <w:vAlign w:val="center"/>
                </w:tcPr>
                <w:p w14:paraId="1BFB146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第二类用地</w:t>
                  </w:r>
                </w:p>
              </w:tc>
            </w:tr>
            <w:tr w14:paraId="77BC8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000" w:type="pct"/>
                  <w:gridSpan w:val="7"/>
                  <w:tcBorders>
                    <w:tl2br w:val="nil"/>
                    <w:tr2bl w:val="nil"/>
                  </w:tcBorders>
                  <w:noWrap w:val="0"/>
                  <w:vAlign w:val="center"/>
                </w:tcPr>
                <w:p w14:paraId="5DACEF4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重金属和无机物</w:t>
                  </w:r>
                </w:p>
              </w:tc>
            </w:tr>
            <w:tr w14:paraId="0F0AD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19107A4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1046" w:type="pct"/>
                  <w:tcBorders>
                    <w:tl2br w:val="nil"/>
                    <w:tr2bl w:val="nil"/>
                  </w:tcBorders>
                  <w:noWrap w:val="0"/>
                  <w:vAlign w:val="center"/>
                </w:tcPr>
                <w:p w14:paraId="7E59ECE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砷</w:t>
                  </w:r>
                </w:p>
              </w:tc>
              <w:tc>
                <w:tcPr>
                  <w:tcW w:w="983" w:type="pct"/>
                  <w:tcBorders>
                    <w:tl2br w:val="nil"/>
                    <w:tr2bl w:val="nil"/>
                  </w:tcBorders>
                  <w:noWrap w:val="0"/>
                  <w:vAlign w:val="center"/>
                </w:tcPr>
                <w:p w14:paraId="6F11778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7440-38-2</w:t>
                  </w:r>
                </w:p>
              </w:tc>
              <w:tc>
                <w:tcPr>
                  <w:tcW w:w="690" w:type="pct"/>
                  <w:tcBorders>
                    <w:tl2br w:val="nil"/>
                    <w:tr2bl w:val="nil"/>
                  </w:tcBorders>
                  <w:noWrap w:val="0"/>
                  <w:vAlign w:val="center"/>
                </w:tcPr>
                <w:p w14:paraId="50BFC30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690" w:type="pct"/>
                  <w:tcBorders>
                    <w:tl2br w:val="nil"/>
                    <w:tr2bl w:val="nil"/>
                  </w:tcBorders>
                  <w:noWrap w:val="0"/>
                  <w:vAlign w:val="center"/>
                </w:tcPr>
                <w:p w14:paraId="7465E33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c>
                <w:tcPr>
                  <w:tcW w:w="633" w:type="pct"/>
                  <w:tcBorders>
                    <w:tl2br w:val="nil"/>
                    <w:tr2bl w:val="nil"/>
                  </w:tcBorders>
                  <w:noWrap w:val="0"/>
                  <w:vAlign w:val="center"/>
                </w:tcPr>
                <w:p w14:paraId="37053C0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w:t>
                  </w:r>
                </w:p>
              </w:tc>
              <w:tc>
                <w:tcPr>
                  <w:tcW w:w="630" w:type="pct"/>
                  <w:tcBorders>
                    <w:tl2br w:val="nil"/>
                    <w:tr2bl w:val="nil"/>
                  </w:tcBorders>
                  <w:noWrap w:val="0"/>
                  <w:vAlign w:val="center"/>
                </w:tcPr>
                <w:p w14:paraId="730148D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140</w:t>
                  </w:r>
                </w:p>
              </w:tc>
            </w:tr>
            <w:tr w14:paraId="421D2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B8AB3B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1046" w:type="pct"/>
                  <w:tcBorders>
                    <w:tl2br w:val="nil"/>
                    <w:tr2bl w:val="nil"/>
                  </w:tcBorders>
                  <w:noWrap w:val="0"/>
                  <w:vAlign w:val="center"/>
                </w:tcPr>
                <w:p w14:paraId="52BD02E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镉</w:t>
                  </w:r>
                </w:p>
              </w:tc>
              <w:tc>
                <w:tcPr>
                  <w:tcW w:w="983" w:type="pct"/>
                  <w:tcBorders>
                    <w:tl2br w:val="nil"/>
                    <w:tr2bl w:val="nil"/>
                  </w:tcBorders>
                  <w:noWrap w:val="0"/>
                  <w:vAlign w:val="center"/>
                </w:tcPr>
                <w:p w14:paraId="4E35BB7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7440-43-9</w:t>
                  </w:r>
                </w:p>
              </w:tc>
              <w:tc>
                <w:tcPr>
                  <w:tcW w:w="690" w:type="pct"/>
                  <w:tcBorders>
                    <w:tl2br w:val="nil"/>
                    <w:tr2bl w:val="nil"/>
                  </w:tcBorders>
                  <w:noWrap w:val="0"/>
                  <w:vAlign w:val="center"/>
                </w:tcPr>
                <w:p w14:paraId="0F1C957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690" w:type="pct"/>
                  <w:tcBorders>
                    <w:tl2br w:val="nil"/>
                    <w:tr2bl w:val="nil"/>
                  </w:tcBorders>
                  <w:noWrap w:val="0"/>
                  <w:vAlign w:val="center"/>
                </w:tcPr>
                <w:p w14:paraId="279D192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65</w:t>
                  </w:r>
                </w:p>
              </w:tc>
              <w:tc>
                <w:tcPr>
                  <w:tcW w:w="633" w:type="pct"/>
                  <w:tcBorders>
                    <w:tl2br w:val="nil"/>
                    <w:tr2bl w:val="nil"/>
                  </w:tcBorders>
                  <w:noWrap w:val="0"/>
                  <w:vAlign w:val="center"/>
                </w:tcPr>
                <w:p w14:paraId="28DBD77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47</w:t>
                  </w:r>
                </w:p>
              </w:tc>
              <w:tc>
                <w:tcPr>
                  <w:tcW w:w="630" w:type="pct"/>
                  <w:tcBorders>
                    <w:tl2br w:val="nil"/>
                    <w:tr2bl w:val="nil"/>
                  </w:tcBorders>
                  <w:noWrap w:val="0"/>
                  <w:vAlign w:val="center"/>
                </w:tcPr>
                <w:p w14:paraId="19811B3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172</w:t>
                  </w:r>
                </w:p>
              </w:tc>
            </w:tr>
            <w:tr w14:paraId="135DC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4A753E0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1046" w:type="pct"/>
                  <w:tcBorders>
                    <w:tl2br w:val="nil"/>
                    <w:tr2bl w:val="nil"/>
                  </w:tcBorders>
                  <w:noWrap w:val="0"/>
                  <w:vAlign w:val="center"/>
                </w:tcPr>
                <w:p w14:paraId="0975669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铬（六价）</w:t>
                  </w:r>
                </w:p>
              </w:tc>
              <w:tc>
                <w:tcPr>
                  <w:tcW w:w="983" w:type="pct"/>
                  <w:tcBorders>
                    <w:tl2br w:val="nil"/>
                    <w:tr2bl w:val="nil"/>
                  </w:tcBorders>
                  <w:noWrap w:val="0"/>
                  <w:vAlign w:val="center"/>
                </w:tcPr>
                <w:p w14:paraId="7970CEC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18540-29-9</w:t>
                  </w:r>
                </w:p>
              </w:tc>
              <w:tc>
                <w:tcPr>
                  <w:tcW w:w="690" w:type="pct"/>
                  <w:tcBorders>
                    <w:tl2br w:val="nil"/>
                    <w:tr2bl w:val="nil"/>
                  </w:tcBorders>
                  <w:noWrap w:val="0"/>
                  <w:vAlign w:val="center"/>
                </w:tcPr>
                <w:p w14:paraId="1BD1F66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90" w:type="pct"/>
                  <w:tcBorders>
                    <w:tl2br w:val="nil"/>
                    <w:tr2bl w:val="nil"/>
                  </w:tcBorders>
                  <w:noWrap w:val="0"/>
                  <w:vAlign w:val="center"/>
                </w:tcPr>
                <w:p w14:paraId="51396F6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w:t>
                  </w:r>
                </w:p>
              </w:tc>
              <w:tc>
                <w:tcPr>
                  <w:tcW w:w="633" w:type="pct"/>
                  <w:tcBorders>
                    <w:tl2br w:val="nil"/>
                    <w:tr2bl w:val="nil"/>
                  </w:tcBorders>
                  <w:noWrap w:val="0"/>
                  <w:vAlign w:val="center"/>
                </w:tcPr>
                <w:p w14:paraId="358A78E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630" w:type="pct"/>
                  <w:tcBorders>
                    <w:tl2br w:val="nil"/>
                    <w:tr2bl w:val="nil"/>
                  </w:tcBorders>
                  <w:noWrap w:val="0"/>
                  <w:vAlign w:val="center"/>
                </w:tcPr>
                <w:p w14:paraId="21DD2B1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78</w:t>
                  </w:r>
                </w:p>
              </w:tc>
            </w:tr>
            <w:tr w14:paraId="76C29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3031E64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1046" w:type="pct"/>
                  <w:tcBorders>
                    <w:tl2br w:val="nil"/>
                    <w:tr2bl w:val="nil"/>
                  </w:tcBorders>
                  <w:noWrap w:val="0"/>
                  <w:vAlign w:val="center"/>
                </w:tcPr>
                <w:p w14:paraId="15D129D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铜</w:t>
                  </w:r>
                </w:p>
              </w:tc>
              <w:tc>
                <w:tcPr>
                  <w:tcW w:w="983" w:type="pct"/>
                  <w:tcBorders>
                    <w:tl2br w:val="nil"/>
                    <w:tr2bl w:val="nil"/>
                  </w:tcBorders>
                  <w:noWrap w:val="0"/>
                  <w:vAlign w:val="center"/>
                </w:tcPr>
                <w:p w14:paraId="5B15BB8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7440-50-8</w:t>
                  </w:r>
                </w:p>
              </w:tc>
              <w:tc>
                <w:tcPr>
                  <w:tcW w:w="690" w:type="pct"/>
                  <w:tcBorders>
                    <w:tl2br w:val="nil"/>
                    <w:tr2bl w:val="nil"/>
                  </w:tcBorders>
                  <w:noWrap w:val="0"/>
                  <w:vAlign w:val="center"/>
                </w:tcPr>
                <w:p w14:paraId="3E81BF3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2000</w:t>
                  </w:r>
                </w:p>
              </w:tc>
              <w:tc>
                <w:tcPr>
                  <w:tcW w:w="690" w:type="pct"/>
                  <w:tcBorders>
                    <w:tl2br w:val="nil"/>
                    <w:tr2bl w:val="nil"/>
                  </w:tcBorders>
                  <w:noWrap w:val="0"/>
                  <w:vAlign w:val="center"/>
                </w:tcPr>
                <w:p w14:paraId="1901F9A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18000</w:t>
                  </w:r>
                </w:p>
              </w:tc>
              <w:tc>
                <w:tcPr>
                  <w:tcW w:w="633" w:type="pct"/>
                  <w:tcBorders>
                    <w:tl2br w:val="nil"/>
                    <w:tr2bl w:val="nil"/>
                  </w:tcBorders>
                  <w:noWrap w:val="0"/>
                  <w:vAlign w:val="center"/>
                </w:tcPr>
                <w:p w14:paraId="1281921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8000</w:t>
                  </w:r>
                </w:p>
              </w:tc>
              <w:tc>
                <w:tcPr>
                  <w:tcW w:w="630" w:type="pct"/>
                  <w:tcBorders>
                    <w:tl2br w:val="nil"/>
                    <w:tr2bl w:val="nil"/>
                  </w:tcBorders>
                  <w:noWrap w:val="0"/>
                  <w:vAlign w:val="center"/>
                </w:tcPr>
                <w:p w14:paraId="4F416C0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36000</w:t>
                  </w:r>
                </w:p>
              </w:tc>
            </w:tr>
            <w:tr w14:paraId="7715F5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088AEF9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1046" w:type="pct"/>
                  <w:tcBorders>
                    <w:tl2br w:val="nil"/>
                    <w:tr2bl w:val="nil"/>
                  </w:tcBorders>
                  <w:noWrap w:val="0"/>
                  <w:vAlign w:val="center"/>
                </w:tcPr>
                <w:p w14:paraId="67FB7C6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铅</w:t>
                  </w:r>
                </w:p>
              </w:tc>
              <w:tc>
                <w:tcPr>
                  <w:tcW w:w="983" w:type="pct"/>
                  <w:tcBorders>
                    <w:tl2br w:val="nil"/>
                    <w:tr2bl w:val="nil"/>
                  </w:tcBorders>
                  <w:noWrap w:val="0"/>
                  <w:vAlign w:val="center"/>
                </w:tcPr>
                <w:p w14:paraId="74346B4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7439-92-1</w:t>
                  </w:r>
                </w:p>
              </w:tc>
              <w:tc>
                <w:tcPr>
                  <w:tcW w:w="690" w:type="pct"/>
                  <w:tcBorders>
                    <w:tl2br w:val="nil"/>
                    <w:tr2bl w:val="nil"/>
                  </w:tcBorders>
                  <w:noWrap w:val="0"/>
                  <w:vAlign w:val="center"/>
                </w:tcPr>
                <w:p w14:paraId="7BFA0F3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400</w:t>
                  </w:r>
                </w:p>
              </w:tc>
              <w:tc>
                <w:tcPr>
                  <w:tcW w:w="690" w:type="pct"/>
                  <w:tcBorders>
                    <w:tl2br w:val="nil"/>
                    <w:tr2bl w:val="nil"/>
                  </w:tcBorders>
                  <w:noWrap w:val="0"/>
                  <w:vAlign w:val="center"/>
                </w:tcPr>
                <w:p w14:paraId="0C024C7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c>
                <w:tcPr>
                  <w:tcW w:w="633" w:type="pct"/>
                  <w:tcBorders>
                    <w:tl2br w:val="nil"/>
                    <w:tr2bl w:val="nil"/>
                  </w:tcBorders>
                  <w:noWrap w:val="0"/>
                  <w:vAlign w:val="center"/>
                </w:tcPr>
                <w:p w14:paraId="55480D0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800</w:t>
                  </w:r>
                </w:p>
              </w:tc>
              <w:tc>
                <w:tcPr>
                  <w:tcW w:w="630" w:type="pct"/>
                  <w:tcBorders>
                    <w:tl2br w:val="nil"/>
                    <w:tr2bl w:val="nil"/>
                  </w:tcBorders>
                  <w:noWrap w:val="0"/>
                  <w:vAlign w:val="center"/>
                </w:tcPr>
                <w:p w14:paraId="3528473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2500</w:t>
                  </w:r>
                </w:p>
              </w:tc>
            </w:tr>
            <w:tr w14:paraId="6CD2C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7DB9719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1046" w:type="pct"/>
                  <w:tcBorders>
                    <w:tl2br w:val="nil"/>
                    <w:tr2bl w:val="nil"/>
                  </w:tcBorders>
                  <w:noWrap w:val="0"/>
                  <w:vAlign w:val="center"/>
                </w:tcPr>
                <w:p w14:paraId="68F6ED0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汞</w:t>
                  </w:r>
                </w:p>
              </w:tc>
              <w:tc>
                <w:tcPr>
                  <w:tcW w:w="983" w:type="pct"/>
                  <w:tcBorders>
                    <w:tl2br w:val="nil"/>
                    <w:tr2bl w:val="nil"/>
                  </w:tcBorders>
                  <w:noWrap w:val="0"/>
                  <w:vAlign w:val="center"/>
                </w:tcPr>
                <w:p w14:paraId="12D6E4D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7439-97-6</w:t>
                  </w:r>
                </w:p>
              </w:tc>
              <w:tc>
                <w:tcPr>
                  <w:tcW w:w="690" w:type="pct"/>
                  <w:tcBorders>
                    <w:tl2br w:val="nil"/>
                    <w:tr2bl w:val="nil"/>
                  </w:tcBorders>
                  <w:noWrap w:val="0"/>
                  <w:vAlign w:val="center"/>
                </w:tcPr>
                <w:p w14:paraId="791B3AE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690" w:type="pct"/>
                  <w:tcBorders>
                    <w:tl2br w:val="nil"/>
                    <w:tr2bl w:val="nil"/>
                  </w:tcBorders>
                  <w:noWrap w:val="0"/>
                  <w:vAlign w:val="center"/>
                </w:tcPr>
                <w:p w14:paraId="3B8D3FE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c>
                <w:tcPr>
                  <w:tcW w:w="633" w:type="pct"/>
                  <w:tcBorders>
                    <w:tl2br w:val="nil"/>
                    <w:tr2bl w:val="nil"/>
                  </w:tcBorders>
                  <w:noWrap w:val="0"/>
                  <w:vAlign w:val="center"/>
                </w:tcPr>
                <w:p w14:paraId="3E69440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w:t>
                  </w:r>
                </w:p>
              </w:tc>
              <w:tc>
                <w:tcPr>
                  <w:tcW w:w="630" w:type="pct"/>
                  <w:tcBorders>
                    <w:tl2br w:val="nil"/>
                    <w:tr2bl w:val="nil"/>
                  </w:tcBorders>
                  <w:noWrap w:val="0"/>
                  <w:vAlign w:val="center"/>
                </w:tcPr>
                <w:p w14:paraId="4A6351E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82</w:t>
                  </w:r>
                </w:p>
              </w:tc>
            </w:tr>
            <w:tr w14:paraId="0C7007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4F4B541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1046" w:type="pct"/>
                  <w:tcBorders>
                    <w:tl2br w:val="nil"/>
                    <w:tr2bl w:val="nil"/>
                  </w:tcBorders>
                  <w:noWrap w:val="0"/>
                  <w:vAlign w:val="center"/>
                </w:tcPr>
                <w:p w14:paraId="4F890B0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镍</w:t>
                  </w:r>
                </w:p>
              </w:tc>
              <w:tc>
                <w:tcPr>
                  <w:tcW w:w="983" w:type="pct"/>
                  <w:tcBorders>
                    <w:tl2br w:val="nil"/>
                    <w:tr2bl w:val="nil"/>
                  </w:tcBorders>
                  <w:noWrap w:val="0"/>
                  <w:vAlign w:val="center"/>
                </w:tcPr>
                <w:p w14:paraId="177CA04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7440-02-0</w:t>
                  </w:r>
                </w:p>
              </w:tc>
              <w:tc>
                <w:tcPr>
                  <w:tcW w:w="690" w:type="pct"/>
                  <w:tcBorders>
                    <w:tl2br w:val="nil"/>
                    <w:tr2bl w:val="nil"/>
                  </w:tcBorders>
                  <w:noWrap w:val="0"/>
                  <w:vAlign w:val="center"/>
                </w:tcPr>
                <w:p w14:paraId="2F63EE7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w:t>
                  </w:r>
                </w:p>
              </w:tc>
              <w:tc>
                <w:tcPr>
                  <w:tcW w:w="690" w:type="pct"/>
                  <w:tcBorders>
                    <w:tl2br w:val="nil"/>
                    <w:tr2bl w:val="nil"/>
                  </w:tcBorders>
                  <w:noWrap w:val="0"/>
                  <w:vAlign w:val="center"/>
                </w:tcPr>
                <w:p w14:paraId="2BA4340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900</w:t>
                  </w:r>
                </w:p>
              </w:tc>
              <w:tc>
                <w:tcPr>
                  <w:tcW w:w="633" w:type="pct"/>
                  <w:tcBorders>
                    <w:tl2br w:val="nil"/>
                    <w:tr2bl w:val="nil"/>
                  </w:tcBorders>
                  <w:noWrap w:val="0"/>
                  <w:vAlign w:val="center"/>
                </w:tcPr>
                <w:p w14:paraId="13FAAB3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600</w:t>
                  </w:r>
                </w:p>
              </w:tc>
              <w:tc>
                <w:tcPr>
                  <w:tcW w:w="630" w:type="pct"/>
                  <w:tcBorders>
                    <w:tl2br w:val="nil"/>
                    <w:tr2bl w:val="nil"/>
                  </w:tcBorders>
                  <w:noWrap w:val="0"/>
                  <w:vAlign w:val="center"/>
                </w:tcPr>
                <w:p w14:paraId="085B5AC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2000</w:t>
                  </w:r>
                </w:p>
              </w:tc>
            </w:tr>
            <w:tr w14:paraId="6DE39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000" w:type="pct"/>
                  <w:gridSpan w:val="7"/>
                  <w:tcBorders>
                    <w:tl2br w:val="nil"/>
                    <w:tr2bl w:val="nil"/>
                  </w:tcBorders>
                  <w:noWrap w:val="0"/>
                  <w:vAlign w:val="center"/>
                </w:tcPr>
                <w:p w14:paraId="77E8946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挥发性有机物</w:t>
                  </w:r>
                </w:p>
              </w:tc>
            </w:tr>
            <w:tr w14:paraId="23E6F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6D58519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p>
              </w:tc>
              <w:tc>
                <w:tcPr>
                  <w:tcW w:w="1046" w:type="pct"/>
                  <w:tcBorders>
                    <w:tl2br w:val="nil"/>
                    <w:tr2bl w:val="nil"/>
                  </w:tcBorders>
                  <w:noWrap w:val="0"/>
                  <w:vAlign w:val="center"/>
                </w:tcPr>
                <w:p w14:paraId="41C9383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四氯化碳</w:t>
                  </w:r>
                </w:p>
              </w:tc>
              <w:tc>
                <w:tcPr>
                  <w:tcW w:w="983" w:type="pct"/>
                  <w:tcBorders>
                    <w:tl2br w:val="nil"/>
                    <w:tr2bl w:val="nil"/>
                  </w:tcBorders>
                  <w:noWrap w:val="0"/>
                  <w:vAlign w:val="center"/>
                </w:tcPr>
                <w:p w14:paraId="5DB4346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56-23-5</w:t>
                  </w:r>
                </w:p>
              </w:tc>
              <w:tc>
                <w:tcPr>
                  <w:tcW w:w="690" w:type="pct"/>
                  <w:tcBorders>
                    <w:tl2br w:val="nil"/>
                    <w:tr2bl w:val="nil"/>
                  </w:tcBorders>
                  <w:noWrap w:val="0"/>
                  <w:vAlign w:val="center"/>
                </w:tcPr>
                <w:p w14:paraId="215841A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c>
                <w:tcPr>
                  <w:tcW w:w="690" w:type="pct"/>
                  <w:tcBorders>
                    <w:tl2br w:val="nil"/>
                    <w:tr2bl w:val="nil"/>
                  </w:tcBorders>
                  <w:noWrap w:val="0"/>
                  <w:vAlign w:val="center"/>
                </w:tcPr>
                <w:p w14:paraId="10FEDC5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c>
                <w:tcPr>
                  <w:tcW w:w="633" w:type="pct"/>
                  <w:tcBorders>
                    <w:tl2br w:val="nil"/>
                    <w:tr2bl w:val="nil"/>
                  </w:tcBorders>
                  <w:noWrap w:val="0"/>
                  <w:vAlign w:val="center"/>
                </w:tcPr>
                <w:p w14:paraId="306900F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630" w:type="pct"/>
                  <w:tcBorders>
                    <w:tl2br w:val="nil"/>
                    <w:tr2bl w:val="nil"/>
                  </w:tcBorders>
                  <w:noWrap w:val="0"/>
                  <w:vAlign w:val="center"/>
                </w:tcPr>
                <w:p w14:paraId="27CB0C5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36</w:t>
                  </w:r>
                </w:p>
              </w:tc>
            </w:tr>
            <w:tr w14:paraId="516AE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4C624E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1046" w:type="pct"/>
                  <w:tcBorders>
                    <w:tl2br w:val="nil"/>
                    <w:tr2bl w:val="nil"/>
                  </w:tcBorders>
                  <w:noWrap w:val="0"/>
                  <w:vAlign w:val="center"/>
                </w:tcPr>
                <w:p w14:paraId="2334A32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氯仿</w:t>
                  </w:r>
                </w:p>
              </w:tc>
              <w:tc>
                <w:tcPr>
                  <w:tcW w:w="983" w:type="pct"/>
                  <w:tcBorders>
                    <w:tl2br w:val="nil"/>
                    <w:tr2bl w:val="nil"/>
                  </w:tcBorders>
                  <w:noWrap w:val="0"/>
                  <w:vAlign w:val="center"/>
                </w:tcPr>
                <w:p w14:paraId="2BC9008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67-66-3</w:t>
                  </w:r>
                </w:p>
              </w:tc>
              <w:tc>
                <w:tcPr>
                  <w:tcW w:w="690" w:type="pct"/>
                  <w:tcBorders>
                    <w:tl2br w:val="nil"/>
                    <w:tr2bl w:val="nil"/>
                  </w:tcBorders>
                  <w:noWrap w:val="0"/>
                  <w:vAlign w:val="center"/>
                </w:tcPr>
                <w:p w14:paraId="497D42B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0.3</w:t>
                  </w:r>
                </w:p>
              </w:tc>
              <w:tc>
                <w:tcPr>
                  <w:tcW w:w="690" w:type="pct"/>
                  <w:tcBorders>
                    <w:tl2br w:val="nil"/>
                    <w:tr2bl w:val="nil"/>
                  </w:tcBorders>
                  <w:noWrap w:val="0"/>
                  <w:vAlign w:val="center"/>
                </w:tcPr>
                <w:p w14:paraId="3C039C5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0.9</w:t>
                  </w:r>
                </w:p>
              </w:tc>
              <w:tc>
                <w:tcPr>
                  <w:tcW w:w="633" w:type="pct"/>
                  <w:tcBorders>
                    <w:tl2br w:val="nil"/>
                    <w:tr2bl w:val="nil"/>
                  </w:tcBorders>
                  <w:noWrap w:val="0"/>
                  <w:vAlign w:val="center"/>
                </w:tcPr>
                <w:p w14:paraId="4E8DCF9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30" w:type="pct"/>
                  <w:tcBorders>
                    <w:tl2br w:val="nil"/>
                    <w:tr2bl w:val="nil"/>
                  </w:tcBorders>
                  <w:noWrap w:val="0"/>
                  <w:vAlign w:val="center"/>
                </w:tcPr>
                <w:p w14:paraId="70E381E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r w14:paraId="7ED9B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145197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1046" w:type="pct"/>
                  <w:tcBorders>
                    <w:tl2br w:val="nil"/>
                    <w:tr2bl w:val="nil"/>
                  </w:tcBorders>
                  <w:noWrap w:val="0"/>
                  <w:vAlign w:val="center"/>
                </w:tcPr>
                <w:p w14:paraId="77466A3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氯甲烷</w:t>
                  </w:r>
                </w:p>
              </w:tc>
              <w:tc>
                <w:tcPr>
                  <w:tcW w:w="983" w:type="pct"/>
                  <w:tcBorders>
                    <w:tl2br w:val="nil"/>
                    <w:tr2bl w:val="nil"/>
                  </w:tcBorders>
                  <w:noWrap w:val="0"/>
                  <w:vAlign w:val="center"/>
                </w:tcPr>
                <w:p w14:paraId="7AC2A61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74-87-3</w:t>
                  </w:r>
                </w:p>
              </w:tc>
              <w:tc>
                <w:tcPr>
                  <w:tcW w:w="690" w:type="pct"/>
                  <w:tcBorders>
                    <w:tl2br w:val="nil"/>
                    <w:tr2bl w:val="nil"/>
                  </w:tcBorders>
                  <w:noWrap w:val="0"/>
                  <w:vAlign w:val="center"/>
                </w:tcPr>
                <w:p w14:paraId="39E39DD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690" w:type="pct"/>
                  <w:tcBorders>
                    <w:tl2br w:val="nil"/>
                    <w:tr2bl w:val="nil"/>
                  </w:tcBorders>
                  <w:noWrap w:val="0"/>
                  <w:vAlign w:val="center"/>
                </w:tcPr>
                <w:p w14:paraId="60B6C4B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c>
                <w:tcPr>
                  <w:tcW w:w="633" w:type="pct"/>
                  <w:tcBorders>
                    <w:tl2br w:val="nil"/>
                    <w:tr2bl w:val="nil"/>
                  </w:tcBorders>
                  <w:noWrap w:val="0"/>
                  <w:vAlign w:val="center"/>
                </w:tcPr>
                <w:p w14:paraId="37BF62D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630" w:type="pct"/>
                  <w:tcBorders>
                    <w:tl2br w:val="nil"/>
                    <w:tr2bl w:val="nil"/>
                  </w:tcBorders>
                  <w:noWrap w:val="0"/>
                  <w:vAlign w:val="center"/>
                </w:tcPr>
                <w:p w14:paraId="30C10AF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w:t>
                  </w:r>
                </w:p>
              </w:tc>
            </w:tr>
            <w:tr w14:paraId="244266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47C11A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1046" w:type="pct"/>
                  <w:tcBorders>
                    <w:tl2br w:val="nil"/>
                    <w:tr2bl w:val="nil"/>
                  </w:tcBorders>
                  <w:noWrap w:val="0"/>
                  <w:vAlign w:val="center"/>
                </w:tcPr>
                <w:p w14:paraId="6C308ED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1，1-二氯乙烷</w:t>
                  </w:r>
                </w:p>
              </w:tc>
              <w:tc>
                <w:tcPr>
                  <w:tcW w:w="983" w:type="pct"/>
                  <w:tcBorders>
                    <w:tl2br w:val="nil"/>
                    <w:tr2bl w:val="nil"/>
                  </w:tcBorders>
                  <w:noWrap w:val="0"/>
                  <w:vAlign w:val="center"/>
                </w:tcPr>
                <w:p w14:paraId="77D6C69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75-34-3</w:t>
                  </w:r>
                </w:p>
              </w:tc>
              <w:tc>
                <w:tcPr>
                  <w:tcW w:w="690" w:type="pct"/>
                  <w:tcBorders>
                    <w:tl2br w:val="nil"/>
                    <w:tr2bl w:val="nil"/>
                  </w:tcBorders>
                  <w:noWrap w:val="0"/>
                  <w:vAlign w:val="center"/>
                </w:tcPr>
                <w:p w14:paraId="19D1351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690" w:type="pct"/>
                  <w:tcBorders>
                    <w:tl2br w:val="nil"/>
                    <w:tr2bl w:val="nil"/>
                  </w:tcBorders>
                  <w:noWrap w:val="0"/>
                  <w:vAlign w:val="center"/>
                </w:tcPr>
                <w:p w14:paraId="3DC1E69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633" w:type="pct"/>
                  <w:tcBorders>
                    <w:tl2br w:val="nil"/>
                    <w:tr2bl w:val="nil"/>
                  </w:tcBorders>
                  <w:noWrap w:val="0"/>
                  <w:vAlign w:val="center"/>
                </w:tcPr>
                <w:p w14:paraId="50C99B0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630" w:type="pct"/>
                  <w:tcBorders>
                    <w:tl2br w:val="nil"/>
                    <w:tr2bl w:val="nil"/>
                  </w:tcBorders>
                  <w:noWrap w:val="0"/>
                  <w:vAlign w:val="center"/>
                </w:tcPr>
                <w:p w14:paraId="0BD8705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r>
            <w:tr w14:paraId="7F2B4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6B2632A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1046" w:type="pct"/>
                  <w:tcBorders>
                    <w:tl2br w:val="nil"/>
                    <w:tr2bl w:val="nil"/>
                  </w:tcBorders>
                  <w:noWrap w:val="0"/>
                  <w:vAlign w:val="center"/>
                </w:tcPr>
                <w:p w14:paraId="6DC865A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1，2-二氯乙烷</w:t>
                  </w:r>
                </w:p>
              </w:tc>
              <w:tc>
                <w:tcPr>
                  <w:tcW w:w="983" w:type="pct"/>
                  <w:tcBorders>
                    <w:tl2br w:val="nil"/>
                    <w:tr2bl w:val="nil"/>
                  </w:tcBorders>
                  <w:noWrap w:val="0"/>
                  <w:vAlign w:val="center"/>
                </w:tcPr>
                <w:p w14:paraId="708B7ED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107-06-2</w:t>
                  </w:r>
                </w:p>
              </w:tc>
              <w:tc>
                <w:tcPr>
                  <w:tcW w:w="690" w:type="pct"/>
                  <w:tcBorders>
                    <w:tl2br w:val="nil"/>
                    <w:tr2bl w:val="nil"/>
                  </w:tcBorders>
                  <w:noWrap w:val="0"/>
                  <w:vAlign w:val="center"/>
                </w:tcPr>
                <w:p w14:paraId="58BBEE7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0.52</w:t>
                  </w:r>
                </w:p>
              </w:tc>
              <w:tc>
                <w:tcPr>
                  <w:tcW w:w="690" w:type="pct"/>
                  <w:tcBorders>
                    <w:tl2br w:val="nil"/>
                    <w:tr2bl w:val="nil"/>
                  </w:tcBorders>
                  <w:noWrap w:val="0"/>
                  <w:vAlign w:val="center"/>
                </w:tcPr>
                <w:p w14:paraId="4BE5E1C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33" w:type="pct"/>
                  <w:tcBorders>
                    <w:tl2br w:val="nil"/>
                    <w:tr2bl w:val="nil"/>
                  </w:tcBorders>
                  <w:noWrap w:val="0"/>
                  <w:vAlign w:val="center"/>
                </w:tcPr>
                <w:p w14:paraId="50ED604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630" w:type="pct"/>
                  <w:tcBorders>
                    <w:tl2br w:val="nil"/>
                    <w:tr2bl w:val="nil"/>
                  </w:tcBorders>
                  <w:noWrap w:val="0"/>
                  <w:vAlign w:val="center"/>
                </w:tcPr>
                <w:p w14:paraId="1DEC72F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r>
            <w:tr w14:paraId="3D1299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0421650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w:t>
                  </w:r>
                </w:p>
              </w:tc>
              <w:tc>
                <w:tcPr>
                  <w:tcW w:w="1046" w:type="pct"/>
                  <w:tcBorders>
                    <w:tl2br w:val="nil"/>
                    <w:tr2bl w:val="nil"/>
                  </w:tcBorders>
                  <w:noWrap w:val="0"/>
                  <w:vAlign w:val="center"/>
                </w:tcPr>
                <w:p w14:paraId="296A21D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1，1-二氯乙烯</w:t>
                  </w:r>
                </w:p>
              </w:tc>
              <w:tc>
                <w:tcPr>
                  <w:tcW w:w="983" w:type="pct"/>
                  <w:tcBorders>
                    <w:tl2br w:val="nil"/>
                    <w:tr2bl w:val="nil"/>
                  </w:tcBorders>
                  <w:noWrap w:val="0"/>
                  <w:vAlign w:val="center"/>
                </w:tcPr>
                <w:p w14:paraId="412DB2A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75-35-4</w:t>
                  </w:r>
                </w:p>
              </w:tc>
              <w:tc>
                <w:tcPr>
                  <w:tcW w:w="690" w:type="pct"/>
                  <w:tcBorders>
                    <w:tl2br w:val="nil"/>
                    <w:tr2bl w:val="nil"/>
                  </w:tcBorders>
                  <w:noWrap w:val="0"/>
                  <w:vAlign w:val="center"/>
                </w:tcPr>
                <w:p w14:paraId="4E0EC01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690" w:type="pct"/>
                  <w:tcBorders>
                    <w:tl2br w:val="nil"/>
                    <w:tr2bl w:val="nil"/>
                  </w:tcBorders>
                  <w:noWrap w:val="0"/>
                  <w:vAlign w:val="center"/>
                </w:tcPr>
                <w:p w14:paraId="615436E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c>
                <w:tcPr>
                  <w:tcW w:w="633" w:type="pct"/>
                  <w:tcBorders>
                    <w:tl2br w:val="nil"/>
                    <w:tr2bl w:val="nil"/>
                  </w:tcBorders>
                  <w:noWrap w:val="0"/>
                  <w:vAlign w:val="center"/>
                </w:tcPr>
                <w:p w14:paraId="5B2E2E2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630" w:type="pct"/>
                  <w:tcBorders>
                    <w:tl2br w:val="nil"/>
                    <w:tr2bl w:val="nil"/>
                  </w:tcBorders>
                  <w:noWrap w:val="0"/>
                  <w:vAlign w:val="center"/>
                </w:tcPr>
                <w:p w14:paraId="4649C93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r>
            <w:tr w14:paraId="46028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66CCF9C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1046" w:type="pct"/>
                  <w:tcBorders>
                    <w:tl2br w:val="nil"/>
                    <w:tr2bl w:val="nil"/>
                  </w:tcBorders>
                  <w:noWrap w:val="0"/>
                  <w:vAlign w:val="center"/>
                </w:tcPr>
                <w:p w14:paraId="030B18D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顺-1，2-二氯乙烯</w:t>
                  </w:r>
                </w:p>
              </w:tc>
              <w:tc>
                <w:tcPr>
                  <w:tcW w:w="983" w:type="pct"/>
                  <w:tcBorders>
                    <w:tl2br w:val="nil"/>
                    <w:tr2bl w:val="nil"/>
                  </w:tcBorders>
                  <w:noWrap w:val="0"/>
                  <w:vAlign w:val="center"/>
                </w:tcPr>
                <w:p w14:paraId="16B14EE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156-59-2</w:t>
                  </w:r>
                </w:p>
              </w:tc>
              <w:tc>
                <w:tcPr>
                  <w:tcW w:w="690" w:type="pct"/>
                  <w:tcBorders>
                    <w:tl2br w:val="nil"/>
                    <w:tr2bl w:val="nil"/>
                  </w:tcBorders>
                  <w:noWrap w:val="0"/>
                  <w:vAlign w:val="center"/>
                </w:tcPr>
                <w:p w14:paraId="31052D5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w:t>
                  </w:r>
                </w:p>
              </w:tc>
              <w:tc>
                <w:tcPr>
                  <w:tcW w:w="690" w:type="pct"/>
                  <w:tcBorders>
                    <w:tl2br w:val="nil"/>
                    <w:tr2bl w:val="nil"/>
                  </w:tcBorders>
                  <w:noWrap w:val="0"/>
                  <w:vAlign w:val="center"/>
                </w:tcPr>
                <w:p w14:paraId="78F145D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596</w:t>
                  </w:r>
                </w:p>
              </w:tc>
              <w:tc>
                <w:tcPr>
                  <w:tcW w:w="633" w:type="pct"/>
                  <w:tcBorders>
                    <w:tl2br w:val="nil"/>
                    <w:tr2bl w:val="nil"/>
                  </w:tcBorders>
                  <w:noWrap w:val="0"/>
                  <w:vAlign w:val="center"/>
                </w:tcPr>
                <w:p w14:paraId="10148CE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630" w:type="pct"/>
                  <w:tcBorders>
                    <w:tl2br w:val="nil"/>
                    <w:tr2bl w:val="nil"/>
                  </w:tcBorders>
                  <w:noWrap w:val="0"/>
                  <w:vAlign w:val="center"/>
                </w:tcPr>
                <w:p w14:paraId="06F940E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2000</w:t>
                  </w:r>
                </w:p>
              </w:tc>
            </w:tr>
            <w:tr w14:paraId="2653F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625050B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1046" w:type="pct"/>
                  <w:tcBorders>
                    <w:tl2br w:val="nil"/>
                    <w:tr2bl w:val="nil"/>
                  </w:tcBorders>
                  <w:noWrap w:val="0"/>
                  <w:vAlign w:val="center"/>
                </w:tcPr>
                <w:p w14:paraId="66BAC82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反-1，2-二氯乙烯</w:t>
                  </w:r>
                </w:p>
              </w:tc>
              <w:tc>
                <w:tcPr>
                  <w:tcW w:w="983" w:type="pct"/>
                  <w:tcBorders>
                    <w:tl2br w:val="nil"/>
                    <w:tr2bl w:val="nil"/>
                  </w:tcBorders>
                  <w:noWrap w:val="0"/>
                  <w:vAlign w:val="center"/>
                </w:tcPr>
                <w:p w14:paraId="2DFB9E6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156-60-5</w:t>
                  </w:r>
                </w:p>
              </w:tc>
              <w:tc>
                <w:tcPr>
                  <w:tcW w:w="690" w:type="pct"/>
                  <w:tcBorders>
                    <w:tl2br w:val="nil"/>
                    <w:tr2bl w:val="nil"/>
                  </w:tcBorders>
                  <w:noWrap w:val="0"/>
                  <w:vAlign w:val="center"/>
                </w:tcPr>
                <w:p w14:paraId="3BE916A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90" w:type="pct"/>
                  <w:tcBorders>
                    <w:tl2br w:val="nil"/>
                    <w:tr2bl w:val="nil"/>
                  </w:tcBorders>
                  <w:noWrap w:val="0"/>
                  <w:vAlign w:val="center"/>
                </w:tcPr>
                <w:p w14:paraId="69553C7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54</w:t>
                  </w:r>
                </w:p>
              </w:tc>
              <w:tc>
                <w:tcPr>
                  <w:tcW w:w="633" w:type="pct"/>
                  <w:tcBorders>
                    <w:tl2br w:val="nil"/>
                    <w:tr2bl w:val="nil"/>
                  </w:tcBorders>
                  <w:noWrap w:val="0"/>
                  <w:vAlign w:val="center"/>
                </w:tcPr>
                <w:p w14:paraId="297E3A2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31</w:t>
                  </w:r>
                </w:p>
              </w:tc>
              <w:tc>
                <w:tcPr>
                  <w:tcW w:w="630" w:type="pct"/>
                  <w:tcBorders>
                    <w:tl2br w:val="nil"/>
                    <w:tr2bl w:val="nil"/>
                  </w:tcBorders>
                  <w:noWrap w:val="0"/>
                  <w:vAlign w:val="center"/>
                </w:tcPr>
                <w:p w14:paraId="7CBE6D7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163</w:t>
                  </w:r>
                </w:p>
              </w:tc>
            </w:tr>
            <w:tr w14:paraId="7294DC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7C78DC1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w:t>
                  </w:r>
                </w:p>
              </w:tc>
              <w:tc>
                <w:tcPr>
                  <w:tcW w:w="1046" w:type="pct"/>
                  <w:tcBorders>
                    <w:tl2br w:val="nil"/>
                    <w:tr2bl w:val="nil"/>
                  </w:tcBorders>
                  <w:noWrap w:val="0"/>
                  <w:vAlign w:val="center"/>
                </w:tcPr>
                <w:p w14:paraId="09D0401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二氯甲烷</w:t>
                  </w:r>
                </w:p>
              </w:tc>
              <w:tc>
                <w:tcPr>
                  <w:tcW w:w="983" w:type="pct"/>
                  <w:tcBorders>
                    <w:tl2br w:val="nil"/>
                    <w:tr2bl w:val="nil"/>
                  </w:tcBorders>
                  <w:noWrap w:val="0"/>
                  <w:vAlign w:val="center"/>
                </w:tcPr>
                <w:p w14:paraId="15E08E9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75-09-2</w:t>
                  </w:r>
                </w:p>
              </w:tc>
              <w:tc>
                <w:tcPr>
                  <w:tcW w:w="690" w:type="pct"/>
                  <w:tcBorders>
                    <w:tl2br w:val="nil"/>
                    <w:tr2bl w:val="nil"/>
                  </w:tcBorders>
                  <w:noWrap w:val="0"/>
                  <w:vAlign w:val="center"/>
                </w:tcPr>
                <w:p w14:paraId="3685E04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94</w:t>
                  </w:r>
                </w:p>
              </w:tc>
              <w:tc>
                <w:tcPr>
                  <w:tcW w:w="690" w:type="pct"/>
                  <w:tcBorders>
                    <w:tl2br w:val="nil"/>
                    <w:tr2bl w:val="nil"/>
                  </w:tcBorders>
                  <w:noWrap w:val="0"/>
                  <w:vAlign w:val="center"/>
                </w:tcPr>
                <w:p w14:paraId="4B3C448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616</w:t>
                  </w:r>
                </w:p>
              </w:tc>
              <w:tc>
                <w:tcPr>
                  <w:tcW w:w="633" w:type="pct"/>
                  <w:tcBorders>
                    <w:tl2br w:val="nil"/>
                    <w:tr2bl w:val="nil"/>
                  </w:tcBorders>
                  <w:noWrap w:val="0"/>
                  <w:vAlign w:val="center"/>
                </w:tcPr>
                <w:p w14:paraId="32F672B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300</w:t>
                  </w:r>
                </w:p>
              </w:tc>
              <w:tc>
                <w:tcPr>
                  <w:tcW w:w="630" w:type="pct"/>
                  <w:tcBorders>
                    <w:tl2br w:val="nil"/>
                    <w:tr2bl w:val="nil"/>
                  </w:tcBorders>
                  <w:noWrap w:val="0"/>
                  <w:vAlign w:val="center"/>
                </w:tcPr>
                <w:p w14:paraId="60CFCA2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2000</w:t>
                  </w:r>
                </w:p>
              </w:tc>
            </w:tr>
            <w:tr w14:paraId="4EA4C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2B6213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w:t>
                  </w:r>
                </w:p>
              </w:tc>
              <w:tc>
                <w:tcPr>
                  <w:tcW w:w="1046" w:type="pct"/>
                  <w:tcBorders>
                    <w:tl2br w:val="nil"/>
                    <w:tr2bl w:val="nil"/>
                  </w:tcBorders>
                  <w:noWrap w:val="0"/>
                  <w:vAlign w:val="center"/>
                </w:tcPr>
                <w:p w14:paraId="51A8989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1，2-二氯丙烷</w:t>
                  </w:r>
                </w:p>
              </w:tc>
              <w:tc>
                <w:tcPr>
                  <w:tcW w:w="983" w:type="pct"/>
                  <w:tcBorders>
                    <w:tl2br w:val="nil"/>
                    <w:tr2bl w:val="nil"/>
                  </w:tcBorders>
                  <w:noWrap w:val="0"/>
                  <w:vAlign w:val="center"/>
                </w:tcPr>
                <w:p w14:paraId="7C79890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78-87-5</w:t>
                  </w:r>
                </w:p>
              </w:tc>
              <w:tc>
                <w:tcPr>
                  <w:tcW w:w="690" w:type="pct"/>
                  <w:tcBorders>
                    <w:tl2br w:val="nil"/>
                    <w:tr2bl w:val="nil"/>
                  </w:tcBorders>
                  <w:noWrap w:val="0"/>
                  <w:vAlign w:val="center"/>
                </w:tcPr>
                <w:p w14:paraId="0B0DB11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90" w:type="pct"/>
                  <w:tcBorders>
                    <w:tl2br w:val="nil"/>
                    <w:tr2bl w:val="nil"/>
                  </w:tcBorders>
                  <w:noWrap w:val="0"/>
                  <w:vAlign w:val="center"/>
                </w:tcPr>
                <w:p w14:paraId="2483F4B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33" w:type="pct"/>
                  <w:tcBorders>
                    <w:tl2br w:val="nil"/>
                    <w:tr2bl w:val="nil"/>
                  </w:tcBorders>
                  <w:noWrap w:val="0"/>
                  <w:vAlign w:val="center"/>
                </w:tcPr>
                <w:p w14:paraId="2E37538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30" w:type="pct"/>
                  <w:tcBorders>
                    <w:tl2br w:val="nil"/>
                    <w:tr2bl w:val="nil"/>
                  </w:tcBorders>
                  <w:noWrap w:val="0"/>
                  <w:vAlign w:val="center"/>
                </w:tcPr>
                <w:p w14:paraId="1912130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47</w:t>
                  </w:r>
                </w:p>
              </w:tc>
            </w:tr>
            <w:tr w14:paraId="108C5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7752E25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p>
              </w:tc>
              <w:tc>
                <w:tcPr>
                  <w:tcW w:w="1046" w:type="pct"/>
                  <w:tcBorders>
                    <w:tl2br w:val="nil"/>
                    <w:tr2bl w:val="nil"/>
                  </w:tcBorders>
                  <w:noWrap w:val="0"/>
                  <w:vAlign w:val="center"/>
                </w:tcPr>
                <w:p w14:paraId="720A51E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1，1，1，2-四氯乙烷</w:t>
                  </w:r>
                </w:p>
              </w:tc>
              <w:tc>
                <w:tcPr>
                  <w:tcW w:w="983" w:type="pct"/>
                  <w:tcBorders>
                    <w:tl2br w:val="nil"/>
                    <w:tr2bl w:val="nil"/>
                  </w:tcBorders>
                  <w:noWrap w:val="0"/>
                  <w:vAlign w:val="center"/>
                </w:tcPr>
                <w:p w14:paraId="70C6071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630-20-6</w:t>
                  </w:r>
                </w:p>
              </w:tc>
              <w:tc>
                <w:tcPr>
                  <w:tcW w:w="690" w:type="pct"/>
                  <w:tcBorders>
                    <w:tl2br w:val="nil"/>
                    <w:tr2bl w:val="nil"/>
                  </w:tcBorders>
                  <w:noWrap w:val="0"/>
                  <w:vAlign w:val="center"/>
                </w:tcPr>
                <w:p w14:paraId="6F7296F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w:t>
                  </w:r>
                </w:p>
              </w:tc>
              <w:tc>
                <w:tcPr>
                  <w:tcW w:w="690" w:type="pct"/>
                  <w:tcBorders>
                    <w:tl2br w:val="nil"/>
                    <w:tr2bl w:val="nil"/>
                  </w:tcBorders>
                  <w:noWrap w:val="0"/>
                  <w:vAlign w:val="center"/>
                </w:tcPr>
                <w:p w14:paraId="59D156A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33" w:type="pct"/>
                  <w:tcBorders>
                    <w:tl2br w:val="nil"/>
                    <w:tr2bl w:val="nil"/>
                  </w:tcBorders>
                  <w:noWrap w:val="0"/>
                  <w:vAlign w:val="center"/>
                </w:tcPr>
                <w:p w14:paraId="2E0A749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w:t>
                  </w:r>
                </w:p>
              </w:tc>
              <w:tc>
                <w:tcPr>
                  <w:tcW w:w="630" w:type="pct"/>
                  <w:tcBorders>
                    <w:tl2br w:val="nil"/>
                    <w:tr2bl w:val="nil"/>
                  </w:tcBorders>
                  <w:noWrap w:val="0"/>
                  <w:vAlign w:val="center"/>
                </w:tcPr>
                <w:p w14:paraId="7A40053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r>
            <w:tr w14:paraId="48008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667F16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w:t>
                  </w:r>
                </w:p>
              </w:tc>
              <w:tc>
                <w:tcPr>
                  <w:tcW w:w="1046" w:type="pct"/>
                  <w:tcBorders>
                    <w:tl2br w:val="nil"/>
                    <w:tr2bl w:val="nil"/>
                  </w:tcBorders>
                  <w:noWrap w:val="0"/>
                  <w:vAlign w:val="center"/>
                </w:tcPr>
                <w:p w14:paraId="39BC69C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1，1，2，2-四氯乙烷</w:t>
                  </w:r>
                </w:p>
              </w:tc>
              <w:tc>
                <w:tcPr>
                  <w:tcW w:w="983" w:type="pct"/>
                  <w:tcBorders>
                    <w:tl2br w:val="nil"/>
                    <w:tr2bl w:val="nil"/>
                  </w:tcBorders>
                  <w:noWrap w:val="0"/>
                  <w:vAlign w:val="center"/>
                </w:tcPr>
                <w:p w14:paraId="4AC4D21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79-34-5</w:t>
                  </w:r>
                </w:p>
              </w:tc>
              <w:tc>
                <w:tcPr>
                  <w:tcW w:w="690" w:type="pct"/>
                  <w:tcBorders>
                    <w:tl2br w:val="nil"/>
                    <w:tr2bl w:val="nil"/>
                  </w:tcBorders>
                  <w:noWrap w:val="0"/>
                  <w:vAlign w:val="center"/>
                </w:tcPr>
                <w:p w14:paraId="4779F7D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w:t>
                  </w:r>
                </w:p>
              </w:tc>
              <w:tc>
                <w:tcPr>
                  <w:tcW w:w="690" w:type="pct"/>
                  <w:tcBorders>
                    <w:tl2br w:val="nil"/>
                    <w:tr2bl w:val="nil"/>
                  </w:tcBorders>
                  <w:noWrap w:val="0"/>
                  <w:vAlign w:val="center"/>
                </w:tcPr>
                <w:p w14:paraId="64F8190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c>
                <w:tcPr>
                  <w:tcW w:w="633" w:type="pct"/>
                  <w:tcBorders>
                    <w:tl2br w:val="nil"/>
                    <w:tr2bl w:val="nil"/>
                  </w:tcBorders>
                  <w:noWrap w:val="0"/>
                  <w:vAlign w:val="center"/>
                </w:tcPr>
                <w:p w14:paraId="5DE89E6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p>
              </w:tc>
              <w:tc>
                <w:tcPr>
                  <w:tcW w:w="630" w:type="pct"/>
                  <w:tcBorders>
                    <w:tl2br w:val="nil"/>
                    <w:tr2bl w:val="nil"/>
                  </w:tcBorders>
                  <w:noWrap w:val="0"/>
                  <w:vAlign w:val="center"/>
                </w:tcPr>
                <w:p w14:paraId="31D49C0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w:t>
                  </w:r>
                </w:p>
              </w:tc>
            </w:tr>
            <w:tr w14:paraId="546F3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1D55ABA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1046" w:type="pct"/>
                  <w:tcBorders>
                    <w:tl2br w:val="nil"/>
                    <w:tr2bl w:val="nil"/>
                  </w:tcBorders>
                  <w:noWrap w:val="0"/>
                  <w:vAlign w:val="center"/>
                </w:tcPr>
                <w:p w14:paraId="44C0493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四氯乙烯</w:t>
                  </w:r>
                </w:p>
              </w:tc>
              <w:tc>
                <w:tcPr>
                  <w:tcW w:w="983" w:type="pct"/>
                  <w:tcBorders>
                    <w:tl2br w:val="nil"/>
                    <w:tr2bl w:val="nil"/>
                  </w:tcBorders>
                  <w:noWrap w:val="0"/>
                  <w:vAlign w:val="center"/>
                </w:tcPr>
                <w:p w14:paraId="7E9A790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127-18-4</w:t>
                  </w:r>
                </w:p>
              </w:tc>
              <w:tc>
                <w:tcPr>
                  <w:tcW w:w="690" w:type="pct"/>
                  <w:tcBorders>
                    <w:tl2br w:val="nil"/>
                    <w:tr2bl w:val="nil"/>
                  </w:tcBorders>
                  <w:noWrap w:val="0"/>
                  <w:vAlign w:val="center"/>
                </w:tcPr>
                <w:p w14:paraId="171CD02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p>
              </w:tc>
              <w:tc>
                <w:tcPr>
                  <w:tcW w:w="690" w:type="pct"/>
                  <w:tcBorders>
                    <w:tl2br w:val="nil"/>
                    <w:tr2bl w:val="nil"/>
                  </w:tcBorders>
                  <w:noWrap w:val="0"/>
                  <w:vAlign w:val="center"/>
                </w:tcPr>
                <w:p w14:paraId="4CB070F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w:t>
                  </w:r>
                </w:p>
              </w:tc>
              <w:tc>
                <w:tcPr>
                  <w:tcW w:w="633" w:type="pct"/>
                  <w:tcBorders>
                    <w:tl2br w:val="nil"/>
                    <w:tr2bl w:val="nil"/>
                  </w:tcBorders>
                  <w:noWrap w:val="0"/>
                  <w:vAlign w:val="center"/>
                </w:tcPr>
                <w:p w14:paraId="29DF007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34</w:t>
                  </w:r>
                </w:p>
              </w:tc>
              <w:tc>
                <w:tcPr>
                  <w:tcW w:w="630" w:type="pct"/>
                  <w:tcBorders>
                    <w:tl2br w:val="nil"/>
                    <w:tr2bl w:val="nil"/>
                  </w:tcBorders>
                  <w:noWrap w:val="0"/>
                  <w:vAlign w:val="center"/>
                </w:tcPr>
                <w:p w14:paraId="270F27B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183</w:t>
                  </w:r>
                </w:p>
              </w:tc>
            </w:tr>
            <w:tr w14:paraId="1433C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D7F01F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w:t>
                  </w:r>
                </w:p>
              </w:tc>
              <w:tc>
                <w:tcPr>
                  <w:tcW w:w="1046" w:type="pct"/>
                  <w:tcBorders>
                    <w:tl2br w:val="nil"/>
                    <w:tr2bl w:val="nil"/>
                  </w:tcBorders>
                  <w:noWrap w:val="0"/>
                  <w:vAlign w:val="center"/>
                </w:tcPr>
                <w:p w14:paraId="3F93CA8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1，1，1-三氯乙烷</w:t>
                  </w:r>
                </w:p>
              </w:tc>
              <w:tc>
                <w:tcPr>
                  <w:tcW w:w="983" w:type="pct"/>
                  <w:tcBorders>
                    <w:tl2br w:val="nil"/>
                    <w:tr2bl w:val="nil"/>
                  </w:tcBorders>
                  <w:noWrap w:val="0"/>
                  <w:vAlign w:val="center"/>
                </w:tcPr>
                <w:p w14:paraId="706FE02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71-55-6</w:t>
                  </w:r>
                </w:p>
              </w:tc>
              <w:tc>
                <w:tcPr>
                  <w:tcW w:w="690" w:type="pct"/>
                  <w:tcBorders>
                    <w:tl2br w:val="nil"/>
                    <w:tr2bl w:val="nil"/>
                  </w:tcBorders>
                  <w:noWrap w:val="0"/>
                  <w:vAlign w:val="center"/>
                </w:tcPr>
                <w:p w14:paraId="4DCD90B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701</w:t>
                  </w:r>
                </w:p>
              </w:tc>
              <w:tc>
                <w:tcPr>
                  <w:tcW w:w="690" w:type="pct"/>
                  <w:tcBorders>
                    <w:tl2br w:val="nil"/>
                    <w:tr2bl w:val="nil"/>
                  </w:tcBorders>
                  <w:noWrap w:val="0"/>
                  <w:vAlign w:val="center"/>
                </w:tcPr>
                <w:p w14:paraId="5A745C3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c>
                <w:tcPr>
                  <w:tcW w:w="633" w:type="pct"/>
                  <w:tcBorders>
                    <w:tl2br w:val="nil"/>
                    <w:tr2bl w:val="nil"/>
                  </w:tcBorders>
                  <w:noWrap w:val="0"/>
                  <w:vAlign w:val="center"/>
                </w:tcPr>
                <w:p w14:paraId="4536A6D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c>
                <w:tcPr>
                  <w:tcW w:w="630" w:type="pct"/>
                  <w:tcBorders>
                    <w:tl2br w:val="nil"/>
                    <w:tr2bl w:val="nil"/>
                  </w:tcBorders>
                  <w:noWrap w:val="0"/>
                  <w:vAlign w:val="center"/>
                </w:tcPr>
                <w:p w14:paraId="02D559D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840</w:t>
                  </w:r>
                </w:p>
              </w:tc>
            </w:tr>
            <w:tr w14:paraId="37861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6DA6C06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w:t>
                  </w:r>
                </w:p>
              </w:tc>
              <w:tc>
                <w:tcPr>
                  <w:tcW w:w="1046" w:type="pct"/>
                  <w:tcBorders>
                    <w:tl2br w:val="nil"/>
                    <w:tr2bl w:val="nil"/>
                  </w:tcBorders>
                  <w:noWrap w:val="0"/>
                  <w:vAlign w:val="center"/>
                </w:tcPr>
                <w:p w14:paraId="6CFBF99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1，1，2-三氯乙烷</w:t>
                  </w:r>
                </w:p>
              </w:tc>
              <w:tc>
                <w:tcPr>
                  <w:tcW w:w="983" w:type="pct"/>
                  <w:tcBorders>
                    <w:tl2br w:val="nil"/>
                    <w:tr2bl w:val="nil"/>
                  </w:tcBorders>
                  <w:noWrap w:val="0"/>
                  <w:vAlign w:val="center"/>
                </w:tcPr>
                <w:p w14:paraId="591BF9D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79-00-5</w:t>
                  </w:r>
                </w:p>
              </w:tc>
              <w:tc>
                <w:tcPr>
                  <w:tcW w:w="690" w:type="pct"/>
                  <w:tcBorders>
                    <w:tl2br w:val="nil"/>
                    <w:tr2bl w:val="nil"/>
                  </w:tcBorders>
                  <w:noWrap w:val="0"/>
                  <w:vAlign w:val="center"/>
                </w:tcPr>
                <w:p w14:paraId="2833887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0.6</w:t>
                  </w:r>
                </w:p>
              </w:tc>
              <w:tc>
                <w:tcPr>
                  <w:tcW w:w="690" w:type="pct"/>
                  <w:tcBorders>
                    <w:tl2br w:val="nil"/>
                    <w:tr2bl w:val="nil"/>
                  </w:tcBorders>
                  <w:noWrap w:val="0"/>
                  <w:vAlign w:val="center"/>
                </w:tcPr>
                <w:p w14:paraId="169D3A0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c>
                <w:tcPr>
                  <w:tcW w:w="633" w:type="pct"/>
                  <w:tcBorders>
                    <w:tl2br w:val="nil"/>
                    <w:tr2bl w:val="nil"/>
                  </w:tcBorders>
                  <w:noWrap w:val="0"/>
                  <w:vAlign w:val="center"/>
                </w:tcPr>
                <w:p w14:paraId="0DBF05E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c>
                <w:tcPr>
                  <w:tcW w:w="630" w:type="pct"/>
                  <w:tcBorders>
                    <w:tl2br w:val="nil"/>
                    <w:tr2bl w:val="nil"/>
                  </w:tcBorders>
                  <w:noWrap w:val="0"/>
                  <w:vAlign w:val="center"/>
                </w:tcPr>
                <w:p w14:paraId="331F75A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2A811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45EEAB5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23</w:t>
                  </w:r>
                </w:p>
              </w:tc>
              <w:tc>
                <w:tcPr>
                  <w:tcW w:w="1046" w:type="pct"/>
                  <w:tcBorders>
                    <w:tl2br w:val="nil"/>
                    <w:tr2bl w:val="nil"/>
                  </w:tcBorders>
                  <w:noWrap w:val="0"/>
                  <w:vAlign w:val="center"/>
                </w:tcPr>
                <w:p w14:paraId="0FEB530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三氯乙烯</w:t>
                  </w:r>
                </w:p>
              </w:tc>
              <w:tc>
                <w:tcPr>
                  <w:tcW w:w="983" w:type="pct"/>
                  <w:tcBorders>
                    <w:tl2br w:val="nil"/>
                    <w:tr2bl w:val="nil"/>
                  </w:tcBorders>
                  <w:noWrap w:val="0"/>
                  <w:vAlign w:val="center"/>
                </w:tcPr>
                <w:p w14:paraId="5E6F9F3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79-01-6</w:t>
                  </w:r>
                </w:p>
              </w:tc>
              <w:tc>
                <w:tcPr>
                  <w:tcW w:w="690" w:type="pct"/>
                  <w:tcBorders>
                    <w:tl2br w:val="nil"/>
                    <w:tr2bl w:val="nil"/>
                  </w:tcBorders>
                  <w:noWrap w:val="0"/>
                  <w:vAlign w:val="center"/>
                </w:tcPr>
                <w:p w14:paraId="5FB8FEE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0.7</w:t>
                  </w:r>
                </w:p>
              </w:tc>
              <w:tc>
                <w:tcPr>
                  <w:tcW w:w="690" w:type="pct"/>
                  <w:tcBorders>
                    <w:tl2br w:val="nil"/>
                    <w:tr2bl w:val="nil"/>
                  </w:tcBorders>
                  <w:noWrap w:val="0"/>
                  <w:vAlign w:val="center"/>
                </w:tcPr>
                <w:p w14:paraId="5889BFD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c>
                <w:tcPr>
                  <w:tcW w:w="633" w:type="pct"/>
                  <w:tcBorders>
                    <w:tl2br w:val="nil"/>
                    <w:tr2bl w:val="nil"/>
                  </w:tcBorders>
                  <w:noWrap w:val="0"/>
                  <w:vAlign w:val="center"/>
                </w:tcPr>
                <w:p w14:paraId="5C01722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p>
              </w:tc>
              <w:tc>
                <w:tcPr>
                  <w:tcW w:w="630" w:type="pct"/>
                  <w:tcBorders>
                    <w:tl2br w:val="nil"/>
                    <w:tr2bl w:val="nil"/>
                  </w:tcBorders>
                  <w:noWrap w:val="0"/>
                  <w:vAlign w:val="center"/>
                </w:tcPr>
                <w:p w14:paraId="38A80DB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r>
            <w:tr w14:paraId="449801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0FE916C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w:t>
                  </w:r>
                </w:p>
              </w:tc>
              <w:tc>
                <w:tcPr>
                  <w:tcW w:w="1046" w:type="pct"/>
                  <w:tcBorders>
                    <w:tl2br w:val="nil"/>
                    <w:tr2bl w:val="nil"/>
                  </w:tcBorders>
                  <w:noWrap w:val="0"/>
                  <w:vAlign w:val="center"/>
                </w:tcPr>
                <w:p w14:paraId="46222DA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1，2，3-三氯丙烷</w:t>
                  </w:r>
                </w:p>
              </w:tc>
              <w:tc>
                <w:tcPr>
                  <w:tcW w:w="983" w:type="pct"/>
                  <w:tcBorders>
                    <w:tl2br w:val="nil"/>
                    <w:tr2bl w:val="nil"/>
                  </w:tcBorders>
                  <w:noWrap w:val="0"/>
                  <w:vAlign w:val="center"/>
                </w:tcPr>
                <w:p w14:paraId="143C079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96-18-4</w:t>
                  </w:r>
                </w:p>
              </w:tc>
              <w:tc>
                <w:tcPr>
                  <w:tcW w:w="690" w:type="pct"/>
                  <w:tcBorders>
                    <w:tl2br w:val="nil"/>
                    <w:tr2bl w:val="nil"/>
                  </w:tcBorders>
                  <w:noWrap w:val="0"/>
                  <w:vAlign w:val="center"/>
                </w:tcPr>
                <w:p w14:paraId="5406B68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0.05</w:t>
                  </w:r>
                </w:p>
              </w:tc>
              <w:tc>
                <w:tcPr>
                  <w:tcW w:w="690" w:type="pct"/>
                  <w:tcBorders>
                    <w:tl2br w:val="nil"/>
                    <w:tr2bl w:val="nil"/>
                  </w:tcBorders>
                  <w:noWrap w:val="0"/>
                  <w:vAlign w:val="center"/>
                </w:tcPr>
                <w:p w14:paraId="1E55390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633" w:type="pct"/>
                  <w:tcBorders>
                    <w:tl2br w:val="nil"/>
                    <w:tr2bl w:val="nil"/>
                  </w:tcBorders>
                  <w:noWrap w:val="0"/>
                  <w:vAlign w:val="center"/>
                </w:tcPr>
                <w:p w14:paraId="6B80F81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w:t>
                  </w:r>
                </w:p>
              </w:tc>
              <w:tc>
                <w:tcPr>
                  <w:tcW w:w="630" w:type="pct"/>
                  <w:tcBorders>
                    <w:tl2br w:val="nil"/>
                    <w:tr2bl w:val="nil"/>
                  </w:tcBorders>
                  <w:noWrap w:val="0"/>
                  <w:vAlign w:val="center"/>
                </w:tcPr>
                <w:p w14:paraId="5CF110A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p>
              </w:tc>
            </w:tr>
            <w:tr w14:paraId="26B1F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55B7695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c>
                <w:tcPr>
                  <w:tcW w:w="1046" w:type="pct"/>
                  <w:tcBorders>
                    <w:tl2br w:val="nil"/>
                    <w:tr2bl w:val="nil"/>
                  </w:tcBorders>
                  <w:noWrap w:val="0"/>
                  <w:vAlign w:val="center"/>
                </w:tcPr>
                <w:p w14:paraId="01C6230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氯乙烯</w:t>
                  </w:r>
                </w:p>
              </w:tc>
              <w:tc>
                <w:tcPr>
                  <w:tcW w:w="983" w:type="pct"/>
                  <w:tcBorders>
                    <w:tl2br w:val="nil"/>
                    <w:tr2bl w:val="nil"/>
                  </w:tcBorders>
                  <w:noWrap w:val="0"/>
                  <w:vAlign w:val="center"/>
                </w:tcPr>
                <w:p w14:paraId="29F4198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75-01-4</w:t>
                  </w:r>
                </w:p>
              </w:tc>
              <w:tc>
                <w:tcPr>
                  <w:tcW w:w="690" w:type="pct"/>
                  <w:tcBorders>
                    <w:tl2br w:val="nil"/>
                    <w:tr2bl w:val="nil"/>
                  </w:tcBorders>
                  <w:noWrap w:val="0"/>
                  <w:vAlign w:val="center"/>
                </w:tcPr>
                <w:p w14:paraId="0E9DC84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w:t>
                  </w:r>
                </w:p>
              </w:tc>
              <w:tc>
                <w:tcPr>
                  <w:tcW w:w="690" w:type="pct"/>
                  <w:tcBorders>
                    <w:tl2br w:val="nil"/>
                    <w:tr2bl w:val="nil"/>
                  </w:tcBorders>
                  <w:noWrap w:val="0"/>
                  <w:vAlign w:val="center"/>
                </w:tcPr>
                <w:p w14:paraId="03B9574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0.43</w:t>
                  </w:r>
                </w:p>
              </w:tc>
              <w:tc>
                <w:tcPr>
                  <w:tcW w:w="633" w:type="pct"/>
                  <w:tcBorders>
                    <w:tl2br w:val="nil"/>
                    <w:tr2bl w:val="nil"/>
                  </w:tcBorders>
                  <w:noWrap w:val="0"/>
                  <w:vAlign w:val="center"/>
                </w:tcPr>
                <w:p w14:paraId="1A894C8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c>
                <w:tcPr>
                  <w:tcW w:w="630" w:type="pct"/>
                  <w:tcBorders>
                    <w:tl2br w:val="nil"/>
                    <w:tr2bl w:val="nil"/>
                  </w:tcBorders>
                  <w:noWrap w:val="0"/>
                  <w:vAlign w:val="center"/>
                </w:tcPr>
                <w:p w14:paraId="5BC7845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4.3</w:t>
                  </w:r>
                </w:p>
              </w:tc>
            </w:tr>
            <w:tr w14:paraId="5F484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7FB3FD2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w:t>
                  </w:r>
                </w:p>
              </w:tc>
              <w:tc>
                <w:tcPr>
                  <w:tcW w:w="1046" w:type="pct"/>
                  <w:tcBorders>
                    <w:tl2br w:val="nil"/>
                    <w:tr2bl w:val="nil"/>
                  </w:tcBorders>
                  <w:noWrap w:val="0"/>
                  <w:vAlign w:val="center"/>
                </w:tcPr>
                <w:p w14:paraId="5F40D3B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w:t>
                  </w:r>
                </w:p>
              </w:tc>
              <w:tc>
                <w:tcPr>
                  <w:tcW w:w="983" w:type="pct"/>
                  <w:tcBorders>
                    <w:tl2br w:val="nil"/>
                    <w:tr2bl w:val="nil"/>
                  </w:tcBorders>
                  <w:noWrap w:val="0"/>
                  <w:vAlign w:val="center"/>
                </w:tcPr>
                <w:p w14:paraId="4ACA9FB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71-43-2</w:t>
                  </w:r>
                </w:p>
              </w:tc>
              <w:tc>
                <w:tcPr>
                  <w:tcW w:w="690" w:type="pct"/>
                  <w:tcBorders>
                    <w:tl2br w:val="nil"/>
                    <w:tr2bl w:val="nil"/>
                  </w:tcBorders>
                  <w:noWrap w:val="0"/>
                  <w:vAlign w:val="center"/>
                </w:tcPr>
                <w:p w14:paraId="5BFC2E2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690" w:type="pct"/>
                  <w:tcBorders>
                    <w:tl2br w:val="nil"/>
                    <w:tr2bl w:val="nil"/>
                  </w:tcBorders>
                  <w:noWrap w:val="0"/>
                  <w:vAlign w:val="center"/>
                </w:tcPr>
                <w:p w14:paraId="31B7684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633" w:type="pct"/>
                  <w:tcBorders>
                    <w:tl2br w:val="nil"/>
                    <w:tr2bl w:val="nil"/>
                  </w:tcBorders>
                  <w:noWrap w:val="0"/>
                  <w:vAlign w:val="center"/>
                </w:tcPr>
                <w:p w14:paraId="257ACC0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c>
                <w:tcPr>
                  <w:tcW w:w="630" w:type="pct"/>
                  <w:tcBorders>
                    <w:tl2br w:val="nil"/>
                    <w:tr2bl w:val="nil"/>
                  </w:tcBorders>
                  <w:noWrap w:val="0"/>
                  <w:vAlign w:val="center"/>
                </w:tcPr>
                <w:p w14:paraId="059D033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r>
            <w:tr w14:paraId="6A6DA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18B255A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w:t>
                  </w:r>
                </w:p>
              </w:tc>
              <w:tc>
                <w:tcPr>
                  <w:tcW w:w="1046" w:type="pct"/>
                  <w:tcBorders>
                    <w:tl2br w:val="nil"/>
                    <w:tr2bl w:val="nil"/>
                  </w:tcBorders>
                  <w:noWrap w:val="0"/>
                  <w:vAlign w:val="center"/>
                </w:tcPr>
                <w:p w14:paraId="1C837DA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氯苯</w:t>
                  </w:r>
                </w:p>
              </w:tc>
              <w:tc>
                <w:tcPr>
                  <w:tcW w:w="983" w:type="pct"/>
                  <w:tcBorders>
                    <w:tl2br w:val="nil"/>
                    <w:tr2bl w:val="nil"/>
                  </w:tcBorders>
                  <w:noWrap w:val="0"/>
                  <w:vAlign w:val="center"/>
                </w:tcPr>
                <w:p w14:paraId="20E7AE6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108-90-7</w:t>
                  </w:r>
                </w:p>
              </w:tc>
              <w:tc>
                <w:tcPr>
                  <w:tcW w:w="690" w:type="pct"/>
                  <w:tcBorders>
                    <w:tl2br w:val="nil"/>
                    <w:tr2bl w:val="nil"/>
                  </w:tcBorders>
                  <w:noWrap w:val="0"/>
                  <w:vAlign w:val="center"/>
                </w:tcPr>
                <w:p w14:paraId="36F761F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68</w:t>
                  </w:r>
                </w:p>
              </w:tc>
              <w:tc>
                <w:tcPr>
                  <w:tcW w:w="690" w:type="pct"/>
                  <w:tcBorders>
                    <w:tl2br w:val="nil"/>
                    <w:tr2bl w:val="nil"/>
                  </w:tcBorders>
                  <w:noWrap w:val="0"/>
                  <w:vAlign w:val="center"/>
                </w:tcPr>
                <w:p w14:paraId="54F4188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270</w:t>
                  </w:r>
                </w:p>
              </w:tc>
              <w:tc>
                <w:tcPr>
                  <w:tcW w:w="633" w:type="pct"/>
                  <w:tcBorders>
                    <w:tl2br w:val="nil"/>
                    <w:tr2bl w:val="nil"/>
                  </w:tcBorders>
                  <w:noWrap w:val="0"/>
                  <w:vAlign w:val="center"/>
                </w:tcPr>
                <w:p w14:paraId="21DC309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c>
                <w:tcPr>
                  <w:tcW w:w="630" w:type="pct"/>
                  <w:tcBorders>
                    <w:tl2br w:val="nil"/>
                    <w:tr2bl w:val="nil"/>
                  </w:tcBorders>
                  <w:noWrap w:val="0"/>
                  <w:vAlign w:val="center"/>
                </w:tcPr>
                <w:p w14:paraId="009989A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1000</w:t>
                  </w:r>
                </w:p>
              </w:tc>
            </w:tr>
            <w:tr w14:paraId="6AFB86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71DFF59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c>
                <w:tcPr>
                  <w:tcW w:w="1046" w:type="pct"/>
                  <w:tcBorders>
                    <w:tl2br w:val="nil"/>
                    <w:tr2bl w:val="nil"/>
                  </w:tcBorders>
                  <w:noWrap w:val="0"/>
                  <w:vAlign w:val="center"/>
                </w:tcPr>
                <w:p w14:paraId="2AF86A6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1，2-二氯苯</w:t>
                  </w:r>
                </w:p>
              </w:tc>
              <w:tc>
                <w:tcPr>
                  <w:tcW w:w="983" w:type="pct"/>
                  <w:tcBorders>
                    <w:tl2br w:val="nil"/>
                    <w:tr2bl w:val="nil"/>
                  </w:tcBorders>
                  <w:noWrap w:val="0"/>
                  <w:vAlign w:val="center"/>
                </w:tcPr>
                <w:p w14:paraId="268AC54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95-50-1</w:t>
                  </w:r>
                </w:p>
              </w:tc>
              <w:tc>
                <w:tcPr>
                  <w:tcW w:w="690" w:type="pct"/>
                  <w:tcBorders>
                    <w:tl2br w:val="nil"/>
                    <w:tr2bl w:val="nil"/>
                  </w:tcBorders>
                  <w:noWrap w:val="0"/>
                  <w:vAlign w:val="center"/>
                </w:tcPr>
                <w:p w14:paraId="316C5EB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c>
                <w:tcPr>
                  <w:tcW w:w="690" w:type="pct"/>
                  <w:tcBorders>
                    <w:tl2br w:val="nil"/>
                    <w:tr2bl w:val="nil"/>
                  </w:tcBorders>
                  <w:noWrap w:val="0"/>
                  <w:vAlign w:val="center"/>
                </w:tcPr>
                <w:p w14:paraId="13D8DFE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c>
                <w:tcPr>
                  <w:tcW w:w="633" w:type="pct"/>
                  <w:tcBorders>
                    <w:tl2br w:val="nil"/>
                    <w:tr2bl w:val="nil"/>
                  </w:tcBorders>
                  <w:noWrap w:val="0"/>
                  <w:vAlign w:val="center"/>
                </w:tcPr>
                <w:p w14:paraId="6D004BE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c>
                <w:tcPr>
                  <w:tcW w:w="630" w:type="pct"/>
                  <w:tcBorders>
                    <w:tl2br w:val="nil"/>
                    <w:tr2bl w:val="nil"/>
                  </w:tcBorders>
                  <w:noWrap w:val="0"/>
                  <w:vAlign w:val="center"/>
                </w:tcPr>
                <w:p w14:paraId="481028C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560</w:t>
                  </w:r>
                </w:p>
              </w:tc>
            </w:tr>
            <w:tr w14:paraId="24BCF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4F3309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29</w:t>
                  </w:r>
                </w:p>
              </w:tc>
              <w:tc>
                <w:tcPr>
                  <w:tcW w:w="1046" w:type="pct"/>
                  <w:tcBorders>
                    <w:tl2br w:val="nil"/>
                    <w:tr2bl w:val="nil"/>
                  </w:tcBorders>
                  <w:noWrap w:val="0"/>
                  <w:vAlign w:val="center"/>
                </w:tcPr>
                <w:p w14:paraId="3A22CB7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1，4-二氯苯</w:t>
                  </w:r>
                </w:p>
              </w:tc>
              <w:tc>
                <w:tcPr>
                  <w:tcW w:w="983" w:type="pct"/>
                  <w:tcBorders>
                    <w:tl2br w:val="nil"/>
                    <w:tr2bl w:val="nil"/>
                  </w:tcBorders>
                  <w:noWrap w:val="0"/>
                  <w:vAlign w:val="center"/>
                </w:tcPr>
                <w:p w14:paraId="0657620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106-46-7</w:t>
                  </w:r>
                </w:p>
              </w:tc>
              <w:tc>
                <w:tcPr>
                  <w:tcW w:w="690" w:type="pct"/>
                  <w:tcBorders>
                    <w:tl2br w:val="nil"/>
                    <w:tr2bl w:val="nil"/>
                  </w:tcBorders>
                  <w:noWrap w:val="0"/>
                  <w:vAlign w:val="center"/>
                </w:tcPr>
                <w:p w14:paraId="32A06D7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w:t>
                  </w:r>
                </w:p>
              </w:tc>
              <w:tc>
                <w:tcPr>
                  <w:tcW w:w="690" w:type="pct"/>
                  <w:tcBorders>
                    <w:tl2br w:val="nil"/>
                    <w:tr2bl w:val="nil"/>
                  </w:tcBorders>
                  <w:noWrap w:val="0"/>
                  <w:vAlign w:val="center"/>
                </w:tcPr>
                <w:p w14:paraId="5F0891C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633" w:type="pct"/>
                  <w:tcBorders>
                    <w:tl2br w:val="nil"/>
                    <w:tr2bl w:val="nil"/>
                  </w:tcBorders>
                  <w:noWrap w:val="0"/>
                  <w:vAlign w:val="center"/>
                </w:tcPr>
                <w:p w14:paraId="6C179C6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w:t>
                  </w:r>
                </w:p>
              </w:tc>
              <w:tc>
                <w:tcPr>
                  <w:tcW w:w="630" w:type="pct"/>
                  <w:tcBorders>
                    <w:tl2br w:val="nil"/>
                    <w:tr2bl w:val="nil"/>
                  </w:tcBorders>
                  <w:noWrap w:val="0"/>
                  <w:vAlign w:val="center"/>
                </w:tcPr>
                <w:p w14:paraId="443AAD7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200</w:t>
                  </w:r>
                </w:p>
              </w:tc>
            </w:tr>
            <w:tr w14:paraId="445E0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5B3A61B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30</w:t>
                  </w:r>
                </w:p>
              </w:tc>
              <w:tc>
                <w:tcPr>
                  <w:tcW w:w="1046" w:type="pct"/>
                  <w:tcBorders>
                    <w:tl2br w:val="nil"/>
                    <w:tr2bl w:val="nil"/>
                  </w:tcBorders>
                  <w:noWrap w:val="0"/>
                  <w:vAlign w:val="center"/>
                </w:tcPr>
                <w:p w14:paraId="68E158B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乙苯</w:t>
                  </w:r>
                </w:p>
              </w:tc>
              <w:tc>
                <w:tcPr>
                  <w:tcW w:w="983" w:type="pct"/>
                  <w:tcBorders>
                    <w:tl2br w:val="nil"/>
                    <w:tr2bl w:val="nil"/>
                  </w:tcBorders>
                  <w:noWrap w:val="0"/>
                  <w:vAlign w:val="center"/>
                </w:tcPr>
                <w:p w14:paraId="062C5B3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100-41-4</w:t>
                  </w:r>
                </w:p>
              </w:tc>
              <w:tc>
                <w:tcPr>
                  <w:tcW w:w="690" w:type="pct"/>
                  <w:tcBorders>
                    <w:tl2br w:val="nil"/>
                    <w:tr2bl w:val="nil"/>
                  </w:tcBorders>
                  <w:noWrap w:val="0"/>
                  <w:vAlign w:val="center"/>
                </w:tcPr>
                <w:p w14:paraId="2F54223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c>
                <w:tcPr>
                  <w:tcW w:w="690" w:type="pct"/>
                  <w:tcBorders>
                    <w:tl2br w:val="nil"/>
                    <w:tr2bl w:val="nil"/>
                  </w:tcBorders>
                  <w:noWrap w:val="0"/>
                  <w:vAlign w:val="center"/>
                </w:tcPr>
                <w:p w14:paraId="3E7DBAF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w:t>
                  </w:r>
                </w:p>
              </w:tc>
              <w:tc>
                <w:tcPr>
                  <w:tcW w:w="633" w:type="pct"/>
                  <w:tcBorders>
                    <w:tl2br w:val="nil"/>
                    <w:tr2bl w:val="nil"/>
                  </w:tcBorders>
                  <w:noWrap w:val="0"/>
                  <w:vAlign w:val="center"/>
                </w:tcPr>
                <w:p w14:paraId="368527D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72</w:t>
                  </w:r>
                </w:p>
              </w:tc>
              <w:tc>
                <w:tcPr>
                  <w:tcW w:w="630" w:type="pct"/>
                  <w:tcBorders>
                    <w:tl2br w:val="nil"/>
                    <w:tr2bl w:val="nil"/>
                  </w:tcBorders>
                  <w:noWrap w:val="0"/>
                  <w:vAlign w:val="center"/>
                </w:tcPr>
                <w:p w14:paraId="0B399C0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280</w:t>
                  </w:r>
                </w:p>
              </w:tc>
            </w:tr>
            <w:tr w14:paraId="3F2DC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C41EFF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31</w:t>
                  </w:r>
                </w:p>
              </w:tc>
              <w:tc>
                <w:tcPr>
                  <w:tcW w:w="1046" w:type="pct"/>
                  <w:tcBorders>
                    <w:tl2br w:val="nil"/>
                    <w:tr2bl w:val="nil"/>
                  </w:tcBorders>
                  <w:noWrap w:val="0"/>
                  <w:vAlign w:val="center"/>
                </w:tcPr>
                <w:p w14:paraId="0297E8A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苯乙烯</w:t>
                  </w:r>
                </w:p>
              </w:tc>
              <w:tc>
                <w:tcPr>
                  <w:tcW w:w="983" w:type="pct"/>
                  <w:tcBorders>
                    <w:tl2br w:val="nil"/>
                    <w:tr2bl w:val="nil"/>
                  </w:tcBorders>
                  <w:noWrap w:val="0"/>
                  <w:vAlign w:val="center"/>
                </w:tcPr>
                <w:p w14:paraId="3EAC30B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100-42-5</w:t>
                  </w:r>
                </w:p>
              </w:tc>
              <w:tc>
                <w:tcPr>
                  <w:tcW w:w="690" w:type="pct"/>
                  <w:tcBorders>
                    <w:tl2br w:val="nil"/>
                    <w:tr2bl w:val="nil"/>
                  </w:tcBorders>
                  <w:noWrap w:val="0"/>
                  <w:vAlign w:val="center"/>
                </w:tcPr>
                <w:p w14:paraId="44DD57D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c>
                <w:tcPr>
                  <w:tcW w:w="690" w:type="pct"/>
                  <w:tcBorders>
                    <w:tl2br w:val="nil"/>
                    <w:tr2bl w:val="nil"/>
                  </w:tcBorders>
                  <w:noWrap w:val="0"/>
                  <w:vAlign w:val="center"/>
                </w:tcPr>
                <w:p w14:paraId="3EBD1CC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c>
                <w:tcPr>
                  <w:tcW w:w="633" w:type="pct"/>
                  <w:tcBorders>
                    <w:tl2br w:val="nil"/>
                    <w:tr2bl w:val="nil"/>
                  </w:tcBorders>
                  <w:noWrap w:val="0"/>
                  <w:vAlign w:val="center"/>
                </w:tcPr>
                <w:p w14:paraId="528B852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c>
                <w:tcPr>
                  <w:tcW w:w="630" w:type="pct"/>
                  <w:tcBorders>
                    <w:tl2br w:val="nil"/>
                    <w:tr2bl w:val="nil"/>
                  </w:tcBorders>
                  <w:noWrap w:val="0"/>
                  <w:vAlign w:val="center"/>
                </w:tcPr>
                <w:p w14:paraId="48F3E64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w:t>
                  </w:r>
                </w:p>
              </w:tc>
            </w:tr>
            <w:tr w14:paraId="35815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0ED3910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32</w:t>
                  </w:r>
                </w:p>
              </w:tc>
              <w:tc>
                <w:tcPr>
                  <w:tcW w:w="1046" w:type="pct"/>
                  <w:tcBorders>
                    <w:tl2br w:val="nil"/>
                    <w:tr2bl w:val="nil"/>
                  </w:tcBorders>
                  <w:noWrap w:val="0"/>
                  <w:vAlign w:val="center"/>
                </w:tcPr>
                <w:p w14:paraId="270B1BD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甲苯</w:t>
                  </w:r>
                </w:p>
              </w:tc>
              <w:tc>
                <w:tcPr>
                  <w:tcW w:w="983" w:type="pct"/>
                  <w:tcBorders>
                    <w:tl2br w:val="nil"/>
                    <w:tr2bl w:val="nil"/>
                  </w:tcBorders>
                  <w:noWrap w:val="0"/>
                  <w:vAlign w:val="center"/>
                </w:tcPr>
                <w:p w14:paraId="0843526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108-88-3</w:t>
                  </w:r>
                </w:p>
              </w:tc>
              <w:tc>
                <w:tcPr>
                  <w:tcW w:w="690" w:type="pct"/>
                  <w:tcBorders>
                    <w:tl2br w:val="nil"/>
                    <w:tr2bl w:val="nil"/>
                  </w:tcBorders>
                  <w:noWrap w:val="0"/>
                  <w:vAlign w:val="center"/>
                </w:tcPr>
                <w:p w14:paraId="056EDC6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c>
                <w:tcPr>
                  <w:tcW w:w="690" w:type="pct"/>
                  <w:tcBorders>
                    <w:tl2br w:val="nil"/>
                    <w:tr2bl w:val="nil"/>
                  </w:tcBorders>
                  <w:noWrap w:val="0"/>
                  <w:vAlign w:val="center"/>
                </w:tcPr>
                <w:p w14:paraId="41D8D12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c>
                <w:tcPr>
                  <w:tcW w:w="633" w:type="pct"/>
                  <w:tcBorders>
                    <w:tl2br w:val="nil"/>
                    <w:tr2bl w:val="nil"/>
                  </w:tcBorders>
                  <w:noWrap w:val="0"/>
                  <w:vAlign w:val="center"/>
                </w:tcPr>
                <w:p w14:paraId="6FEE2D5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c>
                <w:tcPr>
                  <w:tcW w:w="630" w:type="pct"/>
                  <w:tcBorders>
                    <w:tl2br w:val="nil"/>
                    <w:tr2bl w:val="nil"/>
                  </w:tcBorders>
                  <w:noWrap w:val="0"/>
                  <w:vAlign w:val="center"/>
                </w:tcPr>
                <w:p w14:paraId="40D84C4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1200</w:t>
                  </w:r>
                </w:p>
              </w:tc>
            </w:tr>
            <w:tr w14:paraId="5A63A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5A2B0C5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33</w:t>
                  </w:r>
                </w:p>
              </w:tc>
              <w:tc>
                <w:tcPr>
                  <w:tcW w:w="1046" w:type="pct"/>
                  <w:tcBorders>
                    <w:tl2br w:val="nil"/>
                    <w:tr2bl w:val="nil"/>
                  </w:tcBorders>
                  <w:noWrap w:val="0"/>
                  <w:vAlign w:val="center"/>
                </w:tcPr>
                <w:p w14:paraId="32F68B6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间二甲苯+对二甲苯</w:t>
                  </w:r>
                </w:p>
              </w:tc>
              <w:tc>
                <w:tcPr>
                  <w:tcW w:w="983" w:type="pct"/>
                  <w:tcBorders>
                    <w:tl2br w:val="nil"/>
                    <w:tr2bl w:val="nil"/>
                  </w:tcBorders>
                  <w:noWrap w:val="0"/>
                  <w:vAlign w:val="center"/>
                </w:tcPr>
                <w:p w14:paraId="3603BA4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108-38-3，106-42-3</w:t>
                  </w:r>
                </w:p>
              </w:tc>
              <w:tc>
                <w:tcPr>
                  <w:tcW w:w="690" w:type="pct"/>
                  <w:tcBorders>
                    <w:tl2br w:val="nil"/>
                    <w:tr2bl w:val="nil"/>
                  </w:tcBorders>
                  <w:noWrap w:val="0"/>
                  <w:vAlign w:val="center"/>
                </w:tcPr>
                <w:p w14:paraId="268B89E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163</w:t>
                  </w:r>
                </w:p>
              </w:tc>
              <w:tc>
                <w:tcPr>
                  <w:tcW w:w="690" w:type="pct"/>
                  <w:tcBorders>
                    <w:tl2br w:val="nil"/>
                    <w:tr2bl w:val="nil"/>
                  </w:tcBorders>
                  <w:noWrap w:val="0"/>
                  <w:vAlign w:val="center"/>
                </w:tcPr>
                <w:p w14:paraId="0341C22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c>
                <w:tcPr>
                  <w:tcW w:w="633" w:type="pct"/>
                  <w:tcBorders>
                    <w:tl2br w:val="nil"/>
                    <w:tr2bl w:val="nil"/>
                  </w:tcBorders>
                  <w:noWrap w:val="0"/>
                  <w:vAlign w:val="center"/>
                </w:tcPr>
                <w:p w14:paraId="48F5868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630" w:type="pct"/>
                  <w:tcBorders>
                    <w:tl2br w:val="nil"/>
                    <w:tr2bl w:val="nil"/>
                  </w:tcBorders>
                  <w:noWrap w:val="0"/>
                  <w:vAlign w:val="center"/>
                </w:tcPr>
                <w:p w14:paraId="60768A7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570</w:t>
                  </w:r>
                </w:p>
              </w:tc>
            </w:tr>
            <w:tr w14:paraId="1FE75E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491AF34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34</w:t>
                  </w:r>
                </w:p>
              </w:tc>
              <w:tc>
                <w:tcPr>
                  <w:tcW w:w="1046" w:type="pct"/>
                  <w:tcBorders>
                    <w:tl2br w:val="nil"/>
                    <w:tr2bl w:val="nil"/>
                  </w:tcBorders>
                  <w:noWrap w:val="0"/>
                  <w:vAlign w:val="center"/>
                </w:tcPr>
                <w:p w14:paraId="6823026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邻二甲苯</w:t>
                  </w:r>
                </w:p>
              </w:tc>
              <w:tc>
                <w:tcPr>
                  <w:tcW w:w="983" w:type="pct"/>
                  <w:tcBorders>
                    <w:tl2br w:val="nil"/>
                    <w:tr2bl w:val="nil"/>
                  </w:tcBorders>
                  <w:noWrap w:val="0"/>
                  <w:vAlign w:val="center"/>
                </w:tcPr>
                <w:p w14:paraId="05ACDA8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95-47-6</w:t>
                  </w:r>
                </w:p>
              </w:tc>
              <w:tc>
                <w:tcPr>
                  <w:tcW w:w="690" w:type="pct"/>
                  <w:tcBorders>
                    <w:tl2br w:val="nil"/>
                    <w:tr2bl w:val="nil"/>
                  </w:tcBorders>
                  <w:noWrap w:val="0"/>
                  <w:vAlign w:val="center"/>
                </w:tcPr>
                <w:p w14:paraId="2079BF4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222</w:t>
                  </w:r>
                </w:p>
              </w:tc>
              <w:tc>
                <w:tcPr>
                  <w:tcW w:w="690" w:type="pct"/>
                  <w:tcBorders>
                    <w:tl2br w:val="nil"/>
                    <w:tr2bl w:val="nil"/>
                  </w:tcBorders>
                  <w:noWrap w:val="0"/>
                  <w:vAlign w:val="center"/>
                </w:tcPr>
                <w:p w14:paraId="38BE5E8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c>
                <w:tcPr>
                  <w:tcW w:w="633" w:type="pct"/>
                  <w:tcBorders>
                    <w:tl2br w:val="nil"/>
                    <w:tr2bl w:val="nil"/>
                  </w:tcBorders>
                  <w:noWrap w:val="0"/>
                  <w:vAlign w:val="center"/>
                </w:tcPr>
                <w:p w14:paraId="20C4AA4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c>
                <w:tcPr>
                  <w:tcW w:w="630" w:type="pct"/>
                  <w:tcBorders>
                    <w:tl2br w:val="nil"/>
                    <w:tr2bl w:val="nil"/>
                  </w:tcBorders>
                  <w:noWrap w:val="0"/>
                  <w:vAlign w:val="center"/>
                </w:tcPr>
                <w:p w14:paraId="6091D2D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640</w:t>
                  </w:r>
                </w:p>
              </w:tc>
            </w:tr>
            <w:tr w14:paraId="001B8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5000" w:type="pct"/>
                  <w:gridSpan w:val="7"/>
                  <w:tcBorders>
                    <w:tl2br w:val="nil"/>
                    <w:tr2bl w:val="nil"/>
                  </w:tcBorders>
                  <w:noWrap w:val="0"/>
                  <w:vAlign w:val="center"/>
                </w:tcPr>
                <w:p w14:paraId="20F6B17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半挥发性有机物</w:t>
                  </w:r>
                </w:p>
              </w:tc>
            </w:tr>
            <w:tr w14:paraId="0E0C73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2" w:hRule="atLeast"/>
                <w:jc w:val="center"/>
              </w:trPr>
              <w:tc>
                <w:tcPr>
                  <w:tcW w:w="324" w:type="pct"/>
                  <w:tcBorders>
                    <w:tl2br w:val="nil"/>
                    <w:tr2bl w:val="nil"/>
                  </w:tcBorders>
                  <w:noWrap w:val="0"/>
                  <w:vAlign w:val="center"/>
                </w:tcPr>
                <w:p w14:paraId="0F452C4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35</w:t>
                  </w:r>
                </w:p>
              </w:tc>
              <w:tc>
                <w:tcPr>
                  <w:tcW w:w="1046" w:type="pct"/>
                  <w:tcBorders>
                    <w:tl2br w:val="nil"/>
                    <w:tr2bl w:val="nil"/>
                  </w:tcBorders>
                  <w:noWrap w:val="0"/>
                  <w:vAlign w:val="center"/>
                </w:tcPr>
                <w:p w14:paraId="4887E68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硝基苯</w:t>
                  </w:r>
                </w:p>
              </w:tc>
              <w:tc>
                <w:tcPr>
                  <w:tcW w:w="983" w:type="pct"/>
                  <w:tcBorders>
                    <w:tl2br w:val="nil"/>
                    <w:tr2bl w:val="nil"/>
                  </w:tcBorders>
                  <w:noWrap w:val="0"/>
                  <w:vAlign w:val="center"/>
                </w:tcPr>
                <w:p w14:paraId="598E937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98-95-3</w:t>
                  </w:r>
                </w:p>
              </w:tc>
              <w:tc>
                <w:tcPr>
                  <w:tcW w:w="690" w:type="pct"/>
                  <w:tcBorders>
                    <w:tl2br w:val="nil"/>
                    <w:tr2bl w:val="nil"/>
                  </w:tcBorders>
                  <w:noWrap w:val="0"/>
                  <w:vAlign w:val="center"/>
                </w:tcPr>
                <w:p w14:paraId="05C606F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34</w:t>
                  </w:r>
                </w:p>
              </w:tc>
              <w:tc>
                <w:tcPr>
                  <w:tcW w:w="690" w:type="pct"/>
                  <w:tcBorders>
                    <w:tl2br w:val="nil"/>
                    <w:tr2bl w:val="nil"/>
                  </w:tcBorders>
                  <w:noWrap w:val="0"/>
                  <w:vAlign w:val="center"/>
                </w:tcPr>
                <w:p w14:paraId="27676B9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w:t>
                  </w:r>
                </w:p>
              </w:tc>
              <w:tc>
                <w:tcPr>
                  <w:tcW w:w="633" w:type="pct"/>
                  <w:tcBorders>
                    <w:tl2br w:val="nil"/>
                    <w:tr2bl w:val="nil"/>
                  </w:tcBorders>
                  <w:noWrap w:val="0"/>
                  <w:vAlign w:val="center"/>
                </w:tcPr>
                <w:p w14:paraId="38A462F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190</w:t>
                  </w:r>
                </w:p>
              </w:tc>
              <w:tc>
                <w:tcPr>
                  <w:tcW w:w="630" w:type="pct"/>
                  <w:tcBorders>
                    <w:tl2br w:val="nil"/>
                    <w:tr2bl w:val="nil"/>
                  </w:tcBorders>
                  <w:noWrap w:val="0"/>
                  <w:vAlign w:val="center"/>
                </w:tcPr>
                <w:p w14:paraId="2206AAB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760</w:t>
                  </w:r>
                </w:p>
              </w:tc>
            </w:tr>
            <w:tr w14:paraId="6DB10B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72104B2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36</w:t>
                  </w:r>
                </w:p>
              </w:tc>
              <w:tc>
                <w:tcPr>
                  <w:tcW w:w="1046" w:type="pct"/>
                  <w:tcBorders>
                    <w:tl2br w:val="nil"/>
                    <w:tr2bl w:val="nil"/>
                  </w:tcBorders>
                  <w:noWrap w:val="0"/>
                  <w:vAlign w:val="center"/>
                </w:tcPr>
                <w:p w14:paraId="2A32CC0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苯胺</w:t>
                  </w:r>
                </w:p>
              </w:tc>
              <w:tc>
                <w:tcPr>
                  <w:tcW w:w="983" w:type="pct"/>
                  <w:tcBorders>
                    <w:tl2br w:val="nil"/>
                    <w:tr2bl w:val="nil"/>
                  </w:tcBorders>
                  <w:noWrap w:val="0"/>
                  <w:vAlign w:val="center"/>
                </w:tcPr>
                <w:p w14:paraId="2CBF121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62-53-3</w:t>
                  </w:r>
                </w:p>
              </w:tc>
              <w:tc>
                <w:tcPr>
                  <w:tcW w:w="690" w:type="pct"/>
                  <w:tcBorders>
                    <w:tl2br w:val="nil"/>
                    <w:tr2bl w:val="nil"/>
                  </w:tcBorders>
                  <w:noWrap w:val="0"/>
                  <w:vAlign w:val="center"/>
                </w:tcPr>
                <w:p w14:paraId="6CBCF18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92</w:t>
                  </w:r>
                </w:p>
              </w:tc>
              <w:tc>
                <w:tcPr>
                  <w:tcW w:w="690" w:type="pct"/>
                  <w:tcBorders>
                    <w:tl2br w:val="nil"/>
                    <w:tr2bl w:val="nil"/>
                  </w:tcBorders>
                  <w:noWrap w:val="0"/>
                  <w:vAlign w:val="center"/>
                </w:tcPr>
                <w:p w14:paraId="39D1122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260</w:t>
                  </w:r>
                </w:p>
              </w:tc>
              <w:tc>
                <w:tcPr>
                  <w:tcW w:w="633" w:type="pct"/>
                  <w:tcBorders>
                    <w:tl2br w:val="nil"/>
                    <w:tr2bl w:val="nil"/>
                  </w:tcBorders>
                  <w:noWrap w:val="0"/>
                  <w:vAlign w:val="center"/>
                </w:tcPr>
                <w:p w14:paraId="232C837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211</w:t>
                  </w:r>
                </w:p>
              </w:tc>
              <w:tc>
                <w:tcPr>
                  <w:tcW w:w="630" w:type="pct"/>
                  <w:tcBorders>
                    <w:tl2br w:val="nil"/>
                    <w:tr2bl w:val="nil"/>
                  </w:tcBorders>
                  <w:noWrap w:val="0"/>
                  <w:vAlign w:val="center"/>
                </w:tcPr>
                <w:p w14:paraId="39E8423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663</w:t>
                  </w:r>
                </w:p>
              </w:tc>
            </w:tr>
            <w:tr w14:paraId="6F3124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6E35133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37</w:t>
                  </w:r>
                </w:p>
              </w:tc>
              <w:tc>
                <w:tcPr>
                  <w:tcW w:w="1046" w:type="pct"/>
                  <w:tcBorders>
                    <w:tl2br w:val="nil"/>
                    <w:tr2bl w:val="nil"/>
                  </w:tcBorders>
                  <w:noWrap w:val="0"/>
                  <w:vAlign w:val="center"/>
                </w:tcPr>
                <w:p w14:paraId="4B0CC95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2-氯酚</w:t>
                  </w:r>
                </w:p>
              </w:tc>
              <w:tc>
                <w:tcPr>
                  <w:tcW w:w="983" w:type="pct"/>
                  <w:tcBorders>
                    <w:tl2br w:val="nil"/>
                    <w:tr2bl w:val="nil"/>
                  </w:tcBorders>
                  <w:noWrap w:val="0"/>
                  <w:vAlign w:val="center"/>
                </w:tcPr>
                <w:p w14:paraId="6E5CEFB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95-57-8</w:t>
                  </w:r>
                </w:p>
              </w:tc>
              <w:tc>
                <w:tcPr>
                  <w:tcW w:w="690" w:type="pct"/>
                  <w:tcBorders>
                    <w:tl2br w:val="nil"/>
                    <w:tr2bl w:val="nil"/>
                  </w:tcBorders>
                  <w:noWrap w:val="0"/>
                  <w:vAlign w:val="center"/>
                </w:tcPr>
                <w:p w14:paraId="6E167FF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250</w:t>
                  </w:r>
                </w:p>
              </w:tc>
              <w:tc>
                <w:tcPr>
                  <w:tcW w:w="690" w:type="pct"/>
                  <w:tcBorders>
                    <w:tl2br w:val="nil"/>
                    <w:tr2bl w:val="nil"/>
                  </w:tcBorders>
                  <w:noWrap w:val="0"/>
                  <w:vAlign w:val="center"/>
                </w:tcPr>
                <w:p w14:paraId="1915659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2256</w:t>
                  </w:r>
                </w:p>
              </w:tc>
              <w:tc>
                <w:tcPr>
                  <w:tcW w:w="633" w:type="pct"/>
                  <w:tcBorders>
                    <w:tl2br w:val="nil"/>
                    <w:tr2bl w:val="nil"/>
                  </w:tcBorders>
                  <w:noWrap w:val="0"/>
                  <w:vAlign w:val="center"/>
                </w:tcPr>
                <w:p w14:paraId="3F5B2CA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w:t>
                  </w:r>
                </w:p>
              </w:tc>
              <w:tc>
                <w:tcPr>
                  <w:tcW w:w="630" w:type="pct"/>
                  <w:tcBorders>
                    <w:tl2br w:val="nil"/>
                    <w:tr2bl w:val="nil"/>
                  </w:tcBorders>
                  <w:noWrap w:val="0"/>
                  <w:vAlign w:val="center"/>
                </w:tcPr>
                <w:p w14:paraId="0F51D20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4500</w:t>
                  </w:r>
                </w:p>
              </w:tc>
            </w:tr>
            <w:tr w14:paraId="3FE00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475D89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38</w:t>
                  </w:r>
                </w:p>
              </w:tc>
              <w:tc>
                <w:tcPr>
                  <w:tcW w:w="1046" w:type="pct"/>
                  <w:tcBorders>
                    <w:tl2br w:val="nil"/>
                    <w:tr2bl w:val="nil"/>
                  </w:tcBorders>
                  <w:noWrap w:val="0"/>
                  <w:vAlign w:val="center"/>
                </w:tcPr>
                <w:p w14:paraId="34CBEEC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苯并[a]蒽</w:t>
                  </w:r>
                </w:p>
              </w:tc>
              <w:tc>
                <w:tcPr>
                  <w:tcW w:w="983" w:type="pct"/>
                  <w:tcBorders>
                    <w:tl2br w:val="nil"/>
                    <w:tr2bl w:val="nil"/>
                  </w:tcBorders>
                  <w:noWrap w:val="0"/>
                  <w:vAlign w:val="center"/>
                </w:tcPr>
                <w:p w14:paraId="34C3B15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56-55-3</w:t>
                  </w:r>
                </w:p>
              </w:tc>
              <w:tc>
                <w:tcPr>
                  <w:tcW w:w="690" w:type="pct"/>
                  <w:tcBorders>
                    <w:tl2br w:val="nil"/>
                    <w:tr2bl w:val="nil"/>
                  </w:tcBorders>
                  <w:noWrap w:val="0"/>
                  <w:vAlign w:val="center"/>
                </w:tcPr>
                <w:p w14:paraId="613F73B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90" w:type="pct"/>
                  <w:tcBorders>
                    <w:tl2br w:val="nil"/>
                    <w:tr2bl w:val="nil"/>
                  </w:tcBorders>
                  <w:noWrap w:val="0"/>
                  <w:vAlign w:val="center"/>
                </w:tcPr>
                <w:p w14:paraId="199C097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633" w:type="pct"/>
                  <w:tcBorders>
                    <w:tl2br w:val="nil"/>
                    <w:tr2bl w:val="nil"/>
                  </w:tcBorders>
                  <w:noWrap w:val="0"/>
                  <w:vAlign w:val="center"/>
                </w:tcPr>
                <w:p w14:paraId="7E7FF1C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30" w:type="pct"/>
                  <w:tcBorders>
                    <w:tl2br w:val="nil"/>
                    <w:tr2bl w:val="nil"/>
                  </w:tcBorders>
                  <w:noWrap w:val="0"/>
                  <w:vAlign w:val="center"/>
                </w:tcPr>
                <w:p w14:paraId="312294FD">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72838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80F101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39</w:t>
                  </w:r>
                </w:p>
              </w:tc>
              <w:tc>
                <w:tcPr>
                  <w:tcW w:w="1046" w:type="pct"/>
                  <w:tcBorders>
                    <w:tl2br w:val="nil"/>
                    <w:tr2bl w:val="nil"/>
                  </w:tcBorders>
                  <w:noWrap w:val="0"/>
                  <w:vAlign w:val="center"/>
                </w:tcPr>
                <w:p w14:paraId="42CE334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苯并[a]芘</w:t>
                  </w:r>
                </w:p>
              </w:tc>
              <w:tc>
                <w:tcPr>
                  <w:tcW w:w="983" w:type="pct"/>
                  <w:tcBorders>
                    <w:tl2br w:val="nil"/>
                    <w:tr2bl w:val="nil"/>
                  </w:tcBorders>
                  <w:noWrap w:val="0"/>
                  <w:vAlign w:val="center"/>
                </w:tcPr>
                <w:p w14:paraId="0AF7219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50-32-8</w:t>
                  </w:r>
                </w:p>
              </w:tc>
              <w:tc>
                <w:tcPr>
                  <w:tcW w:w="690" w:type="pct"/>
                  <w:tcBorders>
                    <w:tl2br w:val="nil"/>
                    <w:tr2bl w:val="nil"/>
                  </w:tcBorders>
                  <w:noWrap w:val="0"/>
                  <w:vAlign w:val="center"/>
                </w:tcPr>
                <w:p w14:paraId="1A82684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0.55</w:t>
                  </w:r>
                </w:p>
              </w:tc>
              <w:tc>
                <w:tcPr>
                  <w:tcW w:w="690" w:type="pct"/>
                  <w:tcBorders>
                    <w:tl2br w:val="nil"/>
                    <w:tr2bl w:val="nil"/>
                  </w:tcBorders>
                  <w:noWrap w:val="0"/>
                  <w:vAlign w:val="center"/>
                </w:tcPr>
                <w:p w14:paraId="778CC7B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633" w:type="pct"/>
                  <w:tcBorders>
                    <w:tl2br w:val="nil"/>
                    <w:tr2bl w:val="nil"/>
                  </w:tcBorders>
                  <w:noWrap w:val="0"/>
                  <w:vAlign w:val="center"/>
                </w:tcPr>
                <w:p w14:paraId="6724866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30" w:type="pct"/>
                  <w:tcBorders>
                    <w:tl2br w:val="nil"/>
                    <w:tr2bl w:val="nil"/>
                  </w:tcBorders>
                  <w:noWrap w:val="0"/>
                  <w:vAlign w:val="center"/>
                </w:tcPr>
                <w:p w14:paraId="5068AD7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06F6E7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7299238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40</w:t>
                  </w:r>
                </w:p>
              </w:tc>
              <w:tc>
                <w:tcPr>
                  <w:tcW w:w="1046" w:type="pct"/>
                  <w:tcBorders>
                    <w:tl2br w:val="nil"/>
                    <w:tr2bl w:val="nil"/>
                  </w:tcBorders>
                  <w:noWrap w:val="0"/>
                  <w:vAlign w:val="center"/>
                </w:tcPr>
                <w:p w14:paraId="5825C26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苯并[b]荧蒽</w:t>
                  </w:r>
                </w:p>
              </w:tc>
              <w:tc>
                <w:tcPr>
                  <w:tcW w:w="983" w:type="pct"/>
                  <w:tcBorders>
                    <w:tl2br w:val="nil"/>
                    <w:tr2bl w:val="nil"/>
                  </w:tcBorders>
                  <w:noWrap w:val="0"/>
                  <w:vAlign w:val="center"/>
                </w:tcPr>
                <w:p w14:paraId="33A239A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205-99-2</w:t>
                  </w:r>
                </w:p>
              </w:tc>
              <w:tc>
                <w:tcPr>
                  <w:tcW w:w="690" w:type="pct"/>
                  <w:tcBorders>
                    <w:tl2br w:val="nil"/>
                    <w:tr2bl w:val="nil"/>
                  </w:tcBorders>
                  <w:noWrap w:val="0"/>
                  <w:vAlign w:val="center"/>
                </w:tcPr>
                <w:p w14:paraId="3CBBA82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90" w:type="pct"/>
                  <w:tcBorders>
                    <w:tl2br w:val="nil"/>
                    <w:tr2bl w:val="nil"/>
                  </w:tcBorders>
                  <w:noWrap w:val="0"/>
                  <w:vAlign w:val="center"/>
                </w:tcPr>
                <w:p w14:paraId="4B63EF8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633" w:type="pct"/>
                  <w:tcBorders>
                    <w:tl2br w:val="nil"/>
                    <w:tr2bl w:val="nil"/>
                  </w:tcBorders>
                  <w:noWrap w:val="0"/>
                  <w:vAlign w:val="center"/>
                </w:tcPr>
                <w:p w14:paraId="7B24A5A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30" w:type="pct"/>
                  <w:tcBorders>
                    <w:tl2br w:val="nil"/>
                    <w:tr2bl w:val="nil"/>
                  </w:tcBorders>
                  <w:noWrap w:val="0"/>
                  <w:vAlign w:val="center"/>
                </w:tcPr>
                <w:p w14:paraId="5CA02BD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20C1A1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4418915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41</w:t>
                  </w:r>
                </w:p>
              </w:tc>
              <w:tc>
                <w:tcPr>
                  <w:tcW w:w="1046" w:type="pct"/>
                  <w:tcBorders>
                    <w:tl2br w:val="nil"/>
                    <w:tr2bl w:val="nil"/>
                  </w:tcBorders>
                  <w:noWrap w:val="0"/>
                  <w:vAlign w:val="center"/>
                </w:tcPr>
                <w:p w14:paraId="51620D0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苯并[k]荧蒽</w:t>
                  </w:r>
                </w:p>
              </w:tc>
              <w:tc>
                <w:tcPr>
                  <w:tcW w:w="983" w:type="pct"/>
                  <w:tcBorders>
                    <w:tl2br w:val="nil"/>
                    <w:tr2bl w:val="nil"/>
                  </w:tcBorders>
                  <w:noWrap w:val="0"/>
                  <w:vAlign w:val="center"/>
                </w:tcPr>
                <w:p w14:paraId="73582B77">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207-08-9</w:t>
                  </w:r>
                </w:p>
              </w:tc>
              <w:tc>
                <w:tcPr>
                  <w:tcW w:w="690" w:type="pct"/>
                  <w:tcBorders>
                    <w:tl2br w:val="nil"/>
                    <w:tr2bl w:val="nil"/>
                  </w:tcBorders>
                  <w:noWrap w:val="0"/>
                  <w:vAlign w:val="center"/>
                </w:tcPr>
                <w:p w14:paraId="7FDD29C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90" w:type="pct"/>
                  <w:tcBorders>
                    <w:tl2br w:val="nil"/>
                    <w:tr2bl w:val="nil"/>
                  </w:tcBorders>
                  <w:noWrap w:val="0"/>
                  <w:vAlign w:val="center"/>
                </w:tcPr>
                <w:p w14:paraId="65CF758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c>
                <w:tcPr>
                  <w:tcW w:w="633" w:type="pct"/>
                  <w:tcBorders>
                    <w:tl2br w:val="nil"/>
                    <w:tr2bl w:val="nil"/>
                  </w:tcBorders>
                  <w:noWrap w:val="0"/>
                  <w:vAlign w:val="center"/>
                </w:tcPr>
                <w:p w14:paraId="17AA90B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550</w:t>
                  </w:r>
                </w:p>
              </w:tc>
              <w:tc>
                <w:tcPr>
                  <w:tcW w:w="630" w:type="pct"/>
                  <w:tcBorders>
                    <w:tl2br w:val="nil"/>
                    <w:tr2bl w:val="nil"/>
                  </w:tcBorders>
                  <w:noWrap w:val="0"/>
                  <w:vAlign w:val="center"/>
                </w:tcPr>
                <w:p w14:paraId="2CE7DA61">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1500</w:t>
                  </w:r>
                </w:p>
              </w:tc>
            </w:tr>
            <w:tr w14:paraId="1C1CD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564598F4">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42</w:t>
                  </w:r>
                </w:p>
              </w:tc>
              <w:tc>
                <w:tcPr>
                  <w:tcW w:w="1046" w:type="pct"/>
                  <w:tcBorders>
                    <w:tl2br w:val="nil"/>
                    <w:tr2bl w:val="nil"/>
                  </w:tcBorders>
                  <w:noWrap w:val="0"/>
                  <w:vAlign w:val="center"/>
                </w:tcPr>
                <w:p w14:paraId="69BC223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䓛</w:t>
                  </w:r>
                </w:p>
              </w:tc>
              <w:tc>
                <w:tcPr>
                  <w:tcW w:w="983" w:type="pct"/>
                  <w:tcBorders>
                    <w:tl2br w:val="nil"/>
                    <w:tr2bl w:val="nil"/>
                  </w:tcBorders>
                  <w:noWrap w:val="0"/>
                  <w:vAlign w:val="center"/>
                </w:tcPr>
                <w:p w14:paraId="40FAF46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218-01-9</w:t>
                  </w:r>
                </w:p>
              </w:tc>
              <w:tc>
                <w:tcPr>
                  <w:tcW w:w="690" w:type="pct"/>
                  <w:tcBorders>
                    <w:tl2br w:val="nil"/>
                    <w:tr2bl w:val="nil"/>
                  </w:tcBorders>
                  <w:noWrap w:val="0"/>
                  <w:vAlign w:val="center"/>
                </w:tcPr>
                <w:p w14:paraId="43211F5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490</w:t>
                  </w:r>
                </w:p>
              </w:tc>
              <w:tc>
                <w:tcPr>
                  <w:tcW w:w="690" w:type="pct"/>
                  <w:tcBorders>
                    <w:tl2br w:val="nil"/>
                    <w:tr2bl w:val="nil"/>
                  </w:tcBorders>
                  <w:noWrap w:val="0"/>
                  <w:vAlign w:val="center"/>
                </w:tcPr>
                <w:p w14:paraId="4F3EF4A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1293</w:t>
                  </w:r>
                </w:p>
              </w:tc>
              <w:tc>
                <w:tcPr>
                  <w:tcW w:w="633" w:type="pct"/>
                  <w:tcBorders>
                    <w:tl2br w:val="nil"/>
                    <w:tr2bl w:val="nil"/>
                  </w:tcBorders>
                  <w:noWrap w:val="0"/>
                  <w:vAlign w:val="center"/>
                </w:tcPr>
                <w:p w14:paraId="7DEB6A43">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4900</w:t>
                  </w:r>
                </w:p>
              </w:tc>
              <w:tc>
                <w:tcPr>
                  <w:tcW w:w="630" w:type="pct"/>
                  <w:tcBorders>
                    <w:tl2br w:val="nil"/>
                    <w:tr2bl w:val="nil"/>
                  </w:tcBorders>
                  <w:noWrap w:val="0"/>
                  <w:vAlign w:val="center"/>
                </w:tcPr>
                <w:p w14:paraId="265822F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12900</w:t>
                  </w:r>
                </w:p>
              </w:tc>
            </w:tr>
            <w:tr w14:paraId="7235A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2D487EEB">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43</w:t>
                  </w:r>
                </w:p>
              </w:tc>
              <w:tc>
                <w:tcPr>
                  <w:tcW w:w="1046" w:type="pct"/>
                  <w:tcBorders>
                    <w:tl2br w:val="nil"/>
                    <w:tr2bl w:val="nil"/>
                  </w:tcBorders>
                  <w:noWrap w:val="0"/>
                  <w:vAlign w:val="center"/>
                </w:tcPr>
                <w:p w14:paraId="287158C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二苯并[a，h]蒽</w:t>
                  </w:r>
                </w:p>
              </w:tc>
              <w:tc>
                <w:tcPr>
                  <w:tcW w:w="983" w:type="pct"/>
                  <w:tcBorders>
                    <w:tl2br w:val="nil"/>
                    <w:tr2bl w:val="nil"/>
                  </w:tcBorders>
                  <w:noWrap w:val="0"/>
                  <w:vAlign w:val="center"/>
                </w:tcPr>
                <w:p w14:paraId="05BDC74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53-70-3</w:t>
                  </w:r>
                </w:p>
              </w:tc>
              <w:tc>
                <w:tcPr>
                  <w:tcW w:w="690" w:type="pct"/>
                  <w:tcBorders>
                    <w:tl2br w:val="nil"/>
                    <w:tr2bl w:val="nil"/>
                  </w:tcBorders>
                  <w:noWrap w:val="0"/>
                  <w:vAlign w:val="center"/>
                </w:tcPr>
                <w:p w14:paraId="4C349C1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0.55</w:t>
                  </w:r>
                </w:p>
              </w:tc>
              <w:tc>
                <w:tcPr>
                  <w:tcW w:w="690" w:type="pct"/>
                  <w:tcBorders>
                    <w:tl2br w:val="nil"/>
                    <w:tr2bl w:val="nil"/>
                  </w:tcBorders>
                  <w:noWrap w:val="0"/>
                  <w:vAlign w:val="center"/>
                </w:tcPr>
                <w:p w14:paraId="5DF843F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633" w:type="pct"/>
                  <w:tcBorders>
                    <w:tl2br w:val="nil"/>
                    <w:tr2bl w:val="nil"/>
                  </w:tcBorders>
                  <w:noWrap w:val="0"/>
                  <w:vAlign w:val="center"/>
                </w:tcPr>
                <w:p w14:paraId="35E882F6">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30" w:type="pct"/>
                  <w:tcBorders>
                    <w:tl2br w:val="nil"/>
                    <w:tr2bl w:val="nil"/>
                  </w:tcBorders>
                  <w:noWrap w:val="0"/>
                  <w:vAlign w:val="center"/>
                </w:tcPr>
                <w:p w14:paraId="026C5F8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r>
            <w:tr w14:paraId="7573A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392F2FFE">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44</w:t>
                  </w:r>
                </w:p>
              </w:tc>
              <w:tc>
                <w:tcPr>
                  <w:tcW w:w="1046" w:type="pct"/>
                  <w:tcBorders>
                    <w:tl2br w:val="nil"/>
                    <w:tr2bl w:val="nil"/>
                  </w:tcBorders>
                  <w:noWrap w:val="0"/>
                  <w:vAlign w:val="center"/>
                </w:tcPr>
                <w:p w14:paraId="1880D4E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茚并[1，2，3-cd]芘</w:t>
                  </w:r>
                </w:p>
              </w:tc>
              <w:tc>
                <w:tcPr>
                  <w:tcW w:w="983" w:type="pct"/>
                  <w:tcBorders>
                    <w:tl2br w:val="nil"/>
                    <w:tr2bl w:val="nil"/>
                  </w:tcBorders>
                  <w:noWrap w:val="0"/>
                  <w:vAlign w:val="center"/>
                </w:tcPr>
                <w:p w14:paraId="2C3CEC9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193-39-5</w:t>
                  </w:r>
                </w:p>
              </w:tc>
              <w:tc>
                <w:tcPr>
                  <w:tcW w:w="690" w:type="pct"/>
                  <w:tcBorders>
                    <w:tl2br w:val="nil"/>
                    <w:tr2bl w:val="nil"/>
                  </w:tcBorders>
                  <w:noWrap w:val="0"/>
                  <w:vAlign w:val="center"/>
                </w:tcPr>
                <w:p w14:paraId="134A6670">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90" w:type="pct"/>
                  <w:tcBorders>
                    <w:tl2br w:val="nil"/>
                    <w:tr2bl w:val="nil"/>
                  </w:tcBorders>
                  <w:noWrap w:val="0"/>
                  <w:vAlign w:val="center"/>
                </w:tcPr>
                <w:p w14:paraId="271F34E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633" w:type="pct"/>
                  <w:tcBorders>
                    <w:tl2br w:val="nil"/>
                    <w:tr2bl w:val="nil"/>
                  </w:tcBorders>
                  <w:noWrap w:val="0"/>
                  <w:vAlign w:val="center"/>
                </w:tcPr>
                <w:p w14:paraId="4B13A89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c>
                <w:tcPr>
                  <w:tcW w:w="630" w:type="pct"/>
                  <w:tcBorders>
                    <w:tl2br w:val="nil"/>
                    <w:tr2bl w:val="nil"/>
                  </w:tcBorders>
                  <w:noWrap w:val="0"/>
                  <w:vAlign w:val="center"/>
                </w:tcPr>
                <w:p w14:paraId="6E17CC2C">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151</w:t>
                  </w:r>
                </w:p>
              </w:tc>
            </w:tr>
            <w:tr w14:paraId="332C8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24" w:type="pct"/>
                  <w:tcBorders>
                    <w:tl2br w:val="nil"/>
                    <w:tr2bl w:val="nil"/>
                  </w:tcBorders>
                  <w:noWrap w:val="0"/>
                  <w:vAlign w:val="center"/>
                </w:tcPr>
                <w:p w14:paraId="56E848EF">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w:t>
                  </w:r>
                </w:p>
              </w:tc>
              <w:tc>
                <w:tcPr>
                  <w:tcW w:w="1046" w:type="pct"/>
                  <w:tcBorders>
                    <w:tl2br w:val="nil"/>
                    <w:tr2bl w:val="nil"/>
                  </w:tcBorders>
                  <w:noWrap w:val="0"/>
                  <w:vAlign w:val="center"/>
                </w:tcPr>
                <w:p w14:paraId="70DD8275">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萘</w:t>
                  </w:r>
                </w:p>
              </w:tc>
              <w:tc>
                <w:tcPr>
                  <w:tcW w:w="983" w:type="pct"/>
                  <w:tcBorders>
                    <w:tl2br w:val="nil"/>
                    <w:tr2bl w:val="nil"/>
                  </w:tcBorders>
                  <w:noWrap w:val="0"/>
                  <w:vAlign w:val="center"/>
                </w:tcPr>
                <w:p w14:paraId="70AB3AE2">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91-20-3</w:t>
                  </w:r>
                </w:p>
              </w:tc>
              <w:tc>
                <w:tcPr>
                  <w:tcW w:w="690" w:type="pct"/>
                  <w:tcBorders>
                    <w:tl2br w:val="nil"/>
                    <w:tr2bl w:val="nil"/>
                  </w:tcBorders>
                  <w:noWrap w:val="0"/>
                  <w:vAlign w:val="center"/>
                </w:tcPr>
                <w:p w14:paraId="5C9A0948">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w:t>
                  </w:r>
                </w:p>
              </w:tc>
              <w:tc>
                <w:tcPr>
                  <w:tcW w:w="690" w:type="pct"/>
                  <w:tcBorders>
                    <w:tl2br w:val="nil"/>
                    <w:tr2bl w:val="nil"/>
                  </w:tcBorders>
                  <w:noWrap w:val="0"/>
                  <w:vAlign w:val="center"/>
                </w:tcPr>
                <w:p w14:paraId="6717E4E9">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633" w:type="pct"/>
                  <w:tcBorders>
                    <w:tl2br w:val="nil"/>
                    <w:tr2bl w:val="nil"/>
                  </w:tcBorders>
                  <w:noWrap w:val="0"/>
                  <w:vAlign w:val="center"/>
                </w:tcPr>
                <w:p w14:paraId="068E42F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255</w:t>
                  </w:r>
                </w:p>
              </w:tc>
              <w:tc>
                <w:tcPr>
                  <w:tcW w:w="630" w:type="pct"/>
                  <w:tcBorders>
                    <w:tl2br w:val="nil"/>
                    <w:tr2bl w:val="nil"/>
                  </w:tcBorders>
                  <w:noWrap w:val="0"/>
                  <w:vAlign w:val="center"/>
                </w:tcPr>
                <w:p w14:paraId="6A85FB8A">
                  <w:pPr>
                    <w:pStyle w:val="66"/>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700</w:t>
                  </w:r>
                </w:p>
              </w:tc>
            </w:tr>
          </w:tbl>
          <w:p w14:paraId="4064B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Times New Roman" w:hAnsi="Times New Roman" w:eastAsia="宋体" w:cs="Times New Roman"/>
                <w:color w:val="auto"/>
                <w:kern w:val="0"/>
                <w:sz w:val="15"/>
                <w:szCs w:val="15"/>
              </w:rPr>
            </w:pPr>
          </w:p>
          <w:p w14:paraId="6D3C6911">
            <w:pPr>
              <w:keepNext w:val="0"/>
              <w:keepLines w:val="0"/>
              <w:suppressLineNumbers w:val="0"/>
              <w:adjustRightInd w:val="0"/>
              <w:snapToGrid w:val="0"/>
              <w:spacing w:before="0" w:beforeAutospacing="0" w:after="0" w:afterAutospacing="0" w:line="360" w:lineRule="auto"/>
              <w:ind w:left="0" w:right="0"/>
              <w:rPr>
                <w:rFonts w:hint="default"/>
                <w:b/>
                <w:color w:val="auto"/>
                <w:kern w:val="0"/>
                <w:szCs w:val="21"/>
              </w:rPr>
            </w:pPr>
            <w:r>
              <w:rPr>
                <w:rFonts w:hint="default"/>
                <w:b/>
                <w:color w:val="auto"/>
                <w:kern w:val="0"/>
                <w:szCs w:val="21"/>
              </w:rPr>
              <w:t>2</w:t>
            </w:r>
            <w:r>
              <w:rPr>
                <w:rFonts w:hint="eastAsia"/>
                <w:b/>
                <w:color w:val="auto"/>
                <w:kern w:val="0"/>
                <w:szCs w:val="21"/>
              </w:rPr>
              <w:t>、污染物排放标准</w:t>
            </w:r>
          </w:p>
          <w:p w14:paraId="2BCAEC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（1）废气</w:t>
            </w:r>
          </w:p>
          <w:p w14:paraId="1385E96C">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①有组织</w:t>
            </w:r>
          </w:p>
          <w:p w14:paraId="1F15E527">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本项目储罐废气、汽车装载废气、装船废气、扫线废气</w:t>
            </w:r>
            <w:r>
              <w:rPr>
                <w:rFonts w:hint="eastAsia" w:ascii="Times New Roman" w:hAnsi="Times New Roman" w:eastAsia="宋体" w:cs="Times New Roman"/>
                <w:color w:val="auto"/>
                <w:kern w:val="0"/>
                <w:szCs w:val="21"/>
                <w:highlight w:val="none"/>
                <w:lang w:val="en-US" w:eastAsia="zh-CN"/>
              </w:rPr>
              <w:t>等经现有催化氧化装置处理后通过</w:t>
            </w:r>
            <w:r>
              <w:rPr>
                <w:rFonts w:hint="eastAsia" w:ascii="Times New Roman" w:hAnsi="Times New Roman" w:eastAsia="宋体" w:cs="Times New Roman"/>
                <w:color w:val="auto"/>
                <w:kern w:val="0"/>
                <w:szCs w:val="21"/>
                <w:highlight w:val="none"/>
              </w:rPr>
              <w:t>通过现有1根2</w:t>
            </w:r>
            <w:r>
              <w:rPr>
                <w:rFonts w:hint="eastAsia" w:ascii="Times New Roman" w:hAnsi="Times New Roman" w:eastAsia="宋体" w:cs="Times New Roman"/>
                <w:color w:val="auto"/>
                <w:kern w:val="0"/>
                <w:szCs w:val="21"/>
                <w:highlight w:val="none"/>
                <w:lang w:val="en-US" w:eastAsia="zh-CN"/>
              </w:rPr>
              <w:t>0</w:t>
            </w:r>
            <w:r>
              <w:rPr>
                <w:rFonts w:hint="eastAsia" w:ascii="Times New Roman" w:hAnsi="Times New Roman" w:eastAsia="宋体" w:cs="Times New Roman"/>
                <w:color w:val="auto"/>
                <w:kern w:val="0"/>
                <w:szCs w:val="21"/>
                <w:highlight w:val="none"/>
              </w:rPr>
              <w:t>m高DA00</w:t>
            </w:r>
            <w:r>
              <w:rPr>
                <w:rFonts w:hint="eastAsia" w:ascii="Times New Roman" w:hAnsi="Times New Roman" w:eastAsia="宋体" w:cs="Times New Roman"/>
                <w:color w:val="auto"/>
                <w:kern w:val="0"/>
                <w:szCs w:val="21"/>
                <w:highlight w:val="none"/>
                <w:lang w:val="en-US" w:eastAsia="zh-CN"/>
              </w:rPr>
              <w:t>1</w:t>
            </w:r>
            <w:r>
              <w:rPr>
                <w:rFonts w:hint="eastAsia" w:ascii="Times New Roman" w:hAnsi="Times New Roman" w:eastAsia="宋体" w:cs="Times New Roman"/>
                <w:color w:val="auto"/>
                <w:kern w:val="0"/>
                <w:szCs w:val="21"/>
                <w:highlight w:val="none"/>
              </w:rPr>
              <w:t>排气筒排放。</w:t>
            </w:r>
            <w:r>
              <w:rPr>
                <w:rFonts w:hint="eastAsia" w:ascii="Times New Roman" w:hAnsi="Times New Roman" w:eastAsia="宋体" w:cs="Times New Roman"/>
                <w:color w:val="auto"/>
                <w:kern w:val="0"/>
                <w:szCs w:val="21"/>
                <w:highlight w:val="none"/>
                <w:lang w:val="en-US" w:eastAsia="zh-CN"/>
              </w:rPr>
              <w:t>废气污染物NMHC</w:t>
            </w:r>
            <w:r>
              <w:rPr>
                <w:rFonts w:hint="eastAsia" w:cs="Times New Roman"/>
                <w:color w:val="auto"/>
                <w:kern w:val="0"/>
                <w:szCs w:val="21"/>
                <w:highlight w:val="none"/>
                <w:lang w:eastAsia="zh-CN"/>
              </w:rPr>
              <w:t>、</w:t>
            </w:r>
            <w:r>
              <w:rPr>
                <w:rFonts w:hint="eastAsia" w:cs="Times New Roman"/>
                <w:color w:val="auto"/>
                <w:kern w:val="0"/>
                <w:szCs w:val="21"/>
                <w:highlight w:val="none"/>
                <w:lang w:val="en-US" w:eastAsia="zh-CN"/>
              </w:rPr>
              <w:t>颗粒物（沥青烟）、苯并[a]芘</w:t>
            </w:r>
            <w:r>
              <w:rPr>
                <w:rFonts w:hint="eastAsia" w:ascii="Times New Roman" w:hAnsi="Times New Roman" w:eastAsia="宋体" w:cs="Times New Roman"/>
                <w:color w:val="auto"/>
                <w:kern w:val="0"/>
                <w:szCs w:val="21"/>
                <w:highlight w:val="none"/>
              </w:rPr>
              <w:t>执行江苏省地方标准《大气污染物综合排放标准》（DB32/4041</w:t>
            </w:r>
            <w:r>
              <w:rPr>
                <w:rFonts w:hint="eastAsia"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highlight w:val="none"/>
              </w:rPr>
              <w:t>2021）表1中排放限值要求，详见表</w:t>
            </w:r>
            <w:r>
              <w:rPr>
                <w:rFonts w:hint="eastAsia" w:ascii="Times New Roman" w:hAnsi="Times New Roman" w:eastAsia="宋体" w:cs="Times New Roman"/>
                <w:color w:val="auto"/>
                <w:kern w:val="0"/>
                <w:szCs w:val="21"/>
                <w:highlight w:val="none"/>
                <w:lang w:val="en-US" w:eastAsia="zh-CN"/>
              </w:rPr>
              <w:t>3</w:t>
            </w:r>
            <w:r>
              <w:rPr>
                <w:rFonts w:hint="eastAsia"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4</w:t>
            </w:r>
            <w:r>
              <w:rPr>
                <w:rFonts w:hint="eastAsia" w:cs="Times New Roman"/>
                <w:color w:val="auto"/>
                <w:kern w:val="0"/>
                <w:szCs w:val="21"/>
                <w:highlight w:val="none"/>
                <w:lang w:val="en-US" w:eastAsia="zh-CN"/>
              </w:rPr>
              <w:t>5</w:t>
            </w:r>
            <w:r>
              <w:rPr>
                <w:rFonts w:hint="eastAsia" w:ascii="Times New Roman" w:hAnsi="Times New Roman" w:eastAsia="宋体" w:cs="Times New Roman"/>
                <w:color w:val="auto"/>
                <w:kern w:val="0"/>
                <w:szCs w:val="21"/>
                <w:highlight w:val="none"/>
              </w:rPr>
              <w:t>。</w:t>
            </w:r>
          </w:p>
          <w:p w14:paraId="2B13F6F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i w:val="0"/>
                <w:iCs w:val="0"/>
                <w:color w:val="auto"/>
                <w:kern w:val="0"/>
                <w:szCs w:val="21"/>
                <w:highlight w:val="none"/>
              </w:rPr>
            </w:pPr>
            <w:r>
              <w:rPr>
                <w:rFonts w:hint="default" w:ascii="Times New Roman" w:hAnsi="Times New Roman" w:eastAsia="宋体" w:cs="Times New Roman"/>
                <w:b/>
                <w:i w:val="0"/>
                <w:iCs w:val="0"/>
                <w:color w:val="auto"/>
                <w:kern w:val="0"/>
                <w:szCs w:val="21"/>
                <w:highlight w:val="none"/>
              </w:rPr>
              <w:t>表</w:t>
            </w:r>
            <w:r>
              <w:rPr>
                <w:rFonts w:hint="eastAsia" w:ascii="Times New Roman" w:hAnsi="Times New Roman" w:eastAsia="宋体" w:cs="Times New Roman"/>
                <w:b/>
                <w:i w:val="0"/>
                <w:iCs w:val="0"/>
                <w:color w:val="auto"/>
                <w:kern w:val="0"/>
                <w:szCs w:val="21"/>
                <w:highlight w:val="none"/>
                <w:lang w:val="en-US" w:eastAsia="zh-CN"/>
              </w:rPr>
              <w:t>3</w:t>
            </w:r>
            <w:r>
              <w:rPr>
                <w:rFonts w:hint="default" w:ascii="Times New Roman" w:hAnsi="Times New Roman" w:eastAsia="宋体" w:cs="Times New Roman"/>
                <w:b/>
                <w:i w:val="0"/>
                <w:iCs w:val="0"/>
                <w:color w:val="auto"/>
                <w:kern w:val="0"/>
                <w:szCs w:val="21"/>
                <w:highlight w:val="none"/>
              </w:rPr>
              <w:t>-</w:t>
            </w:r>
            <w:r>
              <w:rPr>
                <w:rFonts w:hint="eastAsia" w:ascii="Times New Roman" w:hAnsi="Times New Roman" w:eastAsia="宋体" w:cs="Times New Roman"/>
                <w:b/>
                <w:i w:val="0"/>
                <w:iCs w:val="0"/>
                <w:color w:val="auto"/>
                <w:kern w:val="0"/>
                <w:szCs w:val="21"/>
                <w:highlight w:val="none"/>
                <w:lang w:val="en-US" w:eastAsia="zh-CN"/>
              </w:rPr>
              <w:t>4</w:t>
            </w:r>
            <w:r>
              <w:rPr>
                <w:rFonts w:hint="eastAsia" w:cs="Times New Roman"/>
                <w:b/>
                <w:i w:val="0"/>
                <w:iCs w:val="0"/>
                <w:color w:val="auto"/>
                <w:kern w:val="0"/>
                <w:szCs w:val="21"/>
                <w:highlight w:val="none"/>
                <w:lang w:val="en-US" w:eastAsia="zh-CN"/>
              </w:rPr>
              <w:t>5</w:t>
            </w:r>
            <w:r>
              <w:rPr>
                <w:rFonts w:hint="default" w:ascii="Times New Roman" w:hAnsi="Times New Roman" w:eastAsia="宋体" w:cs="Times New Roman"/>
                <w:b/>
                <w:i w:val="0"/>
                <w:iCs w:val="0"/>
                <w:color w:val="auto"/>
                <w:kern w:val="0"/>
                <w:szCs w:val="21"/>
                <w:highlight w:val="none"/>
              </w:rPr>
              <w:t xml:space="preserve"> </w:t>
            </w:r>
            <w:r>
              <w:rPr>
                <w:rFonts w:hint="eastAsia" w:ascii="Times New Roman" w:hAnsi="Times New Roman" w:eastAsia="宋体" w:cs="Times New Roman"/>
                <w:b/>
                <w:i w:val="0"/>
                <w:iCs w:val="0"/>
                <w:color w:val="auto"/>
                <w:kern w:val="0"/>
                <w:szCs w:val="21"/>
                <w:highlight w:val="none"/>
                <w:lang w:val="en-US" w:eastAsia="zh-CN"/>
              </w:rPr>
              <w:t xml:space="preserve"> </w:t>
            </w:r>
            <w:r>
              <w:rPr>
                <w:rFonts w:hint="default" w:ascii="Times New Roman" w:hAnsi="Times New Roman" w:eastAsia="宋体" w:cs="Times New Roman"/>
                <w:b/>
                <w:i w:val="0"/>
                <w:iCs w:val="0"/>
                <w:color w:val="auto"/>
                <w:kern w:val="0"/>
                <w:szCs w:val="21"/>
                <w:highlight w:val="none"/>
              </w:rPr>
              <w:t>有组织大气污染物排放标准</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76"/>
              <w:gridCol w:w="1844"/>
              <w:gridCol w:w="1657"/>
              <w:gridCol w:w="1549"/>
              <w:gridCol w:w="2492"/>
            </w:tblGrid>
            <w:tr w14:paraId="0CF7C9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624" w:type="pct"/>
                  <w:tcBorders>
                    <w:tl2br w:val="nil"/>
                    <w:tr2bl w:val="nil"/>
                  </w:tcBorders>
                  <w:noWrap w:val="0"/>
                  <w:vAlign w:val="center"/>
                </w:tcPr>
                <w:p w14:paraId="65ADABF2">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color w:val="auto"/>
                      <w:sz w:val="18"/>
                      <w:szCs w:val="18"/>
                      <w:lang w:val="en-US" w:eastAsia="zh-CN"/>
                    </w:rPr>
                  </w:pPr>
                  <w:r>
                    <w:rPr>
                      <w:rFonts w:hint="eastAsia" w:ascii="Times New Roman" w:hAnsi="Times New Roman" w:eastAsia="宋体" w:cs="Times New Roman"/>
                      <w:b/>
                      <w:color w:val="auto"/>
                      <w:sz w:val="18"/>
                      <w:szCs w:val="18"/>
                      <w:lang w:val="en-US" w:eastAsia="zh-CN"/>
                    </w:rPr>
                    <w:t>排气筒</w:t>
                  </w:r>
                </w:p>
              </w:tc>
              <w:tc>
                <w:tcPr>
                  <w:tcW w:w="1069" w:type="pct"/>
                  <w:tcBorders>
                    <w:tl2br w:val="nil"/>
                    <w:tr2bl w:val="nil"/>
                  </w:tcBorders>
                  <w:noWrap w:val="0"/>
                  <w:vAlign w:val="center"/>
                </w:tcPr>
                <w:p w14:paraId="0332DD4B">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w:t>
                  </w:r>
                </w:p>
              </w:tc>
              <w:tc>
                <w:tcPr>
                  <w:tcW w:w="961" w:type="pct"/>
                  <w:tcBorders>
                    <w:tl2br w:val="nil"/>
                    <w:tr2bl w:val="nil"/>
                  </w:tcBorders>
                  <w:noWrap w:val="0"/>
                  <w:vAlign w:val="center"/>
                </w:tcPr>
                <w:p w14:paraId="4991CAE8">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最高允许排放浓度(mg/m</w:t>
                  </w:r>
                  <w:r>
                    <w:rPr>
                      <w:rFonts w:hint="default" w:ascii="Times New Roman" w:hAnsi="Times New Roman" w:eastAsia="宋体" w:cs="Times New Roman"/>
                      <w:b/>
                      <w:color w:val="auto"/>
                      <w:sz w:val="18"/>
                      <w:szCs w:val="18"/>
                      <w:vertAlign w:val="superscript"/>
                    </w:rPr>
                    <w:t>3</w:t>
                  </w:r>
                  <w:r>
                    <w:rPr>
                      <w:rFonts w:hint="default" w:ascii="Times New Roman" w:hAnsi="Times New Roman" w:eastAsia="宋体" w:cs="Times New Roman"/>
                      <w:b/>
                      <w:color w:val="auto"/>
                      <w:sz w:val="18"/>
                      <w:szCs w:val="18"/>
                    </w:rPr>
                    <w:t>)</w:t>
                  </w:r>
                </w:p>
              </w:tc>
              <w:tc>
                <w:tcPr>
                  <w:tcW w:w="898" w:type="pct"/>
                  <w:tcBorders>
                    <w:tl2br w:val="nil"/>
                    <w:tr2bl w:val="nil"/>
                  </w:tcBorders>
                  <w:noWrap w:val="0"/>
                  <w:vAlign w:val="center"/>
                </w:tcPr>
                <w:p w14:paraId="28C1E553">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最高允许排放速率(kg/h)</w:t>
                  </w:r>
                </w:p>
              </w:tc>
              <w:tc>
                <w:tcPr>
                  <w:tcW w:w="1445" w:type="pct"/>
                  <w:tcBorders>
                    <w:tl2br w:val="nil"/>
                    <w:tr2bl w:val="nil"/>
                  </w:tcBorders>
                  <w:noWrap w:val="0"/>
                  <w:vAlign w:val="center"/>
                </w:tcPr>
                <w:p w14:paraId="2D64A65E">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eastAsia"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rPr>
                    <w:t>标准</w:t>
                  </w:r>
                  <w:r>
                    <w:rPr>
                      <w:rFonts w:hint="eastAsia" w:ascii="Times New Roman" w:hAnsi="Times New Roman" w:eastAsia="宋体" w:cs="Times New Roman"/>
                      <w:b/>
                      <w:color w:val="auto"/>
                      <w:sz w:val="18"/>
                      <w:szCs w:val="18"/>
                      <w:lang w:val="en-US" w:eastAsia="zh-CN"/>
                    </w:rPr>
                    <w:t>来源</w:t>
                  </w:r>
                </w:p>
              </w:tc>
            </w:tr>
            <w:tr w14:paraId="3FF5F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624" w:type="pct"/>
                  <w:vMerge w:val="restart"/>
                  <w:tcBorders>
                    <w:tl2br w:val="nil"/>
                    <w:tr2bl w:val="nil"/>
                  </w:tcBorders>
                  <w:noWrap w:val="0"/>
                  <w:vAlign w:val="center"/>
                </w:tcPr>
                <w:p w14:paraId="2D2F8B29">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DA001</w:t>
                  </w:r>
                </w:p>
              </w:tc>
              <w:tc>
                <w:tcPr>
                  <w:tcW w:w="1069" w:type="pct"/>
                  <w:tcBorders>
                    <w:tl2br w:val="nil"/>
                    <w:tr2bl w:val="nil"/>
                  </w:tcBorders>
                  <w:shd w:val="clear" w:color="auto" w:fill="auto"/>
                  <w:noWrap w:val="0"/>
                  <w:vAlign w:val="center"/>
                </w:tcPr>
                <w:p w14:paraId="0C9404A2">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sz w:val="18"/>
                      <w:szCs w:val="18"/>
                    </w:rPr>
                    <w:t>NMHC</w:t>
                  </w:r>
                </w:p>
              </w:tc>
              <w:tc>
                <w:tcPr>
                  <w:tcW w:w="961" w:type="pct"/>
                  <w:tcBorders>
                    <w:tl2br w:val="nil"/>
                    <w:tr2bl w:val="nil"/>
                  </w:tcBorders>
                  <w:noWrap w:val="0"/>
                  <w:vAlign w:val="center"/>
                </w:tcPr>
                <w:p w14:paraId="0AE5D354">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60</w:t>
                  </w:r>
                </w:p>
              </w:tc>
              <w:tc>
                <w:tcPr>
                  <w:tcW w:w="898" w:type="pct"/>
                  <w:tcBorders>
                    <w:tl2br w:val="nil"/>
                    <w:tr2bl w:val="nil"/>
                  </w:tcBorders>
                  <w:noWrap w:val="0"/>
                  <w:vAlign w:val="center"/>
                </w:tcPr>
                <w:p w14:paraId="3292E14A">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1445" w:type="pct"/>
                  <w:vMerge w:val="restart"/>
                  <w:tcBorders>
                    <w:tl2br w:val="nil"/>
                    <w:tr2bl w:val="nil"/>
                  </w:tcBorders>
                  <w:noWrap w:val="0"/>
                  <w:vAlign w:val="center"/>
                </w:tcPr>
                <w:p w14:paraId="45CBA63E">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江苏省地方标准《大气污染物综合排放标准》（DB32/4041-2021）</w:t>
                  </w:r>
                  <w:r>
                    <w:rPr>
                      <w:rFonts w:hint="eastAsia" w:ascii="Times New Roman" w:hAnsi="Times New Roman" w:eastAsia="宋体" w:cs="Times New Roman"/>
                      <w:color w:val="auto"/>
                      <w:sz w:val="18"/>
                      <w:szCs w:val="18"/>
                      <w:lang w:val="en-US" w:eastAsia="zh-CN"/>
                    </w:rPr>
                    <w:t>表1</w:t>
                  </w:r>
                </w:p>
              </w:tc>
            </w:tr>
            <w:tr w14:paraId="45949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624" w:type="pct"/>
                  <w:vMerge w:val="continue"/>
                  <w:tcBorders>
                    <w:tl2br w:val="nil"/>
                    <w:tr2bl w:val="nil"/>
                  </w:tcBorders>
                  <w:noWrap w:val="0"/>
                  <w:vAlign w:val="center"/>
                </w:tcPr>
                <w:p w14:paraId="226DE90D">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p>
              </w:tc>
              <w:tc>
                <w:tcPr>
                  <w:tcW w:w="1069" w:type="pct"/>
                  <w:tcBorders>
                    <w:tl2br w:val="nil"/>
                    <w:tr2bl w:val="nil"/>
                  </w:tcBorders>
                  <w:shd w:val="clear" w:color="auto" w:fill="auto"/>
                  <w:noWrap w:val="0"/>
                  <w:vAlign w:val="center"/>
                </w:tcPr>
                <w:p w14:paraId="713220C9">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颗粒物（沥青烟）</w:t>
                  </w:r>
                </w:p>
              </w:tc>
              <w:tc>
                <w:tcPr>
                  <w:tcW w:w="961" w:type="pct"/>
                  <w:tcBorders>
                    <w:tl2br w:val="nil"/>
                    <w:tr2bl w:val="nil"/>
                  </w:tcBorders>
                  <w:noWrap w:val="0"/>
                  <w:vAlign w:val="center"/>
                </w:tcPr>
                <w:p w14:paraId="36BCBCBE">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20</w:t>
                  </w:r>
                </w:p>
              </w:tc>
              <w:tc>
                <w:tcPr>
                  <w:tcW w:w="898" w:type="pct"/>
                  <w:tcBorders>
                    <w:tl2br w:val="nil"/>
                    <w:tr2bl w:val="nil"/>
                  </w:tcBorders>
                  <w:noWrap w:val="0"/>
                  <w:vAlign w:val="center"/>
                </w:tcPr>
                <w:p w14:paraId="10CB425B">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0.11</w:t>
                  </w:r>
                </w:p>
              </w:tc>
              <w:tc>
                <w:tcPr>
                  <w:tcW w:w="1445" w:type="pct"/>
                  <w:vMerge w:val="continue"/>
                  <w:tcBorders>
                    <w:tl2br w:val="nil"/>
                    <w:tr2bl w:val="nil"/>
                  </w:tcBorders>
                  <w:noWrap w:val="0"/>
                  <w:vAlign w:val="center"/>
                </w:tcPr>
                <w:p w14:paraId="1097E817">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p>
              </w:tc>
            </w:tr>
            <w:tr w14:paraId="43FE1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0" w:hRule="atLeast"/>
                <w:jc w:val="center"/>
              </w:trPr>
              <w:tc>
                <w:tcPr>
                  <w:tcW w:w="624" w:type="pct"/>
                  <w:vMerge w:val="continue"/>
                  <w:tcBorders>
                    <w:tl2br w:val="nil"/>
                    <w:tr2bl w:val="nil"/>
                  </w:tcBorders>
                  <w:noWrap w:val="0"/>
                  <w:vAlign w:val="center"/>
                </w:tcPr>
                <w:p w14:paraId="7E049D61">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p>
              </w:tc>
              <w:tc>
                <w:tcPr>
                  <w:tcW w:w="1069" w:type="pct"/>
                  <w:tcBorders>
                    <w:tl2br w:val="nil"/>
                    <w:tr2bl w:val="nil"/>
                  </w:tcBorders>
                  <w:shd w:val="clear" w:color="auto" w:fill="auto"/>
                  <w:noWrap w:val="0"/>
                  <w:vAlign w:val="center"/>
                </w:tcPr>
                <w:p w14:paraId="68D6AC32">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苯并[a]芘</w:t>
                  </w:r>
                </w:p>
              </w:tc>
              <w:tc>
                <w:tcPr>
                  <w:tcW w:w="961" w:type="pct"/>
                  <w:tcBorders>
                    <w:tl2br w:val="nil"/>
                    <w:tr2bl w:val="nil"/>
                  </w:tcBorders>
                  <w:noWrap w:val="0"/>
                  <w:vAlign w:val="center"/>
                </w:tcPr>
                <w:p w14:paraId="7F9E93E0">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0.0003</w:t>
                  </w:r>
                </w:p>
              </w:tc>
              <w:tc>
                <w:tcPr>
                  <w:tcW w:w="898" w:type="pct"/>
                  <w:tcBorders>
                    <w:tl2br w:val="nil"/>
                    <w:tr2bl w:val="nil"/>
                  </w:tcBorders>
                  <w:noWrap w:val="0"/>
                  <w:vAlign w:val="center"/>
                </w:tcPr>
                <w:p w14:paraId="0420BB79">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0.000009</w:t>
                  </w:r>
                </w:p>
              </w:tc>
              <w:tc>
                <w:tcPr>
                  <w:tcW w:w="1445" w:type="pct"/>
                  <w:vMerge w:val="continue"/>
                  <w:tcBorders>
                    <w:tl2br w:val="nil"/>
                    <w:tr2bl w:val="nil"/>
                  </w:tcBorders>
                  <w:noWrap w:val="0"/>
                  <w:vAlign w:val="center"/>
                </w:tcPr>
                <w:p w14:paraId="7D56FCA0">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eastAsia="宋体" w:cs="Times New Roman"/>
                      <w:color w:val="auto"/>
                      <w:sz w:val="18"/>
                      <w:szCs w:val="18"/>
                    </w:rPr>
                  </w:pPr>
                </w:p>
              </w:tc>
            </w:tr>
          </w:tbl>
          <w:p w14:paraId="400A5E4F">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b/>
                <w:color w:val="auto"/>
                <w:kern w:val="0"/>
                <w:sz w:val="15"/>
                <w:szCs w:val="15"/>
                <w:highlight w:val="yellow"/>
              </w:rPr>
            </w:pPr>
          </w:p>
          <w:p w14:paraId="498CC16C">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②无组织</w:t>
            </w:r>
          </w:p>
          <w:p w14:paraId="2A992C7C">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yellow"/>
              </w:rPr>
            </w:pPr>
            <w:r>
              <w:rPr>
                <w:rFonts w:hint="default" w:ascii="Times New Roman" w:hAnsi="Times New Roman" w:eastAsia="宋体" w:cs="Times New Roman"/>
                <w:color w:val="auto"/>
                <w:kern w:val="0"/>
                <w:szCs w:val="21"/>
                <w:highlight w:val="none"/>
              </w:rPr>
              <w:t>本项目厂界</w:t>
            </w:r>
            <w:r>
              <w:rPr>
                <w:rFonts w:hint="default" w:ascii="Times New Roman" w:hAnsi="Times New Roman" w:eastAsia="宋体" w:cs="Times New Roman"/>
                <w:color w:val="auto"/>
                <w:kern w:val="0"/>
                <w:szCs w:val="21"/>
                <w:highlight w:val="none"/>
                <w:lang w:val="en-US" w:eastAsia="zh-CN"/>
              </w:rPr>
              <w:t>NMHC</w:t>
            </w:r>
            <w:r>
              <w:rPr>
                <w:rFonts w:hint="eastAsia" w:ascii="Times New Roman" w:hAnsi="Times New Roman" w:eastAsia="宋体" w:cs="Times New Roman"/>
                <w:color w:val="auto"/>
                <w:kern w:val="0"/>
                <w:szCs w:val="21"/>
                <w:highlight w:val="none"/>
                <w:lang w:val="en-US" w:eastAsia="zh-CN"/>
              </w:rPr>
              <w:t>、</w:t>
            </w:r>
            <w:r>
              <w:rPr>
                <w:rFonts w:hint="eastAsia" w:cs="Times New Roman"/>
                <w:color w:val="auto"/>
                <w:kern w:val="0"/>
                <w:szCs w:val="21"/>
                <w:highlight w:val="none"/>
                <w:lang w:val="en-US" w:eastAsia="zh-CN"/>
              </w:rPr>
              <w:t>颗粒物（沥青烟）、苯并[a]芘等</w:t>
            </w:r>
            <w:r>
              <w:rPr>
                <w:rFonts w:hint="default" w:ascii="Times New Roman" w:hAnsi="Times New Roman" w:eastAsia="宋体" w:cs="Times New Roman"/>
                <w:color w:val="auto"/>
                <w:kern w:val="0"/>
                <w:szCs w:val="21"/>
                <w:highlight w:val="none"/>
              </w:rPr>
              <w:t>执行</w:t>
            </w:r>
            <w:r>
              <w:rPr>
                <w:rFonts w:hint="eastAsia" w:ascii="Times New Roman" w:hAnsi="Times New Roman" w:eastAsia="宋体" w:cs="Times New Roman"/>
                <w:color w:val="auto"/>
                <w:kern w:val="0"/>
                <w:szCs w:val="21"/>
                <w:highlight w:val="none"/>
              </w:rPr>
              <w:t>江苏省地方标准《大气污染物综合排放标准》（DB32/4041</w:t>
            </w:r>
            <w:r>
              <w:rPr>
                <w:rFonts w:hint="eastAsia"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highlight w:val="none"/>
              </w:rPr>
              <w:t>2021）表</w:t>
            </w:r>
            <w:r>
              <w:rPr>
                <w:rFonts w:hint="eastAsia" w:ascii="Times New Roman" w:hAnsi="Times New Roman" w:eastAsia="宋体" w:cs="Times New Roman"/>
                <w:color w:val="auto"/>
                <w:kern w:val="0"/>
                <w:szCs w:val="21"/>
                <w:highlight w:val="none"/>
                <w:lang w:val="en-US" w:eastAsia="zh-CN"/>
              </w:rPr>
              <w:t>3</w:t>
            </w:r>
            <w:r>
              <w:rPr>
                <w:rFonts w:hint="eastAsia" w:ascii="Times New Roman" w:hAnsi="Times New Roman" w:eastAsia="宋体" w:cs="Times New Roman"/>
                <w:color w:val="auto"/>
                <w:kern w:val="0"/>
                <w:szCs w:val="21"/>
                <w:highlight w:val="none"/>
              </w:rPr>
              <w:t>中</w:t>
            </w:r>
            <w:r>
              <w:rPr>
                <w:rFonts w:hint="eastAsia" w:ascii="Times New Roman" w:hAnsi="Times New Roman" w:eastAsia="宋体" w:cs="Times New Roman"/>
                <w:color w:val="auto"/>
                <w:kern w:val="0"/>
                <w:szCs w:val="21"/>
                <w:highlight w:val="none"/>
                <w:lang w:val="en-US" w:eastAsia="zh-CN"/>
              </w:rPr>
              <w:t>排放监控浓度限值</w:t>
            </w:r>
            <w:r>
              <w:rPr>
                <w:rFonts w:hint="eastAsia" w:ascii="Times New Roman" w:hAnsi="Times New Roman" w:eastAsia="宋体" w:cs="Times New Roman"/>
                <w:color w:val="auto"/>
                <w:kern w:val="0"/>
                <w:szCs w:val="21"/>
                <w:highlight w:val="none"/>
              </w:rPr>
              <w:t>要求</w:t>
            </w:r>
            <w:r>
              <w:rPr>
                <w:rFonts w:hint="default" w:ascii="Times New Roman" w:hAnsi="Times New Roman" w:eastAsia="宋体" w:cs="Times New Roman"/>
                <w:color w:val="auto"/>
                <w:kern w:val="0"/>
                <w:szCs w:val="21"/>
                <w:highlight w:val="none"/>
              </w:rPr>
              <w:t>，具体见表3-4</w:t>
            </w:r>
            <w:r>
              <w:rPr>
                <w:rFonts w:hint="eastAsia" w:cs="Times New Roman"/>
                <w:color w:val="auto"/>
                <w:kern w:val="0"/>
                <w:szCs w:val="21"/>
                <w:highlight w:val="none"/>
                <w:lang w:val="en-US" w:eastAsia="zh-CN"/>
              </w:rPr>
              <w:t>6</w:t>
            </w:r>
            <w:r>
              <w:rPr>
                <w:rFonts w:hint="default" w:ascii="Times New Roman" w:hAnsi="Times New Roman" w:eastAsia="宋体" w:cs="Times New Roman"/>
                <w:color w:val="auto"/>
                <w:kern w:val="0"/>
                <w:szCs w:val="21"/>
                <w:highlight w:val="none"/>
              </w:rPr>
              <w:t>。</w:t>
            </w:r>
          </w:p>
          <w:p w14:paraId="529269BD">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表3-</w:t>
            </w:r>
            <w:r>
              <w:rPr>
                <w:rFonts w:hint="eastAsia"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6</w:t>
            </w:r>
            <w:r>
              <w:rPr>
                <w:rFonts w:hint="default" w:ascii="Times New Roman" w:hAnsi="Times New Roman" w:cs="Times New Roman"/>
                <w:b/>
                <w:color w:val="auto"/>
                <w:sz w:val="21"/>
                <w:szCs w:val="21"/>
                <w:highlight w:val="none"/>
              </w:rPr>
              <w:t xml:space="preserve">  企业边界大气污染物浓度限值</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487"/>
              <w:gridCol w:w="3088"/>
              <w:gridCol w:w="1531"/>
              <w:gridCol w:w="2512"/>
            </w:tblGrid>
            <w:tr w14:paraId="283C82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63" w:type="pct"/>
                  <w:tcBorders>
                    <w:tl2br w:val="nil"/>
                    <w:tr2bl w:val="nil"/>
                  </w:tcBorders>
                  <w:noWrap w:val="0"/>
                  <w:vAlign w:val="center"/>
                </w:tcPr>
                <w:p w14:paraId="4B64EE7F">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污染物名称</w:t>
                  </w:r>
                </w:p>
              </w:tc>
              <w:tc>
                <w:tcPr>
                  <w:tcW w:w="1791" w:type="pct"/>
                  <w:tcBorders>
                    <w:tl2br w:val="nil"/>
                    <w:tr2bl w:val="nil"/>
                  </w:tcBorders>
                  <w:noWrap w:val="0"/>
                  <w:vAlign w:val="center"/>
                </w:tcPr>
                <w:p w14:paraId="2E5DA3D7">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监控浓度限值（mg/m</w:t>
                  </w:r>
                  <w:r>
                    <w:rPr>
                      <w:rFonts w:hint="default" w:ascii="Times New Roman" w:hAnsi="Times New Roman" w:cs="Times New Roman"/>
                      <w:b/>
                      <w:color w:val="auto"/>
                      <w:sz w:val="18"/>
                      <w:szCs w:val="18"/>
                      <w:highlight w:val="none"/>
                      <w:vertAlign w:val="superscript"/>
                    </w:rPr>
                    <w:t>3</w:t>
                  </w:r>
                  <w:r>
                    <w:rPr>
                      <w:rFonts w:hint="default" w:ascii="Times New Roman" w:hAnsi="Times New Roman" w:cs="Times New Roman"/>
                      <w:b/>
                      <w:color w:val="auto"/>
                      <w:sz w:val="18"/>
                      <w:szCs w:val="18"/>
                      <w:highlight w:val="none"/>
                    </w:rPr>
                    <w:t>）</w:t>
                  </w:r>
                </w:p>
              </w:tc>
              <w:tc>
                <w:tcPr>
                  <w:tcW w:w="888" w:type="pct"/>
                  <w:tcBorders>
                    <w:tl2br w:val="nil"/>
                    <w:tr2bl w:val="nil"/>
                  </w:tcBorders>
                  <w:noWrap w:val="0"/>
                  <w:vAlign w:val="center"/>
                </w:tcPr>
                <w:p w14:paraId="46A404B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lang w:val="en-US" w:eastAsia="zh-CN"/>
                    </w:rPr>
                  </w:pPr>
                  <w:r>
                    <w:rPr>
                      <w:rFonts w:hint="eastAsia" w:ascii="Times New Roman" w:hAnsi="Times New Roman" w:cs="Times New Roman"/>
                      <w:b/>
                      <w:color w:val="auto"/>
                      <w:sz w:val="18"/>
                      <w:szCs w:val="18"/>
                      <w:highlight w:val="none"/>
                      <w:lang w:val="en-US" w:eastAsia="zh-CN"/>
                    </w:rPr>
                    <w:t>监控位置</w:t>
                  </w:r>
                </w:p>
              </w:tc>
              <w:tc>
                <w:tcPr>
                  <w:tcW w:w="1457" w:type="pct"/>
                  <w:tcBorders>
                    <w:tl2br w:val="nil"/>
                    <w:tr2bl w:val="nil"/>
                  </w:tcBorders>
                  <w:noWrap w:val="0"/>
                  <w:vAlign w:val="center"/>
                </w:tcPr>
                <w:p w14:paraId="6611A0E8">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标准来源</w:t>
                  </w:r>
                </w:p>
              </w:tc>
            </w:tr>
            <w:tr w14:paraId="0C1CD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63" w:type="pct"/>
                  <w:tcBorders>
                    <w:tl2br w:val="nil"/>
                    <w:tr2bl w:val="nil"/>
                  </w:tcBorders>
                  <w:noWrap w:val="0"/>
                  <w:vAlign w:val="center"/>
                </w:tcPr>
                <w:p w14:paraId="6475BB4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rPr>
                    <w:t>NMHC</w:t>
                  </w:r>
                </w:p>
              </w:tc>
              <w:tc>
                <w:tcPr>
                  <w:tcW w:w="1791" w:type="pct"/>
                  <w:tcBorders>
                    <w:tl2br w:val="nil"/>
                    <w:tr2bl w:val="nil"/>
                  </w:tcBorders>
                  <w:noWrap w:val="0"/>
                  <w:vAlign w:val="center"/>
                </w:tcPr>
                <w:p w14:paraId="21BEAB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4</w:t>
                  </w:r>
                  <w:r>
                    <w:rPr>
                      <w:rFonts w:hint="eastAsia" w:ascii="Times New Roman" w:hAnsi="Times New Roman" w:cs="Times New Roman"/>
                      <w:color w:val="auto"/>
                      <w:sz w:val="18"/>
                      <w:szCs w:val="18"/>
                      <w:highlight w:val="none"/>
                      <w:lang w:val="en-US" w:eastAsia="zh-CN"/>
                    </w:rPr>
                    <w:t>.0</w:t>
                  </w:r>
                </w:p>
              </w:tc>
              <w:tc>
                <w:tcPr>
                  <w:tcW w:w="888" w:type="pct"/>
                  <w:vMerge w:val="restart"/>
                  <w:tcBorders>
                    <w:tl2br w:val="nil"/>
                    <w:tr2bl w:val="nil"/>
                  </w:tcBorders>
                  <w:noWrap w:val="0"/>
                  <w:vAlign w:val="center"/>
                </w:tcPr>
                <w:p w14:paraId="24BFA8F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边界外浓度最高点</w:t>
                  </w:r>
                </w:p>
              </w:tc>
              <w:tc>
                <w:tcPr>
                  <w:tcW w:w="1457" w:type="pct"/>
                  <w:vMerge w:val="restart"/>
                  <w:tcBorders>
                    <w:tl2br w:val="nil"/>
                    <w:tr2bl w:val="nil"/>
                  </w:tcBorders>
                  <w:noWrap w:val="0"/>
                  <w:vAlign w:val="center"/>
                </w:tcPr>
                <w:p w14:paraId="04FE59E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rPr>
                    <w:t>江苏省地方标准</w:t>
                  </w:r>
                  <w:r>
                    <w:rPr>
                      <w:rFonts w:hint="default" w:ascii="Times New Roman" w:hAnsi="Times New Roman" w:cs="Times New Roman"/>
                      <w:color w:val="auto"/>
                      <w:sz w:val="18"/>
                      <w:szCs w:val="18"/>
                      <w:highlight w:val="none"/>
                    </w:rPr>
                    <w:t>《大气污染物综合排放标准》（DB32/4041-2021）表3标准</w:t>
                  </w:r>
                </w:p>
              </w:tc>
            </w:tr>
            <w:tr w14:paraId="613C98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63" w:type="pct"/>
                  <w:tcBorders>
                    <w:tl2br w:val="nil"/>
                    <w:tr2bl w:val="nil"/>
                  </w:tcBorders>
                  <w:noWrap w:val="0"/>
                  <w:vAlign w:val="center"/>
                </w:tcPr>
                <w:p w14:paraId="27706C68">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lang w:val="en-US" w:eastAsia="zh-CN"/>
                    </w:rPr>
                    <w:t>颗粒物（沥青烟）</w:t>
                  </w:r>
                </w:p>
              </w:tc>
              <w:tc>
                <w:tcPr>
                  <w:tcW w:w="1791" w:type="pct"/>
                  <w:tcBorders>
                    <w:tl2br w:val="nil"/>
                    <w:tr2bl w:val="nil"/>
                  </w:tcBorders>
                  <w:noWrap w:val="0"/>
                  <w:vAlign w:val="center"/>
                </w:tcPr>
                <w:p w14:paraId="490853ED">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lang w:val="en-US" w:eastAsia="zh-CN"/>
                    </w:rPr>
                    <w:t>生产装置不得有明显的无组织排放</w:t>
                  </w:r>
                </w:p>
              </w:tc>
              <w:tc>
                <w:tcPr>
                  <w:tcW w:w="888" w:type="pct"/>
                  <w:vMerge w:val="continue"/>
                  <w:tcBorders>
                    <w:tl2br w:val="nil"/>
                    <w:tr2bl w:val="nil"/>
                  </w:tcBorders>
                  <w:noWrap w:val="0"/>
                  <w:vAlign w:val="center"/>
                </w:tcPr>
                <w:p w14:paraId="692C58D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457" w:type="pct"/>
                  <w:vMerge w:val="continue"/>
                  <w:tcBorders>
                    <w:tl2br w:val="nil"/>
                    <w:tr2bl w:val="nil"/>
                  </w:tcBorders>
                  <w:noWrap w:val="0"/>
                  <w:vAlign w:val="center"/>
                </w:tcPr>
                <w:p w14:paraId="6A90201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r w14:paraId="307FBD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863" w:type="pct"/>
                  <w:tcBorders>
                    <w:tl2br w:val="nil"/>
                    <w:tr2bl w:val="nil"/>
                  </w:tcBorders>
                  <w:noWrap w:val="0"/>
                  <w:vAlign w:val="center"/>
                </w:tcPr>
                <w:p w14:paraId="4EFAD0AA">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cs="Times New Roman"/>
                      <w:color w:val="auto"/>
                      <w:sz w:val="18"/>
                      <w:szCs w:val="18"/>
                      <w:highlight w:val="none"/>
                    </w:rPr>
                  </w:pPr>
                  <w:r>
                    <w:rPr>
                      <w:rFonts w:hint="eastAsia" w:ascii="Times New Roman" w:hAnsi="Times New Roman" w:eastAsia="宋体" w:cs="Times New Roman"/>
                      <w:color w:val="auto"/>
                      <w:sz w:val="18"/>
                      <w:szCs w:val="18"/>
                      <w:lang w:val="en-US" w:eastAsia="zh-CN"/>
                    </w:rPr>
                    <w:t>苯并[a]芘</w:t>
                  </w:r>
                </w:p>
              </w:tc>
              <w:tc>
                <w:tcPr>
                  <w:tcW w:w="1791" w:type="pct"/>
                  <w:tcBorders>
                    <w:tl2br w:val="nil"/>
                    <w:tr2bl w:val="nil"/>
                  </w:tcBorders>
                  <w:noWrap w:val="0"/>
                  <w:vAlign w:val="center"/>
                </w:tcPr>
                <w:p w14:paraId="45EB7384">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lang w:val="en-US" w:eastAsia="zh-CN"/>
                    </w:rPr>
                    <w:t>0.000008</w:t>
                  </w:r>
                </w:p>
              </w:tc>
              <w:tc>
                <w:tcPr>
                  <w:tcW w:w="888" w:type="pct"/>
                  <w:vMerge w:val="continue"/>
                  <w:tcBorders>
                    <w:tl2br w:val="nil"/>
                    <w:tr2bl w:val="nil"/>
                  </w:tcBorders>
                  <w:noWrap w:val="0"/>
                  <w:vAlign w:val="center"/>
                </w:tcPr>
                <w:p w14:paraId="61D4221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c>
                <w:tcPr>
                  <w:tcW w:w="1457" w:type="pct"/>
                  <w:vMerge w:val="continue"/>
                  <w:tcBorders>
                    <w:tl2br w:val="nil"/>
                    <w:tr2bl w:val="nil"/>
                  </w:tcBorders>
                  <w:noWrap w:val="0"/>
                  <w:vAlign w:val="center"/>
                </w:tcPr>
                <w:p w14:paraId="63236A9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highlight w:val="none"/>
                    </w:rPr>
                  </w:pPr>
                </w:p>
              </w:tc>
            </w:tr>
          </w:tbl>
          <w:p w14:paraId="42A31D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b/>
                <w:bCs/>
                <w:color w:val="auto"/>
                <w:sz w:val="13"/>
                <w:szCs w:val="13"/>
                <w:highlight w:val="none"/>
              </w:rPr>
            </w:pPr>
          </w:p>
          <w:p w14:paraId="492379D3">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kern w:val="0"/>
                <w:szCs w:val="21"/>
                <w:highlight w:val="yellow"/>
              </w:rPr>
            </w:pPr>
            <w:r>
              <w:rPr>
                <w:rFonts w:hint="default" w:ascii="Times New Roman" w:hAnsi="Times New Roman" w:eastAsia="宋体" w:cs="Times New Roman"/>
                <w:color w:val="auto"/>
                <w:kern w:val="0"/>
                <w:szCs w:val="21"/>
                <w:highlight w:val="none"/>
              </w:rPr>
              <w:t>厂区内VOCs（以非甲烷总烃计）执行</w:t>
            </w:r>
            <w:r>
              <w:rPr>
                <w:rFonts w:hint="eastAsia" w:ascii="Times New Roman" w:hAnsi="Times New Roman" w:eastAsia="宋体" w:cs="Times New Roman"/>
                <w:color w:val="auto"/>
                <w:kern w:val="0"/>
                <w:szCs w:val="21"/>
                <w:highlight w:val="none"/>
              </w:rPr>
              <w:t>江苏省地方标准《大气污染物综合排放标准》（DB32/4041</w:t>
            </w:r>
            <w:r>
              <w:rPr>
                <w:rFonts w:hint="eastAsia" w:ascii="Times New Roman" w:hAnsi="Times New Roman" w:eastAsia="宋体" w:cs="Times New Roman"/>
                <w:color w:val="auto"/>
                <w:kern w:val="0"/>
                <w:szCs w:val="21"/>
                <w:highlight w:val="none"/>
                <w:lang w:val="en-US" w:eastAsia="zh-CN"/>
              </w:rPr>
              <w:t>-</w:t>
            </w:r>
            <w:r>
              <w:rPr>
                <w:rFonts w:hint="eastAsia" w:ascii="Times New Roman" w:hAnsi="Times New Roman" w:eastAsia="宋体" w:cs="Times New Roman"/>
                <w:color w:val="auto"/>
                <w:kern w:val="0"/>
                <w:szCs w:val="21"/>
                <w:highlight w:val="none"/>
              </w:rPr>
              <w:t>2021）表</w:t>
            </w:r>
            <w:r>
              <w:rPr>
                <w:rFonts w:hint="eastAsia" w:ascii="Times New Roman" w:hAnsi="Times New Roman" w:eastAsia="宋体" w:cs="Times New Roman"/>
                <w:color w:val="auto"/>
                <w:kern w:val="0"/>
                <w:szCs w:val="21"/>
                <w:highlight w:val="none"/>
                <w:lang w:val="en-US" w:eastAsia="zh-CN"/>
              </w:rPr>
              <w:t>2</w:t>
            </w:r>
            <w:r>
              <w:rPr>
                <w:rFonts w:hint="eastAsia" w:ascii="Times New Roman" w:hAnsi="Times New Roman" w:eastAsia="宋体" w:cs="Times New Roman"/>
                <w:color w:val="auto"/>
                <w:kern w:val="0"/>
                <w:szCs w:val="21"/>
                <w:highlight w:val="none"/>
              </w:rPr>
              <w:t>中</w:t>
            </w:r>
            <w:r>
              <w:rPr>
                <w:rFonts w:hint="eastAsia" w:ascii="Times New Roman" w:hAnsi="Times New Roman" w:eastAsia="宋体" w:cs="Times New Roman"/>
                <w:color w:val="auto"/>
                <w:kern w:val="0"/>
                <w:szCs w:val="21"/>
                <w:highlight w:val="none"/>
                <w:lang w:val="en-US" w:eastAsia="zh-CN"/>
              </w:rPr>
              <w:t>排放限值</w:t>
            </w:r>
            <w:r>
              <w:rPr>
                <w:rFonts w:hint="eastAsia" w:ascii="Times New Roman" w:hAnsi="Times New Roman" w:eastAsia="宋体" w:cs="Times New Roman"/>
                <w:color w:val="auto"/>
                <w:kern w:val="0"/>
                <w:szCs w:val="21"/>
                <w:highlight w:val="none"/>
              </w:rPr>
              <w:t>要求</w:t>
            </w:r>
            <w:r>
              <w:rPr>
                <w:rFonts w:hint="default" w:ascii="Times New Roman" w:hAnsi="Times New Roman" w:eastAsia="宋体" w:cs="Times New Roman"/>
                <w:color w:val="auto"/>
                <w:kern w:val="0"/>
                <w:szCs w:val="21"/>
                <w:highlight w:val="none"/>
              </w:rPr>
              <w:t>，具体见表3-</w:t>
            </w:r>
            <w:r>
              <w:rPr>
                <w:rFonts w:hint="eastAsia" w:ascii="Times New Roman" w:hAnsi="Times New Roman" w:eastAsia="宋体" w:cs="Times New Roman"/>
                <w:color w:val="auto"/>
                <w:kern w:val="0"/>
                <w:szCs w:val="21"/>
                <w:highlight w:val="none"/>
                <w:lang w:val="en-US" w:eastAsia="zh-CN"/>
              </w:rPr>
              <w:t>4</w:t>
            </w:r>
            <w:r>
              <w:rPr>
                <w:rFonts w:hint="eastAsia" w:cs="Times New Roman"/>
                <w:color w:val="auto"/>
                <w:kern w:val="0"/>
                <w:szCs w:val="21"/>
                <w:highlight w:val="none"/>
                <w:lang w:val="en-US" w:eastAsia="zh-CN"/>
              </w:rPr>
              <w:t>7</w:t>
            </w:r>
            <w:r>
              <w:rPr>
                <w:rFonts w:hint="default" w:ascii="Times New Roman" w:hAnsi="Times New Roman" w:eastAsia="宋体" w:cs="Times New Roman"/>
                <w:color w:val="auto"/>
                <w:kern w:val="0"/>
                <w:szCs w:val="21"/>
                <w:highlight w:val="none"/>
              </w:rPr>
              <w:t>。</w:t>
            </w:r>
          </w:p>
          <w:p w14:paraId="2F9451C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表</w:t>
            </w:r>
            <w:r>
              <w:rPr>
                <w:rFonts w:hint="eastAsia" w:ascii="Times New Roman" w:hAnsi="Times New Roman" w:eastAsia="宋体" w:cs="Times New Roman"/>
                <w:b/>
                <w:color w:val="auto"/>
                <w:kern w:val="0"/>
                <w:szCs w:val="21"/>
                <w:highlight w:val="none"/>
                <w:lang w:val="en-US" w:eastAsia="zh-CN"/>
              </w:rPr>
              <w:t>3</w:t>
            </w:r>
            <w:r>
              <w:rPr>
                <w:rFonts w:hint="default"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lang w:val="en-US" w:eastAsia="zh-CN"/>
              </w:rPr>
              <w:t>4</w:t>
            </w:r>
            <w:r>
              <w:rPr>
                <w:rFonts w:hint="eastAsia" w:cs="Times New Roman"/>
                <w:b/>
                <w:color w:val="auto"/>
                <w:kern w:val="0"/>
                <w:szCs w:val="21"/>
                <w:highlight w:val="none"/>
                <w:lang w:val="en-US" w:eastAsia="zh-CN"/>
              </w:rPr>
              <w:t>7</w:t>
            </w:r>
            <w:r>
              <w:rPr>
                <w:rFonts w:hint="default" w:ascii="Times New Roman" w:hAnsi="Times New Roman" w:eastAsia="宋体" w:cs="Times New Roman"/>
                <w:b/>
                <w:color w:val="auto"/>
                <w:kern w:val="0"/>
                <w:szCs w:val="21"/>
                <w:highlight w:val="none"/>
              </w:rPr>
              <w:t xml:space="preserve"> </w:t>
            </w:r>
            <w:r>
              <w:rPr>
                <w:rFonts w:hint="eastAsia" w:ascii="Times New Roman" w:hAnsi="Times New Roman" w:eastAsia="宋体" w:cs="Times New Roman"/>
                <w:b/>
                <w:color w:val="auto"/>
                <w:kern w:val="0"/>
                <w:szCs w:val="21"/>
                <w:highlight w:val="none"/>
                <w:lang w:val="en-US" w:eastAsia="zh-CN"/>
              </w:rPr>
              <w:t xml:space="preserve"> </w:t>
            </w:r>
            <w:r>
              <w:rPr>
                <w:rFonts w:hint="default" w:ascii="Times New Roman" w:hAnsi="Times New Roman" w:eastAsia="宋体" w:cs="Times New Roman"/>
                <w:b/>
                <w:color w:val="auto"/>
                <w:kern w:val="0"/>
                <w:szCs w:val="21"/>
                <w:highlight w:val="none"/>
              </w:rPr>
              <w:t>建设项目厂区内VOC</w:t>
            </w:r>
            <w:r>
              <w:rPr>
                <w:rFonts w:hint="eastAsia" w:ascii="Times New Roman" w:hAnsi="Times New Roman" w:eastAsia="宋体" w:cs="Times New Roman"/>
                <w:b/>
                <w:color w:val="auto"/>
                <w:kern w:val="0"/>
                <w:szCs w:val="21"/>
                <w:highlight w:val="none"/>
                <w:lang w:val="en-US" w:eastAsia="zh-CN"/>
              </w:rPr>
              <w:t>s</w:t>
            </w:r>
            <w:r>
              <w:rPr>
                <w:rFonts w:hint="default" w:ascii="Times New Roman" w:hAnsi="Times New Roman" w:eastAsia="宋体" w:cs="Times New Roman"/>
                <w:b/>
                <w:color w:val="auto"/>
                <w:kern w:val="0"/>
                <w:szCs w:val="21"/>
                <w:highlight w:val="none"/>
              </w:rPr>
              <w:t>无组织排放限值</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28" w:type="dxa"/>
                <w:bottom w:w="0" w:type="dxa"/>
                <w:right w:w="28" w:type="dxa"/>
              </w:tblCellMar>
            </w:tblPr>
            <w:tblGrid>
              <w:gridCol w:w="1084"/>
              <w:gridCol w:w="1686"/>
              <w:gridCol w:w="2197"/>
              <w:gridCol w:w="1743"/>
              <w:gridCol w:w="1908"/>
            </w:tblGrid>
            <w:tr w14:paraId="32D49C84">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0" w:hRule="atLeast"/>
                <w:tblHeader/>
                <w:jc w:val="center"/>
              </w:trPr>
              <w:tc>
                <w:tcPr>
                  <w:tcW w:w="628" w:type="pct"/>
                  <w:tcBorders>
                    <w:tl2br w:val="nil"/>
                    <w:tr2bl w:val="nil"/>
                  </w:tcBorders>
                  <w:noWrap w:val="0"/>
                  <w:vAlign w:val="center"/>
                </w:tcPr>
                <w:p w14:paraId="48A0F832">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污染物名称</w:t>
                  </w:r>
                </w:p>
              </w:tc>
              <w:tc>
                <w:tcPr>
                  <w:tcW w:w="978" w:type="pct"/>
                  <w:tcBorders>
                    <w:tl2br w:val="nil"/>
                    <w:tr2bl w:val="nil"/>
                  </w:tcBorders>
                  <w:noWrap w:val="0"/>
                  <w:vAlign w:val="center"/>
                </w:tcPr>
                <w:p w14:paraId="50A0A5AE">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监控点限值</w:t>
                  </w:r>
                  <w:r>
                    <w:rPr>
                      <w:rFonts w:hint="default" w:ascii="Times New Roman" w:hAnsi="Times New Roman" w:cs="Times New Roman"/>
                      <w:b/>
                      <w:color w:val="auto"/>
                      <w:sz w:val="18"/>
                      <w:szCs w:val="18"/>
                      <w:highlight w:val="none"/>
                    </w:rPr>
                    <w:t>（mg/m</w:t>
                  </w:r>
                  <w:r>
                    <w:rPr>
                      <w:rFonts w:hint="default" w:ascii="Times New Roman" w:hAnsi="Times New Roman" w:cs="Times New Roman"/>
                      <w:b/>
                      <w:color w:val="auto"/>
                      <w:sz w:val="18"/>
                      <w:szCs w:val="18"/>
                      <w:highlight w:val="none"/>
                      <w:vertAlign w:val="superscript"/>
                    </w:rPr>
                    <w:t>3</w:t>
                  </w:r>
                  <w:r>
                    <w:rPr>
                      <w:rFonts w:hint="default" w:ascii="Times New Roman" w:hAnsi="Times New Roman" w:cs="Times New Roman"/>
                      <w:b/>
                      <w:color w:val="auto"/>
                      <w:sz w:val="18"/>
                      <w:szCs w:val="18"/>
                      <w:highlight w:val="none"/>
                    </w:rPr>
                    <w:t>）</w:t>
                  </w:r>
                </w:p>
              </w:tc>
              <w:tc>
                <w:tcPr>
                  <w:tcW w:w="1274" w:type="pct"/>
                  <w:tcBorders>
                    <w:tl2br w:val="nil"/>
                    <w:tr2bl w:val="nil"/>
                  </w:tcBorders>
                  <w:noWrap w:val="0"/>
                  <w:vAlign w:val="center"/>
                </w:tcPr>
                <w:p w14:paraId="22D0EA1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限值含义</w:t>
                  </w:r>
                </w:p>
              </w:tc>
              <w:tc>
                <w:tcPr>
                  <w:tcW w:w="1011" w:type="pct"/>
                  <w:tcBorders>
                    <w:tl2br w:val="nil"/>
                    <w:tr2bl w:val="nil"/>
                  </w:tcBorders>
                  <w:noWrap w:val="0"/>
                  <w:vAlign w:val="center"/>
                </w:tcPr>
                <w:p w14:paraId="55D19AC3">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无组织排放监控位置</w:t>
                  </w:r>
                </w:p>
              </w:tc>
              <w:tc>
                <w:tcPr>
                  <w:tcW w:w="1106" w:type="pct"/>
                  <w:tcBorders>
                    <w:tl2br w:val="nil"/>
                    <w:tr2bl w:val="nil"/>
                  </w:tcBorders>
                  <w:noWrap w:val="0"/>
                  <w:vAlign w:val="center"/>
                </w:tcPr>
                <w:p w14:paraId="300BF30A">
                  <w:pPr>
                    <w:pStyle w:val="43"/>
                    <w:keepNext w:val="0"/>
                    <w:keepLines w:val="0"/>
                    <w:suppressLineNumbers w:val="0"/>
                    <w:spacing w:before="0" w:beforeAutospacing="0" w:after="0" w:afterAutospacing="0"/>
                    <w:ind w:left="0" w:right="0"/>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标准来源</w:t>
                  </w:r>
                </w:p>
              </w:tc>
            </w:tr>
            <w:tr w14:paraId="0F514606">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28" w:type="dxa"/>
                  <w:bottom w:w="0" w:type="dxa"/>
                  <w:right w:w="28" w:type="dxa"/>
                </w:tblCellMar>
              </w:tblPrEx>
              <w:trPr>
                <w:trHeight w:val="0" w:hRule="atLeast"/>
                <w:jc w:val="center"/>
              </w:trPr>
              <w:tc>
                <w:tcPr>
                  <w:tcW w:w="628" w:type="pct"/>
                  <w:vMerge w:val="restart"/>
                  <w:tcBorders>
                    <w:tl2br w:val="nil"/>
                    <w:tr2bl w:val="nil"/>
                  </w:tcBorders>
                  <w:noWrap w:val="0"/>
                  <w:vAlign w:val="center"/>
                </w:tcPr>
                <w:p w14:paraId="1DAF6D9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NMHC</w:t>
                  </w:r>
                </w:p>
              </w:tc>
              <w:tc>
                <w:tcPr>
                  <w:tcW w:w="978" w:type="pct"/>
                  <w:tcBorders>
                    <w:tl2br w:val="nil"/>
                    <w:tr2bl w:val="nil"/>
                  </w:tcBorders>
                  <w:noWrap w:val="0"/>
                  <w:vAlign w:val="center"/>
                </w:tcPr>
                <w:p w14:paraId="52399F1A">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p>
              </w:tc>
              <w:tc>
                <w:tcPr>
                  <w:tcW w:w="1274" w:type="pct"/>
                  <w:tcBorders>
                    <w:tl2br w:val="nil"/>
                    <w:tr2bl w:val="nil"/>
                  </w:tcBorders>
                  <w:noWrap w:val="0"/>
                  <w:vAlign w:val="center"/>
                </w:tcPr>
                <w:p w14:paraId="32FAE9E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监控点处1h平均浓度值</w:t>
                  </w:r>
                </w:p>
              </w:tc>
              <w:tc>
                <w:tcPr>
                  <w:tcW w:w="1011" w:type="pct"/>
                  <w:vMerge w:val="restart"/>
                  <w:tcBorders>
                    <w:tl2br w:val="nil"/>
                    <w:tr2bl w:val="nil"/>
                  </w:tcBorders>
                  <w:noWrap w:val="0"/>
                  <w:vAlign w:val="center"/>
                </w:tcPr>
                <w:p w14:paraId="4D7D7F6F">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在厂房外设置监控点</w:t>
                  </w:r>
                </w:p>
              </w:tc>
              <w:tc>
                <w:tcPr>
                  <w:tcW w:w="1106" w:type="pct"/>
                  <w:vMerge w:val="restart"/>
                  <w:tcBorders>
                    <w:tl2br w:val="nil"/>
                    <w:tr2bl w:val="nil"/>
                  </w:tcBorders>
                  <w:noWrap w:val="0"/>
                  <w:vAlign w:val="center"/>
                </w:tcPr>
                <w:p w14:paraId="73254AC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江苏省地方标准《大气污染物综合排放标准》（DB32/4041-2021）表</w:t>
                  </w:r>
                  <w:r>
                    <w:rPr>
                      <w:rFonts w:hint="eastAsia"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标准</w:t>
                  </w:r>
                </w:p>
              </w:tc>
            </w:tr>
            <w:tr w14:paraId="3B8A5A2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28" w:type="dxa"/>
                  <w:bottom w:w="0" w:type="dxa"/>
                  <w:right w:w="28" w:type="dxa"/>
                </w:tblCellMar>
              </w:tblPrEx>
              <w:trPr>
                <w:trHeight w:val="0" w:hRule="atLeast"/>
                <w:jc w:val="center"/>
              </w:trPr>
              <w:tc>
                <w:tcPr>
                  <w:tcW w:w="628" w:type="pct"/>
                  <w:vMerge w:val="continue"/>
                  <w:tcBorders>
                    <w:tl2br w:val="nil"/>
                    <w:tr2bl w:val="nil"/>
                  </w:tcBorders>
                  <w:noWrap w:val="0"/>
                  <w:vAlign w:val="center"/>
                </w:tcPr>
                <w:p w14:paraId="19FC34A3">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978" w:type="pct"/>
                  <w:tcBorders>
                    <w:tl2br w:val="nil"/>
                    <w:tr2bl w:val="nil"/>
                  </w:tcBorders>
                  <w:noWrap w:val="0"/>
                  <w:vAlign w:val="center"/>
                </w:tcPr>
                <w:p w14:paraId="3FA53C7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20</w:t>
                  </w:r>
                </w:p>
              </w:tc>
              <w:tc>
                <w:tcPr>
                  <w:tcW w:w="1274" w:type="pct"/>
                  <w:tcBorders>
                    <w:tl2br w:val="nil"/>
                    <w:tr2bl w:val="nil"/>
                  </w:tcBorders>
                  <w:noWrap w:val="0"/>
                  <w:vAlign w:val="center"/>
                </w:tcPr>
                <w:p w14:paraId="5D79CC14">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监控点处任意一次浓度值</w:t>
                  </w:r>
                </w:p>
              </w:tc>
              <w:tc>
                <w:tcPr>
                  <w:tcW w:w="1011" w:type="pct"/>
                  <w:vMerge w:val="continue"/>
                  <w:tcBorders>
                    <w:tl2br w:val="nil"/>
                    <w:tr2bl w:val="nil"/>
                  </w:tcBorders>
                  <w:noWrap w:val="0"/>
                  <w:vAlign w:val="center"/>
                </w:tcPr>
                <w:p w14:paraId="7D5B4736">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c>
                <w:tcPr>
                  <w:tcW w:w="1106" w:type="pct"/>
                  <w:vMerge w:val="continue"/>
                  <w:tcBorders>
                    <w:tl2br w:val="nil"/>
                    <w:tr2bl w:val="nil"/>
                  </w:tcBorders>
                  <w:noWrap w:val="0"/>
                  <w:vAlign w:val="center"/>
                </w:tcPr>
                <w:p w14:paraId="0448B3E1">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rPr>
                  </w:pPr>
                </w:p>
              </w:tc>
            </w:tr>
          </w:tbl>
          <w:p w14:paraId="0EC810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Times New Roman" w:hAnsi="Times New Roman" w:eastAsia="宋体" w:cs="Times New Roman"/>
                <w:b/>
                <w:color w:val="auto"/>
                <w:kern w:val="0"/>
                <w:sz w:val="15"/>
                <w:szCs w:val="15"/>
              </w:rPr>
            </w:pPr>
          </w:p>
          <w:p w14:paraId="59D828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（2）废水</w:t>
            </w:r>
          </w:p>
          <w:p w14:paraId="5B3369C0">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lang w:eastAsia="zh-CN"/>
              </w:rPr>
            </w:pPr>
            <w:r>
              <w:rPr>
                <w:rFonts w:hint="eastAsia" w:ascii="Times New Roman" w:hAnsi="Times New Roman" w:eastAsia="宋体" w:cs="Times New Roman"/>
                <w:color w:val="auto"/>
                <w:kern w:val="0"/>
                <w:szCs w:val="21"/>
                <w:highlight w:val="none"/>
              </w:rPr>
              <w:t>本项目不新增</w:t>
            </w:r>
            <w:r>
              <w:rPr>
                <w:rFonts w:hint="eastAsia" w:ascii="Times New Roman" w:hAnsi="Times New Roman" w:eastAsia="宋体" w:cs="Times New Roman"/>
                <w:color w:val="auto"/>
                <w:kern w:val="0"/>
                <w:szCs w:val="21"/>
                <w:highlight w:val="none"/>
                <w:lang w:val="en-US" w:eastAsia="zh-CN"/>
              </w:rPr>
              <w:t>生活污水和生产</w:t>
            </w:r>
            <w:r>
              <w:rPr>
                <w:rFonts w:hint="eastAsia" w:ascii="Times New Roman" w:hAnsi="Times New Roman" w:eastAsia="宋体" w:cs="Times New Roman"/>
                <w:color w:val="auto"/>
                <w:kern w:val="0"/>
                <w:szCs w:val="21"/>
                <w:highlight w:val="none"/>
              </w:rPr>
              <w:t>废水，</w:t>
            </w:r>
            <w:r>
              <w:rPr>
                <w:rFonts w:hint="eastAsia" w:ascii="Times New Roman" w:hAnsi="Times New Roman" w:eastAsia="宋体" w:cs="Times New Roman"/>
                <w:color w:val="auto"/>
                <w:kern w:val="0"/>
                <w:szCs w:val="21"/>
                <w:highlight w:val="none"/>
                <w:lang w:val="en-US" w:eastAsia="zh-CN"/>
              </w:rPr>
              <w:t>现有</w:t>
            </w:r>
            <w:r>
              <w:rPr>
                <w:rFonts w:hint="eastAsia" w:ascii="Times New Roman" w:hAnsi="Times New Roman" w:eastAsia="宋体" w:cs="Times New Roman"/>
                <w:color w:val="auto"/>
                <w:kern w:val="0"/>
                <w:szCs w:val="21"/>
                <w:highlight w:val="none"/>
              </w:rPr>
              <w:t>罐区与码头地面冲洗水、洗罐废水、初期雨水</w:t>
            </w:r>
            <w:r>
              <w:rPr>
                <w:rFonts w:hint="eastAsia" w:ascii="Times New Roman" w:hAnsi="Times New Roman" w:eastAsia="宋体" w:cs="Times New Roman"/>
                <w:color w:val="auto"/>
                <w:kern w:val="0"/>
                <w:szCs w:val="21"/>
                <w:highlight w:val="none"/>
                <w:lang w:val="en-US" w:eastAsia="zh-CN"/>
              </w:rPr>
              <w:t>等</w:t>
            </w:r>
            <w:r>
              <w:rPr>
                <w:rFonts w:hint="eastAsia" w:ascii="Times New Roman" w:hAnsi="Times New Roman" w:eastAsia="宋体" w:cs="Times New Roman"/>
                <w:color w:val="auto"/>
                <w:kern w:val="0"/>
                <w:szCs w:val="21"/>
                <w:highlight w:val="none"/>
              </w:rPr>
              <w:t>进入厂内污水处理站1处理后接管</w:t>
            </w:r>
            <w:r>
              <w:rPr>
                <w:rFonts w:hint="eastAsia" w:ascii="Times New Roman" w:hAnsi="Times New Roman" w:eastAsia="宋体" w:cs="Times New Roman"/>
                <w:color w:val="auto"/>
                <w:kern w:val="0"/>
                <w:szCs w:val="21"/>
                <w:highlight w:val="none"/>
                <w:lang w:val="en-US" w:eastAsia="zh-CN"/>
              </w:rPr>
              <w:t>至</w:t>
            </w:r>
            <w:r>
              <w:rPr>
                <w:rFonts w:hint="eastAsia" w:ascii="Times New Roman" w:hAnsi="Times New Roman" w:eastAsia="宋体" w:cs="Times New Roman"/>
                <w:color w:val="auto"/>
                <w:kern w:val="0"/>
                <w:szCs w:val="21"/>
                <w:highlight w:val="none"/>
              </w:rPr>
              <w:t>江阴市利港污水处理有限公司集中处理，接管水COD、SS执行污水处理厂接管协议标准，石油类执行《污水排入城镇下水道水质标准》（GB/T31962-2015）表1中B级标准；污水处理厂出水执行《城镇污水处理厂污染物排放标准》（DB32/4440-2022）表1中C标准排入芦埠港河，</w:t>
            </w:r>
            <w:r>
              <w:rPr>
                <w:rFonts w:hint="eastAsia" w:ascii="Times New Roman" w:hAnsi="Times New Roman" w:eastAsia="宋体" w:cs="Times New Roman"/>
                <w:color w:val="auto"/>
                <w:kern w:val="0"/>
                <w:szCs w:val="21"/>
                <w:highlight w:val="none"/>
                <w:lang w:val="en-US" w:eastAsia="zh-CN"/>
              </w:rPr>
              <w:t>废水接管及排放标准</w:t>
            </w:r>
            <w:r>
              <w:rPr>
                <w:rFonts w:hint="eastAsia" w:ascii="Times New Roman" w:hAnsi="Times New Roman" w:eastAsia="宋体" w:cs="Times New Roman"/>
                <w:color w:val="auto"/>
                <w:kern w:val="0"/>
                <w:szCs w:val="21"/>
                <w:highlight w:val="none"/>
              </w:rPr>
              <w:t>详见表3-</w:t>
            </w:r>
            <w:r>
              <w:rPr>
                <w:rFonts w:hint="eastAsia" w:ascii="Times New Roman" w:hAnsi="Times New Roman" w:eastAsia="宋体" w:cs="Times New Roman"/>
                <w:color w:val="auto"/>
                <w:kern w:val="0"/>
                <w:szCs w:val="21"/>
                <w:highlight w:val="none"/>
                <w:lang w:val="en-US" w:eastAsia="zh-CN"/>
              </w:rPr>
              <w:t>4</w:t>
            </w:r>
            <w:r>
              <w:rPr>
                <w:rFonts w:hint="eastAsia" w:cs="Times New Roman"/>
                <w:color w:val="auto"/>
                <w:kern w:val="0"/>
                <w:szCs w:val="21"/>
                <w:highlight w:val="none"/>
                <w:lang w:val="en-US" w:eastAsia="zh-CN"/>
              </w:rPr>
              <w:t>8</w:t>
            </w:r>
            <w:r>
              <w:rPr>
                <w:rFonts w:hint="eastAsia" w:ascii="Times New Roman" w:hAnsi="Times New Roman" w:eastAsia="宋体" w:cs="Times New Roman"/>
                <w:color w:val="auto"/>
                <w:kern w:val="0"/>
                <w:szCs w:val="21"/>
                <w:highlight w:val="none"/>
                <w:lang w:eastAsia="zh-CN"/>
              </w:rPr>
              <w:t>。</w:t>
            </w:r>
          </w:p>
          <w:p w14:paraId="4E0A815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表</w:t>
            </w:r>
            <w:r>
              <w:rPr>
                <w:rFonts w:hint="eastAsia" w:ascii="Times New Roman" w:hAnsi="Times New Roman" w:eastAsia="宋体" w:cs="Times New Roman"/>
                <w:b/>
                <w:color w:val="auto"/>
                <w:kern w:val="0"/>
                <w:szCs w:val="21"/>
                <w:highlight w:val="none"/>
                <w:lang w:val="en-US" w:eastAsia="zh-CN"/>
              </w:rPr>
              <w:t>3</w:t>
            </w:r>
            <w:r>
              <w:rPr>
                <w:rFonts w:hint="default"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lang w:val="en-US" w:eastAsia="zh-CN"/>
              </w:rPr>
              <w:t>4</w:t>
            </w:r>
            <w:r>
              <w:rPr>
                <w:rFonts w:hint="eastAsia" w:cs="Times New Roman"/>
                <w:b/>
                <w:color w:val="auto"/>
                <w:kern w:val="0"/>
                <w:szCs w:val="21"/>
                <w:highlight w:val="none"/>
                <w:lang w:val="en-US" w:eastAsia="zh-CN"/>
              </w:rPr>
              <w:t>8</w:t>
            </w:r>
            <w:r>
              <w:rPr>
                <w:rFonts w:hint="default" w:ascii="Times New Roman" w:hAnsi="Times New Roman" w:eastAsia="宋体" w:cs="Times New Roman"/>
                <w:b/>
                <w:color w:val="auto"/>
                <w:kern w:val="0"/>
                <w:szCs w:val="21"/>
                <w:highlight w:val="none"/>
              </w:rPr>
              <w:t xml:space="preserve"> </w:t>
            </w:r>
            <w:r>
              <w:rPr>
                <w:rFonts w:hint="eastAsia" w:ascii="Times New Roman" w:hAnsi="Times New Roman" w:eastAsia="宋体" w:cs="Times New Roman"/>
                <w:b/>
                <w:color w:val="auto"/>
                <w:kern w:val="0"/>
                <w:szCs w:val="21"/>
                <w:highlight w:val="none"/>
                <w:lang w:val="en-US" w:eastAsia="zh-CN"/>
              </w:rPr>
              <w:t xml:space="preserve"> </w:t>
            </w:r>
            <w:r>
              <w:rPr>
                <w:rFonts w:hint="eastAsia" w:ascii="Times New Roman" w:hAnsi="Times New Roman" w:eastAsia="宋体" w:cs="Times New Roman"/>
                <w:b/>
                <w:color w:val="auto"/>
                <w:kern w:val="0"/>
                <w:szCs w:val="21"/>
                <w:highlight w:val="none"/>
              </w:rPr>
              <w:t>废水接管</w:t>
            </w:r>
            <w:r>
              <w:rPr>
                <w:rFonts w:hint="eastAsia" w:ascii="Times New Roman" w:hAnsi="Times New Roman" w:eastAsia="宋体" w:cs="Times New Roman"/>
                <w:b/>
                <w:color w:val="auto"/>
                <w:kern w:val="0"/>
                <w:szCs w:val="21"/>
                <w:highlight w:val="none"/>
                <w:lang w:val="en-US" w:eastAsia="zh-CN"/>
              </w:rPr>
              <w:t>及排放</w:t>
            </w:r>
            <w:r>
              <w:rPr>
                <w:rFonts w:hint="eastAsia" w:ascii="Times New Roman" w:hAnsi="Times New Roman" w:eastAsia="宋体" w:cs="Times New Roman"/>
                <w:b/>
                <w:color w:val="auto"/>
                <w:kern w:val="0"/>
                <w:szCs w:val="21"/>
                <w:highlight w:val="none"/>
              </w:rPr>
              <w:t>标准</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22"/>
              <w:gridCol w:w="933"/>
              <w:gridCol w:w="1493"/>
              <w:gridCol w:w="5670"/>
            </w:tblGrid>
            <w:tr w14:paraId="7AA1F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tblHeader/>
                <w:jc w:val="center"/>
              </w:trPr>
              <w:tc>
                <w:tcPr>
                  <w:tcW w:w="303" w:type="pct"/>
                  <w:tcBorders>
                    <w:tl2br w:val="nil"/>
                    <w:tr2bl w:val="nil"/>
                  </w:tcBorders>
                  <w:noWrap w:val="0"/>
                  <w:vAlign w:val="center"/>
                </w:tcPr>
                <w:p w14:paraId="62CD405F">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序号</w:t>
                  </w:r>
                </w:p>
              </w:tc>
              <w:tc>
                <w:tcPr>
                  <w:tcW w:w="541" w:type="pct"/>
                  <w:tcBorders>
                    <w:tl2br w:val="nil"/>
                    <w:tr2bl w:val="nil"/>
                  </w:tcBorders>
                  <w:noWrap w:val="0"/>
                  <w:vAlign w:val="center"/>
                </w:tcPr>
                <w:p w14:paraId="3AFD65F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项目</w:t>
                  </w:r>
                </w:p>
              </w:tc>
              <w:tc>
                <w:tcPr>
                  <w:tcW w:w="866" w:type="pct"/>
                  <w:tcBorders>
                    <w:tl2br w:val="nil"/>
                    <w:tr2bl w:val="nil"/>
                  </w:tcBorders>
                  <w:noWrap w:val="0"/>
                  <w:vAlign w:val="center"/>
                </w:tcPr>
                <w:p w14:paraId="11544E5D">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接管标准（mg/L）</w:t>
                  </w:r>
                </w:p>
              </w:tc>
              <w:tc>
                <w:tcPr>
                  <w:tcW w:w="3289" w:type="pct"/>
                  <w:tcBorders>
                    <w:tl2br w:val="nil"/>
                    <w:tr2bl w:val="nil"/>
                  </w:tcBorders>
                  <w:noWrap w:val="0"/>
                  <w:vAlign w:val="center"/>
                </w:tcPr>
                <w:p w14:paraId="1F24BD9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污水处理厂尾水排放标准（mg/L）</w:t>
                  </w:r>
                </w:p>
              </w:tc>
            </w:tr>
            <w:tr w14:paraId="0A3C7E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03" w:type="pct"/>
                  <w:tcBorders>
                    <w:tl2br w:val="nil"/>
                    <w:tr2bl w:val="nil"/>
                  </w:tcBorders>
                  <w:noWrap w:val="0"/>
                  <w:vAlign w:val="center"/>
                </w:tcPr>
                <w:p w14:paraId="66D25C5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w:t>
                  </w:r>
                </w:p>
              </w:tc>
              <w:tc>
                <w:tcPr>
                  <w:tcW w:w="541" w:type="pct"/>
                  <w:tcBorders>
                    <w:tl2br w:val="nil"/>
                    <w:tr2bl w:val="nil"/>
                  </w:tcBorders>
                  <w:noWrap w:val="0"/>
                  <w:vAlign w:val="center"/>
                </w:tcPr>
                <w:p w14:paraId="7558DC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pH</w:t>
                  </w:r>
                </w:p>
              </w:tc>
              <w:tc>
                <w:tcPr>
                  <w:tcW w:w="866" w:type="pct"/>
                  <w:tcBorders>
                    <w:tl2br w:val="nil"/>
                    <w:tr2bl w:val="nil"/>
                  </w:tcBorders>
                  <w:noWrap w:val="0"/>
                  <w:vAlign w:val="center"/>
                </w:tcPr>
                <w:p w14:paraId="0E57825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6~9</w:t>
                  </w:r>
                </w:p>
              </w:tc>
              <w:tc>
                <w:tcPr>
                  <w:tcW w:w="3289" w:type="pct"/>
                  <w:tcBorders>
                    <w:tl2br w:val="nil"/>
                    <w:tr2bl w:val="nil"/>
                  </w:tcBorders>
                  <w:noWrap w:val="0"/>
                  <w:vAlign w:val="center"/>
                </w:tcPr>
                <w:p w14:paraId="5C067A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6~9</w:t>
                  </w:r>
                </w:p>
              </w:tc>
            </w:tr>
            <w:tr w14:paraId="490049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03" w:type="pct"/>
                  <w:tcBorders>
                    <w:tl2br w:val="nil"/>
                    <w:tr2bl w:val="nil"/>
                  </w:tcBorders>
                  <w:noWrap w:val="0"/>
                  <w:vAlign w:val="center"/>
                </w:tcPr>
                <w:p w14:paraId="027C09D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2</w:t>
                  </w:r>
                </w:p>
              </w:tc>
              <w:tc>
                <w:tcPr>
                  <w:tcW w:w="541" w:type="pct"/>
                  <w:tcBorders>
                    <w:tl2br w:val="nil"/>
                    <w:tr2bl w:val="nil"/>
                  </w:tcBorders>
                  <w:noWrap w:val="0"/>
                  <w:vAlign w:val="center"/>
                </w:tcPr>
                <w:p w14:paraId="4991CE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COD</w:t>
                  </w:r>
                </w:p>
              </w:tc>
              <w:tc>
                <w:tcPr>
                  <w:tcW w:w="866" w:type="pct"/>
                  <w:tcBorders>
                    <w:tl2br w:val="nil"/>
                    <w:tr2bl w:val="nil"/>
                  </w:tcBorders>
                  <w:noWrap w:val="0"/>
                  <w:vAlign w:val="center"/>
                </w:tcPr>
                <w:p w14:paraId="6278796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500</w:t>
                  </w:r>
                </w:p>
              </w:tc>
              <w:tc>
                <w:tcPr>
                  <w:tcW w:w="3289" w:type="pct"/>
                  <w:tcBorders>
                    <w:tl2br w:val="nil"/>
                    <w:tr2bl w:val="nil"/>
                  </w:tcBorders>
                  <w:noWrap w:val="0"/>
                  <w:vAlign w:val="center"/>
                </w:tcPr>
                <w:p w14:paraId="2FA4A55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50</w:t>
                  </w:r>
                </w:p>
              </w:tc>
            </w:tr>
            <w:tr w14:paraId="73150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03" w:type="pct"/>
                  <w:tcBorders>
                    <w:tl2br w:val="nil"/>
                    <w:tr2bl w:val="nil"/>
                  </w:tcBorders>
                  <w:noWrap w:val="0"/>
                  <w:vAlign w:val="center"/>
                </w:tcPr>
                <w:p w14:paraId="07FA324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w:t>
                  </w:r>
                </w:p>
              </w:tc>
              <w:tc>
                <w:tcPr>
                  <w:tcW w:w="541" w:type="pct"/>
                  <w:tcBorders>
                    <w:tl2br w:val="nil"/>
                    <w:tr2bl w:val="nil"/>
                  </w:tcBorders>
                  <w:noWrap w:val="0"/>
                  <w:vAlign w:val="center"/>
                </w:tcPr>
                <w:p w14:paraId="09DB8C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SS</w:t>
                  </w:r>
                </w:p>
              </w:tc>
              <w:tc>
                <w:tcPr>
                  <w:tcW w:w="866" w:type="pct"/>
                  <w:tcBorders>
                    <w:tl2br w:val="nil"/>
                    <w:tr2bl w:val="nil"/>
                  </w:tcBorders>
                  <w:noWrap w:val="0"/>
                  <w:vAlign w:val="center"/>
                </w:tcPr>
                <w:p w14:paraId="7DB29F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rPr>
                    <w:t>00</w:t>
                  </w:r>
                </w:p>
              </w:tc>
              <w:tc>
                <w:tcPr>
                  <w:tcW w:w="3289" w:type="pct"/>
                  <w:tcBorders>
                    <w:tl2br w:val="nil"/>
                    <w:tr2bl w:val="nil"/>
                  </w:tcBorders>
                  <w:noWrap w:val="0"/>
                  <w:vAlign w:val="center"/>
                </w:tcPr>
                <w:p w14:paraId="041C721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w:t>
                  </w:r>
                </w:p>
              </w:tc>
            </w:tr>
            <w:tr w14:paraId="2F0B3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03" w:type="pct"/>
                  <w:tcBorders>
                    <w:tl2br w:val="nil"/>
                    <w:tr2bl w:val="nil"/>
                  </w:tcBorders>
                  <w:noWrap w:val="0"/>
                  <w:vAlign w:val="center"/>
                </w:tcPr>
                <w:p w14:paraId="20A1D1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w:t>
                  </w:r>
                </w:p>
              </w:tc>
              <w:tc>
                <w:tcPr>
                  <w:tcW w:w="541" w:type="pct"/>
                  <w:tcBorders>
                    <w:tl2br w:val="nil"/>
                    <w:tr2bl w:val="nil"/>
                  </w:tcBorders>
                  <w:noWrap w:val="0"/>
                  <w:vAlign w:val="center"/>
                </w:tcPr>
                <w:p w14:paraId="51C938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氨氮</w:t>
                  </w:r>
                </w:p>
              </w:tc>
              <w:tc>
                <w:tcPr>
                  <w:tcW w:w="866" w:type="pct"/>
                  <w:tcBorders>
                    <w:tl2br w:val="nil"/>
                    <w:tr2bl w:val="nil"/>
                  </w:tcBorders>
                  <w:noWrap w:val="0"/>
                  <w:vAlign w:val="center"/>
                </w:tcPr>
                <w:p w14:paraId="66BEB36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25</w:t>
                  </w:r>
                </w:p>
              </w:tc>
              <w:tc>
                <w:tcPr>
                  <w:tcW w:w="3289" w:type="pct"/>
                  <w:tcBorders>
                    <w:tl2br w:val="nil"/>
                    <w:tr2bl w:val="nil"/>
                  </w:tcBorders>
                  <w:noWrap w:val="0"/>
                  <w:vAlign w:val="center"/>
                </w:tcPr>
                <w:p w14:paraId="5EEDB85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4（6）</w:t>
                  </w:r>
                  <w:r>
                    <w:rPr>
                      <w:rFonts w:hint="eastAsia" w:ascii="Times New Roman" w:hAnsi="Times New Roman" w:eastAsia="宋体" w:cs="Times New Roman"/>
                      <w:color w:val="auto"/>
                      <w:sz w:val="18"/>
                      <w:szCs w:val="18"/>
                      <w:highlight w:val="none"/>
                      <w:vertAlign w:val="superscript"/>
                      <w:lang w:val="en-US" w:eastAsia="zh-CN"/>
                    </w:rPr>
                    <w:t>[1]</w:t>
                  </w:r>
                </w:p>
              </w:tc>
            </w:tr>
            <w:tr w14:paraId="4D4EA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03" w:type="pct"/>
                  <w:tcBorders>
                    <w:tl2br w:val="nil"/>
                    <w:tr2bl w:val="nil"/>
                  </w:tcBorders>
                  <w:noWrap w:val="0"/>
                  <w:vAlign w:val="center"/>
                </w:tcPr>
                <w:p w14:paraId="272AE1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5</w:t>
                  </w:r>
                </w:p>
              </w:tc>
              <w:tc>
                <w:tcPr>
                  <w:tcW w:w="541" w:type="pct"/>
                  <w:tcBorders>
                    <w:tl2br w:val="nil"/>
                    <w:tr2bl w:val="nil"/>
                  </w:tcBorders>
                  <w:noWrap w:val="0"/>
                  <w:vAlign w:val="center"/>
                </w:tcPr>
                <w:p w14:paraId="532DFD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总磷</w:t>
                  </w:r>
                </w:p>
              </w:tc>
              <w:tc>
                <w:tcPr>
                  <w:tcW w:w="866" w:type="pct"/>
                  <w:tcBorders>
                    <w:tl2br w:val="nil"/>
                    <w:tr2bl w:val="nil"/>
                  </w:tcBorders>
                  <w:noWrap w:val="0"/>
                  <w:vAlign w:val="center"/>
                </w:tcPr>
                <w:p w14:paraId="64A746B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p>
              </w:tc>
              <w:tc>
                <w:tcPr>
                  <w:tcW w:w="3289" w:type="pct"/>
                  <w:tcBorders>
                    <w:tl2br w:val="nil"/>
                    <w:tr2bl w:val="nil"/>
                  </w:tcBorders>
                  <w:noWrap w:val="0"/>
                  <w:vAlign w:val="center"/>
                </w:tcPr>
                <w:p w14:paraId="508BC538">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r>
            <w:tr w14:paraId="7EF3A2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03" w:type="pct"/>
                  <w:tcBorders>
                    <w:tl2br w:val="nil"/>
                    <w:tr2bl w:val="nil"/>
                  </w:tcBorders>
                  <w:noWrap w:val="0"/>
                  <w:vAlign w:val="center"/>
                </w:tcPr>
                <w:p w14:paraId="5A646CB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541" w:type="pct"/>
                  <w:tcBorders>
                    <w:tl2br w:val="nil"/>
                    <w:tr2bl w:val="nil"/>
                  </w:tcBorders>
                  <w:noWrap w:val="0"/>
                  <w:vAlign w:val="center"/>
                </w:tcPr>
                <w:p w14:paraId="35385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总氮</w:t>
                  </w:r>
                </w:p>
              </w:tc>
              <w:tc>
                <w:tcPr>
                  <w:tcW w:w="866" w:type="pct"/>
                  <w:tcBorders>
                    <w:tl2br w:val="nil"/>
                    <w:tr2bl w:val="nil"/>
                  </w:tcBorders>
                  <w:noWrap w:val="0"/>
                  <w:vAlign w:val="center"/>
                </w:tcPr>
                <w:p w14:paraId="654AE4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3</w:t>
                  </w:r>
                  <w:r>
                    <w:rPr>
                      <w:rFonts w:hint="default" w:ascii="Times New Roman" w:hAnsi="Times New Roman" w:eastAsia="宋体" w:cs="Times New Roman"/>
                      <w:color w:val="auto"/>
                      <w:sz w:val="18"/>
                      <w:szCs w:val="18"/>
                      <w:highlight w:val="none"/>
                    </w:rPr>
                    <w:t>0</w:t>
                  </w:r>
                </w:p>
              </w:tc>
              <w:tc>
                <w:tcPr>
                  <w:tcW w:w="3289" w:type="pct"/>
                  <w:tcBorders>
                    <w:tl2br w:val="nil"/>
                    <w:tr2bl w:val="nil"/>
                  </w:tcBorders>
                  <w:noWrap w:val="0"/>
                  <w:vAlign w:val="center"/>
                </w:tcPr>
                <w:p w14:paraId="47E65E25">
                  <w:pPr>
                    <w:pStyle w:val="43"/>
                    <w:keepNext w:val="0"/>
                    <w:keepLines w:val="0"/>
                    <w:suppressLineNumbers w:val="0"/>
                    <w:spacing w:before="0" w:beforeAutospacing="0" w:after="0" w:afterAutospacing="0"/>
                    <w:ind w:left="0" w:right="0"/>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12</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lang w:val="en-US" w:eastAsia="zh-CN"/>
                    </w:rPr>
                    <w:t>15</w:t>
                  </w:r>
                  <w:r>
                    <w:rPr>
                      <w:rFonts w:hint="default" w:ascii="Times New Roman" w:hAnsi="Times New Roman" w:eastAsia="宋体" w:cs="Times New Roman"/>
                      <w:color w:val="auto"/>
                      <w:sz w:val="18"/>
                      <w:szCs w:val="18"/>
                      <w:highlight w:val="none"/>
                    </w:rPr>
                    <w:t>）</w:t>
                  </w:r>
                  <w:r>
                    <w:rPr>
                      <w:rFonts w:hint="eastAsia" w:ascii="Times New Roman" w:hAnsi="Times New Roman" w:eastAsia="宋体" w:cs="Times New Roman"/>
                      <w:color w:val="auto"/>
                      <w:sz w:val="18"/>
                      <w:szCs w:val="18"/>
                      <w:highlight w:val="none"/>
                      <w:vertAlign w:val="superscript"/>
                      <w:lang w:val="en-US" w:eastAsia="zh-CN"/>
                    </w:rPr>
                    <w:t>[1]</w:t>
                  </w:r>
                </w:p>
              </w:tc>
            </w:tr>
            <w:tr w14:paraId="251D1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0" w:hRule="atLeast"/>
                <w:jc w:val="center"/>
              </w:trPr>
              <w:tc>
                <w:tcPr>
                  <w:tcW w:w="303" w:type="pct"/>
                  <w:tcBorders>
                    <w:tl2br w:val="nil"/>
                    <w:tr2bl w:val="nil"/>
                  </w:tcBorders>
                  <w:noWrap w:val="0"/>
                  <w:vAlign w:val="center"/>
                </w:tcPr>
                <w:p w14:paraId="4E94F19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541" w:type="pct"/>
                  <w:tcBorders>
                    <w:tl2br w:val="nil"/>
                    <w:tr2bl w:val="nil"/>
                  </w:tcBorders>
                  <w:noWrap w:val="0"/>
                  <w:vAlign w:val="center"/>
                </w:tcPr>
                <w:p w14:paraId="6F2B64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标准来源</w:t>
                  </w:r>
                </w:p>
              </w:tc>
              <w:tc>
                <w:tcPr>
                  <w:tcW w:w="866" w:type="pct"/>
                  <w:tcBorders>
                    <w:tl2br w:val="nil"/>
                    <w:tr2bl w:val="nil"/>
                  </w:tcBorders>
                  <w:noWrap w:val="0"/>
                  <w:vAlign w:val="center"/>
                </w:tcPr>
                <w:p w14:paraId="2456CEC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污水处理厂接管协议标准</w:t>
                  </w:r>
                </w:p>
              </w:tc>
              <w:tc>
                <w:tcPr>
                  <w:tcW w:w="3289" w:type="pct"/>
                  <w:tcBorders>
                    <w:tl2br w:val="nil"/>
                    <w:tr2bl w:val="nil"/>
                  </w:tcBorders>
                  <w:noWrap w:val="0"/>
                  <w:vAlign w:val="center"/>
                </w:tcPr>
                <w:p w14:paraId="71263033">
                  <w:pPr>
                    <w:pStyle w:val="43"/>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《城镇污水处理厂污染物排放标准》（DB32/4440-2022）表1中C标准</w:t>
                  </w:r>
                </w:p>
              </w:tc>
            </w:tr>
          </w:tbl>
          <w:p w14:paraId="0DB08F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Hans"/>
              </w:rPr>
              <w:t>注：</w:t>
            </w:r>
            <w:r>
              <w:rPr>
                <w:rFonts w:hint="eastAsia" w:ascii="Times New Roman" w:hAnsi="Times New Roman" w:eastAsia="宋体" w:cs="Times New Roman"/>
                <w:color w:val="auto"/>
                <w:kern w:val="0"/>
                <w:sz w:val="18"/>
                <w:szCs w:val="18"/>
                <w:highlight w:val="none"/>
                <w:lang w:val="en-US" w:eastAsia="zh-CN"/>
              </w:rPr>
              <w:t>[1]</w:t>
            </w:r>
            <w:r>
              <w:rPr>
                <w:rFonts w:hint="eastAsia" w:ascii="Times New Roman" w:hAnsi="Times New Roman" w:eastAsia="宋体" w:cs="Times New Roman"/>
                <w:color w:val="auto"/>
                <w:kern w:val="0"/>
                <w:sz w:val="18"/>
                <w:szCs w:val="18"/>
                <w:highlight w:val="none"/>
                <w:lang w:val="en-US" w:eastAsia="zh-Hans"/>
              </w:rPr>
              <w:t>括号外数值为水温＞12℃时的控制指标，括号内数值为水温≤12℃时的控制指标</w:t>
            </w:r>
            <w:r>
              <w:rPr>
                <w:rFonts w:hint="eastAsia" w:ascii="Times New Roman" w:hAnsi="Times New Roman" w:eastAsia="宋体" w:cs="Times New Roman"/>
                <w:color w:val="auto"/>
                <w:kern w:val="0"/>
                <w:sz w:val="18"/>
                <w:szCs w:val="18"/>
                <w:highlight w:val="none"/>
                <w:lang w:val="en-US" w:eastAsia="zh-CN"/>
              </w:rPr>
              <w:t>。</w:t>
            </w:r>
          </w:p>
          <w:p w14:paraId="211283CA">
            <w:pPr>
              <w:pStyle w:val="1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color w:val="auto"/>
                <w:sz w:val="15"/>
                <w:szCs w:val="15"/>
                <w:lang w:val="en-US" w:eastAsia="zh-CN"/>
              </w:rPr>
            </w:pPr>
          </w:p>
          <w:p w14:paraId="5A59C9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（3）噪声</w:t>
            </w:r>
          </w:p>
          <w:p w14:paraId="41B9FC14">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本项目厂界执行《工业企业厂界环境噪声排放标准》</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rPr>
              <w:t>GB12348-2008</w:t>
            </w:r>
            <w:r>
              <w:rPr>
                <w:rFonts w:hint="eastAsia" w:ascii="Times New Roman" w:hAnsi="Times New Roman" w:eastAsia="宋体" w:cs="Times New Roman"/>
                <w:color w:val="auto"/>
                <w:kern w:val="0"/>
                <w:szCs w:val="21"/>
                <w:highlight w:val="none"/>
                <w:lang w:eastAsia="zh-CN"/>
              </w:rPr>
              <w:t>）</w:t>
            </w:r>
            <w:r>
              <w:rPr>
                <w:rFonts w:hint="eastAsia" w:ascii="Times New Roman" w:hAnsi="Times New Roman" w:eastAsia="宋体" w:cs="Times New Roman"/>
                <w:color w:val="auto"/>
                <w:kern w:val="0"/>
                <w:szCs w:val="21"/>
                <w:highlight w:val="none"/>
              </w:rPr>
              <w:t>中4类标准，具体标准限值表</w:t>
            </w:r>
            <w:r>
              <w:rPr>
                <w:rFonts w:hint="eastAsia" w:ascii="Times New Roman" w:hAnsi="Times New Roman" w:eastAsia="宋体" w:cs="Times New Roman"/>
                <w:color w:val="auto"/>
                <w:kern w:val="0"/>
                <w:szCs w:val="21"/>
                <w:highlight w:val="none"/>
                <w:lang w:val="en-US" w:eastAsia="zh-CN"/>
              </w:rPr>
              <w:t>3</w:t>
            </w:r>
            <w:r>
              <w:rPr>
                <w:rFonts w:hint="eastAsia"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lang w:val="en-US" w:eastAsia="zh-CN"/>
              </w:rPr>
              <w:t>4</w:t>
            </w:r>
            <w:r>
              <w:rPr>
                <w:rFonts w:hint="eastAsia" w:cs="Times New Roman"/>
                <w:color w:val="auto"/>
                <w:kern w:val="0"/>
                <w:szCs w:val="21"/>
                <w:highlight w:val="none"/>
                <w:lang w:val="en-US" w:eastAsia="zh-CN"/>
              </w:rPr>
              <w:t>9</w:t>
            </w:r>
            <w:r>
              <w:rPr>
                <w:rFonts w:hint="eastAsia" w:ascii="Times New Roman" w:hAnsi="Times New Roman" w:eastAsia="宋体" w:cs="Times New Roman"/>
                <w:color w:val="auto"/>
                <w:kern w:val="0"/>
                <w:szCs w:val="21"/>
                <w:highlight w:val="none"/>
              </w:rPr>
              <w:t>。</w:t>
            </w:r>
          </w:p>
          <w:p w14:paraId="5C9C7DDF">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表</w:t>
            </w:r>
            <w:r>
              <w:rPr>
                <w:rFonts w:hint="eastAsia" w:ascii="Times New Roman" w:hAnsi="Times New Roman" w:eastAsia="宋体" w:cs="Times New Roman"/>
                <w:b/>
                <w:color w:val="auto"/>
                <w:kern w:val="0"/>
                <w:szCs w:val="21"/>
                <w:highlight w:val="none"/>
                <w:lang w:val="en-US" w:eastAsia="zh-CN"/>
              </w:rPr>
              <w:t>3</w:t>
            </w:r>
            <w:r>
              <w:rPr>
                <w:rFonts w:hint="default"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lang w:val="en-US" w:eastAsia="zh-CN"/>
              </w:rPr>
              <w:t>4</w:t>
            </w:r>
            <w:r>
              <w:rPr>
                <w:rFonts w:hint="eastAsia" w:cs="Times New Roman"/>
                <w:b/>
                <w:color w:val="auto"/>
                <w:kern w:val="0"/>
                <w:szCs w:val="21"/>
                <w:highlight w:val="none"/>
                <w:lang w:val="en-US" w:eastAsia="zh-CN"/>
              </w:rPr>
              <w:t>9</w:t>
            </w:r>
            <w:r>
              <w:rPr>
                <w:rFonts w:hint="default" w:ascii="Times New Roman" w:hAnsi="Times New Roman" w:eastAsia="宋体" w:cs="Times New Roman"/>
                <w:b/>
                <w:color w:val="auto"/>
                <w:kern w:val="0"/>
                <w:szCs w:val="21"/>
                <w:highlight w:val="none"/>
              </w:rPr>
              <w:t xml:space="preserve"> </w:t>
            </w:r>
            <w:r>
              <w:rPr>
                <w:rFonts w:hint="eastAsia" w:ascii="Times New Roman" w:hAnsi="Times New Roman" w:eastAsia="宋体" w:cs="Times New Roman"/>
                <w:b/>
                <w:color w:val="auto"/>
                <w:kern w:val="0"/>
                <w:szCs w:val="21"/>
                <w:highlight w:val="none"/>
                <w:lang w:val="en-US" w:eastAsia="zh-CN"/>
              </w:rPr>
              <w:t xml:space="preserve"> </w:t>
            </w:r>
            <w:r>
              <w:rPr>
                <w:rFonts w:hint="default" w:ascii="Times New Roman" w:hAnsi="Times New Roman" w:eastAsia="宋体" w:cs="Times New Roman"/>
                <w:b/>
                <w:color w:val="auto"/>
                <w:kern w:val="0"/>
                <w:szCs w:val="21"/>
                <w:highlight w:val="none"/>
              </w:rPr>
              <w:t>工业企业厂界环境噪声排放限值</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26"/>
              <w:gridCol w:w="1395"/>
              <w:gridCol w:w="1407"/>
              <w:gridCol w:w="4290"/>
            </w:tblGrid>
            <w:tr w14:paraId="2A17FC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 w:hRule="atLeast"/>
              </w:trPr>
              <w:tc>
                <w:tcPr>
                  <w:tcW w:w="885" w:type="pct"/>
                  <w:vMerge w:val="restart"/>
                  <w:noWrap w:val="0"/>
                  <w:vAlign w:val="center"/>
                </w:tcPr>
                <w:p w14:paraId="6248F4E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厂界外声环境功能区</w:t>
                  </w:r>
                  <w:r>
                    <w:rPr>
                      <w:rFonts w:hint="default" w:ascii="Times New Roman" w:hAnsi="Times New Roman" w:eastAsia="宋体" w:cs="Times New Roman"/>
                      <w:b/>
                      <w:bCs/>
                      <w:color w:val="auto"/>
                      <w:sz w:val="18"/>
                      <w:szCs w:val="18"/>
                      <w:highlight w:val="none"/>
                      <w:lang w:val="en-US" w:eastAsia="zh-CN"/>
                    </w:rPr>
                    <w:t>类别</w:t>
                  </w:r>
                </w:p>
              </w:tc>
              <w:tc>
                <w:tcPr>
                  <w:tcW w:w="1625" w:type="pct"/>
                  <w:gridSpan w:val="2"/>
                  <w:noWrap w:val="0"/>
                  <w:vAlign w:val="center"/>
                </w:tcPr>
                <w:p w14:paraId="0C24DFA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标准值</w:t>
                  </w:r>
                  <w:r>
                    <w:rPr>
                      <w:rFonts w:hint="eastAsia" w:ascii="Times New Roman" w:hAnsi="Times New Roman" w:eastAsia="宋体" w:cs="Times New Roman"/>
                      <w:b/>
                      <w:bCs/>
                      <w:color w:val="auto"/>
                      <w:sz w:val="18"/>
                      <w:szCs w:val="18"/>
                      <w:highlight w:val="none"/>
                      <w:lang w:val="en-US" w:eastAsia="zh-CN"/>
                    </w:rPr>
                    <w:t>（</w:t>
                  </w:r>
                  <w:r>
                    <w:rPr>
                      <w:rFonts w:hint="default" w:ascii="Times New Roman" w:hAnsi="Times New Roman" w:cs="Times New Roman"/>
                      <w:b/>
                      <w:color w:val="auto"/>
                      <w:kern w:val="0"/>
                      <w:szCs w:val="21"/>
                      <w:highlight w:val="none"/>
                    </w:rPr>
                    <w:t>dB（A）</w:t>
                  </w:r>
                  <w:r>
                    <w:rPr>
                      <w:rFonts w:hint="eastAsia" w:ascii="Times New Roman" w:hAnsi="Times New Roman" w:eastAsia="宋体" w:cs="Times New Roman"/>
                      <w:b/>
                      <w:bCs/>
                      <w:color w:val="auto"/>
                      <w:sz w:val="18"/>
                      <w:szCs w:val="18"/>
                      <w:highlight w:val="none"/>
                      <w:lang w:val="en-US" w:eastAsia="zh-CN"/>
                    </w:rPr>
                    <w:t>）</w:t>
                  </w:r>
                </w:p>
              </w:tc>
              <w:tc>
                <w:tcPr>
                  <w:tcW w:w="2488" w:type="pct"/>
                  <w:vMerge w:val="restart"/>
                  <w:noWrap w:val="0"/>
                  <w:vAlign w:val="center"/>
                </w:tcPr>
                <w:p w14:paraId="49917669">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标准来源</w:t>
                  </w:r>
                </w:p>
              </w:tc>
            </w:tr>
            <w:tr w14:paraId="5C4D9D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9" w:hRule="atLeast"/>
              </w:trPr>
              <w:tc>
                <w:tcPr>
                  <w:tcW w:w="885" w:type="pct"/>
                  <w:vMerge w:val="continue"/>
                  <w:noWrap w:val="0"/>
                  <w:vAlign w:val="center"/>
                </w:tcPr>
                <w:p w14:paraId="0BC8E76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p>
              </w:tc>
              <w:tc>
                <w:tcPr>
                  <w:tcW w:w="809" w:type="pct"/>
                  <w:noWrap w:val="0"/>
                  <w:vAlign w:val="center"/>
                </w:tcPr>
                <w:p w14:paraId="797ED33E">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昼间</w:t>
                  </w:r>
                </w:p>
              </w:tc>
              <w:tc>
                <w:tcPr>
                  <w:tcW w:w="815" w:type="pct"/>
                  <w:noWrap w:val="0"/>
                  <w:vAlign w:val="center"/>
                </w:tcPr>
                <w:p w14:paraId="79F7E9E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夜间</w:t>
                  </w:r>
                </w:p>
              </w:tc>
              <w:tc>
                <w:tcPr>
                  <w:tcW w:w="2488" w:type="pct"/>
                  <w:vMerge w:val="continue"/>
                  <w:noWrap w:val="0"/>
                  <w:vAlign w:val="center"/>
                </w:tcPr>
                <w:p w14:paraId="12D81B59">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p>
              </w:tc>
            </w:tr>
            <w:tr w14:paraId="7CD5F1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3" w:hRule="atLeast"/>
              </w:trPr>
              <w:tc>
                <w:tcPr>
                  <w:tcW w:w="885" w:type="pct"/>
                  <w:noWrap w:val="0"/>
                  <w:vAlign w:val="center"/>
                </w:tcPr>
                <w:p w14:paraId="7995817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w:t>
                  </w:r>
                  <w:r>
                    <w:rPr>
                      <w:rFonts w:hint="default" w:ascii="Times New Roman" w:hAnsi="Times New Roman" w:eastAsia="宋体" w:cs="Times New Roman"/>
                      <w:color w:val="auto"/>
                      <w:sz w:val="18"/>
                      <w:szCs w:val="18"/>
                      <w:highlight w:val="none"/>
                      <w:lang w:val="en-US" w:eastAsia="zh-CN"/>
                    </w:rPr>
                    <w:t>类</w:t>
                  </w:r>
                </w:p>
              </w:tc>
              <w:tc>
                <w:tcPr>
                  <w:tcW w:w="809" w:type="pct"/>
                  <w:noWrap w:val="0"/>
                  <w:vAlign w:val="center"/>
                </w:tcPr>
                <w:p w14:paraId="7660D94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70</w:t>
                  </w:r>
                </w:p>
              </w:tc>
              <w:tc>
                <w:tcPr>
                  <w:tcW w:w="815" w:type="pct"/>
                  <w:noWrap w:val="0"/>
                  <w:vAlign w:val="center"/>
                </w:tcPr>
                <w:p w14:paraId="17F6E40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55</w:t>
                  </w:r>
                </w:p>
              </w:tc>
              <w:tc>
                <w:tcPr>
                  <w:tcW w:w="2488" w:type="pct"/>
                  <w:noWrap w:val="0"/>
                  <w:vAlign w:val="center"/>
                </w:tcPr>
                <w:p w14:paraId="2E81AA2D">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《工业企业厂界环境噪声排放标准》（GB12348-2008）</w:t>
                  </w:r>
                </w:p>
              </w:tc>
            </w:tr>
          </w:tbl>
          <w:p w14:paraId="4EC055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kern w:val="0"/>
                <w:sz w:val="13"/>
                <w:szCs w:val="13"/>
                <w:highlight w:val="none"/>
                <w:lang w:val="en-US" w:eastAsia="zh-CN"/>
              </w:rPr>
            </w:pPr>
          </w:p>
          <w:p w14:paraId="504637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color w:val="auto"/>
                <w:kern w:val="0"/>
                <w:szCs w:val="21"/>
              </w:rPr>
            </w:pPr>
            <w:r>
              <w:rPr>
                <w:rFonts w:hint="eastAsia" w:ascii="Times New Roman" w:hAnsi="Times New Roman" w:eastAsia="宋体" w:cs="Times New Roman"/>
                <w:b/>
                <w:color w:val="auto"/>
                <w:kern w:val="0"/>
                <w:szCs w:val="21"/>
              </w:rPr>
              <w:t>（4）固废</w:t>
            </w:r>
          </w:p>
          <w:p w14:paraId="4668C28B">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rPr>
            </w:pPr>
            <w:r>
              <w:rPr>
                <w:rFonts w:hint="eastAsia" w:cs="Times New Roman"/>
                <w:color w:val="auto"/>
                <w:kern w:val="0"/>
                <w:szCs w:val="21"/>
                <w:highlight w:val="none"/>
                <w:lang w:val="en-US" w:eastAsia="zh-CN"/>
              </w:rPr>
              <w:t>企业</w:t>
            </w:r>
            <w:r>
              <w:rPr>
                <w:rFonts w:hint="eastAsia" w:ascii="Times New Roman" w:hAnsi="Times New Roman" w:eastAsia="宋体" w:cs="Times New Roman"/>
                <w:color w:val="auto"/>
                <w:kern w:val="0"/>
                <w:szCs w:val="21"/>
                <w:highlight w:val="none"/>
              </w:rPr>
              <w:t>危险废物按《危险废物贮存污染控制标准》（GB18597-2023）相关规定执行。</w:t>
            </w:r>
          </w:p>
        </w:tc>
      </w:tr>
      <w:tr w14:paraId="77E23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5" w:hRule="atLeast"/>
          <w:jc w:val="center"/>
        </w:trPr>
        <w:tc>
          <w:tcPr>
            <w:tcW w:w="218" w:type="pct"/>
            <w:noWrap w:val="0"/>
            <w:vAlign w:val="center"/>
          </w:tcPr>
          <w:p w14:paraId="4FBDEB09">
            <w:pPr>
              <w:keepNext w:val="0"/>
              <w:keepLines w:val="0"/>
              <w:suppressLineNumbers w:val="0"/>
              <w:adjustRightInd w:val="0"/>
              <w:snapToGrid w:val="0"/>
              <w:spacing w:before="0" w:beforeAutospacing="0" w:after="0" w:afterAutospacing="0"/>
              <w:ind w:left="0" w:right="0"/>
              <w:jc w:val="center"/>
              <w:rPr>
                <w:rFonts w:hint="eastAsia" w:ascii="宋体" w:hAnsi="宋体" w:cs="宋体"/>
                <w:color w:val="auto"/>
                <w:kern w:val="0"/>
                <w:szCs w:val="21"/>
              </w:rPr>
            </w:pPr>
            <w:r>
              <w:rPr>
                <w:rFonts w:hint="eastAsia" w:ascii="宋体" w:hAnsi="宋体" w:cs="宋体"/>
                <w:color w:val="auto"/>
                <w:kern w:val="0"/>
                <w:szCs w:val="21"/>
              </w:rPr>
              <w:t>其他</w:t>
            </w:r>
          </w:p>
        </w:tc>
        <w:tc>
          <w:tcPr>
            <w:tcW w:w="8850" w:type="dxa"/>
            <w:noWrap w:val="0"/>
            <w:vAlign w:val="center"/>
          </w:tcPr>
          <w:p w14:paraId="14FC2DB6">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rPr>
            </w:pPr>
            <w:r>
              <w:rPr>
                <w:rFonts w:hint="eastAsia"/>
                <w:color w:val="auto"/>
                <w:kern w:val="0"/>
                <w:szCs w:val="21"/>
              </w:rPr>
              <w:t>根据《江阴市排污总量指标管理办法（试行）》（澄政办发〔2024〕11号）要求，结合项目排污特征，确定总量控制因子为：</w:t>
            </w:r>
          </w:p>
          <w:p w14:paraId="3E658200">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rPr>
            </w:pPr>
            <w:r>
              <w:rPr>
                <w:rFonts w:hint="eastAsia"/>
                <w:color w:val="auto"/>
                <w:kern w:val="0"/>
                <w:szCs w:val="21"/>
              </w:rPr>
              <w:t>废气：总量控制因子为</w:t>
            </w:r>
            <w:r>
              <w:rPr>
                <w:rFonts w:hint="eastAsia"/>
                <w:color w:val="auto"/>
                <w:kern w:val="0"/>
                <w:szCs w:val="21"/>
                <w:lang w:val="en-US" w:eastAsia="zh-CN"/>
              </w:rPr>
              <w:t>颗粒物（沥青烟）、</w:t>
            </w:r>
            <w:r>
              <w:rPr>
                <w:rFonts w:hint="eastAsia"/>
                <w:color w:val="auto"/>
                <w:kern w:val="0"/>
                <w:szCs w:val="21"/>
              </w:rPr>
              <w:t>非甲烷总烃；</w:t>
            </w:r>
          </w:p>
          <w:p w14:paraId="1B345165">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rPr>
            </w:pPr>
            <w:r>
              <w:rPr>
                <w:rFonts w:hint="eastAsia"/>
                <w:color w:val="auto"/>
                <w:kern w:val="0"/>
                <w:szCs w:val="21"/>
              </w:rPr>
              <w:t>废水：不涉及；</w:t>
            </w:r>
          </w:p>
          <w:p w14:paraId="107107B2">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kern w:val="0"/>
                <w:szCs w:val="21"/>
              </w:rPr>
            </w:pPr>
            <w:r>
              <w:rPr>
                <w:rFonts w:hint="eastAsia"/>
                <w:color w:val="auto"/>
                <w:kern w:val="0"/>
                <w:szCs w:val="21"/>
              </w:rPr>
              <w:t>固废：不涉及。</w:t>
            </w:r>
          </w:p>
          <w:p w14:paraId="37E164E6">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本项目</w:t>
            </w:r>
            <w:r>
              <w:rPr>
                <w:rFonts w:hint="eastAsia" w:ascii="Times New Roman" w:hAnsi="Times New Roman" w:eastAsia="宋体" w:cs="Times New Roman"/>
                <w:color w:val="auto"/>
                <w:szCs w:val="21"/>
                <w:highlight w:val="none"/>
                <w:lang w:val="en-US" w:eastAsia="zh-CN"/>
              </w:rPr>
              <w:t>实施后全厂不新增污染物排放量，</w:t>
            </w:r>
            <w:r>
              <w:rPr>
                <w:rFonts w:hint="eastAsia"/>
                <w:color w:val="auto"/>
                <w:szCs w:val="21"/>
              </w:rPr>
              <w:t>废气污染物总量在现有厂区内平衡</w:t>
            </w:r>
            <w:r>
              <w:rPr>
                <w:rFonts w:hint="eastAsia"/>
                <w:color w:val="auto"/>
                <w:szCs w:val="21"/>
                <w:lang w:eastAsia="zh-CN"/>
              </w:rPr>
              <w:t>。</w:t>
            </w:r>
          </w:p>
          <w:p w14:paraId="639B1CB4">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宋体" w:hAnsi="宋体" w:cs="宋体"/>
                <w:color w:val="auto"/>
                <w:kern w:val="0"/>
                <w:szCs w:val="21"/>
              </w:rPr>
            </w:pPr>
          </w:p>
        </w:tc>
      </w:tr>
    </w:tbl>
    <w:p w14:paraId="3195B470">
      <w:pPr>
        <w:pStyle w:val="19"/>
        <w:jc w:val="center"/>
        <w:outlineLvl w:val="0"/>
        <w:rPr>
          <w:rFonts w:ascii="黑体" w:hAnsi="黑体" w:eastAsia="黑体"/>
          <w:snapToGrid w:val="0"/>
          <w:color w:val="auto"/>
          <w:sz w:val="30"/>
          <w:szCs w:val="30"/>
        </w:rPr>
      </w:pPr>
      <w:r>
        <w:rPr>
          <w:rFonts w:ascii="黑体" w:hAnsi="黑体" w:eastAsia="黑体"/>
          <w:snapToGrid w:val="0"/>
          <w:color w:val="auto"/>
          <w:kern w:val="2"/>
          <w:sz w:val="36"/>
          <w:szCs w:val="36"/>
        </w:rPr>
        <w:br w:type="page"/>
      </w:r>
      <w:bookmarkStart w:id="6" w:name="_Toc28314"/>
      <w:r>
        <w:rPr>
          <w:rFonts w:hint="eastAsia" w:ascii="黑体" w:hAnsi="黑体" w:eastAsia="黑体"/>
          <w:snapToGrid w:val="0"/>
          <w:color w:val="auto"/>
          <w:sz w:val="30"/>
          <w:szCs w:val="30"/>
        </w:rPr>
        <w:t>四、生态环境影响分析</w:t>
      </w:r>
      <w:bookmarkEnd w:id="6"/>
    </w:p>
    <w:tbl>
      <w:tblPr>
        <w:tblStyle w:val="21"/>
        <w:tblW w:w="50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363"/>
      </w:tblGrid>
      <w:tr w14:paraId="77EFA3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9" w:hRule="atLeast"/>
          <w:jc w:val="center"/>
        </w:trPr>
        <w:tc>
          <w:tcPr>
            <w:tcW w:w="474" w:type="pct"/>
            <w:noWrap w:val="0"/>
            <w:tcMar>
              <w:left w:w="28" w:type="dxa"/>
              <w:right w:w="28" w:type="dxa"/>
            </w:tcMar>
            <w:vAlign w:val="center"/>
          </w:tcPr>
          <w:p w14:paraId="5CEA4F18">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宋体"/>
                <w:bCs/>
                <w:color w:val="auto"/>
                <w:kern w:val="2"/>
                <w:sz w:val="21"/>
                <w:szCs w:val="21"/>
              </w:rPr>
            </w:pPr>
            <w:bookmarkStart w:id="7" w:name="_Hlk49796138"/>
            <w:r>
              <w:rPr>
                <w:rFonts w:hint="eastAsia" w:cs="宋体"/>
                <w:bCs/>
                <w:color w:val="auto"/>
                <w:spacing w:val="10"/>
                <w:kern w:val="2"/>
                <w:sz w:val="21"/>
                <w:szCs w:val="21"/>
              </w:rPr>
              <w:t>施工期生态环境影响分析</w:t>
            </w:r>
            <w:bookmarkEnd w:id="7"/>
          </w:p>
        </w:tc>
        <w:tc>
          <w:tcPr>
            <w:tcW w:w="4525" w:type="pct"/>
            <w:noWrap w:val="0"/>
            <w:vAlign w:val="center"/>
          </w:tcPr>
          <w:p w14:paraId="2174C3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kern w:val="0"/>
                <w:szCs w:val="21"/>
                <w:highlight w:val="none"/>
                <w:lang w:val="en-US" w:eastAsia="zh-CN"/>
              </w:rPr>
            </w:pPr>
            <w:r>
              <w:rPr>
                <w:rFonts w:hint="eastAsia" w:ascii="宋体" w:hAnsi="宋体" w:eastAsia="宋体" w:cs="宋体"/>
                <w:color w:val="auto"/>
                <w:kern w:val="0"/>
                <w:sz w:val="21"/>
                <w:szCs w:val="21"/>
              </w:rPr>
              <w:t>本项目对储运设施进行安全改造，施工内容主要包括对二罐区现有</w:t>
            </w:r>
            <w:r>
              <w:rPr>
                <w:rFonts w:hint="default" w:ascii="Times New Roman" w:hAnsi="Times New Roman" w:eastAsia="宋体" w:cs="Times New Roman"/>
                <w:color w:val="auto"/>
                <w:kern w:val="0"/>
                <w:sz w:val="21"/>
                <w:szCs w:val="21"/>
              </w:rPr>
              <w:t>2505</w:t>
            </w:r>
            <w:r>
              <w:rPr>
                <w:rFonts w:hint="eastAsia" w:ascii="宋体" w:hAnsi="宋体" w:eastAsia="宋体" w:cs="宋体"/>
                <w:color w:val="auto"/>
                <w:kern w:val="0"/>
                <w:sz w:val="21"/>
                <w:szCs w:val="21"/>
              </w:rPr>
              <w:t>储罐进行安全改造、在现有煤焦沥青卸车区域安装</w:t>
            </w:r>
            <w:r>
              <w:rPr>
                <w:rFonts w:hint="default" w:ascii="Times New Roman" w:hAnsi="Times New Roman" w:eastAsia="宋体" w:cs="Times New Roman"/>
                <w:color w:val="auto"/>
                <w:kern w:val="0"/>
                <w:sz w:val="21"/>
                <w:szCs w:val="21"/>
              </w:rPr>
              <w:t>1</w:t>
            </w:r>
            <w:r>
              <w:rPr>
                <w:rFonts w:hint="eastAsia" w:ascii="宋体" w:hAnsi="宋体" w:eastAsia="宋体" w:cs="宋体"/>
                <w:color w:val="auto"/>
                <w:kern w:val="0"/>
                <w:sz w:val="21"/>
                <w:szCs w:val="21"/>
              </w:rPr>
              <w:t>套装车撬装装置。施工过程仅为设备及管道的改造，不涉及土建等施工，施工期对周边生态环境基本无影响</w:t>
            </w:r>
            <w:r>
              <w:rPr>
                <w:rFonts w:hint="eastAsia" w:ascii="Times New Roman" w:hAnsi="Times New Roman" w:eastAsia="宋体" w:cs="Times New Roman"/>
                <w:color w:val="auto"/>
                <w:kern w:val="0"/>
                <w:szCs w:val="21"/>
                <w:highlight w:val="none"/>
                <w:lang w:val="en-US" w:eastAsia="zh-CN"/>
              </w:rPr>
              <w:t>。</w:t>
            </w:r>
          </w:p>
        </w:tc>
      </w:tr>
      <w:tr w14:paraId="3A0EED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1" w:hRule="atLeast"/>
          <w:jc w:val="center"/>
        </w:trPr>
        <w:tc>
          <w:tcPr>
            <w:tcW w:w="474" w:type="pct"/>
            <w:noWrap w:val="0"/>
            <w:tcMar>
              <w:left w:w="28" w:type="dxa"/>
              <w:right w:w="28" w:type="dxa"/>
            </w:tcMar>
            <w:vAlign w:val="center"/>
          </w:tcPr>
          <w:p w14:paraId="49B06078">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宋体"/>
                <w:bCs/>
                <w:color w:val="auto"/>
                <w:kern w:val="2"/>
                <w:sz w:val="21"/>
                <w:szCs w:val="21"/>
              </w:rPr>
            </w:pPr>
            <w:r>
              <w:rPr>
                <w:rFonts w:hint="eastAsia" w:cs="宋体"/>
                <w:bCs/>
                <w:color w:val="auto"/>
                <w:spacing w:val="10"/>
                <w:kern w:val="2"/>
                <w:sz w:val="21"/>
                <w:szCs w:val="21"/>
              </w:rPr>
              <w:t>运营期生态环境影响分析</w:t>
            </w:r>
          </w:p>
        </w:tc>
        <w:tc>
          <w:tcPr>
            <w:tcW w:w="4525" w:type="pct"/>
            <w:noWrap w:val="0"/>
            <w:vAlign w:val="top"/>
          </w:tcPr>
          <w:p w14:paraId="1FA8512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default" w:eastAsia="宋体"/>
                <w:b/>
                <w:bCs w:val="0"/>
                <w:color w:val="auto"/>
                <w:szCs w:val="21"/>
                <w:lang w:val="en-US" w:eastAsia="zh-CN"/>
              </w:rPr>
            </w:pPr>
            <w:r>
              <w:rPr>
                <w:rFonts w:hint="eastAsia"/>
                <w:b/>
                <w:bCs w:val="0"/>
                <w:color w:val="auto"/>
                <w:szCs w:val="21"/>
                <w:lang w:val="en-US" w:eastAsia="zh-CN"/>
              </w:rPr>
              <w:t>一、工艺流程</w:t>
            </w:r>
          </w:p>
          <w:p w14:paraId="12FA15A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eastAsia="宋体"/>
                <w:b w:val="0"/>
                <w:bCs/>
                <w:color w:val="auto"/>
                <w:szCs w:val="21"/>
                <w:highlight w:val="none"/>
                <w:lang w:val="en-US" w:eastAsia="zh-CN"/>
              </w:rPr>
            </w:pPr>
            <w:r>
              <w:rPr>
                <w:rFonts w:hint="eastAsia"/>
                <w:b w:val="0"/>
                <w:bCs/>
                <w:color w:val="auto"/>
                <w:szCs w:val="21"/>
                <w:highlight w:val="none"/>
                <w:lang w:val="en-US" w:eastAsia="zh-CN"/>
              </w:rPr>
              <w:t>本次新增的9种品种中，硬脂酸、棕榈硬脂、棕榈油脂肪酸、脂肪酸、植物酸化油、棕榈液油、精炼工业级蓖麻油等7个货种拟储存于二罐区、三罐区、四罐区或六罐区固定顶罐；生物航煤（可持续航空燃料）拟储存于二罐区、五罐区或六罐区中的内浮顶罐；烃基生物柴油拟储存于三罐区或四罐区中的固定顶罐，具体储罐根据业务需求进行调配。</w:t>
            </w:r>
          </w:p>
          <w:p w14:paraId="43AEB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val="en-US" w:eastAsia="zh-CN"/>
              </w:rPr>
              <w:t>1</w:t>
            </w:r>
            <w:r>
              <w:rPr>
                <w:rFonts w:hint="eastAsia"/>
                <w:b/>
                <w:bCs w:val="0"/>
                <w:color w:val="auto"/>
                <w:szCs w:val="21"/>
                <w:lang w:eastAsia="zh-CN"/>
              </w:rPr>
              <w:t>、</w:t>
            </w:r>
            <w:r>
              <w:rPr>
                <w:rFonts w:hint="eastAsia"/>
                <w:b/>
                <w:bCs w:val="0"/>
                <w:color w:val="auto"/>
                <w:szCs w:val="21"/>
              </w:rPr>
              <w:t>液体化工品装卸作业工艺流程</w:t>
            </w:r>
          </w:p>
          <w:p w14:paraId="3CB1BA1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eastAsia="zh-CN"/>
              </w:rPr>
              <w:t>（</w:t>
            </w:r>
            <w:r>
              <w:rPr>
                <w:rFonts w:hint="eastAsia"/>
                <w:b/>
                <w:bCs w:val="0"/>
                <w:color w:val="auto"/>
                <w:szCs w:val="21"/>
              </w:rPr>
              <w:t>1）卸船工艺</w:t>
            </w:r>
          </w:p>
          <w:p w14:paraId="31C3E25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船舶停靠码头后，作业人员按照指令连接相应软管（配置不导电短管）或装卸臂，检查管线、阀门等确认无误后，码头与库区作业人员协调，开启电动阀门，通知船方启泵作业。作业过程中，码头作业人员和库区作业人员分别做好码头和罐区巡线检查工作。卸船结束关闭阀门。</w:t>
            </w:r>
          </w:p>
          <w:p w14:paraId="4A61C03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流程为：油船或化工品船→船泵→平台装卸臂或软管→平台管线→引桥管线→库区管线→库区储罐</w:t>
            </w:r>
          </w:p>
          <w:p w14:paraId="37CFD2A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eastAsia="zh-CN"/>
              </w:rPr>
              <w:t>（</w:t>
            </w:r>
            <w:r>
              <w:rPr>
                <w:rFonts w:hint="eastAsia"/>
                <w:b/>
                <w:bCs w:val="0"/>
                <w:color w:val="auto"/>
                <w:szCs w:val="21"/>
              </w:rPr>
              <w:t>2）装船工艺</w:t>
            </w:r>
          </w:p>
          <w:p w14:paraId="6754A76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船舶停靠码头后，作业人员按照指令连接相应软管或装卸臂，检查管线、阀门等确认无误后，码头与库区作业人员协调，开启电动阀门，通知泵房启泵作业。作业过程中，码头作业人员和库区作业人员分别做好码头和罐区巡线检查工作。卸船结束关闭阀门。</w:t>
            </w:r>
          </w:p>
          <w:p w14:paraId="2B26015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流程为：库区储罐→装船泵→库区管线→引桥管线→平台管线→平台装卸臂或软管→ 油船或化工品船</w:t>
            </w:r>
          </w:p>
          <w:p w14:paraId="61DEA43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eastAsia="zh-CN"/>
              </w:rPr>
              <w:t>（</w:t>
            </w:r>
            <w:r>
              <w:rPr>
                <w:rFonts w:hint="eastAsia"/>
                <w:b/>
                <w:bCs w:val="0"/>
                <w:color w:val="auto"/>
                <w:szCs w:val="21"/>
              </w:rPr>
              <w:t>3）卸车工艺</w:t>
            </w:r>
          </w:p>
          <w:p w14:paraId="08C3B2D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槽车进入卸车点，静置，连接静电接地报警器，用软管将卸车泵进口与槽车出口连接，经检查确认无泄漏后，打开槽车及相关阀门，启动卸车泵，槽车内物料流入指定的卸货储罐内。</w:t>
            </w:r>
          </w:p>
          <w:p w14:paraId="75B28DA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流程为：槽车→软管→泵→库区管线→库区储罐；</w:t>
            </w:r>
          </w:p>
          <w:p w14:paraId="3140508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eastAsia="zh-CN"/>
              </w:rPr>
              <w:t>（</w:t>
            </w:r>
            <w:r>
              <w:rPr>
                <w:rFonts w:hint="eastAsia"/>
                <w:b/>
                <w:bCs w:val="0"/>
                <w:color w:val="auto"/>
                <w:szCs w:val="21"/>
              </w:rPr>
              <w:t>4）装车工艺</w:t>
            </w:r>
          </w:p>
          <w:p w14:paraId="602DA8E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槽车进入装车区，连接静电接地报警器，调整鹤管至适当位置，经检查确认后，打开相关阀门，启动装车泵将物料从储罐输送至槽车内，每个装车鹤管装有质量流量计和高液位报警器，当流量达到限定值或达到限定液位时，遥控阀门切断，作业结束。</w:t>
            </w:r>
          </w:p>
          <w:p w14:paraId="6BC43EE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流程为：库区储罐→发车泵→库区管线→鹤管→槽车</w:t>
            </w:r>
          </w:p>
          <w:p w14:paraId="1FF90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val="en-US" w:eastAsia="zh-CN"/>
              </w:rPr>
              <w:t>2</w:t>
            </w:r>
            <w:r>
              <w:rPr>
                <w:rFonts w:hint="eastAsia"/>
                <w:b/>
                <w:bCs w:val="0"/>
                <w:color w:val="auto"/>
                <w:szCs w:val="21"/>
                <w:lang w:eastAsia="zh-CN"/>
              </w:rPr>
              <w:t>、</w:t>
            </w:r>
            <w:r>
              <w:rPr>
                <w:rFonts w:hint="eastAsia"/>
                <w:b/>
                <w:bCs w:val="0"/>
                <w:color w:val="auto"/>
                <w:szCs w:val="21"/>
              </w:rPr>
              <w:t>扫线</w:t>
            </w:r>
          </w:p>
          <w:p w14:paraId="319C7AC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lang w:val="en-US" w:eastAsia="zh-CN"/>
              </w:rPr>
              <w:t>1</w:t>
            </w:r>
            <w:r>
              <w:rPr>
                <w:rFonts w:hint="eastAsia"/>
                <w:bCs/>
                <w:color w:val="auto"/>
                <w:szCs w:val="21"/>
                <w:lang w:eastAsia="zh-CN"/>
              </w:rPr>
              <w:t>）</w:t>
            </w:r>
            <w:r>
              <w:rPr>
                <w:rFonts w:hint="eastAsia"/>
                <w:bCs/>
                <w:color w:val="auto"/>
                <w:szCs w:val="21"/>
              </w:rPr>
              <w:t>液化烃扫线：装卸作业完毕，利用气相置换后使用氮气吹扫，排空装卸臂内的残液。</w:t>
            </w:r>
          </w:p>
          <w:p w14:paraId="47BF832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lang w:val="en-US" w:eastAsia="zh-CN"/>
              </w:rPr>
              <w:t>2</w:t>
            </w:r>
            <w:r>
              <w:rPr>
                <w:rFonts w:hint="eastAsia"/>
                <w:bCs/>
                <w:color w:val="auto"/>
                <w:szCs w:val="21"/>
                <w:lang w:eastAsia="zh-CN"/>
              </w:rPr>
              <w:t>）</w:t>
            </w:r>
            <w:r>
              <w:rPr>
                <w:rFonts w:hint="eastAsia"/>
                <w:bCs/>
                <w:color w:val="auto"/>
                <w:szCs w:val="21"/>
              </w:rPr>
              <w:t>装卸臂：装卸完毕后，打开装卸臂上部真空断流阀，将外臂内残液排至船舱，内壁残液及装卸臂到切断阀之间的残液采用氮气吹扫至船舱，方可将装卸臂和船脱离。</w:t>
            </w:r>
          </w:p>
          <w:p w14:paraId="1746FF1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lang w:val="en-US" w:eastAsia="zh-CN"/>
              </w:rPr>
              <w:t>3</w:t>
            </w:r>
            <w:r>
              <w:rPr>
                <w:rFonts w:hint="eastAsia"/>
                <w:bCs/>
                <w:color w:val="auto"/>
                <w:szCs w:val="21"/>
                <w:lang w:eastAsia="zh-CN"/>
              </w:rPr>
              <w:t>）</w:t>
            </w:r>
            <w:r>
              <w:rPr>
                <w:rFonts w:hint="eastAsia"/>
                <w:bCs/>
                <w:color w:val="auto"/>
                <w:szCs w:val="21"/>
              </w:rPr>
              <w:t>金属软管：装卸完毕后，采用氮气将金属软管到切断阀之间的残液吹扫至船舱。</w:t>
            </w:r>
          </w:p>
          <w:p w14:paraId="73A0FC8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lang w:val="en-US" w:eastAsia="zh-CN"/>
              </w:rPr>
              <w:t>4</w:t>
            </w:r>
            <w:r>
              <w:rPr>
                <w:rFonts w:hint="eastAsia"/>
                <w:bCs/>
                <w:color w:val="auto"/>
                <w:szCs w:val="21"/>
                <w:lang w:eastAsia="zh-CN"/>
              </w:rPr>
              <w:t>）</w:t>
            </w:r>
            <w:r>
              <w:rPr>
                <w:rFonts w:hint="eastAsia"/>
                <w:bCs/>
                <w:color w:val="auto"/>
                <w:szCs w:val="21"/>
              </w:rPr>
              <w:t>管道：码头装卸区设清管器，用清管球将各个泊位管道内液体石油化工品扫向罐区。向储罐内进行物料扫线时，密切关注储罐内压力，避免发生超压事故。</w:t>
            </w:r>
          </w:p>
          <w:p w14:paraId="13551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val="en-US" w:eastAsia="zh-CN"/>
              </w:rPr>
              <w:t>3</w:t>
            </w:r>
            <w:r>
              <w:rPr>
                <w:rFonts w:hint="eastAsia"/>
                <w:b/>
                <w:bCs w:val="0"/>
                <w:color w:val="auto"/>
                <w:szCs w:val="21"/>
                <w:lang w:eastAsia="zh-CN"/>
              </w:rPr>
              <w:t>、</w:t>
            </w:r>
            <w:r>
              <w:rPr>
                <w:rFonts w:hint="eastAsia"/>
                <w:b/>
                <w:bCs w:val="0"/>
                <w:color w:val="auto"/>
                <w:szCs w:val="21"/>
              </w:rPr>
              <w:t>保温、防冻凝、防聚合等</w:t>
            </w:r>
          </w:p>
          <w:p w14:paraId="39841E7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rPr>
              <w:t>1）熔点较高、易凝固的物料储存于加热保温的储罐内，设备作可靠保温，管道均作可靠保温、伴热。</w:t>
            </w:r>
          </w:p>
          <w:p w14:paraId="248B1F5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rPr>
              <w:t>2）苯乙烯、丙烯酸、1-丁烯等易聚合，在上述危险货物储存过程中采取保冷措施进行保冷，防止物料大量挥发引起储罐超压、因为温度升高自聚等。</w:t>
            </w:r>
          </w:p>
          <w:p w14:paraId="1ECBB78E">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rPr>
              <w:t>3）液化烃液相管线设置安全阀泄压，泄压气体回到气相平衡管线。</w:t>
            </w:r>
          </w:p>
          <w:p w14:paraId="3ED07FB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rPr>
              <w:t>4）液化烃球罐设置密闭采样器。</w:t>
            </w:r>
          </w:p>
          <w:p w14:paraId="2F78900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rPr>
              <w:t>5）在距装卸车鹤位10m以外的装卸管道上设置便于操作的紧急切断阀。</w:t>
            </w:r>
          </w:p>
          <w:p w14:paraId="23A2EED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lang w:eastAsia="zh-CN"/>
              </w:rPr>
              <w:t>（</w:t>
            </w:r>
            <w:r>
              <w:rPr>
                <w:rFonts w:hint="eastAsia"/>
                <w:bCs/>
                <w:color w:val="auto"/>
                <w:szCs w:val="21"/>
              </w:rPr>
              <w:t>6）油气回收支管在并入油气处理设施前分别设置紧急切断阀和止回阀。</w:t>
            </w:r>
          </w:p>
          <w:p w14:paraId="63033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val="en-US" w:eastAsia="zh-CN"/>
              </w:rPr>
              <w:t>4</w:t>
            </w:r>
            <w:r>
              <w:rPr>
                <w:rFonts w:hint="eastAsia"/>
                <w:b/>
                <w:bCs w:val="0"/>
                <w:color w:val="auto"/>
                <w:szCs w:val="21"/>
                <w:lang w:eastAsia="zh-CN"/>
              </w:rPr>
              <w:t>、</w:t>
            </w:r>
            <w:r>
              <w:rPr>
                <w:rFonts w:hint="eastAsia"/>
                <w:b/>
                <w:bCs w:val="0"/>
                <w:color w:val="auto"/>
                <w:szCs w:val="21"/>
              </w:rPr>
              <w:t>货种更换</w:t>
            </w:r>
          </w:p>
          <w:p w14:paraId="012BC25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日常储运过程中同一储罐、管道根据装卸情况，需要储运多种危险货物。</w:t>
            </w:r>
          </w:p>
          <w:p w14:paraId="47796595">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公司制定有倒罐、清罐、管线清洗、管线吹扫等相关作业的操作规程，对共用储罐、管线品种变化进行控制，对每一个品种的接卸严格执行安全作业指导制度和规程。</w:t>
            </w:r>
          </w:p>
          <w:p w14:paraId="0258063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公司运行多年以来，码头进发货作业未发生品种变更引发的安全生产事故，也未发生因品种变更造成的货物污染事故。</w:t>
            </w:r>
          </w:p>
          <w:p w14:paraId="1AC3A73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倒罐流程：储罐→库区管线→储罐</w:t>
            </w:r>
          </w:p>
          <w:p w14:paraId="4852D5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textAlignment w:val="auto"/>
              <w:rPr>
                <w:rFonts w:hint="eastAsia"/>
                <w:b/>
                <w:bCs w:val="0"/>
                <w:color w:val="auto"/>
                <w:szCs w:val="21"/>
              </w:rPr>
            </w:pPr>
            <w:r>
              <w:rPr>
                <w:rFonts w:hint="eastAsia"/>
                <w:b/>
                <w:bCs w:val="0"/>
                <w:color w:val="auto"/>
                <w:szCs w:val="21"/>
                <w:lang w:val="en-US" w:eastAsia="zh-CN"/>
              </w:rPr>
              <w:t>5</w:t>
            </w:r>
            <w:r>
              <w:rPr>
                <w:rFonts w:hint="eastAsia"/>
                <w:b/>
                <w:bCs w:val="0"/>
                <w:color w:val="auto"/>
                <w:szCs w:val="21"/>
                <w:lang w:eastAsia="zh-CN"/>
              </w:rPr>
              <w:t>、</w:t>
            </w:r>
            <w:r>
              <w:rPr>
                <w:rFonts w:hint="eastAsia"/>
                <w:b/>
                <w:bCs w:val="0"/>
                <w:color w:val="auto"/>
                <w:szCs w:val="21"/>
              </w:rPr>
              <w:t>泵组和交换站</w:t>
            </w:r>
          </w:p>
          <w:p w14:paraId="7F46974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bCs/>
                <w:color w:val="auto"/>
                <w:szCs w:val="21"/>
              </w:rPr>
            </w:pPr>
            <w:r>
              <w:rPr>
                <w:rFonts w:hint="eastAsia"/>
                <w:bCs/>
                <w:color w:val="auto"/>
                <w:szCs w:val="21"/>
              </w:rPr>
              <w:t>除一罐组没有设置交换站外，其他罐组都设置泵组区和交换站，四罐区西南角设置总交换站，公司装卸采用屏蔽泵，泵进口配置过滤器，出口设置止回阀。</w:t>
            </w:r>
          </w:p>
          <w:p w14:paraId="24DDBD9F">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textAlignment w:val="auto"/>
              <w:rPr>
                <w:rFonts w:hint="eastAsia"/>
                <w:b/>
                <w:bCs w:val="0"/>
                <w:color w:val="auto"/>
                <w:szCs w:val="21"/>
              </w:rPr>
            </w:pPr>
            <w:r>
              <w:rPr>
                <w:rFonts w:hint="eastAsia"/>
                <w:b/>
                <w:bCs w:val="0"/>
                <w:color w:val="auto"/>
                <w:szCs w:val="21"/>
                <w:lang w:val="en-US" w:eastAsia="zh-CN"/>
              </w:rPr>
              <w:t>二</w:t>
            </w:r>
            <w:r>
              <w:rPr>
                <w:rFonts w:hint="eastAsia"/>
                <w:b/>
                <w:bCs w:val="0"/>
                <w:color w:val="auto"/>
                <w:szCs w:val="21"/>
              </w:rPr>
              <w:t>、运营期</w:t>
            </w:r>
            <w:r>
              <w:rPr>
                <w:rFonts w:hint="eastAsia"/>
                <w:b/>
                <w:bCs w:val="0"/>
                <w:color w:val="auto"/>
                <w:szCs w:val="21"/>
                <w:lang w:val="en-US" w:eastAsia="zh-CN"/>
              </w:rPr>
              <w:t>生态</w:t>
            </w:r>
            <w:r>
              <w:rPr>
                <w:rFonts w:hint="eastAsia"/>
                <w:b/>
                <w:bCs w:val="0"/>
                <w:color w:val="auto"/>
                <w:szCs w:val="21"/>
              </w:rPr>
              <w:t>环境影响分析</w:t>
            </w:r>
          </w:p>
          <w:p w14:paraId="7177914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rPr>
            </w:pPr>
            <w:r>
              <w:rPr>
                <w:rFonts w:hint="eastAsia" w:ascii="Times New Roman" w:hAnsi="Times New Roman" w:eastAsia="宋体" w:cs="Times New Roman"/>
                <w:b/>
                <w:bCs w:val="0"/>
                <w:color w:val="auto"/>
                <w:szCs w:val="21"/>
                <w:highlight w:val="none"/>
              </w:rPr>
              <w:t>1、</w:t>
            </w:r>
            <w:r>
              <w:rPr>
                <w:rFonts w:hint="eastAsia" w:ascii="Times New Roman" w:hAnsi="Times New Roman" w:eastAsia="宋体" w:cs="Times New Roman"/>
                <w:b/>
                <w:bCs w:val="0"/>
                <w:color w:val="auto"/>
                <w:szCs w:val="21"/>
                <w:highlight w:val="none"/>
                <w:lang w:val="en-US" w:eastAsia="zh-CN"/>
              </w:rPr>
              <w:t>大气环境影响分析</w:t>
            </w:r>
          </w:p>
          <w:p w14:paraId="166E43EB">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本次</w:t>
            </w:r>
            <w:r>
              <w:rPr>
                <w:rFonts w:hint="eastAsia" w:ascii="Times New Roman" w:hAnsi="Times New Roman" w:eastAsia="宋体" w:cs="Times New Roman"/>
                <w:bCs/>
                <w:color w:val="auto"/>
                <w:szCs w:val="21"/>
                <w:highlight w:val="none"/>
                <w:lang w:val="en-US" w:eastAsia="zh-CN"/>
              </w:rPr>
              <w:t>改建</w:t>
            </w:r>
            <w:r>
              <w:rPr>
                <w:rFonts w:hint="eastAsia" w:ascii="Times New Roman" w:hAnsi="Times New Roman" w:eastAsia="宋体" w:cs="Times New Roman"/>
                <w:bCs/>
                <w:color w:val="auto"/>
                <w:szCs w:val="21"/>
                <w:highlight w:val="none"/>
              </w:rPr>
              <w:t>后码头工艺设备及附属设施利用现有设备及附属设施，装卸、输送及存储工艺不变，本项目实施后罐区废气、装船废气、</w:t>
            </w:r>
            <w:r>
              <w:rPr>
                <w:rFonts w:hint="eastAsia" w:ascii="Times New Roman" w:hAnsi="Times New Roman" w:eastAsia="宋体" w:cs="Times New Roman"/>
                <w:bCs/>
                <w:color w:val="auto"/>
                <w:szCs w:val="21"/>
                <w:highlight w:val="none"/>
                <w:lang w:val="en-US" w:eastAsia="zh-CN"/>
              </w:rPr>
              <w:t>汽车装载废气</w:t>
            </w:r>
            <w:r>
              <w:rPr>
                <w:rFonts w:hint="eastAsia" w:ascii="Times New Roman" w:hAnsi="Times New Roman" w:eastAsia="宋体" w:cs="Times New Roman"/>
                <w:bCs/>
                <w:color w:val="auto"/>
                <w:szCs w:val="21"/>
                <w:highlight w:val="none"/>
              </w:rPr>
              <w:t>、扫线废气</w:t>
            </w:r>
            <w:r>
              <w:rPr>
                <w:rFonts w:hint="eastAsia" w:ascii="Times New Roman" w:hAnsi="Times New Roman" w:eastAsia="宋体" w:cs="Times New Roman"/>
                <w:bCs/>
                <w:color w:val="auto"/>
                <w:szCs w:val="21"/>
                <w:highlight w:val="none"/>
                <w:lang w:val="en-US" w:eastAsia="zh-CN"/>
              </w:rPr>
              <w:t>等</w:t>
            </w:r>
            <w:r>
              <w:rPr>
                <w:rFonts w:hint="eastAsia" w:ascii="Times New Roman" w:hAnsi="Times New Roman" w:eastAsia="宋体" w:cs="Times New Roman"/>
                <w:bCs/>
                <w:color w:val="auto"/>
                <w:szCs w:val="21"/>
                <w:highlight w:val="none"/>
              </w:rPr>
              <w:t>依托现有</w:t>
            </w:r>
            <w:r>
              <w:rPr>
                <w:rFonts w:hint="eastAsia" w:ascii="Times New Roman" w:hAnsi="Times New Roman" w:eastAsia="宋体" w:cs="Times New Roman"/>
                <w:bCs/>
                <w:color w:val="auto"/>
                <w:szCs w:val="21"/>
                <w:highlight w:val="none"/>
                <w:lang w:eastAsia="zh-CN"/>
              </w:rPr>
              <w:t>催化氧化装置</w:t>
            </w:r>
            <w:r>
              <w:rPr>
                <w:rFonts w:hint="eastAsia" w:ascii="Times New Roman" w:hAnsi="Times New Roman" w:eastAsia="宋体" w:cs="Times New Roman"/>
                <w:bCs/>
                <w:color w:val="auto"/>
                <w:szCs w:val="21"/>
                <w:highlight w:val="none"/>
              </w:rPr>
              <w:t>处理后通过</w:t>
            </w:r>
            <w:r>
              <w:rPr>
                <w:rFonts w:hint="eastAsia" w:ascii="Times New Roman" w:hAnsi="Times New Roman" w:eastAsia="宋体" w:cs="Times New Roman"/>
                <w:bCs/>
                <w:color w:val="auto"/>
                <w:szCs w:val="21"/>
                <w:highlight w:val="none"/>
                <w:lang w:val="en-US" w:eastAsia="zh-CN"/>
              </w:rPr>
              <w:t>20</w:t>
            </w:r>
            <w:r>
              <w:rPr>
                <w:rFonts w:hint="eastAsia" w:ascii="Times New Roman" w:hAnsi="Times New Roman" w:eastAsia="宋体" w:cs="Times New Roman"/>
                <w:bCs/>
                <w:color w:val="auto"/>
                <w:szCs w:val="21"/>
                <w:highlight w:val="none"/>
              </w:rPr>
              <w:t>m高DA00</w:t>
            </w:r>
            <w:r>
              <w:rPr>
                <w:rFonts w:hint="eastAsia" w:ascii="Times New Roman" w:hAnsi="Times New Roman"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rPr>
              <w:t>排气筒排放。本项目实施后可进一步降低现有</w:t>
            </w:r>
            <w:r>
              <w:rPr>
                <w:rFonts w:hint="eastAsia" w:cs="Times New Roman"/>
                <w:bCs/>
                <w:color w:val="auto"/>
                <w:szCs w:val="21"/>
                <w:highlight w:val="none"/>
                <w:lang w:val="en-US" w:eastAsia="zh-CN"/>
              </w:rPr>
              <w:t>非甲烷总烃</w:t>
            </w:r>
            <w:r>
              <w:rPr>
                <w:rFonts w:hint="eastAsia" w:ascii="Times New Roman" w:hAnsi="Times New Roman" w:eastAsia="宋体" w:cs="Times New Roman"/>
                <w:bCs/>
                <w:color w:val="auto"/>
                <w:szCs w:val="21"/>
                <w:highlight w:val="none"/>
              </w:rPr>
              <w:t>污染物排放量，对周围大气环境影响较小。</w:t>
            </w:r>
          </w:p>
          <w:p w14:paraId="54B5B3E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具体分析详见大气专项评价</w:t>
            </w:r>
            <w:r>
              <w:rPr>
                <w:rFonts w:hint="eastAsia" w:ascii="Times New Roman" w:hAnsi="Times New Roman" w:eastAsia="宋体" w:cs="Times New Roman"/>
                <w:bCs/>
                <w:color w:val="auto"/>
                <w:szCs w:val="21"/>
                <w:highlight w:val="none"/>
                <w:lang w:val="en-US" w:eastAsia="zh-CN"/>
              </w:rPr>
              <w:t>报告</w:t>
            </w:r>
            <w:r>
              <w:rPr>
                <w:rFonts w:hint="eastAsia" w:ascii="Times New Roman" w:hAnsi="Times New Roman" w:eastAsia="宋体" w:cs="Times New Roman"/>
                <w:bCs/>
                <w:color w:val="auto"/>
                <w:szCs w:val="21"/>
                <w:highlight w:val="none"/>
              </w:rPr>
              <w:t>。</w:t>
            </w:r>
          </w:p>
          <w:p w14:paraId="6039644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rPr>
              <w:t>2、</w:t>
            </w:r>
            <w:r>
              <w:rPr>
                <w:rFonts w:hint="eastAsia" w:ascii="Times New Roman" w:hAnsi="Times New Roman" w:eastAsia="宋体" w:cs="Times New Roman"/>
                <w:b/>
                <w:bCs w:val="0"/>
                <w:color w:val="auto"/>
                <w:szCs w:val="21"/>
                <w:highlight w:val="none"/>
                <w:lang w:val="en-US" w:eastAsia="zh-CN"/>
              </w:rPr>
              <w:t>水环境影响分析</w:t>
            </w:r>
          </w:p>
          <w:p w14:paraId="2362ABB1">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highlight w:val="yellow"/>
                <w:lang w:val="en-US" w:eastAsia="zh-CN"/>
              </w:rPr>
            </w:pPr>
            <w:r>
              <w:rPr>
                <w:rFonts w:hint="eastAsia" w:ascii="Times New Roman" w:hAnsi="Times New Roman" w:eastAsia="宋体" w:cs="Times New Roman"/>
                <w:color w:val="auto"/>
                <w:highlight w:val="none"/>
                <w:lang w:val="en-US" w:eastAsia="zh-CN"/>
              </w:rPr>
              <w:t>本次改建项目仅限于在现有设施基础上进行货种优化调整，且不增加员工人数，故本项目无新增废水产生和排放。</w:t>
            </w:r>
          </w:p>
          <w:p w14:paraId="0ED4C467">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rPr>
            </w:pPr>
            <w:r>
              <w:rPr>
                <w:rFonts w:hint="eastAsia" w:ascii="Times New Roman" w:hAnsi="Times New Roman" w:eastAsia="宋体" w:cs="Times New Roman"/>
                <w:b/>
                <w:bCs w:val="0"/>
                <w:color w:val="auto"/>
                <w:szCs w:val="21"/>
                <w:highlight w:val="none"/>
              </w:rPr>
              <w:t>3、</w:t>
            </w:r>
            <w:r>
              <w:rPr>
                <w:rFonts w:hint="eastAsia" w:ascii="Times New Roman" w:hAnsi="Times New Roman" w:eastAsia="宋体" w:cs="Times New Roman"/>
                <w:b/>
                <w:bCs w:val="0"/>
                <w:color w:val="auto"/>
                <w:szCs w:val="21"/>
                <w:highlight w:val="none"/>
                <w:lang w:val="en-US" w:eastAsia="zh-CN"/>
              </w:rPr>
              <w:t>声环境影响分析</w:t>
            </w:r>
          </w:p>
          <w:p w14:paraId="3AE37E9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yellow"/>
              </w:rPr>
            </w:pPr>
            <w:r>
              <w:rPr>
                <w:rFonts w:hint="eastAsia" w:ascii="Times New Roman" w:hAnsi="Times New Roman" w:eastAsia="宋体" w:cs="Times New Roman"/>
                <w:bCs/>
                <w:color w:val="auto"/>
                <w:szCs w:val="21"/>
                <w:highlight w:val="none"/>
                <w:lang w:val="en-US" w:eastAsia="zh-CN"/>
              </w:rPr>
              <w:t>本</w:t>
            </w:r>
            <w:r>
              <w:rPr>
                <w:rFonts w:hint="eastAsia" w:ascii="Times New Roman" w:hAnsi="Times New Roman" w:eastAsia="宋体" w:cs="Times New Roman"/>
                <w:bCs/>
                <w:color w:val="auto"/>
                <w:szCs w:val="21"/>
                <w:highlight w:val="none"/>
              </w:rPr>
              <w:t>项目运营期间产生噪声不会对声环境产生明显影响。</w:t>
            </w:r>
          </w:p>
          <w:p w14:paraId="15306FAD">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rPr>
            </w:pPr>
            <w:r>
              <w:rPr>
                <w:rFonts w:hint="eastAsia" w:ascii="Times New Roman" w:hAnsi="Times New Roman" w:eastAsia="宋体" w:cs="Times New Roman"/>
                <w:b/>
                <w:bCs w:val="0"/>
                <w:color w:val="auto"/>
                <w:szCs w:val="21"/>
                <w:highlight w:val="none"/>
              </w:rPr>
              <w:t>4、固体废物环境影响分析</w:t>
            </w:r>
          </w:p>
          <w:p w14:paraId="24330E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yellow"/>
                <w:lang w:val="en-US" w:eastAsia="zh-CN"/>
              </w:rPr>
            </w:pPr>
            <w:r>
              <w:rPr>
                <w:rFonts w:hint="eastAsia" w:ascii="宋体" w:hAnsi="宋体" w:eastAsia="宋体" w:cs="宋体"/>
                <w:bCs/>
                <w:color w:val="auto"/>
                <w:kern w:val="2"/>
                <w:sz w:val="21"/>
                <w:szCs w:val="21"/>
              </w:rPr>
              <w:t>本项目未新增固废种类和产生量，不会对外环境产生影响</w:t>
            </w:r>
            <w:r>
              <w:rPr>
                <w:rFonts w:hint="eastAsia" w:ascii="宋体" w:hAnsi="宋体" w:eastAsia="宋体" w:cs="宋体"/>
                <w:bCs/>
                <w:color w:val="auto"/>
                <w:kern w:val="2"/>
                <w:sz w:val="21"/>
                <w:szCs w:val="21"/>
                <w:lang w:eastAsia="zh-CN"/>
              </w:rPr>
              <w:t>。</w:t>
            </w:r>
          </w:p>
          <w:p w14:paraId="2EA10534">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lang w:val="en-US" w:eastAsia="zh-CN"/>
              </w:rPr>
              <w:t>5、地下水、土壤</w:t>
            </w:r>
            <w:r>
              <w:rPr>
                <w:rFonts w:hint="eastAsia" w:ascii="Times New Roman" w:hAnsi="Times New Roman" w:eastAsia="宋体" w:cs="Times New Roman"/>
                <w:b/>
                <w:bCs w:val="0"/>
                <w:color w:val="auto"/>
                <w:szCs w:val="21"/>
                <w:highlight w:val="none"/>
                <w:lang w:val="en-US" w:eastAsia="zh-CN"/>
              </w:rPr>
              <w:t>环境影响分析</w:t>
            </w:r>
          </w:p>
          <w:p w14:paraId="1F343EC3">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textAlignment w:val="auto"/>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现有</w:t>
            </w:r>
            <w:r>
              <w:rPr>
                <w:rFonts w:hint="eastAsia" w:ascii="Times New Roman" w:hAnsi="Times New Roman" w:eastAsia="宋体" w:cs="Times New Roman"/>
                <w:bCs/>
                <w:color w:val="auto"/>
                <w:sz w:val="21"/>
                <w:szCs w:val="21"/>
                <w:highlight w:val="none"/>
                <w:lang w:eastAsia="zh-CN"/>
              </w:rPr>
              <w:t>厂区</w:t>
            </w:r>
            <w:r>
              <w:rPr>
                <w:rFonts w:hint="eastAsia" w:ascii="Times New Roman" w:hAnsi="Times New Roman" w:eastAsia="宋体" w:cs="Times New Roman"/>
                <w:bCs/>
                <w:color w:val="auto"/>
                <w:sz w:val="21"/>
                <w:szCs w:val="21"/>
                <w:highlight w:val="none"/>
                <w:lang w:val="en-US" w:eastAsia="zh-CN"/>
              </w:rPr>
              <w:t>已</w:t>
            </w:r>
            <w:r>
              <w:rPr>
                <w:rFonts w:hint="eastAsia" w:ascii="Times New Roman" w:hAnsi="Times New Roman" w:eastAsia="宋体" w:cs="Times New Roman"/>
                <w:bCs/>
                <w:color w:val="auto"/>
                <w:sz w:val="21"/>
                <w:szCs w:val="21"/>
                <w:highlight w:val="none"/>
                <w:lang w:eastAsia="zh-CN"/>
              </w:rPr>
              <w:t>地面硬化，并采取分区防渗措施，正常工况不存在地下水、土壤环境污染途径。本</w:t>
            </w:r>
            <w:r>
              <w:rPr>
                <w:rFonts w:hint="eastAsia" w:ascii="Times New Roman" w:hAnsi="Times New Roman" w:eastAsia="宋体" w:cs="Times New Roman"/>
                <w:bCs/>
                <w:color w:val="auto"/>
                <w:sz w:val="21"/>
                <w:szCs w:val="21"/>
                <w:highlight w:val="none"/>
                <w:lang w:val="en-US" w:eastAsia="zh-CN"/>
              </w:rPr>
              <w:t>项目</w:t>
            </w:r>
            <w:r>
              <w:rPr>
                <w:rFonts w:hint="eastAsia" w:ascii="Times New Roman" w:hAnsi="Times New Roman" w:eastAsia="宋体" w:cs="Times New Roman"/>
                <w:bCs/>
                <w:color w:val="auto"/>
                <w:sz w:val="21"/>
                <w:szCs w:val="21"/>
                <w:highlight w:val="none"/>
              </w:rPr>
              <w:t>设置事故池，事故状态下泄漏废液、消防废水等可</w:t>
            </w:r>
            <w:r>
              <w:rPr>
                <w:rFonts w:hint="eastAsia" w:ascii="Times New Roman" w:hAnsi="Times New Roman" w:eastAsia="宋体" w:cs="Times New Roman"/>
                <w:bCs/>
                <w:color w:val="auto"/>
                <w:sz w:val="21"/>
                <w:szCs w:val="21"/>
                <w:highlight w:val="none"/>
                <w:lang w:eastAsia="zh-CN"/>
              </w:rPr>
              <w:t>进入</w:t>
            </w:r>
            <w:r>
              <w:rPr>
                <w:rFonts w:hint="eastAsia" w:ascii="Times New Roman" w:hAnsi="Times New Roman" w:eastAsia="宋体" w:cs="Times New Roman"/>
                <w:bCs/>
                <w:color w:val="auto"/>
                <w:sz w:val="21"/>
                <w:szCs w:val="21"/>
                <w:highlight w:val="none"/>
              </w:rPr>
              <w:t>事故池</w:t>
            </w:r>
            <w:r>
              <w:rPr>
                <w:rFonts w:hint="eastAsia" w:ascii="Times New Roman" w:hAnsi="Times New Roman" w:eastAsia="宋体" w:cs="Times New Roman"/>
                <w:bCs/>
                <w:color w:val="auto"/>
                <w:sz w:val="21"/>
                <w:szCs w:val="21"/>
                <w:highlight w:val="none"/>
                <w:lang w:eastAsia="zh-CN"/>
              </w:rPr>
              <w:t>暂存</w:t>
            </w:r>
            <w:r>
              <w:rPr>
                <w:rFonts w:hint="eastAsia" w:ascii="Times New Roman" w:hAnsi="Times New Roman" w:eastAsia="宋体" w:cs="Times New Roman"/>
                <w:bCs/>
                <w:color w:val="auto"/>
                <w:sz w:val="21"/>
                <w:szCs w:val="21"/>
                <w:highlight w:val="none"/>
              </w:rPr>
              <w:t>，日常加强</w:t>
            </w:r>
            <w:r>
              <w:rPr>
                <w:rFonts w:hint="eastAsia" w:ascii="Times New Roman" w:hAnsi="Times New Roman" w:eastAsia="宋体" w:cs="Times New Roman"/>
                <w:bCs/>
                <w:color w:val="auto"/>
                <w:sz w:val="21"/>
                <w:szCs w:val="21"/>
                <w:highlight w:val="none"/>
                <w:lang w:val="en-US" w:eastAsia="zh-CN"/>
              </w:rPr>
              <w:t>储罐区、装卸区等区域</w:t>
            </w:r>
            <w:r>
              <w:rPr>
                <w:rFonts w:hint="eastAsia" w:ascii="Times New Roman" w:hAnsi="Times New Roman" w:eastAsia="宋体" w:cs="Times New Roman"/>
                <w:bCs/>
                <w:color w:val="auto"/>
                <w:sz w:val="21"/>
                <w:szCs w:val="21"/>
                <w:highlight w:val="none"/>
              </w:rPr>
              <w:t>设备和各构筑物的巡视和监控</w:t>
            </w:r>
            <w:r>
              <w:rPr>
                <w:rFonts w:hint="eastAsia" w:ascii="Times New Roman" w:hAnsi="Times New Roman" w:eastAsia="宋体" w:cs="Times New Roman"/>
                <w:bCs/>
                <w:color w:val="auto"/>
                <w:sz w:val="21"/>
                <w:szCs w:val="21"/>
                <w:highlight w:val="none"/>
                <w:lang w:eastAsia="zh-CN"/>
              </w:rPr>
              <w:t>，采取上述措施后</w:t>
            </w:r>
            <w:r>
              <w:rPr>
                <w:rFonts w:hint="eastAsia" w:ascii="Times New Roman" w:hAnsi="Times New Roman" w:eastAsia="宋体" w:cs="Times New Roman"/>
                <w:bCs/>
                <w:color w:val="auto"/>
                <w:sz w:val="21"/>
                <w:szCs w:val="21"/>
                <w:highlight w:val="none"/>
              </w:rPr>
              <w:t>可有效避免</w:t>
            </w:r>
            <w:r>
              <w:rPr>
                <w:rFonts w:hint="eastAsia" w:ascii="Times New Roman" w:hAnsi="Times New Roman" w:eastAsia="宋体" w:cs="Times New Roman"/>
                <w:bCs/>
                <w:color w:val="auto"/>
                <w:sz w:val="21"/>
                <w:szCs w:val="21"/>
                <w:highlight w:val="none"/>
                <w:lang w:eastAsia="zh-CN"/>
              </w:rPr>
              <w:t>危险化学品</w:t>
            </w:r>
            <w:r>
              <w:rPr>
                <w:rFonts w:hint="eastAsia" w:ascii="Times New Roman" w:hAnsi="Times New Roman" w:eastAsia="宋体" w:cs="Times New Roman"/>
                <w:bCs/>
                <w:color w:val="auto"/>
                <w:sz w:val="21"/>
                <w:szCs w:val="21"/>
                <w:highlight w:val="none"/>
              </w:rPr>
              <w:t>渗透、渗漏。</w:t>
            </w:r>
          </w:p>
          <w:p w14:paraId="3CB0D25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6、环境风险</w:t>
            </w:r>
          </w:p>
          <w:p w14:paraId="52D598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color w:val="auto"/>
                <w:sz w:val="21"/>
                <w:szCs w:val="21"/>
                <w:highlight w:val="none"/>
                <w:lang w:eastAsia="zh-CN"/>
              </w:rPr>
            </w:pPr>
            <w:r>
              <w:rPr>
                <w:rFonts w:hint="eastAsia"/>
                <w:color w:val="auto"/>
                <w:sz w:val="21"/>
                <w:szCs w:val="21"/>
                <w:highlight w:val="none"/>
                <w:lang w:eastAsia="zh-CN"/>
              </w:rPr>
              <w:t>本项目在确保现有厂区风险防范措施稳定运行，并落实改建项目风险防范措施和应急预案的前提下，项目的环境风险总体上可防控。具体环境风险防范措施及应急预案详见“环境风险专项评价报告”。</w:t>
            </w:r>
          </w:p>
          <w:p w14:paraId="69E795F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default" w:ascii="Times New Roman" w:hAnsi="Times New Roman" w:eastAsia="宋体" w:cs="Times New Roman"/>
                <w:b/>
                <w:bCs w:val="0"/>
                <w:color w:val="auto"/>
                <w:szCs w:val="21"/>
                <w:highlight w:val="none"/>
                <w:lang w:val="en-US" w:bidi="ar"/>
              </w:rPr>
            </w:pPr>
            <w:r>
              <w:rPr>
                <w:rFonts w:hint="eastAsia" w:ascii="Times New Roman" w:hAnsi="Times New Roman" w:eastAsia="宋体" w:cs="Times New Roman"/>
                <w:b/>
                <w:bCs w:val="0"/>
                <w:color w:val="auto"/>
                <w:szCs w:val="21"/>
                <w:highlight w:val="none"/>
                <w:lang w:val="en-US" w:eastAsia="zh-CN" w:bidi="ar"/>
              </w:rPr>
              <w:t>7</w:t>
            </w:r>
            <w:r>
              <w:rPr>
                <w:rFonts w:hint="eastAsia" w:ascii="Times New Roman" w:hAnsi="Times New Roman" w:eastAsia="宋体" w:cs="Times New Roman"/>
                <w:b/>
                <w:bCs w:val="0"/>
                <w:color w:val="auto"/>
                <w:szCs w:val="21"/>
                <w:highlight w:val="none"/>
                <w:lang w:bidi="ar"/>
              </w:rPr>
              <w:t>、</w:t>
            </w:r>
            <w:r>
              <w:rPr>
                <w:rFonts w:hint="eastAsia" w:ascii="Times New Roman" w:hAnsi="Times New Roman" w:eastAsia="宋体" w:cs="Times New Roman"/>
                <w:b/>
                <w:bCs w:val="0"/>
                <w:color w:val="auto"/>
                <w:szCs w:val="21"/>
                <w:highlight w:val="none"/>
                <w:lang w:val="en-US" w:eastAsia="zh-CN" w:bidi="ar"/>
              </w:rPr>
              <w:t>生态环境影响分析</w:t>
            </w:r>
          </w:p>
          <w:p w14:paraId="6DD686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本项目运营期仅限于储存货种优化调整，对生态环境影响基本不变。</w:t>
            </w:r>
          </w:p>
          <w:p w14:paraId="5E6DF36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left"/>
              <w:textAlignment w:val="auto"/>
              <w:rPr>
                <w:rFonts w:hint="eastAsia" w:ascii="Times New Roman" w:hAnsi="Times New Roman" w:eastAsia="宋体" w:cs="Times New Roman"/>
                <w:b/>
                <w:bCs w:val="0"/>
                <w:color w:val="auto"/>
                <w:szCs w:val="21"/>
                <w:lang w:bidi="ar"/>
              </w:rPr>
            </w:pPr>
            <w:r>
              <w:rPr>
                <w:rFonts w:hint="eastAsia" w:ascii="Times New Roman" w:hAnsi="Times New Roman" w:eastAsia="宋体" w:cs="Times New Roman"/>
                <w:b/>
                <w:bCs w:val="0"/>
                <w:color w:val="auto"/>
                <w:szCs w:val="21"/>
                <w:lang w:val="en-US" w:eastAsia="zh-CN" w:bidi="ar"/>
              </w:rPr>
              <w:t>8</w:t>
            </w:r>
            <w:r>
              <w:rPr>
                <w:rFonts w:hint="eastAsia" w:ascii="Times New Roman" w:hAnsi="Times New Roman" w:eastAsia="宋体" w:cs="Times New Roman"/>
                <w:b/>
                <w:bCs w:val="0"/>
                <w:color w:val="auto"/>
                <w:szCs w:val="21"/>
                <w:lang w:bidi="ar"/>
              </w:rPr>
              <w:t>、</w:t>
            </w:r>
            <w:r>
              <w:rPr>
                <w:rFonts w:hint="eastAsia" w:ascii="Times New Roman" w:hAnsi="Times New Roman" w:eastAsia="宋体" w:cs="Times New Roman"/>
                <w:b/>
                <w:bCs w:val="0"/>
                <w:color w:val="auto"/>
                <w:szCs w:val="21"/>
                <w:lang w:val="en-US" w:eastAsia="zh-CN" w:bidi="ar"/>
              </w:rPr>
              <w:t>电磁辐射</w:t>
            </w:r>
          </w:p>
          <w:p w14:paraId="75541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z w:val="21"/>
                <w:szCs w:val="21"/>
                <w:highlight w:val="yellow"/>
                <w:lang w:eastAsia="zh-CN"/>
              </w:rPr>
            </w:pPr>
            <w:r>
              <w:rPr>
                <w:rFonts w:hint="eastAsia" w:ascii="Times New Roman" w:hAnsi="Times New Roman" w:eastAsia="宋体" w:cs="Times New Roman"/>
                <w:color w:val="auto"/>
                <w:sz w:val="21"/>
                <w:szCs w:val="21"/>
                <w:highlight w:val="none"/>
                <w:lang w:eastAsia="zh-CN"/>
              </w:rPr>
              <w:t>本项目不涉及电磁辐射。</w:t>
            </w:r>
          </w:p>
        </w:tc>
      </w:tr>
      <w:tr w14:paraId="60156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3" w:hRule="atLeast"/>
          <w:jc w:val="center"/>
        </w:trPr>
        <w:tc>
          <w:tcPr>
            <w:tcW w:w="474" w:type="pct"/>
            <w:noWrap w:val="0"/>
            <w:tcMar>
              <w:left w:w="28" w:type="dxa"/>
              <w:right w:w="28" w:type="dxa"/>
            </w:tcMar>
            <w:vAlign w:val="center"/>
          </w:tcPr>
          <w:p w14:paraId="1915B6A6">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宋体"/>
                <w:bCs/>
                <w:color w:val="auto"/>
                <w:spacing w:val="10"/>
                <w:kern w:val="2"/>
                <w:sz w:val="21"/>
                <w:szCs w:val="21"/>
              </w:rPr>
            </w:pPr>
            <w:r>
              <w:rPr>
                <w:rFonts w:hint="eastAsia" w:cs="宋体"/>
                <w:bCs/>
                <w:color w:val="auto"/>
                <w:kern w:val="2"/>
                <w:sz w:val="21"/>
                <w:szCs w:val="21"/>
              </w:rPr>
              <w:t>选址选线环境合理性分析</w:t>
            </w:r>
          </w:p>
        </w:tc>
        <w:tc>
          <w:tcPr>
            <w:tcW w:w="4525" w:type="pct"/>
            <w:noWrap w:val="0"/>
            <w:vAlign w:val="top"/>
          </w:tcPr>
          <w:p w14:paraId="21C21D48">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宋体" w:hAnsi="宋体" w:eastAsia="宋体" w:cs="宋体"/>
                <w:bCs/>
                <w:color w:val="auto"/>
                <w:kern w:val="2"/>
                <w:sz w:val="21"/>
                <w:szCs w:val="21"/>
              </w:rPr>
              <w:t>本项目仅对现有码头作业品种、罐区储存品种和周转量进行调整，不增加用地规模，不改变现有码头泊位、罐区储存能力和总周转量。本次改建项目仅限于在现有设施基础上进行仓储品种的调整，不涉及新建、扩建或改变用地性质的行为，不涉及选址选线环境问题</w:t>
            </w:r>
            <w:r>
              <w:rPr>
                <w:rFonts w:hint="eastAsia" w:ascii="Times New Roman" w:hAnsi="Times New Roman" w:eastAsia="宋体" w:cs="Times New Roman"/>
                <w:bCs/>
                <w:color w:val="auto"/>
                <w:szCs w:val="21"/>
                <w:highlight w:val="none"/>
                <w:lang w:val="en-US" w:eastAsia="zh-CN"/>
              </w:rPr>
              <w:t>。</w:t>
            </w:r>
          </w:p>
        </w:tc>
      </w:tr>
    </w:tbl>
    <w:p w14:paraId="46A30CE1">
      <w:pPr>
        <w:pStyle w:val="19"/>
        <w:jc w:val="center"/>
        <w:rPr>
          <w:rFonts w:ascii="黑体" w:hAnsi="黑体" w:eastAsia="黑体"/>
          <w:snapToGrid w:val="0"/>
          <w:color w:val="auto"/>
          <w:sz w:val="36"/>
          <w:szCs w:val="36"/>
        </w:rPr>
        <w:sectPr>
          <w:pgSz w:w="11906" w:h="16838"/>
          <w:pgMar w:top="1440" w:right="1440" w:bottom="1440" w:left="1440" w:header="851" w:footer="1077" w:gutter="0"/>
          <w:pgBorders>
            <w:top w:val="none" w:sz="0" w:space="0"/>
            <w:left w:val="none" w:sz="0" w:space="0"/>
            <w:bottom w:val="none" w:sz="0" w:space="0"/>
            <w:right w:val="none" w:sz="0" w:space="0"/>
          </w:pgBorders>
          <w:pgNumType w:fmt="decimal"/>
          <w:cols w:space="720" w:num="1"/>
          <w:docGrid w:linePitch="312" w:charSpace="0"/>
        </w:sectPr>
      </w:pPr>
    </w:p>
    <w:p w14:paraId="2E83683B">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15" w:lineRule="auto"/>
        <w:jc w:val="center"/>
        <w:textAlignment w:val="auto"/>
        <w:outlineLvl w:val="9"/>
        <w:rPr>
          <w:rFonts w:hint="eastAsia" w:ascii="黑体" w:hAnsi="黑体" w:eastAsia="黑体"/>
          <w:snapToGrid w:val="0"/>
          <w:color w:val="auto"/>
          <w:sz w:val="30"/>
          <w:szCs w:val="30"/>
        </w:rPr>
      </w:pPr>
    </w:p>
    <w:p w14:paraId="5574CBFC">
      <w:pPr>
        <w:pStyle w:val="19"/>
        <w:jc w:val="center"/>
        <w:outlineLvl w:val="0"/>
        <w:rPr>
          <w:rFonts w:ascii="黑体" w:hAnsi="黑体" w:eastAsia="黑体"/>
          <w:snapToGrid w:val="0"/>
          <w:color w:val="auto"/>
          <w:sz w:val="30"/>
          <w:szCs w:val="30"/>
        </w:rPr>
      </w:pPr>
      <w:bookmarkStart w:id="8" w:name="_Toc13705"/>
      <w:r>
        <w:rPr>
          <w:rFonts w:hint="eastAsia" w:ascii="黑体" w:hAnsi="黑体" w:eastAsia="黑体"/>
          <w:snapToGrid w:val="0"/>
          <w:color w:val="auto"/>
          <w:sz w:val="30"/>
          <w:szCs w:val="30"/>
        </w:rPr>
        <w:t>五、主要生态环境保护措施</w:t>
      </w:r>
      <w:bookmarkEnd w:id="8"/>
    </w:p>
    <w:tbl>
      <w:tblPr>
        <w:tblStyle w:val="21"/>
        <w:tblW w:w="50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486"/>
      </w:tblGrid>
      <w:tr w14:paraId="23826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3" w:hRule="atLeast"/>
          <w:jc w:val="center"/>
        </w:trPr>
        <w:tc>
          <w:tcPr>
            <w:tcW w:w="408" w:type="pct"/>
            <w:noWrap w:val="0"/>
            <w:tcMar>
              <w:left w:w="28" w:type="dxa"/>
              <w:right w:w="28" w:type="dxa"/>
            </w:tcMar>
            <w:vAlign w:val="center"/>
          </w:tcPr>
          <w:p w14:paraId="1588467C">
            <w:pPr>
              <w:keepNext w:val="0"/>
              <w:keepLines w:val="0"/>
              <w:suppressLineNumbers w:val="0"/>
              <w:adjustRightInd w:val="0"/>
              <w:snapToGrid w:val="0"/>
              <w:spacing w:before="0" w:beforeAutospacing="0" w:after="0" w:afterAutospacing="0"/>
              <w:ind w:left="0" w:right="0"/>
              <w:jc w:val="center"/>
              <w:rPr>
                <w:rFonts w:hint="default" w:ascii="宋体" w:hAnsi="宋体"/>
                <w:bCs/>
                <w:color w:val="auto"/>
                <w:szCs w:val="21"/>
              </w:rPr>
            </w:pPr>
            <w:r>
              <w:rPr>
                <w:rFonts w:hint="eastAsia" w:ascii="宋体" w:hAnsi="宋体" w:cs="宋体"/>
                <w:bCs/>
                <w:color w:val="auto"/>
                <w:spacing w:val="10"/>
                <w:szCs w:val="21"/>
              </w:rPr>
              <w:t>施工期生态环境保护措施</w:t>
            </w:r>
          </w:p>
        </w:tc>
        <w:tc>
          <w:tcPr>
            <w:tcW w:w="4591" w:type="pct"/>
            <w:noWrap w:val="0"/>
            <w:vAlign w:val="top"/>
          </w:tcPr>
          <w:p w14:paraId="646EEC2E">
            <w:pPr>
              <w:keepNext w:val="0"/>
              <w:keepLines w:val="0"/>
              <w:widowControl w:val="0"/>
              <w:suppressLineNumbers w:val="0"/>
              <w:adjustRightInd w:val="0"/>
              <w:snapToGrid w:val="0"/>
              <w:spacing w:before="0" w:beforeAutospacing="0" w:after="0" w:afterAutospacing="0" w:line="360" w:lineRule="auto"/>
              <w:ind w:left="0" w:right="0" w:firstLine="420" w:firstLineChars="200"/>
              <w:jc w:val="both"/>
              <w:rPr>
                <w:rFonts w:hint="eastAsia" w:ascii="Times New Roman" w:hAnsi="Times New Roman" w:eastAsia="宋体" w:cs="Times New Roman"/>
                <w:color w:val="auto"/>
                <w:kern w:val="0"/>
                <w:sz w:val="21"/>
                <w:szCs w:val="21"/>
              </w:rPr>
            </w:pPr>
            <w:r>
              <w:rPr>
                <w:rFonts w:hint="eastAsia" w:ascii="宋体" w:hAnsi="宋体" w:eastAsia="宋体" w:cs="宋体"/>
                <w:color w:val="auto"/>
                <w:kern w:val="0"/>
                <w:sz w:val="21"/>
                <w:szCs w:val="21"/>
                <w:lang w:val="en-US" w:eastAsia="zh-CN" w:bidi="ar"/>
              </w:rPr>
              <w:t>本项目对储运设施进行安全改造，施工内容主要包括对二罐区现有</w:t>
            </w:r>
            <w:r>
              <w:rPr>
                <w:rFonts w:hint="default" w:ascii="Times New Roman" w:hAnsi="Times New Roman" w:eastAsia="宋体" w:cs="Times New Roman"/>
                <w:color w:val="auto"/>
                <w:kern w:val="0"/>
                <w:sz w:val="21"/>
                <w:szCs w:val="21"/>
                <w:lang w:val="en-US" w:eastAsia="zh-CN" w:bidi="ar"/>
              </w:rPr>
              <w:t>2505</w:t>
            </w:r>
            <w:r>
              <w:rPr>
                <w:rFonts w:hint="eastAsia" w:ascii="宋体" w:hAnsi="宋体" w:eastAsia="宋体" w:cs="宋体"/>
                <w:color w:val="auto"/>
                <w:kern w:val="0"/>
                <w:sz w:val="21"/>
                <w:szCs w:val="21"/>
                <w:lang w:val="en-US" w:eastAsia="zh-CN" w:bidi="ar"/>
              </w:rPr>
              <w:t>储罐进行安全改造、在现有煤焦沥青卸车区域安装</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套装车撬装装置。施工过程仅为设备及管道的拆除及安装。施工过程仅为设备及管道的改造，不涉及土建等施工。</w:t>
            </w:r>
          </w:p>
          <w:p w14:paraId="462B74C5">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kern w:val="0"/>
                <w:szCs w:val="21"/>
                <w:highlight w:val="none"/>
                <w:lang w:val="en-US" w:eastAsia="zh-CN"/>
              </w:rPr>
            </w:pPr>
            <w:r>
              <w:rPr>
                <w:rFonts w:hint="eastAsia" w:ascii="宋体" w:hAnsi="宋体" w:eastAsia="宋体" w:cs="宋体"/>
                <w:color w:val="auto"/>
                <w:kern w:val="0"/>
                <w:sz w:val="21"/>
                <w:szCs w:val="21"/>
              </w:rPr>
              <w:t>施工期间，施工现场的运输道路定期洒水，尽量使地表处于湿润状态，减少起尘量；及时清扫施工垃圾，尽快外运处理，临时堆放时做好覆盖等滞尘措施；严禁施工运输车辆装载过满，并采取土工布遮盖措施，以避免风吹扬尘和减少沿途抛洒；施工固废均妥善处置。施工期采取有效措施降低对周围环境的影响，随施工期结束其带来的影响也随之消失</w:t>
            </w:r>
            <w:r>
              <w:rPr>
                <w:rFonts w:hint="eastAsia" w:ascii="Times New Roman" w:hAnsi="Times New Roman" w:eastAsia="宋体" w:cs="Times New Roman"/>
                <w:color w:val="auto"/>
                <w:kern w:val="0"/>
                <w:szCs w:val="21"/>
                <w:highlight w:val="none"/>
                <w:lang w:val="en-US" w:eastAsia="zh-CN"/>
              </w:rPr>
              <w:t>。</w:t>
            </w:r>
          </w:p>
        </w:tc>
      </w:tr>
      <w:tr w14:paraId="3E667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33" w:hRule="atLeast"/>
          <w:jc w:val="center"/>
        </w:trPr>
        <w:tc>
          <w:tcPr>
            <w:tcW w:w="408" w:type="pct"/>
            <w:noWrap w:val="0"/>
            <w:tcMar>
              <w:left w:w="28" w:type="dxa"/>
              <w:right w:w="28" w:type="dxa"/>
            </w:tcMar>
            <w:vAlign w:val="center"/>
          </w:tcPr>
          <w:p w14:paraId="1BBB9338">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pacing w:val="10"/>
                <w:szCs w:val="21"/>
              </w:rPr>
            </w:pPr>
            <w:r>
              <w:rPr>
                <w:rFonts w:hint="eastAsia" w:ascii="宋体" w:hAnsi="宋体" w:cs="宋体"/>
                <w:bCs/>
                <w:color w:val="auto"/>
                <w:spacing w:val="10"/>
                <w:szCs w:val="21"/>
              </w:rPr>
              <w:t>运营期生态环境保护措施</w:t>
            </w:r>
          </w:p>
        </w:tc>
        <w:tc>
          <w:tcPr>
            <w:tcW w:w="4591" w:type="pct"/>
            <w:noWrap w:val="0"/>
            <w:vAlign w:val="top"/>
          </w:tcPr>
          <w:p w14:paraId="24DDA6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1、大气环境保护措施</w:t>
            </w:r>
          </w:p>
          <w:p w14:paraId="7118F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yellow"/>
              </w:rPr>
            </w:pPr>
            <w:r>
              <w:rPr>
                <w:rFonts w:hint="eastAsia" w:ascii="宋体" w:hAnsi="宋体" w:eastAsia="宋体" w:cs="宋体"/>
                <w:bCs/>
                <w:color w:val="auto"/>
                <w:kern w:val="2"/>
                <w:sz w:val="21"/>
                <w:szCs w:val="21"/>
              </w:rPr>
              <w:t>本次改建后码头工艺设备及附属设施利用现有设备及附属设施，装卸、输送及存储工艺不变，本项目实施后罐区废气、汽车装载废气、扫线废气等依托现有催化氧化装置处理后通过</w:t>
            </w:r>
            <w:r>
              <w:rPr>
                <w:rFonts w:hint="default" w:ascii="Times New Roman" w:hAnsi="Times New Roman" w:eastAsia="宋体" w:cs="Times New Roman"/>
                <w:bCs/>
                <w:color w:val="auto"/>
                <w:kern w:val="2"/>
                <w:sz w:val="21"/>
                <w:szCs w:val="21"/>
              </w:rPr>
              <w:t>20m</w:t>
            </w:r>
            <w:r>
              <w:rPr>
                <w:rFonts w:hint="eastAsia" w:ascii="宋体" w:hAnsi="宋体" w:eastAsia="宋体" w:cs="宋体"/>
                <w:bCs/>
                <w:color w:val="auto"/>
                <w:kern w:val="2"/>
                <w:sz w:val="21"/>
                <w:szCs w:val="21"/>
              </w:rPr>
              <w:t>高</w:t>
            </w:r>
            <w:r>
              <w:rPr>
                <w:rFonts w:hint="default" w:ascii="Times New Roman" w:hAnsi="Times New Roman" w:eastAsia="宋体" w:cs="Times New Roman"/>
                <w:bCs/>
                <w:color w:val="auto"/>
                <w:kern w:val="2"/>
                <w:sz w:val="21"/>
                <w:szCs w:val="21"/>
              </w:rPr>
              <w:t>DA001</w:t>
            </w:r>
            <w:r>
              <w:rPr>
                <w:rFonts w:hint="eastAsia" w:ascii="宋体" w:hAnsi="宋体" w:eastAsia="宋体" w:cs="宋体"/>
                <w:bCs/>
                <w:color w:val="auto"/>
                <w:kern w:val="2"/>
                <w:sz w:val="21"/>
                <w:szCs w:val="21"/>
              </w:rPr>
              <w:t>排气筒排放</w:t>
            </w:r>
            <w:r>
              <w:rPr>
                <w:rFonts w:hint="eastAsia" w:ascii="Times New Roman" w:hAnsi="Times New Roman" w:eastAsia="宋体" w:cs="Times New Roman"/>
                <w:bCs/>
                <w:color w:val="auto"/>
                <w:szCs w:val="21"/>
                <w:highlight w:val="none"/>
              </w:rPr>
              <w:t>。</w:t>
            </w:r>
          </w:p>
          <w:p w14:paraId="55D5E4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详见大气环境影响专项评价报告。</w:t>
            </w:r>
          </w:p>
          <w:p w14:paraId="304EF9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2、水环境保护措施</w:t>
            </w:r>
          </w:p>
          <w:p w14:paraId="2C8DFD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本项目不新增废水排放量，企业运营期废水主要为员工生活污水、洗罐废水、罐区与码头地面冲洗水、机修废水、初期雨水等，项目建成后全厂废水均未发生变化</w:t>
            </w:r>
            <w:r>
              <w:rPr>
                <w:rFonts w:hint="eastAsia" w:ascii="Times New Roman" w:hAnsi="Times New Roman" w:eastAsia="宋体" w:cs="Times New Roman"/>
                <w:color w:val="auto"/>
                <w:highlight w:val="none"/>
                <w:lang w:val="en-US" w:eastAsia="zh-CN"/>
              </w:rPr>
              <w:t>。</w:t>
            </w:r>
          </w:p>
          <w:p w14:paraId="00D3AF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3、噪声保护措施</w:t>
            </w:r>
          </w:p>
          <w:p w14:paraId="25C7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（1）噪声污染防治措施</w:t>
            </w:r>
          </w:p>
          <w:p w14:paraId="1DAC76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yellow"/>
                <w:lang w:val="en-US" w:eastAsia="zh-CN"/>
              </w:rPr>
            </w:pPr>
            <w:r>
              <w:rPr>
                <w:rFonts w:hint="eastAsia" w:ascii="Times New Roman" w:hAnsi="Times New Roman" w:eastAsia="宋体" w:cs="Times New Roman"/>
                <w:bCs/>
                <w:color w:val="auto"/>
                <w:szCs w:val="21"/>
                <w:highlight w:val="none"/>
                <w:lang w:val="en-US" w:eastAsia="zh-CN"/>
              </w:rPr>
              <w:t>本项目仅在现有设施基础上进行货种优化调整，厂区内噪声源主要为输送泵、水泵、柴油机消防水泵等设备运行噪声，目前采取的噪声防治措施为噪声源在厂区内合理布局及采取隔声减振措施，同时合理控制作业时间，尤其是对装车外运时间进行限制，禁止车辆进出库区鸣叫喇叭等。</w:t>
            </w:r>
          </w:p>
          <w:p w14:paraId="1A6D6C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本项目厂界周边200m范围内无声环境敏感保护目标。根据企业长期例行监测数据，四周厂界噪声均能达到《工业企业厂界环境噪声排放标准》GB12348-2008 表1中4类标准，说明建设项目噪声排放对周围环境影响较小，噪声防治措施可行。</w:t>
            </w:r>
          </w:p>
          <w:p w14:paraId="28E225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（2）噪声监测计划</w:t>
            </w:r>
          </w:p>
          <w:p w14:paraId="5DF226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改建项目噪声污染源监测计划中监测内容和监测要求的确定均按照《排污单位自行监测技术指南 总则》（HJ819-2017）中相关要求执行，具体监测要求见表5-1。</w:t>
            </w:r>
          </w:p>
          <w:p w14:paraId="3317DFC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lang w:val="en-US" w:eastAsia="zh-CN"/>
              </w:rPr>
            </w:pPr>
            <w:r>
              <w:rPr>
                <w:rFonts w:hint="default" w:ascii="Times New Roman" w:hAnsi="Times New Roman" w:eastAsia="宋体" w:cs="Times New Roman"/>
                <w:b/>
                <w:color w:val="auto"/>
                <w:kern w:val="0"/>
                <w:szCs w:val="21"/>
                <w:highlight w:val="none"/>
              </w:rPr>
              <w:t>表</w:t>
            </w:r>
            <w:r>
              <w:rPr>
                <w:rFonts w:hint="eastAsia" w:ascii="Times New Roman" w:hAnsi="Times New Roman" w:eastAsia="宋体" w:cs="Times New Roman"/>
                <w:b/>
                <w:color w:val="auto"/>
                <w:kern w:val="0"/>
                <w:szCs w:val="21"/>
                <w:highlight w:val="none"/>
                <w:lang w:val="en-US" w:eastAsia="zh-CN"/>
              </w:rPr>
              <w:t>5</w:t>
            </w:r>
            <w:r>
              <w:rPr>
                <w:rFonts w:hint="default"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lang w:val="en-US" w:eastAsia="zh-CN"/>
              </w:rPr>
              <w:t>1</w:t>
            </w:r>
            <w:r>
              <w:rPr>
                <w:rFonts w:hint="default" w:ascii="Times New Roman" w:hAnsi="Times New Roman" w:eastAsia="宋体" w:cs="Times New Roman"/>
                <w:b/>
                <w:color w:val="auto"/>
                <w:kern w:val="0"/>
                <w:szCs w:val="21"/>
                <w:highlight w:val="none"/>
              </w:rPr>
              <w:t xml:space="preserve"> 噪声</w:t>
            </w:r>
            <w:r>
              <w:rPr>
                <w:rFonts w:hint="eastAsia" w:ascii="Times New Roman" w:hAnsi="Times New Roman" w:eastAsia="宋体" w:cs="Times New Roman"/>
                <w:b/>
                <w:color w:val="auto"/>
                <w:kern w:val="0"/>
                <w:szCs w:val="21"/>
                <w:highlight w:val="none"/>
                <w:lang w:val="en-US" w:eastAsia="zh-CN"/>
              </w:rPr>
              <w:t>监测计划</w:t>
            </w:r>
          </w:p>
          <w:tbl>
            <w:tblPr>
              <w:tblStyle w:val="21"/>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22"/>
              <w:gridCol w:w="1737"/>
              <w:gridCol w:w="1224"/>
              <w:gridCol w:w="1862"/>
              <w:gridCol w:w="2422"/>
            </w:tblGrid>
            <w:tr w14:paraId="1FFB63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 w:hRule="atLeast"/>
              </w:trPr>
              <w:tc>
                <w:tcPr>
                  <w:tcW w:w="618" w:type="pct"/>
                  <w:noWrap w:val="0"/>
                  <w:vAlign w:val="center"/>
                </w:tcPr>
                <w:p w14:paraId="721BD532">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类别</w:t>
                  </w:r>
                </w:p>
              </w:tc>
              <w:tc>
                <w:tcPr>
                  <w:tcW w:w="1050" w:type="pct"/>
                  <w:noWrap w:val="0"/>
                  <w:vAlign w:val="center"/>
                </w:tcPr>
                <w:p w14:paraId="0F8F9429">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监测点位置</w:t>
                  </w:r>
                </w:p>
              </w:tc>
              <w:tc>
                <w:tcPr>
                  <w:tcW w:w="740" w:type="pct"/>
                  <w:noWrap w:val="0"/>
                  <w:vAlign w:val="center"/>
                </w:tcPr>
                <w:p w14:paraId="395F0E5E">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测点数</w:t>
                  </w:r>
                </w:p>
              </w:tc>
              <w:tc>
                <w:tcPr>
                  <w:tcW w:w="1126" w:type="pct"/>
                  <w:noWrap w:val="0"/>
                  <w:vAlign w:val="center"/>
                </w:tcPr>
                <w:p w14:paraId="6C48D647">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监测因子</w:t>
                  </w:r>
                </w:p>
              </w:tc>
              <w:tc>
                <w:tcPr>
                  <w:tcW w:w="1464" w:type="pct"/>
                  <w:noWrap w:val="0"/>
                  <w:vAlign w:val="center"/>
                </w:tcPr>
                <w:p w14:paraId="35870F2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监测频次</w:t>
                  </w:r>
                </w:p>
              </w:tc>
            </w:tr>
            <w:tr w14:paraId="4D0664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53" w:hRule="atLeast"/>
              </w:trPr>
              <w:tc>
                <w:tcPr>
                  <w:tcW w:w="618" w:type="pct"/>
                  <w:noWrap w:val="0"/>
                  <w:vAlign w:val="center"/>
                </w:tcPr>
                <w:p w14:paraId="613D660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噪声</w:t>
                  </w:r>
                </w:p>
              </w:tc>
              <w:tc>
                <w:tcPr>
                  <w:tcW w:w="1050" w:type="pct"/>
                  <w:noWrap w:val="0"/>
                  <w:vAlign w:val="center"/>
                </w:tcPr>
                <w:p w14:paraId="7DE0D87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厂界四周</w:t>
                  </w:r>
                </w:p>
              </w:tc>
              <w:tc>
                <w:tcPr>
                  <w:tcW w:w="740" w:type="pct"/>
                  <w:noWrap w:val="0"/>
                  <w:vAlign w:val="center"/>
                </w:tcPr>
                <w:p w14:paraId="28E40F54">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4</w:t>
                  </w:r>
                </w:p>
              </w:tc>
              <w:tc>
                <w:tcPr>
                  <w:tcW w:w="1126" w:type="pct"/>
                  <w:noWrap w:val="0"/>
                  <w:vAlign w:val="center"/>
                </w:tcPr>
                <w:p w14:paraId="2ECA1B8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连续等效A声级</w:t>
                  </w:r>
                </w:p>
              </w:tc>
              <w:tc>
                <w:tcPr>
                  <w:tcW w:w="1464" w:type="pct"/>
                  <w:noWrap w:val="0"/>
                  <w:vAlign w:val="center"/>
                </w:tcPr>
                <w:p w14:paraId="3DC70DD4">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每季度监测一次，每次1天，昼夜各一次</w:t>
                  </w:r>
                </w:p>
              </w:tc>
            </w:tr>
          </w:tbl>
          <w:p w14:paraId="6949BA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Times New Roman" w:hAnsi="Times New Roman" w:eastAsia="宋体" w:cs="Times New Roman"/>
                <w:b/>
                <w:bCs/>
                <w:color w:val="auto"/>
                <w:kern w:val="0"/>
                <w:sz w:val="13"/>
                <w:szCs w:val="13"/>
                <w:highlight w:val="none"/>
                <w:lang w:val="en-US" w:eastAsia="zh-CN"/>
              </w:rPr>
            </w:pPr>
          </w:p>
          <w:p w14:paraId="666F8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4、固体废物</w:t>
            </w:r>
          </w:p>
          <w:p w14:paraId="21DEF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本项目未新增固废种类和产生量，企业运营期固废主要是废活性炭、油泥、污水处理站污泥、废含油抹布和废手套等生活垃圾、废聚合物。</w:t>
            </w:r>
          </w:p>
          <w:p w14:paraId="59498E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（1）危险废物处理处置措施</w:t>
            </w:r>
          </w:p>
          <w:p w14:paraId="051FF6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企业危险废物需按国家有关规定进行转移、运输及处置，要求企业将危险废物分类收集，分开处理。</w:t>
            </w:r>
          </w:p>
          <w:p w14:paraId="5A2A4F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危险废物贮存污染控制标准》（GB18597-2023)、《省生态环境厅关于印发&lt;江苏省固体废物全过程环境监管工作意见&gt;的通知》（苏环办〔2024〕16号）、《省生态环境厅关于印发江苏省危险废物贮存规范化管理专项整治行动方案的通知》（苏环办〔2019〕149号）要求，对危险废物进行安全包装，并在包装的明显位置附上危险废物标签。</w:t>
            </w:r>
          </w:p>
          <w:p w14:paraId="64F55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（2）贮存场所（设施）污染防治措施</w:t>
            </w:r>
          </w:p>
          <w:p w14:paraId="21C249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本项目产生的各类固废在厂内自行处置及外运处置前，需临时堆存于废物暂存区（废矿物油储罐区、危废仓库）储存。危险固废拟分类收集暂存于各贮存区域内。厂区内拟按要求设置各类危废暂存区。</w:t>
            </w:r>
          </w:p>
          <w:p w14:paraId="4971C0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危险废物仓库按照《危险废物贮存污染控制标准》（GB18597-2023）有关要求建设。其中，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bCs/>
                <w:color w:val="auto"/>
                <w:szCs w:val="21"/>
                <w:highlight w:val="none"/>
                <w:vertAlign w:val="superscript"/>
                <w:lang w:val="en-US" w:eastAsia="zh-CN"/>
              </w:rPr>
              <w:t>-7</w:t>
            </w:r>
            <w:r>
              <w:rPr>
                <w:rFonts w:hint="eastAsia" w:ascii="Times New Roman" w:hAnsi="Times New Roman" w:eastAsia="宋体" w:cs="Times New Roman"/>
                <w:bCs/>
                <w:color w:val="auto"/>
                <w:szCs w:val="21"/>
                <w:highlight w:val="none"/>
                <w:lang w:val="en-US" w:eastAsia="zh-CN"/>
              </w:rPr>
              <w:t>cm/s），或至少2mm厚高密度聚乙烯膜等人工防渗材料（渗透系数不大于10</w:t>
            </w:r>
            <w:r>
              <w:rPr>
                <w:rFonts w:hint="eastAsia" w:ascii="Times New Roman" w:hAnsi="Times New Roman" w:eastAsia="宋体" w:cs="Times New Roman"/>
                <w:bCs/>
                <w:color w:val="auto"/>
                <w:szCs w:val="21"/>
                <w:highlight w:val="none"/>
                <w:vertAlign w:val="superscript"/>
                <w:lang w:val="en-US" w:eastAsia="zh-CN"/>
              </w:rPr>
              <w:t>-10</w:t>
            </w:r>
            <w:r>
              <w:rPr>
                <w:rFonts w:hint="eastAsia" w:ascii="Times New Roman" w:hAnsi="Times New Roman" w:eastAsia="宋体" w:cs="Times New Roman"/>
                <w:bCs/>
                <w:color w:val="auto"/>
                <w:szCs w:val="21"/>
                <w:highlight w:val="none"/>
                <w:lang w:val="en-US" w:eastAsia="zh-CN"/>
              </w:rPr>
              <w:t>cm/s），或其他防渗性能等效的材料。同一贮存设施宜采用相同的防渗、防腐工艺（包括防渗、防腐结构或材料），防渗、防腐材料应覆盖所有可能与废物及其渗滤液、渗漏液等接触的构筑物表面；采用不同防渗、防腐工艺应分别建设贮存分区。</w:t>
            </w:r>
          </w:p>
          <w:p w14:paraId="1E3EE7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将严格执行《省生态环境厅关于印发江苏省危险废物贮存规范化管理专项整治行动方案的通知》（苏环办〔2019〕149号）及《省生态环境厅关于印发&lt;江苏省固体废物全过程环境监管工作意见&gt;的通知》（苏环办〔2024〕16号）要求，按照《环境保护图形标志 固体废物贮存（处置）场》（GB15562.2-1995）及修改单和危险废物识别标识设置规范设置标志，配备通讯设备、照明设施和消防设施；在出入口、设施内部、危险废物运输车辆通道等位置按照危险废物贮存设施视频监控布设要求设置视频监控，并与中控室联网。根据危废特性，采取以下污染防治措施，包括防风、防雨、防晒、防雷、防扬散、防流失、防渗漏等。</w:t>
            </w:r>
          </w:p>
          <w:p w14:paraId="3405BE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根据《环境保护图形标志 固体废物贮存（处置）场》（GB15562.2-1995）及修改单、《危险废物识别标志设置技术规范》（HJ1276-2022）设置环境保护图形标志。本项目固废堆放场的环境保护图形标志见表5-2。</w:t>
            </w:r>
          </w:p>
          <w:p w14:paraId="1124CCB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表</w:t>
            </w:r>
            <w:r>
              <w:rPr>
                <w:rFonts w:hint="eastAsia" w:ascii="Times New Roman" w:hAnsi="Times New Roman" w:eastAsia="宋体" w:cs="Times New Roman"/>
                <w:b/>
                <w:color w:val="auto"/>
                <w:kern w:val="0"/>
                <w:szCs w:val="21"/>
                <w:highlight w:val="none"/>
                <w:lang w:val="en-US" w:eastAsia="zh-CN"/>
              </w:rPr>
              <w:t>5</w:t>
            </w:r>
            <w:r>
              <w:rPr>
                <w:rFonts w:hint="default" w:ascii="Times New Roman" w:hAnsi="Times New Roman" w:eastAsia="宋体" w:cs="Times New Roman"/>
                <w:b/>
                <w:color w:val="auto"/>
                <w:kern w:val="0"/>
                <w:szCs w:val="21"/>
                <w:highlight w:val="none"/>
              </w:rPr>
              <w:t>-</w:t>
            </w:r>
            <w:r>
              <w:rPr>
                <w:rFonts w:hint="eastAsia" w:ascii="Times New Roman" w:hAnsi="Times New Roman" w:eastAsia="宋体" w:cs="Times New Roman"/>
                <w:b/>
                <w:color w:val="auto"/>
                <w:kern w:val="0"/>
                <w:szCs w:val="21"/>
                <w:highlight w:val="none"/>
                <w:lang w:val="en-US" w:eastAsia="zh-CN"/>
              </w:rPr>
              <w:t>2</w:t>
            </w:r>
            <w:r>
              <w:rPr>
                <w:rFonts w:hint="default" w:ascii="Times New Roman" w:hAnsi="Times New Roman" w:eastAsia="宋体" w:cs="Times New Roman"/>
                <w:b/>
                <w:color w:val="auto"/>
                <w:kern w:val="0"/>
                <w:szCs w:val="21"/>
                <w:highlight w:val="none"/>
              </w:rPr>
              <w:t xml:space="preserve"> 固废堆放场的环境保护图形标志一览表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28" w:type="dxa"/>
                <w:bottom w:w="0" w:type="dxa"/>
                <w:right w:w="28" w:type="dxa"/>
              </w:tblCellMar>
            </w:tblPr>
            <w:tblGrid>
              <w:gridCol w:w="1033"/>
              <w:gridCol w:w="1238"/>
              <w:gridCol w:w="1112"/>
              <w:gridCol w:w="975"/>
              <w:gridCol w:w="975"/>
              <w:gridCol w:w="2937"/>
            </w:tblGrid>
            <w:tr w14:paraId="76A8DC5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0" w:hRule="atLeast"/>
                <w:tblHeader/>
                <w:jc w:val="center"/>
              </w:trPr>
              <w:tc>
                <w:tcPr>
                  <w:tcW w:w="625" w:type="pct"/>
                  <w:tcBorders>
                    <w:tl2br w:val="nil"/>
                    <w:tr2bl w:val="nil"/>
                  </w:tcBorders>
                  <w:noWrap w:val="0"/>
                  <w:vAlign w:val="center"/>
                </w:tcPr>
                <w:p w14:paraId="02BBAD22">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排放口名称</w:t>
                  </w:r>
                </w:p>
              </w:tc>
              <w:tc>
                <w:tcPr>
                  <w:tcW w:w="748" w:type="pct"/>
                  <w:tcBorders>
                    <w:tl2br w:val="nil"/>
                    <w:tr2bl w:val="nil"/>
                  </w:tcBorders>
                  <w:noWrap w:val="0"/>
                  <w:vAlign w:val="center"/>
                </w:tcPr>
                <w:p w14:paraId="5DA8CCC0">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图形标志</w:t>
                  </w:r>
                </w:p>
              </w:tc>
              <w:tc>
                <w:tcPr>
                  <w:tcW w:w="672" w:type="pct"/>
                  <w:tcBorders>
                    <w:tl2br w:val="nil"/>
                    <w:tr2bl w:val="nil"/>
                  </w:tcBorders>
                  <w:noWrap w:val="0"/>
                  <w:vAlign w:val="center"/>
                </w:tcPr>
                <w:p w14:paraId="5D6E27E2">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形状</w:t>
                  </w:r>
                </w:p>
              </w:tc>
              <w:tc>
                <w:tcPr>
                  <w:tcW w:w="589" w:type="pct"/>
                  <w:tcBorders>
                    <w:tl2br w:val="nil"/>
                    <w:tr2bl w:val="nil"/>
                  </w:tcBorders>
                  <w:noWrap w:val="0"/>
                  <w:vAlign w:val="center"/>
                </w:tcPr>
                <w:p w14:paraId="01F43FED">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背景颜色</w:t>
                  </w:r>
                </w:p>
              </w:tc>
              <w:tc>
                <w:tcPr>
                  <w:tcW w:w="589" w:type="pct"/>
                  <w:tcBorders>
                    <w:tl2br w:val="nil"/>
                    <w:tr2bl w:val="nil"/>
                  </w:tcBorders>
                  <w:noWrap w:val="0"/>
                  <w:vAlign w:val="center"/>
                </w:tcPr>
                <w:p w14:paraId="1CC7F543">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图形颜色</w:t>
                  </w:r>
                </w:p>
              </w:tc>
              <w:tc>
                <w:tcPr>
                  <w:tcW w:w="1775" w:type="pct"/>
                  <w:tcBorders>
                    <w:tl2br w:val="nil"/>
                    <w:tr2bl w:val="nil"/>
                  </w:tcBorders>
                  <w:noWrap w:val="0"/>
                  <w:vAlign w:val="center"/>
                </w:tcPr>
                <w:p w14:paraId="797FAB24">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提示图形符号</w:t>
                  </w:r>
                </w:p>
              </w:tc>
            </w:tr>
            <w:tr w14:paraId="13B8FACD">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0" w:hRule="atLeast"/>
                <w:jc w:val="center"/>
              </w:trPr>
              <w:tc>
                <w:tcPr>
                  <w:tcW w:w="625" w:type="pct"/>
                  <w:tcBorders>
                    <w:tl2br w:val="nil"/>
                    <w:tr2bl w:val="nil"/>
                  </w:tcBorders>
                  <w:noWrap w:val="0"/>
                  <w:vAlign w:val="center"/>
                </w:tcPr>
                <w:p w14:paraId="0F19CA09">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厂区门口</w:t>
                  </w:r>
                </w:p>
              </w:tc>
              <w:tc>
                <w:tcPr>
                  <w:tcW w:w="748" w:type="pct"/>
                  <w:tcBorders>
                    <w:tl2br w:val="nil"/>
                    <w:tr2bl w:val="nil"/>
                  </w:tcBorders>
                  <w:noWrap w:val="0"/>
                  <w:vAlign w:val="center"/>
                </w:tcPr>
                <w:p w14:paraId="23241734">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危险废物信息公开栏</w:t>
                  </w:r>
                </w:p>
              </w:tc>
              <w:tc>
                <w:tcPr>
                  <w:tcW w:w="672" w:type="pct"/>
                  <w:tcBorders>
                    <w:tl2br w:val="nil"/>
                    <w:tr2bl w:val="nil"/>
                  </w:tcBorders>
                  <w:noWrap w:val="0"/>
                  <w:vAlign w:val="center"/>
                </w:tcPr>
                <w:p w14:paraId="0E91176A">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长方形边框</w:t>
                  </w:r>
                </w:p>
              </w:tc>
              <w:tc>
                <w:tcPr>
                  <w:tcW w:w="589" w:type="pct"/>
                  <w:tcBorders>
                    <w:tl2br w:val="nil"/>
                    <w:tr2bl w:val="nil"/>
                  </w:tcBorders>
                  <w:noWrap w:val="0"/>
                  <w:vAlign w:val="center"/>
                </w:tcPr>
                <w:p w14:paraId="5D4F21D3">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蓝色</w:t>
                  </w:r>
                </w:p>
              </w:tc>
              <w:tc>
                <w:tcPr>
                  <w:tcW w:w="589" w:type="pct"/>
                  <w:tcBorders>
                    <w:tl2br w:val="nil"/>
                    <w:tr2bl w:val="nil"/>
                  </w:tcBorders>
                  <w:noWrap w:val="0"/>
                  <w:vAlign w:val="center"/>
                </w:tcPr>
                <w:p w14:paraId="0FF9D97C">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白色</w:t>
                  </w:r>
                </w:p>
              </w:tc>
              <w:tc>
                <w:tcPr>
                  <w:tcW w:w="1775" w:type="pct"/>
                  <w:tcBorders>
                    <w:tl2br w:val="nil"/>
                    <w:tr2bl w:val="nil"/>
                  </w:tcBorders>
                  <w:noWrap w:val="0"/>
                  <w:vAlign w:val="center"/>
                </w:tcPr>
                <w:p w14:paraId="1B6E49DA">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inline distT="0" distB="0" distL="114300" distR="114300">
                        <wp:extent cx="1073785" cy="723265"/>
                        <wp:effectExtent l="0" t="0" r="8255" b="8255"/>
                        <wp:docPr id="1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4"/>
                                <pic:cNvPicPr>
                                  <a:picLocks noChangeAspect="1"/>
                                </pic:cNvPicPr>
                              </pic:nvPicPr>
                              <pic:blipFill>
                                <a:blip r:embed="rId13"/>
                                <a:stretch>
                                  <a:fillRect/>
                                </a:stretch>
                              </pic:blipFill>
                              <pic:spPr>
                                <a:xfrm>
                                  <a:off x="0" y="0"/>
                                  <a:ext cx="1073785" cy="723265"/>
                                </a:xfrm>
                                <a:prstGeom prst="rect">
                                  <a:avLst/>
                                </a:prstGeom>
                                <a:noFill/>
                                <a:ln>
                                  <a:noFill/>
                                </a:ln>
                              </pic:spPr>
                            </pic:pic>
                          </a:graphicData>
                        </a:graphic>
                      </wp:inline>
                    </w:drawing>
                  </w:r>
                </w:p>
              </w:tc>
            </w:tr>
            <w:tr w14:paraId="4A28EC9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0" w:hRule="atLeast"/>
                <w:jc w:val="center"/>
              </w:trPr>
              <w:tc>
                <w:tcPr>
                  <w:tcW w:w="625" w:type="pct"/>
                  <w:vMerge w:val="restart"/>
                  <w:tcBorders>
                    <w:tl2br w:val="nil"/>
                    <w:tr2bl w:val="nil"/>
                  </w:tcBorders>
                  <w:noWrap w:val="0"/>
                  <w:vAlign w:val="center"/>
                </w:tcPr>
                <w:p w14:paraId="1AA751D0">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w:t>
                  </w:r>
                </w:p>
                <w:p w14:paraId="71D2CD3B">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暂存场所</w:t>
                  </w:r>
                </w:p>
              </w:tc>
              <w:tc>
                <w:tcPr>
                  <w:tcW w:w="748" w:type="pct"/>
                  <w:tcBorders>
                    <w:tl2br w:val="nil"/>
                    <w:tr2bl w:val="nil"/>
                  </w:tcBorders>
                  <w:noWrap w:val="0"/>
                  <w:vAlign w:val="center"/>
                </w:tcPr>
                <w:p w14:paraId="6E89E285">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平面固定式贮存设施警示标志牌</w:t>
                  </w:r>
                </w:p>
              </w:tc>
              <w:tc>
                <w:tcPr>
                  <w:tcW w:w="672" w:type="pct"/>
                  <w:tcBorders>
                    <w:tl2br w:val="nil"/>
                    <w:tr2bl w:val="nil"/>
                  </w:tcBorders>
                  <w:noWrap w:val="0"/>
                  <w:vAlign w:val="center"/>
                </w:tcPr>
                <w:p w14:paraId="24572E5D">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长方形边框</w:t>
                  </w:r>
                </w:p>
              </w:tc>
              <w:tc>
                <w:tcPr>
                  <w:tcW w:w="589" w:type="pct"/>
                  <w:tcBorders>
                    <w:tl2br w:val="nil"/>
                    <w:tr2bl w:val="nil"/>
                  </w:tcBorders>
                  <w:noWrap w:val="0"/>
                  <w:vAlign w:val="center"/>
                </w:tcPr>
                <w:p w14:paraId="66136CED">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黄色</w:t>
                  </w:r>
                </w:p>
              </w:tc>
              <w:tc>
                <w:tcPr>
                  <w:tcW w:w="589" w:type="pct"/>
                  <w:tcBorders>
                    <w:tl2br w:val="nil"/>
                    <w:tr2bl w:val="nil"/>
                  </w:tcBorders>
                  <w:noWrap w:val="0"/>
                  <w:vAlign w:val="center"/>
                </w:tcPr>
                <w:p w14:paraId="468616D5">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黑色</w:t>
                  </w:r>
                </w:p>
              </w:tc>
              <w:tc>
                <w:tcPr>
                  <w:tcW w:w="1775" w:type="pct"/>
                  <w:tcBorders>
                    <w:tl2br w:val="nil"/>
                    <w:tr2bl w:val="nil"/>
                  </w:tcBorders>
                  <w:noWrap w:val="0"/>
                  <w:vAlign w:val="center"/>
                </w:tcPr>
                <w:p w14:paraId="7716040D">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inline distT="0" distB="0" distL="114300" distR="114300">
                        <wp:extent cx="1073785" cy="1297305"/>
                        <wp:effectExtent l="0" t="0" r="8255" b="13335"/>
                        <wp:docPr id="15" name="图片 463" descr="5b6d06a46d8cfffdbc6a082f06e8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3" descr="5b6d06a46d8cfffdbc6a082f06e82f6"/>
                                <pic:cNvPicPr>
                                  <a:picLocks noChangeAspect="1"/>
                                </pic:cNvPicPr>
                              </pic:nvPicPr>
                              <pic:blipFill>
                                <a:blip r:embed="rId14"/>
                                <a:stretch>
                                  <a:fillRect/>
                                </a:stretch>
                              </pic:blipFill>
                              <pic:spPr>
                                <a:xfrm>
                                  <a:off x="0" y="0"/>
                                  <a:ext cx="1073785" cy="1297305"/>
                                </a:xfrm>
                                <a:prstGeom prst="rect">
                                  <a:avLst/>
                                </a:prstGeom>
                                <a:noFill/>
                                <a:ln>
                                  <a:noFill/>
                                </a:ln>
                              </pic:spPr>
                            </pic:pic>
                          </a:graphicData>
                        </a:graphic>
                      </wp:inline>
                    </w:drawing>
                  </w:r>
                </w:p>
              </w:tc>
            </w:tr>
            <w:tr w14:paraId="2997048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0" w:hRule="atLeast"/>
                <w:jc w:val="center"/>
              </w:trPr>
              <w:tc>
                <w:tcPr>
                  <w:tcW w:w="625" w:type="pct"/>
                  <w:vMerge w:val="continue"/>
                  <w:tcBorders>
                    <w:tl2br w:val="nil"/>
                    <w:tr2bl w:val="nil"/>
                  </w:tcBorders>
                  <w:noWrap w:val="0"/>
                  <w:vAlign w:val="center"/>
                </w:tcPr>
                <w:p w14:paraId="7B0FD217">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p>
              </w:tc>
              <w:tc>
                <w:tcPr>
                  <w:tcW w:w="748" w:type="pct"/>
                  <w:tcBorders>
                    <w:tl2br w:val="nil"/>
                    <w:tr2bl w:val="nil"/>
                  </w:tcBorders>
                  <w:noWrap w:val="0"/>
                  <w:vAlign w:val="center"/>
                </w:tcPr>
                <w:p w14:paraId="2D1686DB">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立式固定式贮存设施警示标志牌</w:t>
                  </w:r>
                </w:p>
              </w:tc>
              <w:tc>
                <w:tcPr>
                  <w:tcW w:w="672" w:type="pct"/>
                  <w:tcBorders>
                    <w:tl2br w:val="nil"/>
                    <w:tr2bl w:val="nil"/>
                  </w:tcBorders>
                  <w:noWrap w:val="0"/>
                  <w:vAlign w:val="center"/>
                </w:tcPr>
                <w:p w14:paraId="5D0A0AC2">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长方形边框</w:t>
                  </w:r>
                </w:p>
              </w:tc>
              <w:tc>
                <w:tcPr>
                  <w:tcW w:w="589" w:type="pct"/>
                  <w:tcBorders>
                    <w:tl2br w:val="nil"/>
                    <w:tr2bl w:val="nil"/>
                  </w:tcBorders>
                  <w:noWrap w:val="0"/>
                  <w:vAlign w:val="center"/>
                </w:tcPr>
                <w:p w14:paraId="469FEA79">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黄色</w:t>
                  </w:r>
                </w:p>
              </w:tc>
              <w:tc>
                <w:tcPr>
                  <w:tcW w:w="589" w:type="pct"/>
                  <w:tcBorders>
                    <w:tl2br w:val="nil"/>
                    <w:tr2bl w:val="nil"/>
                  </w:tcBorders>
                  <w:noWrap w:val="0"/>
                  <w:vAlign w:val="center"/>
                </w:tcPr>
                <w:p w14:paraId="160DBB07">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黑色</w:t>
                  </w:r>
                </w:p>
              </w:tc>
              <w:tc>
                <w:tcPr>
                  <w:tcW w:w="1775" w:type="pct"/>
                  <w:tcBorders>
                    <w:tl2br w:val="nil"/>
                    <w:tr2bl w:val="nil"/>
                  </w:tcBorders>
                  <w:noWrap w:val="0"/>
                  <w:vAlign w:val="center"/>
                </w:tcPr>
                <w:p w14:paraId="36A57D45">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inline distT="0" distB="0" distL="114300" distR="114300">
                        <wp:extent cx="1073785" cy="723265"/>
                        <wp:effectExtent l="0" t="0" r="8255" b="8255"/>
                        <wp:docPr id="16" name="图片 462" descr="89287e6046f9380f381282b147a4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62" descr="89287e6046f9380f381282b147a46fe"/>
                                <pic:cNvPicPr>
                                  <a:picLocks noChangeAspect="1"/>
                                </pic:cNvPicPr>
                              </pic:nvPicPr>
                              <pic:blipFill>
                                <a:blip r:embed="rId15"/>
                                <a:stretch>
                                  <a:fillRect/>
                                </a:stretch>
                              </pic:blipFill>
                              <pic:spPr>
                                <a:xfrm>
                                  <a:off x="0" y="0"/>
                                  <a:ext cx="1073785" cy="723265"/>
                                </a:xfrm>
                                <a:prstGeom prst="rect">
                                  <a:avLst/>
                                </a:prstGeom>
                                <a:noFill/>
                                <a:ln>
                                  <a:noFill/>
                                </a:ln>
                              </pic:spPr>
                            </pic:pic>
                          </a:graphicData>
                        </a:graphic>
                      </wp:inline>
                    </w:drawing>
                  </w:r>
                </w:p>
              </w:tc>
            </w:tr>
            <w:tr w14:paraId="5E8F362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0" w:hRule="atLeast"/>
                <w:jc w:val="center"/>
              </w:trPr>
              <w:tc>
                <w:tcPr>
                  <w:tcW w:w="625" w:type="pct"/>
                  <w:vMerge w:val="continue"/>
                  <w:tcBorders>
                    <w:tl2br w:val="nil"/>
                    <w:tr2bl w:val="nil"/>
                  </w:tcBorders>
                  <w:noWrap w:val="0"/>
                  <w:vAlign w:val="center"/>
                </w:tcPr>
                <w:p w14:paraId="4871CCCA">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p>
              </w:tc>
              <w:tc>
                <w:tcPr>
                  <w:tcW w:w="748" w:type="pct"/>
                  <w:tcBorders>
                    <w:tl2br w:val="nil"/>
                    <w:tr2bl w:val="nil"/>
                  </w:tcBorders>
                  <w:noWrap w:val="0"/>
                  <w:vAlign w:val="center"/>
                </w:tcPr>
                <w:p w14:paraId="514D3196">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贮存设施内部分区警示标志牌</w:t>
                  </w:r>
                </w:p>
              </w:tc>
              <w:tc>
                <w:tcPr>
                  <w:tcW w:w="672" w:type="pct"/>
                  <w:tcBorders>
                    <w:tl2br w:val="nil"/>
                    <w:tr2bl w:val="nil"/>
                  </w:tcBorders>
                  <w:noWrap w:val="0"/>
                  <w:vAlign w:val="center"/>
                </w:tcPr>
                <w:p w14:paraId="648D2B9D">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长方形边框</w:t>
                  </w:r>
                </w:p>
              </w:tc>
              <w:tc>
                <w:tcPr>
                  <w:tcW w:w="589" w:type="pct"/>
                  <w:tcBorders>
                    <w:tl2br w:val="nil"/>
                    <w:tr2bl w:val="nil"/>
                  </w:tcBorders>
                  <w:noWrap w:val="0"/>
                  <w:vAlign w:val="center"/>
                </w:tcPr>
                <w:p w14:paraId="2604C326">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黄色</w:t>
                  </w:r>
                </w:p>
              </w:tc>
              <w:tc>
                <w:tcPr>
                  <w:tcW w:w="589" w:type="pct"/>
                  <w:tcBorders>
                    <w:tl2br w:val="nil"/>
                    <w:tr2bl w:val="nil"/>
                  </w:tcBorders>
                  <w:noWrap w:val="0"/>
                  <w:vAlign w:val="center"/>
                </w:tcPr>
                <w:p w14:paraId="008688CB">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黑色</w:t>
                  </w:r>
                </w:p>
              </w:tc>
              <w:tc>
                <w:tcPr>
                  <w:tcW w:w="1775" w:type="pct"/>
                  <w:tcBorders>
                    <w:tl2br w:val="nil"/>
                    <w:tr2bl w:val="nil"/>
                  </w:tcBorders>
                  <w:noWrap w:val="0"/>
                  <w:vAlign w:val="center"/>
                </w:tcPr>
                <w:p w14:paraId="71378954">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inline distT="0" distB="0" distL="114300" distR="114300">
                        <wp:extent cx="1073785" cy="616585"/>
                        <wp:effectExtent l="0" t="0" r="8255" b="8255"/>
                        <wp:docPr id="17" name="图片 461" descr="a9c24b85eee3108d2aec49cc2b88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1" descr="a9c24b85eee3108d2aec49cc2b8859f"/>
                                <pic:cNvPicPr>
                                  <a:picLocks noChangeAspect="1"/>
                                </pic:cNvPicPr>
                              </pic:nvPicPr>
                              <pic:blipFill>
                                <a:blip r:embed="rId16"/>
                                <a:stretch>
                                  <a:fillRect/>
                                </a:stretch>
                              </pic:blipFill>
                              <pic:spPr>
                                <a:xfrm>
                                  <a:off x="0" y="0"/>
                                  <a:ext cx="1073785" cy="616585"/>
                                </a:xfrm>
                                <a:prstGeom prst="rect">
                                  <a:avLst/>
                                </a:prstGeom>
                                <a:noFill/>
                                <a:ln>
                                  <a:noFill/>
                                </a:ln>
                              </pic:spPr>
                            </pic:pic>
                          </a:graphicData>
                        </a:graphic>
                      </wp:inline>
                    </w:drawing>
                  </w:r>
                </w:p>
              </w:tc>
            </w:tr>
            <w:tr w14:paraId="1087335A">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0" w:hRule="atLeast"/>
                <w:jc w:val="center"/>
              </w:trPr>
              <w:tc>
                <w:tcPr>
                  <w:tcW w:w="625" w:type="pct"/>
                  <w:vMerge w:val="continue"/>
                  <w:tcBorders>
                    <w:tl2br w:val="nil"/>
                    <w:tr2bl w:val="nil"/>
                  </w:tcBorders>
                  <w:noWrap w:val="0"/>
                  <w:vAlign w:val="center"/>
                </w:tcPr>
                <w:p w14:paraId="6044E8C8">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p>
              </w:tc>
              <w:tc>
                <w:tcPr>
                  <w:tcW w:w="748" w:type="pct"/>
                  <w:tcBorders>
                    <w:tl2br w:val="nil"/>
                    <w:tr2bl w:val="nil"/>
                  </w:tcBorders>
                  <w:noWrap w:val="0"/>
                  <w:vAlign w:val="center"/>
                </w:tcPr>
                <w:p w14:paraId="54851603">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危险废物贮存分区标志牌</w:t>
                  </w:r>
                </w:p>
              </w:tc>
              <w:tc>
                <w:tcPr>
                  <w:tcW w:w="672" w:type="pct"/>
                  <w:tcBorders>
                    <w:tl2br w:val="nil"/>
                    <w:tr2bl w:val="nil"/>
                  </w:tcBorders>
                  <w:noWrap w:val="0"/>
                  <w:vAlign w:val="center"/>
                </w:tcPr>
                <w:p w14:paraId="5C695B4B">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长方形边框</w:t>
                  </w:r>
                </w:p>
              </w:tc>
              <w:tc>
                <w:tcPr>
                  <w:tcW w:w="589" w:type="pct"/>
                  <w:tcBorders>
                    <w:tl2br w:val="nil"/>
                    <w:tr2bl w:val="nil"/>
                  </w:tcBorders>
                  <w:noWrap w:val="0"/>
                  <w:vAlign w:val="center"/>
                </w:tcPr>
                <w:p w14:paraId="1E36E315">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黄色</w:t>
                  </w:r>
                </w:p>
              </w:tc>
              <w:tc>
                <w:tcPr>
                  <w:tcW w:w="589" w:type="pct"/>
                  <w:tcBorders>
                    <w:tl2br w:val="nil"/>
                    <w:tr2bl w:val="nil"/>
                  </w:tcBorders>
                  <w:noWrap w:val="0"/>
                  <w:vAlign w:val="center"/>
                </w:tcPr>
                <w:p w14:paraId="2431A8F7">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黑色</w:t>
                  </w:r>
                </w:p>
              </w:tc>
              <w:tc>
                <w:tcPr>
                  <w:tcW w:w="1775" w:type="pct"/>
                  <w:tcBorders>
                    <w:tl2br w:val="nil"/>
                    <w:tr2bl w:val="nil"/>
                  </w:tcBorders>
                  <w:noWrap w:val="0"/>
                  <w:vAlign w:val="center"/>
                </w:tcPr>
                <w:p w14:paraId="67851F2F">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inline distT="0" distB="0" distL="114300" distR="114300">
                        <wp:extent cx="1073785" cy="1062990"/>
                        <wp:effectExtent l="0" t="0" r="8255" b="3810"/>
                        <wp:docPr id="18"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0"/>
                                <pic:cNvPicPr>
                                  <a:picLocks noChangeAspect="1"/>
                                </pic:cNvPicPr>
                              </pic:nvPicPr>
                              <pic:blipFill>
                                <a:blip r:embed="rId17"/>
                                <a:stretch>
                                  <a:fillRect/>
                                </a:stretch>
                              </pic:blipFill>
                              <pic:spPr>
                                <a:xfrm>
                                  <a:off x="0" y="0"/>
                                  <a:ext cx="1073785" cy="1062990"/>
                                </a:xfrm>
                                <a:prstGeom prst="rect">
                                  <a:avLst/>
                                </a:prstGeom>
                                <a:noFill/>
                                <a:ln>
                                  <a:noFill/>
                                </a:ln>
                              </pic:spPr>
                            </pic:pic>
                          </a:graphicData>
                        </a:graphic>
                      </wp:inline>
                    </w:drawing>
                  </w:r>
                </w:p>
              </w:tc>
            </w:tr>
            <w:tr w14:paraId="5061E82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28" w:type="dxa"/>
                  <w:bottom w:w="0" w:type="dxa"/>
                  <w:right w:w="28" w:type="dxa"/>
                </w:tblCellMar>
              </w:tblPrEx>
              <w:trPr>
                <w:trHeight w:val="0" w:hRule="atLeast"/>
                <w:jc w:val="center"/>
              </w:trPr>
              <w:tc>
                <w:tcPr>
                  <w:tcW w:w="625" w:type="pct"/>
                  <w:vMerge w:val="continue"/>
                  <w:tcBorders>
                    <w:tl2br w:val="nil"/>
                    <w:tr2bl w:val="nil"/>
                  </w:tcBorders>
                  <w:noWrap w:val="0"/>
                  <w:vAlign w:val="center"/>
                </w:tcPr>
                <w:p w14:paraId="0D741B21">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p>
              </w:tc>
              <w:tc>
                <w:tcPr>
                  <w:tcW w:w="748" w:type="pct"/>
                  <w:tcBorders>
                    <w:tl2br w:val="nil"/>
                    <w:tr2bl w:val="nil"/>
                  </w:tcBorders>
                  <w:noWrap w:val="0"/>
                  <w:vAlign w:val="center"/>
                </w:tcPr>
                <w:p w14:paraId="324F2368">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Cs/>
                      <w:color w:val="auto"/>
                      <w:sz w:val="18"/>
                      <w:szCs w:val="18"/>
                      <w:highlight w:val="none"/>
                    </w:rPr>
                    <w:t>包装识别标签（粘贴式标签）</w:t>
                  </w:r>
                </w:p>
              </w:tc>
              <w:tc>
                <w:tcPr>
                  <w:tcW w:w="672" w:type="pct"/>
                  <w:tcBorders>
                    <w:tl2br w:val="nil"/>
                    <w:tr2bl w:val="nil"/>
                  </w:tcBorders>
                  <w:noWrap w:val="0"/>
                  <w:vAlign w:val="center"/>
                </w:tcPr>
                <w:p w14:paraId="25E649AA">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正方形边框</w:t>
                  </w:r>
                </w:p>
              </w:tc>
              <w:tc>
                <w:tcPr>
                  <w:tcW w:w="589" w:type="pct"/>
                  <w:tcBorders>
                    <w:tl2br w:val="nil"/>
                    <w:tr2bl w:val="nil"/>
                  </w:tcBorders>
                  <w:noWrap w:val="0"/>
                  <w:vAlign w:val="center"/>
                </w:tcPr>
                <w:p w14:paraId="386505B6">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橘</w:t>
                  </w:r>
                  <w:r>
                    <w:rPr>
                      <w:rFonts w:hint="default" w:ascii="Times New Roman" w:hAnsi="Times New Roman" w:eastAsia="宋体" w:cs="Times New Roman"/>
                      <w:color w:val="auto"/>
                      <w:sz w:val="18"/>
                      <w:szCs w:val="18"/>
                      <w:highlight w:val="none"/>
                    </w:rPr>
                    <w:t>黄色</w:t>
                  </w:r>
                </w:p>
              </w:tc>
              <w:tc>
                <w:tcPr>
                  <w:tcW w:w="589" w:type="pct"/>
                  <w:tcBorders>
                    <w:tl2br w:val="nil"/>
                    <w:tr2bl w:val="nil"/>
                  </w:tcBorders>
                  <w:noWrap w:val="0"/>
                  <w:vAlign w:val="center"/>
                </w:tcPr>
                <w:p w14:paraId="430A449F">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黑色</w:t>
                  </w:r>
                </w:p>
              </w:tc>
              <w:tc>
                <w:tcPr>
                  <w:tcW w:w="1775" w:type="pct"/>
                  <w:tcBorders>
                    <w:tl2br w:val="nil"/>
                    <w:tr2bl w:val="nil"/>
                  </w:tcBorders>
                  <w:noWrap w:val="0"/>
                  <w:vAlign w:val="center"/>
                </w:tcPr>
                <w:p w14:paraId="1950F5E8">
                  <w:pPr>
                    <w:pStyle w:val="54"/>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drawing>
                      <wp:inline distT="0" distB="0" distL="114300" distR="114300">
                        <wp:extent cx="1095375" cy="1095375"/>
                        <wp:effectExtent l="0" t="0" r="1905" b="1905"/>
                        <wp:docPr id="1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59"/>
                                <pic:cNvPicPr>
                                  <a:picLocks noChangeAspect="1"/>
                                </pic:cNvPicPr>
                              </pic:nvPicPr>
                              <pic:blipFill>
                                <a:blip r:embed="rId18"/>
                                <a:stretch>
                                  <a:fillRect/>
                                </a:stretch>
                              </pic:blipFill>
                              <pic:spPr>
                                <a:xfrm>
                                  <a:off x="0" y="0"/>
                                  <a:ext cx="1095375" cy="1095375"/>
                                </a:xfrm>
                                <a:prstGeom prst="rect">
                                  <a:avLst/>
                                </a:prstGeom>
                                <a:noFill/>
                                <a:ln>
                                  <a:noFill/>
                                </a:ln>
                              </pic:spPr>
                            </pic:pic>
                          </a:graphicData>
                        </a:graphic>
                      </wp:inline>
                    </w:drawing>
                  </w:r>
                </w:p>
              </w:tc>
            </w:tr>
          </w:tbl>
          <w:p w14:paraId="233CC1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Cs/>
                <w:color w:val="auto"/>
                <w:sz w:val="15"/>
                <w:szCs w:val="15"/>
                <w:highlight w:val="none"/>
                <w:lang w:val="en-US" w:eastAsia="zh-CN"/>
              </w:rPr>
            </w:pPr>
          </w:p>
          <w:p w14:paraId="0F5360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5、地下水和土壤污染防治措施</w:t>
            </w:r>
          </w:p>
          <w:p w14:paraId="583555D3">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rPr>
              <w:t>为了更好地保护土壤和地下水</w:t>
            </w:r>
            <w:r>
              <w:rPr>
                <w:rFonts w:hint="eastAsia" w:ascii="Times New Roman" w:hAnsi="Times New Roman" w:eastAsia="宋体" w:cs="Times New Roman"/>
                <w:bCs/>
                <w:color w:val="auto"/>
                <w:sz w:val="21"/>
                <w:szCs w:val="21"/>
                <w:highlight w:val="none"/>
                <w:lang w:eastAsia="zh-CN"/>
              </w:rPr>
              <w:t>环境</w:t>
            </w:r>
            <w:r>
              <w:rPr>
                <w:rFonts w:hint="eastAsia" w:ascii="Times New Roman" w:hAnsi="Times New Roman" w:eastAsia="宋体" w:cs="Times New Roman"/>
                <w:bCs/>
                <w:color w:val="auto"/>
                <w:sz w:val="21"/>
                <w:szCs w:val="21"/>
                <w:highlight w:val="none"/>
              </w:rPr>
              <w:t>，将</w:t>
            </w:r>
            <w:r>
              <w:rPr>
                <w:rFonts w:hint="eastAsia" w:ascii="Times New Roman" w:hAnsi="Times New Roman" w:eastAsia="宋体" w:cs="Times New Roman"/>
                <w:bCs/>
                <w:color w:val="auto"/>
                <w:sz w:val="21"/>
                <w:szCs w:val="21"/>
                <w:highlight w:val="none"/>
                <w:lang w:eastAsia="zh-CN"/>
              </w:rPr>
              <w:t>本</w:t>
            </w:r>
            <w:r>
              <w:rPr>
                <w:rFonts w:hint="eastAsia" w:ascii="Times New Roman" w:hAnsi="Times New Roman" w:eastAsia="宋体" w:cs="Times New Roman"/>
                <w:bCs/>
                <w:color w:val="auto"/>
                <w:sz w:val="21"/>
                <w:szCs w:val="21"/>
                <w:highlight w:val="none"/>
              </w:rPr>
              <w:t>项目对地下水</w:t>
            </w:r>
            <w:r>
              <w:rPr>
                <w:rFonts w:hint="eastAsia" w:ascii="Times New Roman" w:hAnsi="Times New Roman" w:eastAsia="宋体" w:cs="Times New Roman"/>
                <w:bCs/>
                <w:color w:val="auto"/>
                <w:sz w:val="21"/>
                <w:szCs w:val="21"/>
                <w:highlight w:val="none"/>
                <w:lang w:eastAsia="zh-CN"/>
              </w:rPr>
              <w:t>和土壤</w:t>
            </w:r>
            <w:r>
              <w:rPr>
                <w:rFonts w:hint="eastAsia" w:ascii="Times New Roman" w:hAnsi="Times New Roman" w:eastAsia="宋体" w:cs="Times New Roman"/>
                <w:bCs/>
                <w:color w:val="auto"/>
                <w:sz w:val="21"/>
                <w:szCs w:val="21"/>
                <w:highlight w:val="none"/>
              </w:rPr>
              <w:t>的影响降至最低，采取</w:t>
            </w:r>
            <w:r>
              <w:rPr>
                <w:rFonts w:hint="eastAsia" w:ascii="Times New Roman" w:hAnsi="Times New Roman" w:eastAsia="宋体" w:cs="Times New Roman"/>
                <w:bCs/>
                <w:color w:val="auto"/>
                <w:sz w:val="21"/>
                <w:szCs w:val="21"/>
                <w:highlight w:val="none"/>
                <w:lang w:eastAsia="zh-CN"/>
              </w:rPr>
              <w:t>以下</w:t>
            </w:r>
            <w:r>
              <w:rPr>
                <w:rFonts w:hint="eastAsia" w:ascii="Times New Roman" w:hAnsi="Times New Roman" w:eastAsia="宋体" w:cs="Times New Roman"/>
                <w:bCs/>
                <w:color w:val="auto"/>
                <w:sz w:val="21"/>
                <w:szCs w:val="21"/>
                <w:highlight w:val="none"/>
              </w:rPr>
              <w:t>相关防控措施</w:t>
            </w:r>
            <w:r>
              <w:rPr>
                <w:rFonts w:hint="eastAsia" w:ascii="Times New Roman" w:hAnsi="Times New Roman" w:eastAsia="宋体" w:cs="Times New Roman"/>
                <w:bCs/>
                <w:color w:val="auto"/>
                <w:sz w:val="21"/>
                <w:szCs w:val="21"/>
                <w:highlight w:val="none"/>
                <w:lang w:eastAsia="zh-CN"/>
              </w:rPr>
              <w:t>：</w:t>
            </w:r>
          </w:p>
          <w:p w14:paraId="46D39FEA">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①</w:t>
            </w:r>
            <w:r>
              <w:rPr>
                <w:rFonts w:hint="eastAsia" w:ascii="Times New Roman" w:hAnsi="Times New Roman" w:eastAsia="宋体" w:cs="Times New Roman"/>
                <w:bCs/>
                <w:color w:val="auto"/>
                <w:sz w:val="21"/>
                <w:szCs w:val="21"/>
                <w:highlight w:val="none"/>
              </w:rPr>
              <w:t>加强设备</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rPr>
              <w:t>各构筑物</w:t>
            </w:r>
            <w:r>
              <w:rPr>
                <w:rFonts w:hint="eastAsia" w:ascii="Times New Roman" w:hAnsi="Times New Roman" w:eastAsia="宋体" w:cs="Times New Roman"/>
                <w:bCs/>
                <w:color w:val="auto"/>
                <w:sz w:val="21"/>
                <w:szCs w:val="21"/>
                <w:highlight w:val="none"/>
                <w:lang w:val="en-US" w:eastAsia="zh-CN"/>
              </w:rPr>
              <w:t>及装卸区域</w:t>
            </w:r>
            <w:r>
              <w:rPr>
                <w:rFonts w:hint="eastAsia" w:ascii="Times New Roman" w:hAnsi="Times New Roman" w:eastAsia="宋体" w:cs="Times New Roman"/>
                <w:bCs/>
                <w:color w:val="auto"/>
                <w:sz w:val="21"/>
                <w:szCs w:val="21"/>
                <w:highlight w:val="none"/>
              </w:rPr>
              <w:t>的巡视和监控。在项目运营过程中，要定期对设备进行维护，保持设备和建、构筑物运行处于良好的状态，一旦出现异常，应当及时检查，尽量避免池子破裂损坏和管道的跑、冒、滴、漏现象产生，力求将泄漏的环境风险事故降低到最低程度。</w:t>
            </w:r>
            <w:r>
              <w:rPr>
                <w:rFonts w:hint="eastAsia" w:ascii="Times New Roman" w:hAnsi="Times New Roman" w:eastAsia="宋体" w:cs="Times New Roman"/>
                <w:bCs/>
                <w:color w:val="auto"/>
                <w:sz w:val="21"/>
                <w:szCs w:val="21"/>
                <w:highlight w:val="none"/>
                <w:lang w:val="en-US" w:eastAsia="zh-CN"/>
              </w:rPr>
              <w:t>密切</w:t>
            </w:r>
            <w:r>
              <w:rPr>
                <w:rFonts w:hint="eastAsia" w:ascii="Times New Roman" w:hAnsi="Times New Roman" w:eastAsia="宋体" w:cs="Times New Roman"/>
                <w:bCs/>
                <w:color w:val="auto"/>
                <w:sz w:val="21"/>
                <w:szCs w:val="21"/>
                <w:highlight w:val="none"/>
              </w:rPr>
              <w:t>注意其防渗措施是否安全。</w:t>
            </w:r>
          </w:p>
          <w:p w14:paraId="048D9910">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②</w:t>
            </w:r>
            <w:r>
              <w:rPr>
                <w:rFonts w:hint="eastAsia" w:ascii="Times New Roman" w:hAnsi="Times New Roman" w:eastAsia="宋体" w:cs="Times New Roman"/>
                <w:bCs/>
                <w:color w:val="auto"/>
                <w:sz w:val="21"/>
                <w:szCs w:val="21"/>
                <w:highlight w:val="none"/>
              </w:rPr>
              <w:t>环评要求应对该项目地下水环境设置必要的检漏时间及周期，在一个检漏周期内，对可能有污染物跑冒滴漏等产生的地区进行必要的检漏工作，及时发现污染物渗漏等事件，采取补救措施</w:t>
            </w:r>
            <w:r>
              <w:rPr>
                <w:rFonts w:hint="eastAsia" w:ascii="Times New Roman" w:hAnsi="Times New Roman" w:eastAsia="宋体" w:cs="Times New Roman"/>
                <w:bCs/>
                <w:color w:val="auto"/>
                <w:sz w:val="21"/>
                <w:szCs w:val="21"/>
                <w:highlight w:val="none"/>
                <w:lang w:eastAsia="zh-CN"/>
              </w:rPr>
              <w:t>。</w:t>
            </w:r>
          </w:p>
          <w:p w14:paraId="7BC65629">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1"/>
                <w:szCs w:val="21"/>
                <w:highlight w:val="none"/>
              </w:rPr>
            </w:pPr>
            <w:r>
              <w:rPr>
                <w:rFonts w:hint="eastAsia" w:ascii="Times New Roman" w:hAnsi="Times New Roman" w:eastAsia="宋体" w:cs="Times New Roman"/>
                <w:bCs/>
                <w:color w:val="auto"/>
                <w:sz w:val="21"/>
                <w:szCs w:val="21"/>
                <w:highlight w:val="none"/>
                <w:lang w:val="en-US" w:eastAsia="zh-CN"/>
              </w:rPr>
              <w:t>③</w:t>
            </w:r>
            <w:r>
              <w:rPr>
                <w:rFonts w:hint="eastAsia" w:ascii="Times New Roman" w:hAnsi="Times New Roman" w:eastAsia="宋体" w:cs="Times New Roman"/>
                <w:bCs/>
                <w:color w:val="auto"/>
                <w:sz w:val="21"/>
                <w:szCs w:val="21"/>
                <w:highlight w:val="none"/>
              </w:rPr>
              <w:t>项目建设运营期环境管理需要</w:t>
            </w:r>
            <w:r>
              <w:rPr>
                <w:rFonts w:hint="eastAsia" w:ascii="Times New Roman" w:hAnsi="Times New Roman" w:eastAsia="宋体" w:cs="Times New Roman"/>
                <w:bCs/>
                <w:color w:val="auto"/>
                <w:sz w:val="21"/>
                <w:szCs w:val="21"/>
                <w:highlight w:val="none"/>
                <w:lang w:eastAsia="zh-CN"/>
              </w:rPr>
              <w:t>，</w:t>
            </w:r>
            <w:r>
              <w:rPr>
                <w:rFonts w:hint="eastAsia" w:ascii="Times New Roman" w:hAnsi="Times New Roman" w:eastAsia="宋体" w:cs="Times New Roman"/>
                <w:bCs/>
                <w:color w:val="auto"/>
                <w:sz w:val="21"/>
                <w:szCs w:val="21"/>
                <w:highlight w:val="none"/>
              </w:rPr>
              <w:t>厂区内建设的地下水监控井应设置保护罩及设置安全台或设置单独保护房，以防止污水漫灌进入环境监测井中。</w:t>
            </w:r>
          </w:p>
          <w:p w14:paraId="70FDB540">
            <w:pPr>
              <w:keepNext w:val="0"/>
              <w:keepLines w:val="0"/>
              <w:suppressLineNumbers w:val="0"/>
              <w:spacing w:before="0" w:beforeAutospacing="0" w:after="0" w:afterAutospacing="0" w:line="360" w:lineRule="auto"/>
              <w:ind w:left="0" w:right="0" w:firstLine="480"/>
              <w:rPr>
                <w:rFonts w:hint="eastAsia" w:ascii="Times New Roman" w:hAnsi="Times New Roman" w:eastAsia="宋体" w:cs="Times New Roman"/>
                <w:bCs/>
                <w:color w:val="auto"/>
                <w:sz w:val="21"/>
                <w:szCs w:val="21"/>
                <w:highlight w:val="none"/>
                <w:lang w:eastAsia="zh-CN"/>
              </w:rPr>
            </w:pPr>
            <w:r>
              <w:rPr>
                <w:rFonts w:hint="eastAsia" w:ascii="Times New Roman" w:hAnsi="Times New Roman" w:eastAsia="宋体" w:cs="Times New Roman"/>
                <w:bCs/>
                <w:color w:val="auto"/>
                <w:sz w:val="21"/>
                <w:szCs w:val="21"/>
                <w:highlight w:val="none"/>
                <w:lang w:val="en-US" w:eastAsia="zh-CN"/>
              </w:rPr>
              <w:t>④</w:t>
            </w:r>
            <w:r>
              <w:rPr>
                <w:rFonts w:hint="eastAsia" w:ascii="Times New Roman" w:hAnsi="Times New Roman" w:eastAsia="宋体" w:cs="Times New Roman"/>
                <w:bCs/>
                <w:color w:val="auto"/>
                <w:sz w:val="21"/>
                <w:szCs w:val="21"/>
                <w:highlight w:val="none"/>
              </w:rPr>
              <w:t>企业按照相关要求做好厂区内分区防渗</w:t>
            </w:r>
            <w:r>
              <w:rPr>
                <w:rFonts w:hint="eastAsia" w:ascii="Times New Roman" w:hAnsi="Times New Roman" w:eastAsia="宋体" w:cs="Times New Roman"/>
                <w:bCs/>
                <w:color w:val="auto"/>
                <w:sz w:val="21"/>
                <w:szCs w:val="21"/>
                <w:highlight w:val="none"/>
                <w:lang w:eastAsia="zh-CN"/>
              </w:rPr>
              <w:t>。</w:t>
            </w:r>
          </w:p>
          <w:p w14:paraId="16DFB7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6、风险保护措施</w:t>
            </w:r>
          </w:p>
          <w:p w14:paraId="73061D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本项目在确保现有厂区风险防范措施稳定运行，并落实改建项目风险防范措施和应急预案的前提下，项目的环境风险总体上可防控。具体环境风险防范措施及应急预案详见“环境风险专项评价报告”。</w:t>
            </w:r>
          </w:p>
          <w:p w14:paraId="46CF54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7、生态保护措施</w:t>
            </w:r>
          </w:p>
          <w:p w14:paraId="67F234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在现有设施基础上进行货种优化调整，不增加用地规模，不涉及码头岸线、水工建构筑物的建设，不改变现有码头泊位、罐区储存能力和总周转量。本次调整不包含任何新建、扩建项目，在项目实施过程中，无建设性质的工程施工活动，对生态环境基本无影响。应落实以下生态保护措施：</w:t>
            </w:r>
          </w:p>
          <w:p w14:paraId="2728B8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（1）改建项目建成后码头运营期产生的各类废水经收集后妥善处置，禁止在码头附近水域排放。</w:t>
            </w:r>
          </w:p>
          <w:p w14:paraId="1DFDEB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（2）定期对输送管线、截断阀等进行定期检维修，装卸过程中需严格按照规范作业，避免发生“跑、冒、滴、漏”而污染环境的现象，最大程度减轻本项目营运期对项目周围的生态环境影响。</w:t>
            </w:r>
          </w:p>
          <w:p w14:paraId="0BBA1D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eastAsia" w:ascii="Times New Roman" w:hAnsi="Times New Roman" w:eastAsia="宋体" w:cs="Times New Roman"/>
                <w:b/>
                <w:bCs w:val="0"/>
                <w:color w:val="auto"/>
                <w:szCs w:val="21"/>
                <w:highlight w:val="none"/>
                <w:lang w:val="en-US" w:eastAsia="zh-CN"/>
              </w:rPr>
            </w:pPr>
            <w:r>
              <w:rPr>
                <w:rFonts w:hint="eastAsia" w:ascii="Times New Roman" w:hAnsi="Times New Roman" w:eastAsia="宋体" w:cs="Times New Roman"/>
                <w:b/>
                <w:bCs w:val="0"/>
                <w:color w:val="auto"/>
                <w:szCs w:val="21"/>
                <w:highlight w:val="none"/>
                <w:lang w:val="en-US" w:eastAsia="zh-CN"/>
              </w:rPr>
              <w:t>8、电磁辐射</w:t>
            </w:r>
          </w:p>
          <w:p w14:paraId="519248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本项目不涉及电磁辐射。</w:t>
            </w:r>
          </w:p>
        </w:tc>
      </w:tr>
      <w:tr w14:paraId="7BD54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02" w:hRule="atLeast"/>
          <w:jc w:val="center"/>
        </w:trPr>
        <w:tc>
          <w:tcPr>
            <w:tcW w:w="408" w:type="pct"/>
            <w:noWrap w:val="0"/>
            <w:vAlign w:val="center"/>
          </w:tcPr>
          <w:p w14:paraId="2E3C3769">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pacing w:val="10"/>
                <w:szCs w:val="21"/>
              </w:rPr>
            </w:pPr>
            <w:r>
              <w:rPr>
                <w:rFonts w:hint="eastAsia" w:ascii="宋体" w:hAnsi="宋体"/>
                <w:bCs/>
                <w:color w:val="auto"/>
                <w:szCs w:val="21"/>
              </w:rPr>
              <w:t>其他</w:t>
            </w:r>
          </w:p>
        </w:tc>
        <w:tc>
          <w:tcPr>
            <w:tcW w:w="4591" w:type="pct"/>
            <w:noWrap w:val="0"/>
            <w:vAlign w:val="center"/>
          </w:tcPr>
          <w:p w14:paraId="062E75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60" w:firstLineChars="200"/>
              <w:jc w:val="both"/>
              <w:textAlignment w:val="auto"/>
              <w:rPr>
                <w:rFonts w:hint="eastAsia" w:ascii="宋体" w:hAnsi="宋体" w:eastAsia="宋体" w:cs="宋体"/>
                <w:bCs/>
                <w:color w:val="auto"/>
                <w:spacing w:val="10"/>
                <w:szCs w:val="21"/>
                <w:lang w:val="en-US" w:eastAsia="zh-CN"/>
              </w:rPr>
            </w:pPr>
            <w:r>
              <w:rPr>
                <w:rFonts w:hint="eastAsia" w:ascii="宋体" w:hAnsi="宋体" w:cs="宋体"/>
                <w:bCs/>
                <w:color w:val="auto"/>
                <w:spacing w:val="10"/>
                <w:szCs w:val="21"/>
                <w:lang w:val="en-US" w:eastAsia="zh-CN"/>
              </w:rPr>
              <w:t>无。</w:t>
            </w:r>
          </w:p>
        </w:tc>
      </w:tr>
      <w:tr w14:paraId="3CC9AF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9" w:hRule="atLeast"/>
          <w:jc w:val="center"/>
        </w:trPr>
        <w:tc>
          <w:tcPr>
            <w:tcW w:w="408" w:type="pct"/>
            <w:noWrap w:val="0"/>
            <w:vAlign w:val="center"/>
          </w:tcPr>
          <w:p w14:paraId="51DD5AD7">
            <w:pPr>
              <w:keepNext w:val="0"/>
              <w:keepLines w:val="0"/>
              <w:suppressLineNumbers w:val="0"/>
              <w:adjustRightInd w:val="0"/>
              <w:snapToGrid w:val="0"/>
              <w:spacing w:before="0" w:beforeAutospacing="0" w:after="0" w:afterAutospacing="0"/>
              <w:ind w:left="0" w:right="0"/>
              <w:jc w:val="center"/>
              <w:rPr>
                <w:rFonts w:hint="default" w:ascii="宋体" w:hAnsi="宋体" w:cs="宋体"/>
                <w:bCs/>
                <w:color w:val="auto"/>
                <w:spacing w:val="10"/>
                <w:szCs w:val="21"/>
              </w:rPr>
            </w:pPr>
            <w:r>
              <w:rPr>
                <w:rFonts w:hint="eastAsia" w:ascii="宋体" w:hAnsi="宋体"/>
                <w:bCs/>
                <w:color w:val="auto"/>
                <w:szCs w:val="21"/>
              </w:rPr>
              <w:t>环保投资</w:t>
            </w:r>
          </w:p>
        </w:tc>
        <w:tc>
          <w:tcPr>
            <w:tcW w:w="4591" w:type="pct"/>
            <w:noWrap w:val="0"/>
            <w:vAlign w:val="top"/>
          </w:tcPr>
          <w:p w14:paraId="177C4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本项目环境保护投资估算及“三同时”验收一览表见表5-3。</w:t>
            </w:r>
          </w:p>
          <w:p w14:paraId="57D351E4">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b/>
                <w:color w:val="auto"/>
                <w:kern w:val="0"/>
                <w:szCs w:val="21"/>
                <w:highlight w:val="none"/>
                <w:lang w:val="en-US" w:eastAsia="zh-CN"/>
              </w:rPr>
            </w:pPr>
            <w:r>
              <w:rPr>
                <w:rFonts w:hint="eastAsia" w:ascii="Times New Roman" w:hAnsi="Times New Roman" w:eastAsia="宋体" w:cs="Times New Roman"/>
                <w:b/>
                <w:color w:val="auto"/>
                <w:kern w:val="0"/>
                <w:szCs w:val="21"/>
                <w:highlight w:val="none"/>
                <w:lang w:val="en-US" w:eastAsia="zh-CN"/>
              </w:rPr>
              <w:t>表5-3  本项目环保投资及“三同时”验收一览表</w:t>
            </w:r>
          </w:p>
          <w:tbl>
            <w:tblPr>
              <w:tblStyle w:val="21"/>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autofit"/>
              <w:tblCellMar>
                <w:top w:w="0" w:type="dxa"/>
                <w:left w:w="28" w:type="dxa"/>
                <w:bottom w:w="0" w:type="dxa"/>
                <w:right w:w="28" w:type="dxa"/>
              </w:tblCellMar>
            </w:tblPr>
            <w:tblGrid>
              <w:gridCol w:w="959"/>
              <w:gridCol w:w="1460"/>
              <w:gridCol w:w="1103"/>
              <w:gridCol w:w="1355"/>
              <w:gridCol w:w="2145"/>
              <w:gridCol w:w="708"/>
              <w:gridCol w:w="537"/>
            </w:tblGrid>
            <w:tr w14:paraId="24EEDE0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jc w:val="center"/>
              </w:trPr>
              <w:tc>
                <w:tcPr>
                  <w:tcW w:w="580" w:type="pct"/>
                  <w:tcBorders>
                    <w:top w:val="single" w:color="auto" w:sz="12" w:space="0"/>
                    <w:left w:val="nil"/>
                    <w:bottom w:val="single" w:color="auto" w:sz="4" w:space="0"/>
                    <w:right w:val="single" w:color="auto" w:sz="4" w:space="0"/>
                  </w:tcBorders>
                  <w:shd w:val="clear" w:color="auto" w:fill="auto"/>
                  <w:vAlign w:val="center"/>
                </w:tcPr>
                <w:p w14:paraId="517FEC4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18"/>
                      <w:szCs w:val="18"/>
                    </w:rPr>
                  </w:pPr>
                  <w:r>
                    <w:rPr>
                      <w:rFonts w:hint="eastAsia" w:ascii="宋体" w:hAnsi="宋体" w:eastAsia="宋体" w:cs="宋体"/>
                      <w:b/>
                      <w:bCs w:val="0"/>
                      <w:color w:val="auto"/>
                      <w:kern w:val="2"/>
                      <w:sz w:val="18"/>
                      <w:szCs w:val="18"/>
                      <w:lang w:val="en-US" w:eastAsia="zh-CN" w:bidi="ar"/>
                    </w:rPr>
                    <w:t>类别</w:t>
                  </w:r>
                </w:p>
              </w:tc>
              <w:tc>
                <w:tcPr>
                  <w:tcW w:w="883" w:type="pct"/>
                  <w:tcBorders>
                    <w:top w:val="single" w:color="auto" w:sz="12" w:space="0"/>
                    <w:left w:val="single" w:color="auto" w:sz="4" w:space="0"/>
                    <w:bottom w:val="single" w:color="auto" w:sz="4" w:space="0"/>
                    <w:right w:val="single" w:color="auto" w:sz="4" w:space="0"/>
                  </w:tcBorders>
                  <w:shd w:val="clear" w:color="auto" w:fill="auto"/>
                  <w:vAlign w:val="center"/>
                </w:tcPr>
                <w:p w14:paraId="00D15F7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18"/>
                      <w:szCs w:val="18"/>
                    </w:rPr>
                  </w:pPr>
                  <w:r>
                    <w:rPr>
                      <w:rFonts w:hint="eastAsia" w:ascii="宋体" w:hAnsi="宋体" w:eastAsia="宋体" w:cs="宋体"/>
                      <w:b/>
                      <w:bCs w:val="0"/>
                      <w:color w:val="auto"/>
                      <w:kern w:val="2"/>
                      <w:sz w:val="18"/>
                      <w:szCs w:val="18"/>
                      <w:lang w:val="en-US" w:eastAsia="zh-CN" w:bidi="ar"/>
                    </w:rPr>
                    <w:t>污染源</w:t>
                  </w:r>
                </w:p>
              </w:tc>
              <w:tc>
                <w:tcPr>
                  <w:tcW w:w="667" w:type="pct"/>
                  <w:tcBorders>
                    <w:top w:val="single" w:color="auto" w:sz="12" w:space="0"/>
                    <w:left w:val="single" w:color="auto" w:sz="4" w:space="0"/>
                    <w:bottom w:val="single" w:color="auto" w:sz="4" w:space="0"/>
                    <w:right w:val="single" w:color="auto" w:sz="4" w:space="0"/>
                  </w:tcBorders>
                  <w:shd w:val="clear" w:color="auto" w:fill="auto"/>
                  <w:vAlign w:val="center"/>
                </w:tcPr>
                <w:p w14:paraId="0208660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18"/>
                      <w:szCs w:val="18"/>
                    </w:rPr>
                  </w:pPr>
                  <w:r>
                    <w:rPr>
                      <w:rFonts w:hint="eastAsia" w:ascii="宋体" w:hAnsi="宋体" w:eastAsia="宋体" w:cs="宋体"/>
                      <w:b/>
                      <w:bCs w:val="0"/>
                      <w:color w:val="auto"/>
                      <w:kern w:val="2"/>
                      <w:sz w:val="18"/>
                      <w:szCs w:val="18"/>
                      <w:lang w:val="en-US" w:eastAsia="zh-CN" w:bidi="ar"/>
                    </w:rPr>
                    <w:t>污染物</w:t>
                  </w:r>
                </w:p>
              </w:tc>
              <w:tc>
                <w:tcPr>
                  <w:tcW w:w="819" w:type="pct"/>
                  <w:tcBorders>
                    <w:top w:val="single" w:color="auto" w:sz="12" w:space="0"/>
                    <w:left w:val="single" w:color="auto" w:sz="4" w:space="0"/>
                    <w:bottom w:val="single" w:color="auto" w:sz="4" w:space="0"/>
                    <w:right w:val="single" w:color="auto" w:sz="4" w:space="0"/>
                  </w:tcBorders>
                  <w:shd w:val="clear" w:color="auto" w:fill="auto"/>
                  <w:vAlign w:val="center"/>
                </w:tcPr>
                <w:p w14:paraId="0F29552C">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bCs w:val="0"/>
                      <w:color w:val="auto"/>
                      <w:kern w:val="2"/>
                      <w:sz w:val="18"/>
                      <w:szCs w:val="18"/>
                    </w:rPr>
                  </w:pPr>
                  <w:r>
                    <w:rPr>
                      <w:rFonts w:hint="eastAsia" w:ascii="宋体" w:hAnsi="宋体" w:eastAsia="宋体" w:cs="宋体"/>
                      <w:b/>
                      <w:bCs w:val="0"/>
                      <w:color w:val="auto"/>
                      <w:kern w:val="2"/>
                      <w:sz w:val="18"/>
                      <w:szCs w:val="18"/>
                      <w:lang w:val="en-US" w:eastAsia="zh-CN" w:bidi="ar"/>
                    </w:rPr>
                    <w:t>治理措施（设施数量、规模、处理能力等）</w:t>
                  </w:r>
                </w:p>
              </w:tc>
              <w:tc>
                <w:tcPr>
                  <w:tcW w:w="1297" w:type="pct"/>
                  <w:tcBorders>
                    <w:top w:val="single" w:color="auto" w:sz="12" w:space="0"/>
                    <w:left w:val="single" w:color="auto" w:sz="4" w:space="0"/>
                    <w:bottom w:val="single" w:color="auto" w:sz="4" w:space="0"/>
                    <w:right w:val="single" w:color="auto" w:sz="4" w:space="0"/>
                  </w:tcBorders>
                  <w:shd w:val="clear" w:color="auto" w:fill="auto"/>
                  <w:vAlign w:val="center"/>
                </w:tcPr>
                <w:p w14:paraId="7374C3B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18"/>
                      <w:szCs w:val="18"/>
                    </w:rPr>
                  </w:pPr>
                  <w:r>
                    <w:rPr>
                      <w:rFonts w:hint="eastAsia" w:ascii="宋体" w:hAnsi="宋体" w:eastAsia="宋体" w:cs="宋体"/>
                      <w:b/>
                      <w:bCs w:val="0"/>
                      <w:color w:val="auto"/>
                      <w:kern w:val="2"/>
                      <w:sz w:val="18"/>
                      <w:szCs w:val="18"/>
                      <w:lang w:val="en-US" w:eastAsia="zh-CN" w:bidi="ar"/>
                    </w:rPr>
                    <w:t>处理效果、执行标准或拟达标准</w:t>
                  </w:r>
                </w:p>
              </w:tc>
              <w:tc>
                <w:tcPr>
                  <w:tcW w:w="428" w:type="pct"/>
                  <w:tcBorders>
                    <w:top w:val="single" w:color="auto" w:sz="12" w:space="0"/>
                    <w:left w:val="single" w:color="auto" w:sz="4" w:space="0"/>
                    <w:bottom w:val="single" w:color="auto" w:sz="4" w:space="0"/>
                    <w:right w:val="single" w:color="auto" w:sz="4" w:space="0"/>
                  </w:tcBorders>
                  <w:shd w:val="clear" w:color="auto" w:fill="auto"/>
                  <w:vAlign w:val="center"/>
                </w:tcPr>
                <w:p w14:paraId="0D3FA16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18"/>
                      <w:szCs w:val="18"/>
                    </w:rPr>
                  </w:pPr>
                  <w:r>
                    <w:rPr>
                      <w:rFonts w:hint="eastAsia" w:ascii="宋体" w:hAnsi="宋体" w:eastAsia="宋体" w:cs="宋体"/>
                      <w:b/>
                      <w:bCs w:val="0"/>
                      <w:color w:val="auto"/>
                      <w:kern w:val="2"/>
                      <w:sz w:val="18"/>
                      <w:szCs w:val="18"/>
                      <w:lang w:val="en-US" w:eastAsia="zh-CN" w:bidi="ar"/>
                    </w:rPr>
                    <w:t>环保投资（万元）</w:t>
                  </w:r>
                </w:p>
              </w:tc>
              <w:tc>
                <w:tcPr>
                  <w:tcW w:w="324" w:type="pct"/>
                  <w:tcBorders>
                    <w:top w:val="single" w:color="auto" w:sz="12" w:space="0"/>
                    <w:left w:val="single" w:color="auto" w:sz="4" w:space="0"/>
                    <w:bottom w:val="single" w:color="auto" w:sz="4" w:space="0"/>
                    <w:right w:val="nil"/>
                  </w:tcBorders>
                  <w:shd w:val="clear" w:color="auto" w:fill="auto"/>
                  <w:vAlign w:val="center"/>
                </w:tcPr>
                <w:p w14:paraId="49E47CC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val="0"/>
                      <w:color w:val="auto"/>
                      <w:kern w:val="2"/>
                      <w:sz w:val="18"/>
                      <w:szCs w:val="18"/>
                    </w:rPr>
                  </w:pPr>
                  <w:r>
                    <w:rPr>
                      <w:rFonts w:hint="eastAsia" w:ascii="宋体" w:hAnsi="宋体" w:eastAsia="宋体" w:cs="宋体"/>
                      <w:b/>
                      <w:bCs w:val="0"/>
                      <w:color w:val="auto"/>
                      <w:kern w:val="2"/>
                      <w:sz w:val="18"/>
                      <w:szCs w:val="18"/>
                      <w:lang w:val="en-US" w:eastAsia="zh-CN" w:bidi="ar"/>
                    </w:rPr>
                    <w:t>完成时间</w:t>
                  </w:r>
                </w:p>
              </w:tc>
            </w:tr>
            <w:tr w14:paraId="4C3CFD2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305C86C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废气</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6CE3BA40">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罐区废气、汽车装载废气、扫线废气等</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7436789C">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rPr>
                  </w:pPr>
                  <w:r>
                    <w:rPr>
                      <w:rFonts w:hint="eastAsia" w:ascii="宋体" w:hAnsi="宋体" w:eastAsia="宋体" w:cs="宋体"/>
                      <w:color w:val="auto"/>
                      <w:kern w:val="0"/>
                      <w:sz w:val="18"/>
                      <w:szCs w:val="18"/>
                      <w:lang w:val="en-US" w:eastAsia="zh-CN" w:bidi="ar"/>
                    </w:rPr>
                    <w:t>非甲烷总烃、颗粒物（沥青烟）、苯并[a]芘</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2659BB49">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依托现有催化氧化装置</w:t>
                  </w:r>
                </w:p>
              </w:tc>
              <w:tc>
                <w:tcPr>
                  <w:tcW w:w="1297" w:type="pct"/>
                  <w:tcBorders>
                    <w:top w:val="single" w:color="auto" w:sz="4" w:space="0"/>
                    <w:left w:val="single" w:color="auto" w:sz="4" w:space="0"/>
                    <w:bottom w:val="single" w:color="auto" w:sz="4" w:space="0"/>
                    <w:right w:val="single" w:color="auto" w:sz="4" w:space="0"/>
                  </w:tcBorders>
                  <w:shd w:val="clear" w:color="auto" w:fill="auto"/>
                  <w:vAlign w:val="center"/>
                </w:tcPr>
                <w:p w14:paraId="3943D3C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达《大气污染物综合排放标准》（</w:t>
                  </w:r>
                  <w:r>
                    <w:rPr>
                      <w:rFonts w:hint="default" w:ascii="Times New Roman" w:hAnsi="Times New Roman" w:eastAsia="宋体" w:cs="Times New Roman"/>
                      <w:color w:val="auto"/>
                      <w:kern w:val="2"/>
                      <w:sz w:val="18"/>
                      <w:szCs w:val="18"/>
                      <w:lang w:val="en-US" w:eastAsia="zh-CN" w:bidi="ar"/>
                    </w:rPr>
                    <w:t>DB32/4041-2021</w:t>
                  </w:r>
                  <w:r>
                    <w:rPr>
                      <w:rFonts w:hint="eastAsia" w:ascii="宋体" w:hAnsi="宋体" w:eastAsia="宋体" w:cs="宋体"/>
                      <w:color w:val="auto"/>
                      <w:kern w:val="2"/>
                      <w:sz w:val="18"/>
                      <w:szCs w:val="18"/>
                      <w:lang w:val="en-US" w:eastAsia="zh-CN" w:bidi="ar"/>
                    </w:rPr>
                    <w:t>）标准</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2A386AC5">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yellow"/>
                    </w:rPr>
                  </w:pPr>
                  <w:r>
                    <w:rPr>
                      <w:rFonts w:hint="default" w:ascii="Times New Roman" w:hAnsi="Times New Roman" w:eastAsia="宋体" w:cs="Times New Roman"/>
                      <w:color w:val="auto"/>
                      <w:kern w:val="0"/>
                      <w:sz w:val="18"/>
                      <w:szCs w:val="18"/>
                      <w:lang w:val="en-US" w:eastAsia="zh-CN" w:bidi="ar"/>
                    </w:rPr>
                    <w:t>10</w:t>
                  </w:r>
                </w:p>
              </w:tc>
              <w:tc>
                <w:tcPr>
                  <w:tcW w:w="324" w:type="pct"/>
                  <w:vMerge w:val="restart"/>
                  <w:tcBorders>
                    <w:top w:val="single" w:color="auto" w:sz="4" w:space="0"/>
                    <w:left w:val="single" w:color="auto" w:sz="4" w:space="0"/>
                    <w:bottom w:val="single" w:color="auto" w:sz="4" w:space="0"/>
                    <w:right w:val="nil"/>
                  </w:tcBorders>
                  <w:shd w:val="clear" w:color="auto" w:fill="auto"/>
                  <w:vAlign w:val="center"/>
                </w:tcPr>
                <w:p w14:paraId="2F995F4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与建设项目同时设计、同时施工，本项目建成时同时投入运行</w:t>
                  </w:r>
                </w:p>
              </w:tc>
            </w:tr>
            <w:tr w14:paraId="690773A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461409C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废水</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71BE1C11">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6DC84344">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709A8404">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w:t>
                  </w:r>
                </w:p>
              </w:tc>
              <w:tc>
                <w:tcPr>
                  <w:tcW w:w="1297" w:type="pct"/>
                  <w:tcBorders>
                    <w:top w:val="single" w:color="auto" w:sz="4" w:space="0"/>
                    <w:left w:val="single" w:color="auto" w:sz="4" w:space="0"/>
                    <w:bottom w:val="single" w:color="auto" w:sz="4" w:space="0"/>
                    <w:right w:val="single" w:color="auto" w:sz="4" w:space="0"/>
                  </w:tcBorders>
                  <w:shd w:val="clear" w:color="auto" w:fill="auto"/>
                  <w:vAlign w:val="center"/>
                </w:tcPr>
                <w:p w14:paraId="22EFEC08">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130D9D1B">
                  <w:pPr>
                    <w:pStyle w:val="19"/>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yellow"/>
                    </w:rPr>
                  </w:pPr>
                  <w:r>
                    <w:rPr>
                      <w:rFonts w:hint="default" w:ascii="Times New Roman" w:hAnsi="Times New Roman" w:eastAsia="宋体" w:cs="Times New Roman"/>
                      <w:color w:val="auto"/>
                      <w:kern w:val="0"/>
                      <w:sz w:val="18"/>
                      <w:szCs w:val="18"/>
                      <w:lang w:val="en-US" w:eastAsia="zh-CN" w:bidi="ar"/>
                    </w:rPr>
                    <w:t>/</w:t>
                  </w:r>
                </w:p>
              </w:tc>
              <w:tc>
                <w:tcPr>
                  <w:tcW w:w="324" w:type="pct"/>
                  <w:vMerge w:val="continue"/>
                  <w:tcBorders>
                    <w:top w:val="single" w:color="auto" w:sz="4" w:space="0"/>
                    <w:left w:val="single" w:color="auto" w:sz="4" w:space="0"/>
                    <w:bottom w:val="single" w:color="auto" w:sz="4" w:space="0"/>
                    <w:right w:val="nil"/>
                  </w:tcBorders>
                  <w:shd w:val="clear" w:color="auto" w:fill="auto"/>
                  <w:vAlign w:val="center"/>
                </w:tcPr>
                <w:p w14:paraId="28FB485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1AC21E2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6E5644E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固废</w:t>
                  </w:r>
                </w:p>
              </w:tc>
              <w:tc>
                <w:tcPr>
                  <w:tcW w:w="883" w:type="pct"/>
                  <w:tcBorders>
                    <w:top w:val="single" w:color="auto" w:sz="4" w:space="0"/>
                    <w:left w:val="single" w:color="auto" w:sz="4" w:space="0"/>
                    <w:bottom w:val="single" w:color="auto" w:sz="4" w:space="0"/>
                    <w:right w:val="single" w:color="auto" w:sz="4" w:space="0"/>
                  </w:tcBorders>
                  <w:shd w:val="clear" w:color="auto" w:fill="auto"/>
                  <w:vAlign w:val="center"/>
                </w:tcPr>
                <w:p w14:paraId="65FF7EF5">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yellow"/>
                    </w:rPr>
                  </w:pPr>
                  <w:r>
                    <w:rPr>
                      <w:rFonts w:hint="eastAsia" w:ascii="宋体" w:hAnsi="宋体" w:eastAsia="宋体" w:cs="宋体"/>
                      <w:color w:val="auto"/>
                      <w:kern w:val="0"/>
                      <w:sz w:val="18"/>
                      <w:szCs w:val="18"/>
                      <w:lang w:val="en-US" w:eastAsia="zh-CN" w:bidi="ar"/>
                    </w:rPr>
                    <w:t>生产</w:t>
                  </w:r>
                </w:p>
              </w:tc>
              <w:tc>
                <w:tcPr>
                  <w:tcW w:w="667" w:type="pct"/>
                  <w:tcBorders>
                    <w:top w:val="single" w:color="auto" w:sz="4" w:space="0"/>
                    <w:left w:val="single" w:color="auto" w:sz="4" w:space="0"/>
                    <w:bottom w:val="single" w:color="auto" w:sz="4" w:space="0"/>
                    <w:right w:val="single" w:color="auto" w:sz="4" w:space="0"/>
                  </w:tcBorders>
                  <w:shd w:val="clear" w:color="auto" w:fill="auto"/>
                  <w:vAlign w:val="center"/>
                </w:tcPr>
                <w:p w14:paraId="636309AE">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yellow"/>
                    </w:rPr>
                  </w:pPr>
                  <w:r>
                    <w:rPr>
                      <w:rFonts w:hint="eastAsia" w:ascii="宋体" w:hAnsi="宋体" w:eastAsia="宋体" w:cs="宋体"/>
                      <w:color w:val="auto"/>
                      <w:kern w:val="0"/>
                      <w:sz w:val="18"/>
                      <w:szCs w:val="18"/>
                      <w:lang w:val="en-US" w:eastAsia="zh-CN" w:bidi="ar"/>
                    </w:rPr>
                    <w:t>危险废物</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45CD455C">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yellow"/>
                    </w:rPr>
                  </w:pPr>
                  <w:r>
                    <w:rPr>
                      <w:rFonts w:hint="default" w:ascii="Times New Roman" w:hAnsi="Times New Roman" w:eastAsia="宋体" w:cs="Times New Roman"/>
                      <w:color w:val="auto"/>
                      <w:kern w:val="0"/>
                      <w:sz w:val="18"/>
                      <w:szCs w:val="18"/>
                      <w:lang w:val="en-US" w:eastAsia="zh-CN" w:bidi="ar"/>
                    </w:rPr>
                    <w:t>360m</w:t>
                  </w:r>
                  <w:r>
                    <w:rPr>
                      <w:rFonts w:hint="default" w:ascii="Times New Roman" w:hAnsi="Times New Roman" w:eastAsia="宋体" w:cs="Times New Roman"/>
                      <w:color w:val="auto"/>
                      <w:kern w:val="0"/>
                      <w:sz w:val="18"/>
                      <w:szCs w:val="18"/>
                      <w:vertAlign w:val="superscript"/>
                      <w:lang w:val="en-US" w:eastAsia="zh-CN" w:bidi="ar"/>
                    </w:rPr>
                    <w:t>2</w:t>
                  </w:r>
                  <w:r>
                    <w:rPr>
                      <w:rFonts w:hint="eastAsia" w:ascii="宋体" w:hAnsi="宋体" w:eastAsia="宋体" w:cs="宋体"/>
                      <w:color w:val="auto"/>
                      <w:kern w:val="0"/>
                      <w:sz w:val="18"/>
                      <w:szCs w:val="18"/>
                      <w:lang w:val="en-US" w:eastAsia="zh-CN" w:bidi="ar"/>
                    </w:rPr>
                    <w:t>依托现有</w:t>
                  </w:r>
                </w:p>
              </w:tc>
              <w:tc>
                <w:tcPr>
                  <w:tcW w:w="1297" w:type="pct"/>
                  <w:tcBorders>
                    <w:top w:val="single" w:color="auto" w:sz="4" w:space="0"/>
                    <w:left w:val="single" w:color="auto" w:sz="4" w:space="0"/>
                    <w:bottom w:val="single" w:color="auto" w:sz="4" w:space="0"/>
                    <w:right w:val="single" w:color="auto" w:sz="4" w:space="0"/>
                  </w:tcBorders>
                  <w:shd w:val="clear" w:color="auto" w:fill="auto"/>
                  <w:vAlign w:val="center"/>
                </w:tcPr>
                <w:p w14:paraId="1A731FD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highlight w:val="yellow"/>
                    </w:rPr>
                  </w:pPr>
                  <w:r>
                    <w:rPr>
                      <w:rFonts w:hint="eastAsia" w:ascii="宋体" w:hAnsi="宋体" w:eastAsia="宋体" w:cs="宋体"/>
                      <w:color w:val="auto"/>
                      <w:kern w:val="2"/>
                      <w:sz w:val="18"/>
                      <w:szCs w:val="18"/>
                      <w:lang w:val="en-US" w:eastAsia="zh-CN" w:bidi="ar"/>
                    </w:rPr>
                    <w:t>各类危废按要求分类暂存</w:t>
                  </w:r>
                </w:p>
              </w:tc>
              <w:tc>
                <w:tcPr>
                  <w:tcW w:w="428" w:type="pct"/>
                  <w:tcBorders>
                    <w:top w:val="single" w:color="auto" w:sz="4" w:space="0"/>
                    <w:left w:val="single" w:color="auto" w:sz="4" w:space="0"/>
                    <w:bottom w:val="nil"/>
                    <w:right w:val="single" w:color="auto" w:sz="4" w:space="0"/>
                  </w:tcBorders>
                  <w:shd w:val="clear" w:color="auto" w:fill="auto"/>
                  <w:vAlign w:val="center"/>
                </w:tcPr>
                <w:p w14:paraId="67BEC8F6">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bidi="ar"/>
                    </w:rPr>
                    <w:t>/</w:t>
                  </w:r>
                </w:p>
              </w:tc>
              <w:tc>
                <w:tcPr>
                  <w:tcW w:w="324" w:type="pct"/>
                  <w:vMerge w:val="continue"/>
                  <w:tcBorders>
                    <w:top w:val="single" w:color="auto" w:sz="4" w:space="0"/>
                    <w:left w:val="single" w:color="auto" w:sz="4" w:space="0"/>
                    <w:bottom w:val="single" w:color="auto" w:sz="4" w:space="0"/>
                    <w:right w:val="nil"/>
                  </w:tcBorders>
                  <w:shd w:val="clear" w:color="auto" w:fill="auto"/>
                  <w:vAlign w:val="center"/>
                </w:tcPr>
                <w:p w14:paraId="00133BF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5068844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4A4CCB8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噪声</w:t>
                  </w:r>
                </w:p>
              </w:tc>
              <w:tc>
                <w:tcPr>
                  <w:tcW w:w="155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372D0F9">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各类生产及辅助设备</w:t>
                  </w:r>
                </w:p>
              </w:tc>
              <w:tc>
                <w:tcPr>
                  <w:tcW w:w="819" w:type="pct"/>
                  <w:tcBorders>
                    <w:top w:val="single" w:color="auto" w:sz="4" w:space="0"/>
                    <w:left w:val="single" w:color="auto" w:sz="4" w:space="0"/>
                    <w:bottom w:val="single" w:color="auto" w:sz="4" w:space="0"/>
                    <w:right w:val="single" w:color="auto" w:sz="4" w:space="0"/>
                  </w:tcBorders>
                  <w:shd w:val="clear" w:color="auto" w:fill="auto"/>
                  <w:vAlign w:val="center"/>
                </w:tcPr>
                <w:p w14:paraId="0936C236">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隔声降噪措施</w:t>
                  </w:r>
                </w:p>
              </w:tc>
              <w:tc>
                <w:tcPr>
                  <w:tcW w:w="1297" w:type="pct"/>
                  <w:tcBorders>
                    <w:top w:val="single" w:color="auto" w:sz="4" w:space="0"/>
                    <w:left w:val="single" w:color="auto" w:sz="4" w:space="0"/>
                    <w:bottom w:val="single" w:color="auto" w:sz="4" w:space="0"/>
                    <w:right w:val="single" w:color="auto" w:sz="4" w:space="0"/>
                  </w:tcBorders>
                  <w:shd w:val="clear" w:color="auto" w:fill="auto"/>
                  <w:vAlign w:val="center"/>
                </w:tcPr>
                <w:p w14:paraId="719EA8E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隔声量</w:t>
                  </w:r>
                  <w:r>
                    <w:rPr>
                      <w:rFonts w:hint="default" w:ascii="Times New Roman" w:hAnsi="Times New Roman" w:eastAsia="宋体" w:cs="Times New Roman"/>
                      <w:color w:val="auto"/>
                      <w:kern w:val="2"/>
                      <w:sz w:val="18"/>
                      <w:szCs w:val="18"/>
                      <w:lang w:val="en-US" w:eastAsia="zh-CN" w:bidi="ar"/>
                    </w:rPr>
                    <w:t>≥15dB</w:t>
                  </w:r>
                  <w:r>
                    <w:rPr>
                      <w:rFonts w:hint="eastAsia" w:ascii="宋体" w:hAnsi="宋体" w:eastAsia="宋体" w:cs="宋体"/>
                      <w:color w:val="auto"/>
                      <w:kern w:val="2"/>
                      <w:sz w:val="18"/>
                      <w:szCs w:val="18"/>
                      <w:lang w:val="en-US" w:eastAsia="zh-CN" w:bidi="ar"/>
                    </w:rPr>
                    <w:t>（</w:t>
                  </w:r>
                  <w:r>
                    <w:rPr>
                      <w:rFonts w:hint="default" w:ascii="Times New Roman" w:hAnsi="Times New Roman" w:eastAsia="宋体" w:cs="Times New Roman"/>
                      <w:color w:val="auto"/>
                      <w:kern w:val="2"/>
                      <w:sz w:val="18"/>
                      <w:szCs w:val="18"/>
                      <w:lang w:val="en-US" w:eastAsia="zh-CN" w:bidi="ar"/>
                    </w:rPr>
                    <w:t>A</w:t>
                  </w:r>
                  <w:r>
                    <w:rPr>
                      <w:rFonts w:hint="eastAsia" w:ascii="宋体" w:hAnsi="宋体" w:eastAsia="宋体" w:cs="宋体"/>
                      <w:color w:val="auto"/>
                      <w:kern w:val="2"/>
                      <w:sz w:val="18"/>
                      <w:szCs w:val="18"/>
                      <w:lang w:val="en-US" w:eastAsia="zh-CN" w:bidi="ar"/>
                    </w:rPr>
                    <w:t>）</w:t>
                  </w:r>
                </w:p>
              </w:tc>
              <w:tc>
                <w:tcPr>
                  <w:tcW w:w="428" w:type="pct"/>
                  <w:tcBorders>
                    <w:top w:val="single" w:color="auto" w:sz="4" w:space="0"/>
                    <w:left w:val="single" w:color="auto" w:sz="4" w:space="0"/>
                    <w:bottom w:val="nil"/>
                    <w:right w:val="single" w:color="auto" w:sz="4" w:space="0"/>
                  </w:tcBorders>
                  <w:shd w:val="clear" w:color="auto" w:fill="auto"/>
                  <w:vAlign w:val="center"/>
                </w:tcPr>
                <w:p w14:paraId="4F550E7F">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yellow"/>
                    </w:rPr>
                  </w:pPr>
                  <w:r>
                    <w:rPr>
                      <w:rFonts w:hint="default" w:ascii="Times New Roman" w:hAnsi="Times New Roman" w:eastAsia="宋体" w:cs="Times New Roman"/>
                      <w:color w:val="auto"/>
                      <w:kern w:val="0"/>
                      <w:sz w:val="18"/>
                      <w:szCs w:val="18"/>
                      <w:lang w:val="en-US" w:eastAsia="zh-CN" w:bidi="ar"/>
                    </w:rPr>
                    <w:t>10</w:t>
                  </w:r>
                </w:p>
              </w:tc>
              <w:tc>
                <w:tcPr>
                  <w:tcW w:w="324" w:type="pct"/>
                  <w:vMerge w:val="continue"/>
                  <w:tcBorders>
                    <w:top w:val="single" w:color="auto" w:sz="4" w:space="0"/>
                    <w:left w:val="single" w:color="auto" w:sz="4" w:space="0"/>
                    <w:bottom w:val="single" w:color="auto" w:sz="4" w:space="0"/>
                    <w:right w:val="nil"/>
                  </w:tcBorders>
                  <w:shd w:val="clear" w:color="auto" w:fill="auto"/>
                  <w:vAlign w:val="center"/>
                </w:tcPr>
                <w:p w14:paraId="698D5F1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2B9C4D0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5CFDB23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事故应急措施</w:t>
                  </w:r>
                </w:p>
              </w:tc>
              <w:tc>
                <w:tcPr>
                  <w:tcW w:w="236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BE613AA">
                  <w:pPr>
                    <w:pStyle w:val="19"/>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rPr>
                  </w:pPr>
                  <w:r>
                    <w:rPr>
                      <w:rFonts w:hint="eastAsia" w:ascii="宋体" w:hAnsi="宋体" w:eastAsia="宋体" w:cs="宋体"/>
                      <w:color w:val="auto"/>
                      <w:kern w:val="0"/>
                      <w:sz w:val="18"/>
                      <w:szCs w:val="18"/>
                      <w:lang w:val="en-US" w:eastAsia="zh-CN" w:bidi="ar"/>
                    </w:rPr>
                    <w:t>制定应急管理计划，发生事故时报告并跟踪监测，并采取相应措施，全厂设置</w:t>
                  </w:r>
                  <w:r>
                    <w:rPr>
                      <w:rFonts w:hint="default" w:ascii="Times New Roman" w:hAnsi="Times New Roman" w:eastAsia="宋体" w:cs="Times New Roman"/>
                      <w:color w:val="auto"/>
                      <w:kern w:val="0"/>
                      <w:sz w:val="18"/>
                      <w:szCs w:val="18"/>
                      <w:lang w:val="en-US" w:eastAsia="zh-CN" w:bidi="ar"/>
                    </w:rPr>
                    <w:t>3990m</w:t>
                  </w:r>
                  <w:r>
                    <w:rPr>
                      <w:rFonts w:hint="default" w:ascii="Times New Roman" w:hAnsi="Times New Roman" w:eastAsia="宋体"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1330m</w:t>
                  </w:r>
                  <w:r>
                    <w:rPr>
                      <w:rFonts w:hint="default"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×3</w:t>
                  </w:r>
                  <w:r>
                    <w:rPr>
                      <w:rFonts w:hint="eastAsia" w:ascii="宋体" w:hAnsi="宋体" w:eastAsia="宋体" w:cs="宋体"/>
                      <w:color w:val="auto"/>
                      <w:kern w:val="0"/>
                      <w:sz w:val="18"/>
                      <w:szCs w:val="18"/>
                      <w:lang w:val="en-US" w:eastAsia="zh-CN" w:bidi="ar"/>
                    </w:rPr>
                    <w:t>）事故应急池、</w:t>
                  </w:r>
                  <w:r>
                    <w:rPr>
                      <w:rFonts w:hint="default" w:ascii="Times New Roman" w:hAnsi="Times New Roman" w:eastAsia="宋体" w:cs="Times New Roman"/>
                      <w:color w:val="auto"/>
                      <w:kern w:val="0"/>
                      <w:sz w:val="18"/>
                      <w:szCs w:val="18"/>
                      <w:lang w:val="en-US" w:eastAsia="zh-CN" w:bidi="ar"/>
                    </w:rPr>
                    <w:t>1700m</w:t>
                  </w:r>
                  <w:r>
                    <w:rPr>
                      <w:rFonts w:hint="default" w:ascii="Times New Roman" w:hAnsi="Times New Roman" w:eastAsia="宋体" w:cs="Times New Roman"/>
                      <w:color w:val="auto"/>
                      <w:kern w:val="0"/>
                      <w:sz w:val="18"/>
                      <w:szCs w:val="18"/>
                      <w:vertAlign w:val="superscript"/>
                      <w:lang w:val="en-US" w:eastAsia="zh-CN" w:bidi="ar"/>
                    </w:rPr>
                    <w:t>3</w:t>
                  </w:r>
                  <w:r>
                    <w:rPr>
                      <w:rFonts w:hint="eastAsia" w:ascii="宋体" w:hAnsi="宋体" w:eastAsia="宋体" w:cs="宋体"/>
                      <w:color w:val="auto"/>
                      <w:kern w:val="0"/>
                      <w:sz w:val="18"/>
                      <w:szCs w:val="18"/>
                      <w:lang w:val="en-US" w:eastAsia="zh-CN" w:bidi="ar"/>
                    </w:rPr>
                    <w:t>（</w:t>
                  </w:r>
                  <w:r>
                    <w:rPr>
                      <w:rFonts w:hint="default" w:ascii="Times New Roman" w:hAnsi="Times New Roman" w:eastAsia="宋体" w:cs="Times New Roman"/>
                      <w:color w:val="auto"/>
                      <w:kern w:val="0"/>
                      <w:sz w:val="18"/>
                      <w:szCs w:val="18"/>
                      <w:lang w:val="en-US" w:eastAsia="zh-CN" w:bidi="ar"/>
                    </w:rPr>
                    <w:t>850m</w:t>
                  </w:r>
                  <w:r>
                    <w:rPr>
                      <w:rFonts w:hint="default" w:ascii="Times New Roman" w:hAnsi="Times New Roman" w:eastAsia="宋体" w:cs="Times New Roman"/>
                      <w:color w:val="auto"/>
                      <w:kern w:val="0"/>
                      <w:sz w:val="18"/>
                      <w:szCs w:val="18"/>
                      <w:vertAlign w:val="superscript"/>
                      <w:lang w:val="en-US" w:eastAsia="zh-CN" w:bidi="ar"/>
                    </w:rPr>
                    <w:t>3</w:t>
                  </w:r>
                  <w:r>
                    <w:rPr>
                      <w:rFonts w:hint="default" w:ascii="Times New Roman" w:hAnsi="Times New Roman" w:eastAsia="宋体" w:cs="Times New Roman"/>
                      <w:color w:val="auto"/>
                      <w:kern w:val="0"/>
                      <w:sz w:val="18"/>
                      <w:szCs w:val="18"/>
                      <w:lang w:val="en-US" w:eastAsia="zh-CN" w:bidi="ar"/>
                    </w:rPr>
                    <w:t>×2</w:t>
                  </w:r>
                  <w:r>
                    <w:rPr>
                      <w:rFonts w:hint="eastAsia" w:ascii="宋体" w:hAnsi="宋体" w:eastAsia="宋体" w:cs="宋体"/>
                      <w:color w:val="auto"/>
                      <w:kern w:val="0"/>
                      <w:sz w:val="18"/>
                      <w:szCs w:val="18"/>
                      <w:lang w:val="en-US" w:eastAsia="zh-CN" w:bidi="ar"/>
                    </w:rPr>
                    <w:t>）初期雨水池。</w:t>
                  </w:r>
                </w:p>
              </w:tc>
              <w:tc>
                <w:tcPr>
                  <w:tcW w:w="1297" w:type="pct"/>
                  <w:tcBorders>
                    <w:top w:val="single" w:color="auto" w:sz="4" w:space="0"/>
                    <w:left w:val="single" w:color="auto" w:sz="4" w:space="0"/>
                    <w:bottom w:val="single" w:color="auto" w:sz="4" w:space="0"/>
                    <w:right w:val="single" w:color="auto" w:sz="4" w:space="0"/>
                  </w:tcBorders>
                  <w:shd w:val="clear" w:color="auto" w:fill="auto"/>
                  <w:vAlign w:val="center"/>
                </w:tcPr>
                <w:p w14:paraId="0BF462F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杜绝事故污水直接排放</w:t>
                  </w:r>
                </w:p>
              </w:tc>
              <w:tc>
                <w:tcPr>
                  <w:tcW w:w="428" w:type="pct"/>
                  <w:tcBorders>
                    <w:top w:val="single" w:color="auto" w:sz="4" w:space="0"/>
                    <w:left w:val="single" w:color="auto" w:sz="4" w:space="0"/>
                    <w:bottom w:val="nil"/>
                    <w:right w:val="single" w:color="auto" w:sz="4" w:space="0"/>
                  </w:tcBorders>
                  <w:shd w:val="clear" w:color="auto" w:fill="auto"/>
                  <w:vAlign w:val="center"/>
                </w:tcPr>
                <w:p w14:paraId="3DEF0F68">
                  <w:pPr>
                    <w:pStyle w:val="19"/>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yellow"/>
                    </w:rPr>
                  </w:pPr>
                  <w:r>
                    <w:rPr>
                      <w:rFonts w:hint="default" w:ascii="Times New Roman" w:hAnsi="Times New Roman" w:eastAsia="宋体" w:cs="Times New Roman"/>
                      <w:color w:val="auto"/>
                      <w:kern w:val="0"/>
                      <w:sz w:val="18"/>
                      <w:szCs w:val="18"/>
                      <w:lang w:val="en-US" w:eastAsia="zh-CN" w:bidi="ar"/>
                    </w:rPr>
                    <w:t>5</w:t>
                  </w:r>
                </w:p>
              </w:tc>
              <w:tc>
                <w:tcPr>
                  <w:tcW w:w="324" w:type="pct"/>
                  <w:vMerge w:val="continue"/>
                  <w:tcBorders>
                    <w:top w:val="single" w:color="auto" w:sz="4" w:space="0"/>
                    <w:left w:val="single" w:color="auto" w:sz="4" w:space="0"/>
                    <w:bottom w:val="single" w:color="auto" w:sz="4" w:space="0"/>
                    <w:right w:val="nil"/>
                  </w:tcBorders>
                  <w:shd w:val="clear" w:color="auto" w:fill="auto"/>
                  <w:vAlign w:val="center"/>
                </w:tcPr>
                <w:p w14:paraId="0F79CBB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7AC0658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6720781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清污分流、排污口设置</w:t>
                  </w:r>
                </w:p>
              </w:tc>
              <w:tc>
                <w:tcPr>
                  <w:tcW w:w="366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137456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利用现有废水排放口</w:t>
                  </w:r>
                  <w:r>
                    <w:rPr>
                      <w:rFonts w:hint="default" w:ascii="Times New Roman" w:hAnsi="Times New Roman" w:eastAsia="宋体" w:cs="Times New Roman"/>
                      <w:color w:val="auto"/>
                      <w:kern w:val="2"/>
                      <w:sz w:val="18"/>
                      <w:szCs w:val="18"/>
                      <w:lang w:val="en-US" w:eastAsia="zh-CN" w:bidi="ar"/>
                    </w:rPr>
                    <w:t>1</w:t>
                  </w:r>
                  <w:r>
                    <w:rPr>
                      <w:rFonts w:hint="eastAsia" w:ascii="宋体" w:hAnsi="宋体" w:eastAsia="宋体" w:cs="宋体"/>
                      <w:color w:val="auto"/>
                      <w:kern w:val="2"/>
                      <w:sz w:val="18"/>
                      <w:szCs w:val="18"/>
                      <w:lang w:val="en-US" w:eastAsia="zh-CN" w:bidi="ar"/>
                    </w:rPr>
                    <w:t>个、雨水排放口</w:t>
                  </w:r>
                  <w:r>
                    <w:rPr>
                      <w:rFonts w:hint="default" w:ascii="Times New Roman" w:hAnsi="Times New Roman" w:eastAsia="宋体" w:cs="Times New Roman"/>
                      <w:color w:val="auto"/>
                      <w:kern w:val="2"/>
                      <w:sz w:val="18"/>
                      <w:szCs w:val="18"/>
                      <w:lang w:val="en-US" w:eastAsia="zh-CN" w:bidi="ar"/>
                    </w:rPr>
                    <w:t>1</w:t>
                  </w:r>
                  <w:r>
                    <w:rPr>
                      <w:rFonts w:hint="eastAsia" w:ascii="宋体" w:hAnsi="宋体" w:eastAsia="宋体" w:cs="宋体"/>
                      <w:color w:val="auto"/>
                      <w:kern w:val="2"/>
                      <w:sz w:val="18"/>
                      <w:szCs w:val="18"/>
                      <w:lang w:val="en-US" w:eastAsia="zh-CN" w:bidi="ar"/>
                    </w:rPr>
                    <w:t>个、废气排放口</w:t>
                  </w:r>
                  <w:r>
                    <w:rPr>
                      <w:rFonts w:hint="default" w:ascii="Times New Roman" w:hAnsi="Times New Roman" w:eastAsia="宋体" w:cs="Times New Roman"/>
                      <w:color w:val="auto"/>
                      <w:kern w:val="2"/>
                      <w:sz w:val="18"/>
                      <w:szCs w:val="18"/>
                      <w:lang w:val="en-US" w:eastAsia="zh-CN" w:bidi="ar"/>
                    </w:rPr>
                    <w:t>1</w:t>
                  </w:r>
                  <w:r>
                    <w:rPr>
                      <w:rFonts w:hint="eastAsia" w:ascii="宋体" w:hAnsi="宋体" w:eastAsia="宋体" w:cs="宋体"/>
                      <w:color w:val="auto"/>
                      <w:kern w:val="2"/>
                      <w:sz w:val="18"/>
                      <w:szCs w:val="18"/>
                      <w:lang w:val="en-US" w:eastAsia="zh-CN" w:bidi="ar"/>
                    </w:rPr>
                    <w:t>个。废水排放口、雨水排放口、排气筒、高噪声设备处等处应按照规范设置标识并具备采样条件，在醒目处竖立环保图形标志牌。</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210A7F58">
                  <w:pPr>
                    <w:pStyle w:val="19"/>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0"/>
                      <w:sz w:val="18"/>
                      <w:szCs w:val="18"/>
                      <w:highlight w:val="yellow"/>
                    </w:rPr>
                  </w:pPr>
                  <w:r>
                    <w:rPr>
                      <w:rFonts w:hint="default" w:ascii="Times New Roman" w:hAnsi="Times New Roman" w:eastAsia="宋体" w:cs="Times New Roman"/>
                      <w:color w:val="auto"/>
                      <w:kern w:val="0"/>
                      <w:sz w:val="18"/>
                      <w:szCs w:val="18"/>
                      <w:lang w:val="en-US" w:eastAsia="zh-CN" w:bidi="ar"/>
                    </w:rPr>
                    <w:t>/</w:t>
                  </w:r>
                </w:p>
              </w:tc>
              <w:tc>
                <w:tcPr>
                  <w:tcW w:w="324" w:type="pct"/>
                  <w:vMerge w:val="continue"/>
                  <w:tcBorders>
                    <w:top w:val="single" w:color="auto" w:sz="4" w:space="0"/>
                    <w:left w:val="single" w:color="auto" w:sz="4" w:space="0"/>
                    <w:bottom w:val="single" w:color="auto" w:sz="4" w:space="0"/>
                    <w:right w:val="nil"/>
                  </w:tcBorders>
                  <w:shd w:val="clear" w:color="auto" w:fill="auto"/>
                  <w:vAlign w:val="center"/>
                </w:tcPr>
                <w:p w14:paraId="10283AF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r>
            <w:tr w14:paraId="2154C4A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22616C7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总量平衡具体方案</w:t>
                  </w:r>
                </w:p>
              </w:tc>
              <w:tc>
                <w:tcPr>
                  <w:tcW w:w="366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21D31B1">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本项目不新增废气、废水污染物总量</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0736B24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p>
              </w:tc>
              <w:tc>
                <w:tcPr>
                  <w:tcW w:w="324" w:type="pct"/>
                  <w:tcBorders>
                    <w:top w:val="single" w:color="auto" w:sz="4" w:space="0"/>
                    <w:left w:val="single" w:color="auto" w:sz="4" w:space="0"/>
                    <w:bottom w:val="single" w:color="auto" w:sz="4" w:space="0"/>
                    <w:right w:val="nil"/>
                  </w:tcBorders>
                  <w:shd w:val="clear" w:color="auto" w:fill="auto"/>
                  <w:vAlign w:val="center"/>
                </w:tcPr>
                <w:p w14:paraId="14AA23C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p>
              </w:tc>
            </w:tr>
            <w:tr w14:paraId="616B40F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41A176D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大气环境防护距离</w:t>
                  </w:r>
                </w:p>
              </w:tc>
              <w:tc>
                <w:tcPr>
                  <w:tcW w:w="366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9A468F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项目不需设置大气环境防护距离</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5DED662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p>
              </w:tc>
              <w:tc>
                <w:tcPr>
                  <w:tcW w:w="324" w:type="pct"/>
                  <w:tcBorders>
                    <w:top w:val="single" w:color="auto" w:sz="4" w:space="0"/>
                    <w:left w:val="single" w:color="auto" w:sz="4" w:space="0"/>
                    <w:bottom w:val="single" w:color="auto" w:sz="4" w:space="0"/>
                    <w:right w:val="nil"/>
                  </w:tcBorders>
                  <w:shd w:val="clear" w:color="auto" w:fill="auto"/>
                  <w:vAlign w:val="center"/>
                </w:tcPr>
                <w:p w14:paraId="6F9DDF7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p>
              </w:tc>
            </w:tr>
            <w:tr w14:paraId="0ACB383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trHeight w:val="469" w:hRule="atLeast"/>
                <w:jc w:val="center"/>
              </w:trPr>
              <w:tc>
                <w:tcPr>
                  <w:tcW w:w="580" w:type="pct"/>
                  <w:tcBorders>
                    <w:top w:val="single" w:color="auto" w:sz="4" w:space="0"/>
                    <w:left w:val="nil"/>
                    <w:bottom w:val="single" w:color="auto" w:sz="4" w:space="0"/>
                    <w:right w:val="single" w:color="auto" w:sz="4" w:space="0"/>
                  </w:tcBorders>
                  <w:shd w:val="clear" w:color="auto" w:fill="auto"/>
                  <w:vAlign w:val="center"/>
                </w:tcPr>
                <w:p w14:paraId="33178F9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卫生防护距离</w:t>
                  </w:r>
                </w:p>
              </w:tc>
              <w:tc>
                <w:tcPr>
                  <w:tcW w:w="3666"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273DA9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本项目建成后，全厂卫生防护距离为码头、厂界</w:t>
                  </w:r>
                  <w:r>
                    <w:rPr>
                      <w:rFonts w:hint="default" w:ascii="Times New Roman" w:hAnsi="Times New Roman" w:eastAsia="宋体" w:cs="Times New Roman"/>
                      <w:color w:val="auto"/>
                      <w:kern w:val="2"/>
                      <w:sz w:val="18"/>
                      <w:szCs w:val="18"/>
                      <w:lang w:val="en-US" w:eastAsia="zh-CN" w:bidi="ar"/>
                    </w:rPr>
                    <w:t>500m</w:t>
                  </w:r>
                  <w:r>
                    <w:rPr>
                      <w:rFonts w:hint="eastAsia" w:ascii="宋体" w:hAnsi="宋体" w:eastAsia="宋体" w:cs="宋体"/>
                      <w:color w:val="auto"/>
                      <w:kern w:val="2"/>
                      <w:sz w:val="18"/>
                      <w:szCs w:val="18"/>
                      <w:lang w:val="en-US" w:eastAsia="zh-CN" w:bidi="ar"/>
                    </w:rPr>
                    <w:t>范围，该卫生防护距离内无居民、学校、医院等敏感目标。</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14:paraId="2BC3C69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p>
              </w:tc>
              <w:tc>
                <w:tcPr>
                  <w:tcW w:w="324" w:type="pct"/>
                  <w:tcBorders>
                    <w:top w:val="single" w:color="auto" w:sz="4" w:space="0"/>
                    <w:left w:val="single" w:color="auto" w:sz="4" w:space="0"/>
                    <w:bottom w:val="single" w:color="auto" w:sz="4" w:space="0"/>
                    <w:right w:val="nil"/>
                  </w:tcBorders>
                  <w:shd w:val="clear" w:color="auto" w:fill="auto"/>
                  <w:vAlign w:val="center"/>
                </w:tcPr>
                <w:p w14:paraId="08532868">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default" w:ascii="Times New Roman" w:hAnsi="Times New Roman" w:eastAsia="宋体" w:cs="Times New Roman"/>
                      <w:color w:val="auto"/>
                      <w:kern w:val="2"/>
                      <w:sz w:val="18"/>
                      <w:szCs w:val="18"/>
                      <w:lang w:val="en-US" w:eastAsia="zh-CN" w:bidi="ar"/>
                    </w:rPr>
                    <w:t>/</w:t>
                  </w:r>
                </w:p>
              </w:tc>
            </w:tr>
            <w:tr w14:paraId="4967A5A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jc w:val="center"/>
              </w:trPr>
              <w:tc>
                <w:tcPr>
                  <w:tcW w:w="2949" w:type="pct"/>
                  <w:gridSpan w:val="4"/>
                  <w:tcBorders>
                    <w:top w:val="single" w:color="auto" w:sz="4" w:space="0"/>
                    <w:left w:val="nil"/>
                    <w:bottom w:val="single" w:color="auto" w:sz="12" w:space="0"/>
                    <w:right w:val="single" w:color="auto" w:sz="4" w:space="0"/>
                  </w:tcBorders>
                  <w:shd w:val="clear" w:color="auto" w:fill="auto"/>
                  <w:vAlign w:val="center"/>
                </w:tcPr>
                <w:p w14:paraId="3802C42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合计</w:t>
                  </w:r>
                </w:p>
              </w:tc>
              <w:tc>
                <w:tcPr>
                  <w:tcW w:w="1297" w:type="pct"/>
                  <w:tcBorders>
                    <w:top w:val="single" w:color="auto" w:sz="4" w:space="0"/>
                    <w:left w:val="single" w:color="auto" w:sz="4" w:space="0"/>
                    <w:bottom w:val="single" w:color="auto" w:sz="12" w:space="0"/>
                    <w:right w:val="single" w:color="auto" w:sz="4" w:space="0"/>
                  </w:tcBorders>
                  <w:shd w:val="clear" w:color="auto" w:fill="auto"/>
                  <w:vAlign w:val="center"/>
                </w:tcPr>
                <w:p w14:paraId="4EDBDFB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w:t>
                  </w:r>
                </w:p>
              </w:tc>
              <w:tc>
                <w:tcPr>
                  <w:tcW w:w="428" w:type="pct"/>
                  <w:tcBorders>
                    <w:top w:val="single" w:color="auto" w:sz="4" w:space="0"/>
                    <w:left w:val="single" w:color="auto" w:sz="4" w:space="0"/>
                    <w:bottom w:val="single" w:color="auto" w:sz="12" w:space="0"/>
                    <w:right w:val="single" w:color="auto" w:sz="4" w:space="0"/>
                  </w:tcBorders>
                  <w:shd w:val="clear" w:color="auto" w:fill="auto"/>
                  <w:vAlign w:val="center"/>
                </w:tcPr>
                <w:p w14:paraId="42BAAAF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highlight w:val="yellow"/>
                    </w:rPr>
                  </w:pPr>
                  <w:r>
                    <w:rPr>
                      <w:rFonts w:hint="default" w:ascii="Times New Roman" w:hAnsi="Times New Roman" w:eastAsia="宋体" w:cs="Times New Roman"/>
                      <w:color w:val="auto"/>
                      <w:kern w:val="2"/>
                      <w:sz w:val="18"/>
                      <w:szCs w:val="18"/>
                      <w:lang w:val="en-US" w:eastAsia="zh-CN" w:bidi="ar"/>
                    </w:rPr>
                    <w:t>25</w:t>
                  </w:r>
                </w:p>
              </w:tc>
              <w:tc>
                <w:tcPr>
                  <w:tcW w:w="324" w:type="pct"/>
                  <w:tcBorders>
                    <w:top w:val="single" w:color="auto" w:sz="4" w:space="0"/>
                    <w:left w:val="single" w:color="auto" w:sz="4" w:space="0"/>
                    <w:bottom w:val="single" w:color="auto" w:sz="12" w:space="0"/>
                    <w:right w:val="nil"/>
                  </w:tcBorders>
                  <w:shd w:val="clear" w:color="auto" w:fill="auto"/>
                  <w:vAlign w:val="center"/>
                </w:tcPr>
                <w:p w14:paraId="395EAF0E">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18"/>
                      <w:szCs w:val="18"/>
                    </w:rPr>
                  </w:pPr>
                  <w:r>
                    <w:rPr>
                      <w:rFonts w:hint="eastAsia" w:ascii="宋体" w:hAnsi="宋体" w:eastAsia="宋体" w:cs="宋体"/>
                      <w:color w:val="auto"/>
                      <w:kern w:val="2"/>
                      <w:sz w:val="18"/>
                      <w:szCs w:val="18"/>
                      <w:lang w:val="en-US" w:eastAsia="zh-CN" w:bidi="ar"/>
                    </w:rPr>
                    <w:t>－</w:t>
                  </w:r>
                </w:p>
              </w:tc>
            </w:tr>
          </w:tbl>
          <w:p w14:paraId="66C159A4">
            <w:pPr>
              <w:keepNext w:val="0"/>
              <w:keepLines w:val="0"/>
              <w:suppressLineNumbers w:val="0"/>
              <w:autoSpaceDE w:val="0"/>
              <w:autoSpaceDN w:val="0"/>
              <w:adjustRightInd w:val="0"/>
              <w:snapToGrid w:val="0"/>
              <w:spacing w:before="0" w:beforeAutospacing="0" w:after="0" w:afterAutospacing="0"/>
              <w:ind w:left="0" w:right="0"/>
              <w:jc w:val="both"/>
              <w:rPr>
                <w:rFonts w:hint="eastAsia" w:ascii="Times New Roman" w:hAnsi="Times New Roman" w:eastAsia="宋体" w:cs="Times New Roman"/>
                <w:b/>
                <w:color w:val="auto"/>
                <w:kern w:val="0"/>
                <w:sz w:val="15"/>
                <w:szCs w:val="15"/>
                <w:highlight w:val="none"/>
                <w:lang w:val="en-US" w:eastAsia="zh-CN"/>
              </w:rPr>
            </w:pPr>
          </w:p>
          <w:p w14:paraId="584129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0" w:firstLineChars="200"/>
              <w:textAlignment w:val="auto"/>
              <w:rPr>
                <w:rFonts w:hint="default" w:ascii="宋体" w:hAnsi="宋体" w:cs="宋体"/>
                <w:bCs/>
                <w:color w:val="auto"/>
                <w:spacing w:val="10"/>
                <w:szCs w:val="21"/>
                <w:lang w:val="en-US"/>
              </w:rPr>
            </w:pPr>
          </w:p>
        </w:tc>
      </w:tr>
    </w:tbl>
    <w:p w14:paraId="43AA7EE1">
      <w:pPr>
        <w:rPr>
          <w:color w:val="auto"/>
        </w:rPr>
        <w:sectPr>
          <w:pgSz w:w="11907" w:h="16840"/>
          <w:pgMar w:top="1440" w:right="1440" w:bottom="1440" w:left="1440" w:header="851" w:footer="1077" w:gutter="0"/>
          <w:pgBorders>
            <w:top w:val="none" w:sz="0" w:space="0"/>
            <w:left w:val="none" w:sz="0" w:space="0"/>
            <w:bottom w:val="none" w:sz="0" w:space="0"/>
            <w:right w:val="none" w:sz="0" w:space="0"/>
          </w:pgBorders>
          <w:pgNumType w:fmt="decimal"/>
          <w:cols w:space="720" w:num="1"/>
          <w:docGrid w:linePitch="312" w:charSpace="0"/>
        </w:sectPr>
      </w:pPr>
    </w:p>
    <w:p w14:paraId="2B838685">
      <w:pPr>
        <w:pStyle w:val="19"/>
        <w:keepNext w:val="0"/>
        <w:keepLines w:val="0"/>
        <w:pageBreakBefore w:val="0"/>
        <w:widowControl/>
        <w:kinsoku/>
        <w:wordWrap/>
        <w:overflowPunct/>
        <w:topLinePunct w:val="0"/>
        <w:autoSpaceDE/>
        <w:autoSpaceDN/>
        <w:bidi w:val="0"/>
        <w:adjustRightInd/>
        <w:snapToGrid/>
        <w:jc w:val="center"/>
        <w:textAlignment w:val="auto"/>
        <w:outlineLvl w:val="0"/>
        <w:rPr>
          <w:rFonts w:ascii="黑体" w:hAnsi="黑体" w:eastAsia="黑体"/>
          <w:snapToGrid w:val="0"/>
          <w:color w:val="auto"/>
          <w:sz w:val="30"/>
          <w:szCs w:val="30"/>
        </w:rPr>
      </w:pPr>
      <w:bookmarkStart w:id="9" w:name="_Toc15027"/>
      <w:r>
        <w:rPr>
          <w:rFonts w:hint="eastAsia" w:ascii="黑体" w:hAnsi="黑体" w:eastAsia="黑体"/>
          <w:snapToGrid w:val="0"/>
          <w:color w:val="auto"/>
          <w:sz w:val="30"/>
          <w:szCs w:val="30"/>
        </w:rPr>
        <w:t>六、生态环境保护措施监督检查清单</w:t>
      </w:r>
      <w:bookmarkEnd w:id="9"/>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1588"/>
        <w:gridCol w:w="1535"/>
        <w:gridCol w:w="1638"/>
        <w:gridCol w:w="2108"/>
      </w:tblGrid>
      <w:tr w14:paraId="03AB42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vMerge w:val="restart"/>
            <w:tcBorders>
              <w:tl2br w:val="single" w:color="auto" w:sz="4" w:space="0"/>
            </w:tcBorders>
            <w:noWrap w:val="0"/>
            <w:vAlign w:val="top"/>
          </w:tcPr>
          <w:p w14:paraId="332E9D14">
            <w:pPr>
              <w:pStyle w:val="19"/>
              <w:keepNext w:val="0"/>
              <w:keepLines w:val="0"/>
              <w:pageBreakBefore w:val="0"/>
              <w:suppressLineNumbers w:val="0"/>
              <w:kinsoku/>
              <w:wordWrap/>
              <w:overflowPunct/>
              <w:topLinePunct w:val="0"/>
              <w:autoSpaceDE/>
              <w:autoSpaceDN/>
              <w:bidi w:val="0"/>
              <w:adjustRightInd w:val="0"/>
              <w:snapToGrid w:val="0"/>
              <w:spacing w:before="72" w:beforeLines="30" w:beforeAutospacing="0" w:after="0" w:afterAutospacing="0"/>
              <w:ind w:left="0" w:right="0"/>
              <w:jc w:val="center"/>
              <w:textAlignment w:val="auto"/>
              <w:outlineLvl w:val="9"/>
              <w:rPr>
                <w:rFonts w:hint="eastAsia" w:ascii="黑体" w:hAnsi="黑体" w:eastAsia="黑体" w:cs="宋体"/>
                <w:color w:val="auto"/>
                <w:kern w:val="2"/>
                <w:sz w:val="21"/>
                <w:szCs w:val="21"/>
              </w:rPr>
            </w:pPr>
            <w:r>
              <w:rPr>
                <w:rFonts w:hint="eastAsia" w:ascii="黑体" w:hAnsi="黑体" w:eastAsia="黑体" w:cs="宋体"/>
                <w:color w:val="auto"/>
                <w:kern w:val="2"/>
                <w:sz w:val="21"/>
                <w:szCs w:val="21"/>
              </w:rPr>
              <w:t xml:space="preserve">       </w:t>
            </w:r>
          </w:p>
          <w:p w14:paraId="259429BF">
            <w:pPr>
              <w:pStyle w:val="19"/>
              <w:keepNext w:val="0"/>
              <w:keepLines w:val="0"/>
              <w:pageBreakBefore w:val="0"/>
              <w:suppressLineNumbers w:val="0"/>
              <w:kinsoku/>
              <w:wordWrap/>
              <w:overflowPunct/>
              <w:topLinePunct w:val="0"/>
              <w:autoSpaceDE/>
              <w:autoSpaceDN/>
              <w:bidi w:val="0"/>
              <w:adjustRightInd w:val="0"/>
              <w:snapToGrid w:val="0"/>
              <w:spacing w:before="72" w:beforeLines="30" w:beforeAutospacing="0" w:after="0" w:afterAutospacing="0"/>
              <w:ind w:left="0" w:right="0"/>
              <w:jc w:val="center"/>
              <w:textAlignment w:val="auto"/>
              <w:outlineLvl w:val="9"/>
              <w:rPr>
                <w:rFonts w:hint="default" w:ascii="黑体" w:hAnsi="黑体" w:eastAsia="黑体" w:cs="宋体"/>
                <w:color w:val="auto"/>
                <w:kern w:val="2"/>
                <w:sz w:val="21"/>
                <w:szCs w:val="21"/>
              </w:rPr>
            </w:pPr>
            <w:r>
              <w:rPr>
                <w:rFonts w:hint="eastAsia" w:ascii="黑体" w:hAnsi="黑体" w:eastAsia="黑体" w:cs="宋体"/>
                <w:color w:val="auto"/>
                <w:kern w:val="2"/>
                <w:sz w:val="21"/>
                <w:szCs w:val="21"/>
              </w:rPr>
              <w:t xml:space="preserve">             内容</w:t>
            </w:r>
          </w:p>
          <w:p w14:paraId="21697B3C">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14" w:lineRule="auto"/>
              <w:ind w:left="0" w:right="0"/>
              <w:textAlignment w:val="auto"/>
              <w:outlineLvl w:val="9"/>
              <w:rPr>
                <w:rFonts w:hint="eastAsia" w:ascii="黑体" w:hAnsi="黑体" w:eastAsia="黑体" w:cs="宋体"/>
                <w:color w:val="auto"/>
                <w:kern w:val="2"/>
                <w:sz w:val="135"/>
                <w:szCs w:val="21"/>
              </w:rPr>
            </w:pPr>
            <w:r>
              <w:rPr>
                <w:rFonts w:hint="eastAsia" w:ascii="黑体" w:hAnsi="黑体" w:eastAsia="黑体" w:cs="宋体"/>
                <w:color w:val="auto"/>
                <w:kern w:val="2"/>
                <w:sz w:val="21"/>
                <w:szCs w:val="21"/>
              </w:rPr>
              <w:t xml:space="preserve"> </w:t>
            </w:r>
            <w:r>
              <w:rPr>
                <w:rFonts w:hint="eastAsia" w:ascii="黑体" w:hAnsi="黑体" w:eastAsia="黑体" w:cs="宋体"/>
                <w:color w:val="auto"/>
                <w:kern w:val="2"/>
                <w:sz w:val="135"/>
                <w:szCs w:val="21"/>
              </w:rPr>
              <w:t xml:space="preserve"> </w:t>
            </w:r>
          </w:p>
          <w:p w14:paraId="78B80208">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textAlignment w:val="auto"/>
              <w:outlineLvl w:val="9"/>
              <w:rPr>
                <w:rFonts w:hint="eastAsia" w:ascii="黑体" w:hAnsi="黑体" w:eastAsia="黑体" w:cs="宋体"/>
                <w:color w:val="auto"/>
                <w:kern w:val="2"/>
                <w:sz w:val="21"/>
                <w:szCs w:val="21"/>
              </w:rPr>
            </w:pPr>
            <w:r>
              <w:rPr>
                <w:rFonts w:hint="eastAsia" w:ascii="黑体" w:hAnsi="黑体" w:eastAsia="黑体" w:cs="宋体"/>
                <w:color w:val="auto"/>
                <w:kern w:val="2"/>
                <w:sz w:val="21"/>
                <w:szCs w:val="21"/>
              </w:rPr>
              <w:t>要素</w:t>
            </w:r>
          </w:p>
        </w:tc>
        <w:tc>
          <w:tcPr>
            <w:tcW w:w="1689" w:type="pct"/>
            <w:gridSpan w:val="2"/>
            <w:noWrap w:val="0"/>
            <w:vAlign w:val="center"/>
          </w:tcPr>
          <w:p w14:paraId="57095A2F">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黑体" w:hAnsi="黑体" w:eastAsia="黑体" w:cs="宋体"/>
                <w:color w:val="auto"/>
                <w:kern w:val="2"/>
                <w:sz w:val="21"/>
                <w:szCs w:val="21"/>
              </w:rPr>
            </w:pPr>
            <w:r>
              <w:rPr>
                <w:rFonts w:hint="eastAsia" w:ascii="黑体" w:hAnsi="黑体" w:eastAsia="黑体" w:cs="宋体"/>
                <w:color w:val="auto"/>
                <w:kern w:val="2"/>
                <w:sz w:val="21"/>
                <w:szCs w:val="21"/>
              </w:rPr>
              <w:t>施工期</w:t>
            </w:r>
          </w:p>
        </w:tc>
        <w:tc>
          <w:tcPr>
            <w:tcW w:w="2026" w:type="pct"/>
            <w:gridSpan w:val="2"/>
            <w:noWrap w:val="0"/>
            <w:vAlign w:val="center"/>
          </w:tcPr>
          <w:p w14:paraId="0A64AD26">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黑体" w:hAnsi="黑体" w:eastAsia="黑体" w:cs="宋体"/>
                <w:color w:val="auto"/>
                <w:kern w:val="2"/>
                <w:sz w:val="21"/>
                <w:szCs w:val="21"/>
              </w:rPr>
            </w:pPr>
            <w:r>
              <w:rPr>
                <w:rFonts w:hint="eastAsia" w:ascii="黑体" w:hAnsi="黑体" w:eastAsia="黑体" w:cs="宋体"/>
                <w:color w:val="auto"/>
                <w:kern w:val="2"/>
                <w:sz w:val="21"/>
                <w:szCs w:val="21"/>
              </w:rPr>
              <w:t>运营期</w:t>
            </w:r>
          </w:p>
        </w:tc>
      </w:tr>
      <w:tr w14:paraId="6135A7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vMerge w:val="continue"/>
            <w:noWrap w:val="0"/>
            <w:vAlign w:val="top"/>
          </w:tcPr>
          <w:p w14:paraId="2F947654">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firstLine="840"/>
              <w:jc w:val="center"/>
              <w:textAlignment w:val="auto"/>
              <w:outlineLvl w:val="9"/>
              <w:rPr>
                <w:rFonts w:hint="default" w:ascii="黑体" w:hAnsi="黑体" w:eastAsia="黑体" w:cs="宋体"/>
                <w:color w:val="auto"/>
                <w:kern w:val="2"/>
                <w:sz w:val="21"/>
                <w:szCs w:val="21"/>
              </w:rPr>
            </w:pPr>
          </w:p>
        </w:tc>
        <w:tc>
          <w:tcPr>
            <w:tcW w:w="859" w:type="pct"/>
            <w:noWrap w:val="0"/>
            <w:vAlign w:val="center"/>
          </w:tcPr>
          <w:p w14:paraId="51DA97D0">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黑体" w:hAnsi="黑体" w:eastAsia="黑体" w:cs="宋体"/>
                <w:color w:val="auto"/>
                <w:kern w:val="2"/>
                <w:sz w:val="21"/>
                <w:szCs w:val="21"/>
              </w:rPr>
            </w:pPr>
            <w:r>
              <w:rPr>
                <w:rFonts w:hint="eastAsia" w:ascii="黑体" w:hAnsi="黑体" w:eastAsia="黑体" w:cs="宋体"/>
                <w:color w:val="auto"/>
                <w:kern w:val="2"/>
                <w:sz w:val="21"/>
                <w:szCs w:val="21"/>
              </w:rPr>
              <w:t>环境保护措施</w:t>
            </w:r>
          </w:p>
        </w:tc>
        <w:tc>
          <w:tcPr>
            <w:tcW w:w="829" w:type="pct"/>
            <w:noWrap w:val="0"/>
            <w:vAlign w:val="center"/>
          </w:tcPr>
          <w:p w14:paraId="198FD04B">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黑体" w:hAnsi="黑体" w:eastAsia="黑体" w:cs="宋体"/>
                <w:color w:val="auto"/>
                <w:kern w:val="2"/>
                <w:sz w:val="21"/>
                <w:szCs w:val="21"/>
              </w:rPr>
            </w:pPr>
            <w:r>
              <w:rPr>
                <w:rFonts w:hint="eastAsia" w:ascii="黑体" w:hAnsi="黑体" w:eastAsia="黑体" w:cs="宋体"/>
                <w:color w:val="auto"/>
                <w:kern w:val="2"/>
                <w:sz w:val="21"/>
                <w:szCs w:val="21"/>
              </w:rPr>
              <w:t>验收要求</w:t>
            </w:r>
          </w:p>
        </w:tc>
        <w:tc>
          <w:tcPr>
            <w:tcW w:w="886" w:type="pct"/>
            <w:noWrap w:val="0"/>
            <w:vAlign w:val="center"/>
          </w:tcPr>
          <w:p w14:paraId="0FAA09D3">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黑体" w:hAnsi="黑体" w:eastAsia="黑体" w:cs="宋体"/>
                <w:color w:val="auto"/>
                <w:kern w:val="2"/>
                <w:sz w:val="21"/>
                <w:szCs w:val="21"/>
              </w:rPr>
            </w:pPr>
            <w:r>
              <w:rPr>
                <w:rFonts w:hint="eastAsia" w:ascii="黑体" w:hAnsi="黑体" w:eastAsia="黑体" w:cs="宋体"/>
                <w:color w:val="auto"/>
                <w:kern w:val="2"/>
                <w:sz w:val="21"/>
                <w:szCs w:val="21"/>
              </w:rPr>
              <w:t>环境保护措施</w:t>
            </w:r>
          </w:p>
        </w:tc>
        <w:tc>
          <w:tcPr>
            <w:tcW w:w="1139" w:type="pct"/>
            <w:noWrap w:val="0"/>
            <w:vAlign w:val="center"/>
          </w:tcPr>
          <w:p w14:paraId="64405168">
            <w:pPr>
              <w:pStyle w:val="1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黑体" w:hAnsi="黑体" w:eastAsia="黑体" w:cs="宋体"/>
                <w:color w:val="auto"/>
                <w:kern w:val="2"/>
                <w:sz w:val="21"/>
                <w:szCs w:val="21"/>
              </w:rPr>
            </w:pPr>
            <w:r>
              <w:rPr>
                <w:rFonts w:hint="eastAsia" w:ascii="黑体" w:hAnsi="黑体" w:eastAsia="黑体" w:cs="宋体"/>
                <w:color w:val="auto"/>
                <w:kern w:val="2"/>
                <w:sz w:val="21"/>
                <w:szCs w:val="21"/>
              </w:rPr>
              <w:t>验收要求</w:t>
            </w:r>
          </w:p>
        </w:tc>
      </w:tr>
      <w:tr w14:paraId="6F3BB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222604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陆生生态</w:t>
            </w:r>
          </w:p>
        </w:tc>
        <w:tc>
          <w:tcPr>
            <w:tcW w:w="859" w:type="pct"/>
            <w:noWrap w:val="0"/>
            <w:vAlign w:val="center"/>
          </w:tcPr>
          <w:p w14:paraId="4B8388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5FB50E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1D1E6D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139" w:type="pct"/>
            <w:noWrap w:val="0"/>
            <w:vAlign w:val="center"/>
          </w:tcPr>
          <w:p w14:paraId="3A1939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1894C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12DBF1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水生生态</w:t>
            </w:r>
          </w:p>
        </w:tc>
        <w:tc>
          <w:tcPr>
            <w:tcW w:w="859" w:type="pct"/>
            <w:noWrap w:val="0"/>
            <w:vAlign w:val="center"/>
          </w:tcPr>
          <w:p w14:paraId="175673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7F0103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0D5E20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139" w:type="pct"/>
            <w:noWrap w:val="0"/>
            <w:vAlign w:val="center"/>
          </w:tcPr>
          <w:p w14:paraId="33A442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3E112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4904FC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地表水环境</w:t>
            </w:r>
          </w:p>
        </w:tc>
        <w:tc>
          <w:tcPr>
            <w:tcW w:w="859" w:type="pct"/>
            <w:noWrap w:val="0"/>
            <w:vAlign w:val="center"/>
          </w:tcPr>
          <w:p w14:paraId="35B35D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472197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7EDDD3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lang w:val="en-US"/>
              </w:rPr>
            </w:pPr>
            <w:r>
              <w:rPr>
                <w:rFonts w:hint="eastAsia" w:ascii="宋体" w:hAnsi="宋体" w:eastAsia="宋体" w:cs="宋体"/>
                <w:color w:val="auto"/>
                <w:szCs w:val="21"/>
                <w:lang w:val="en-US" w:eastAsia="zh-CN"/>
              </w:rPr>
              <w:t>本项目</w:t>
            </w:r>
            <w:r>
              <w:rPr>
                <w:rFonts w:hint="eastAsia" w:ascii="宋体" w:hAnsi="宋体" w:eastAsia="宋体" w:cs="宋体"/>
                <w:i w:val="0"/>
                <w:iCs w:val="0"/>
                <w:color w:val="auto"/>
                <w:szCs w:val="21"/>
                <w:highlight w:val="none"/>
                <w:lang w:val="en-US" w:eastAsia="zh-CN"/>
              </w:rPr>
              <w:t>不新增废水排放</w:t>
            </w:r>
          </w:p>
        </w:tc>
        <w:tc>
          <w:tcPr>
            <w:tcW w:w="1139" w:type="pct"/>
            <w:noWrap w:val="0"/>
            <w:vAlign w:val="center"/>
          </w:tcPr>
          <w:p w14:paraId="55BB35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27A531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24A3D4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地下水及土壤环境</w:t>
            </w:r>
          </w:p>
        </w:tc>
        <w:tc>
          <w:tcPr>
            <w:tcW w:w="859" w:type="pct"/>
            <w:noWrap w:val="0"/>
            <w:vAlign w:val="center"/>
          </w:tcPr>
          <w:p w14:paraId="620B89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73C975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6C0B38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139" w:type="pct"/>
            <w:noWrap w:val="0"/>
            <w:vAlign w:val="center"/>
          </w:tcPr>
          <w:p w14:paraId="7E5F15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70A11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7C6889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声环境</w:t>
            </w:r>
          </w:p>
        </w:tc>
        <w:tc>
          <w:tcPr>
            <w:tcW w:w="859" w:type="pct"/>
            <w:noWrap w:val="0"/>
            <w:vAlign w:val="center"/>
          </w:tcPr>
          <w:p w14:paraId="4ADE2E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65E99D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4241EE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139" w:type="pct"/>
            <w:noWrap w:val="0"/>
            <w:vAlign w:val="center"/>
          </w:tcPr>
          <w:p w14:paraId="00697A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070C2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44B06F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振动</w:t>
            </w:r>
          </w:p>
        </w:tc>
        <w:tc>
          <w:tcPr>
            <w:tcW w:w="859" w:type="pct"/>
            <w:noWrap w:val="0"/>
            <w:vAlign w:val="center"/>
          </w:tcPr>
          <w:p w14:paraId="4BC0D6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32C10A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5B71B8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139" w:type="pct"/>
            <w:noWrap w:val="0"/>
            <w:vAlign w:val="center"/>
          </w:tcPr>
          <w:p w14:paraId="76F909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r>
      <w:tr w14:paraId="6F2CC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3525C5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大气环境</w:t>
            </w:r>
          </w:p>
        </w:tc>
        <w:tc>
          <w:tcPr>
            <w:tcW w:w="859" w:type="pct"/>
            <w:noWrap w:val="0"/>
            <w:vAlign w:val="center"/>
          </w:tcPr>
          <w:p w14:paraId="263F92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1581D72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638" w:type="dxa"/>
            <w:noWrap w:val="0"/>
            <w:vAlign w:val="center"/>
          </w:tcPr>
          <w:p w14:paraId="74A06B5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宋体" w:hAnsi="宋体" w:eastAsia="宋体" w:cs="宋体"/>
                <w:color w:val="auto"/>
                <w:szCs w:val="21"/>
                <w:highlight w:val="yellow"/>
                <w:lang w:val="en-US" w:eastAsia="zh-CN"/>
              </w:rPr>
            </w:pPr>
            <w:r>
              <w:rPr>
                <w:rFonts w:hint="eastAsia" w:ascii="宋体" w:hAnsi="宋体" w:eastAsia="宋体" w:cs="宋体"/>
                <w:color w:val="auto"/>
                <w:kern w:val="2"/>
                <w:sz w:val="21"/>
                <w:szCs w:val="21"/>
                <w:lang w:val="en-US" w:eastAsia="zh-CN" w:bidi="ar"/>
              </w:rPr>
              <w:t>罐区废气、</w:t>
            </w:r>
            <w:r>
              <w:rPr>
                <w:rFonts w:hint="eastAsia" w:ascii="宋体" w:hAnsi="宋体" w:cs="宋体"/>
                <w:color w:val="auto"/>
                <w:szCs w:val="21"/>
                <w:highlight w:val="none"/>
                <w:lang w:val="en-US" w:eastAsia="zh-CN"/>
              </w:rPr>
              <w:t>装船废气、</w:t>
            </w:r>
            <w:r>
              <w:rPr>
                <w:rFonts w:hint="eastAsia" w:ascii="宋体" w:hAnsi="宋体" w:eastAsia="宋体" w:cs="宋体"/>
                <w:color w:val="auto"/>
                <w:kern w:val="2"/>
                <w:sz w:val="21"/>
                <w:szCs w:val="21"/>
                <w:lang w:val="en-US" w:eastAsia="zh-CN" w:bidi="ar"/>
              </w:rPr>
              <w:t>汽车装载废气、扫线废气等、厂区内非甲烷总烃、厂界非甲烷总烃</w:t>
            </w:r>
          </w:p>
        </w:tc>
        <w:tc>
          <w:tcPr>
            <w:tcW w:w="2108" w:type="dxa"/>
            <w:noWrap w:val="0"/>
            <w:vAlign w:val="center"/>
          </w:tcPr>
          <w:p w14:paraId="5C07C56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eastAsia" w:ascii="宋体" w:hAnsi="宋体" w:eastAsia="宋体" w:cs="宋体"/>
                <w:color w:val="auto"/>
                <w:kern w:val="2"/>
                <w:sz w:val="21"/>
                <w:szCs w:val="21"/>
                <w:lang w:val="en-US" w:eastAsia="zh-CN" w:bidi="ar"/>
              </w:rPr>
              <w:t>达江苏省地方标准《大气污染物综合排放标准》（</w:t>
            </w:r>
            <w:r>
              <w:rPr>
                <w:rFonts w:hint="default" w:ascii="Times New Roman" w:hAnsi="Times New Roman" w:eastAsia="宋体" w:cs="Times New Roman"/>
                <w:color w:val="auto"/>
                <w:kern w:val="2"/>
                <w:sz w:val="21"/>
                <w:szCs w:val="21"/>
                <w:lang w:val="en-US" w:eastAsia="zh-CN" w:bidi="ar"/>
              </w:rPr>
              <w:t>DB32/4041-2021</w:t>
            </w:r>
            <w:r>
              <w:rPr>
                <w:rFonts w:hint="eastAsia" w:ascii="宋体" w:hAnsi="宋体" w:eastAsia="宋体" w:cs="宋体"/>
                <w:color w:val="auto"/>
                <w:kern w:val="2"/>
                <w:sz w:val="21"/>
                <w:szCs w:val="21"/>
                <w:lang w:val="en-US" w:eastAsia="zh-CN" w:bidi="ar"/>
              </w:rPr>
              <w:t>）</w:t>
            </w:r>
          </w:p>
        </w:tc>
      </w:tr>
      <w:tr w14:paraId="242D6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3B1AA0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固体废物</w:t>
            </w:r>
          </w:p>
        </w:tc>
        <w:tc>
          <w:tcPr>
            <w:tcW w:w="859" w:type="pct"/>
            <w:noWrap w:val="0"/>
            <w:vAlign w:val="center"/>
          </w:tcPr>
          <w:p w14:paraId="7221E8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540850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5516AB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本项目不新增固体废物外排量</w:t>
            </w:r>
          </w:p>
        </w:tc>
        <w:tc>
          <w:tcPr>
            <w:tcW w:w="1139" w:type="pct"/>
            <w:noWrap w:val="0"/>
            <w:vAlign w:val="center"/>
          </w:tcPr>
          <w:p w14:paraId="79FF23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w:t>
            </w:r>
          </w:p>
        </w:tc>
      </w:tr>
      <w:tr w14:paraId="680156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122DF9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电磁环境</w:t>
            </w:r>
          </w:p>
        </w:tc>
        <w:tc>
          <w:tcPr>
            <w:tcW w:w="859" w:type="pct"/>
            <w:noWrap w:val="0"/>
            <w:vAlign w:val="center"/>
          </w:tcPr>
          <w:p w14:paraId="215A696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0ED0EE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036F33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139" w:type="pct"/>
            <w:noWrap w:val="0"/>
            <w:vAlign w:val="center"/>
          </w:tcPr>
          <w:p w14:paraId="1D458E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r>
      <w:tr w14:paraId="51AA7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0A0DC96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环境风险</w:t>
            </w:r>
          </w:p>
        </w:tc>
        <w:tc>
          <w:tcPr>
            <w:tcW w:w="859" w:type="pct"/>
            <w:noWrap w:val="0"/>
            <w:vAlign w:val="center"/>
          </w:tcPr>
          <w:p w14:paraId="4E42C6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247FB1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4A0AA4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编制突发环境事件应急预案，配备应急物资，定期进行应急演练</w:t>
            </w:r>
          </w:p>
        </w:tc>
        <w:tc>
          <w:tcPr>
            <w:tcW w:w="1139" w:type="pct"/>
            <w:noWrap w:val="0"/>
            <w:vAlign w:val="center"/>
          </w:tcPr>
          <w:p w14:paraId="641B44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eastAsia="宋体" w:cs="宋体"/>
                <w:color w:val="auto"/>
                <w:szCs w:val="21"/>
                <w:lang w:val="en-US" w:eastAsia="zh-CN"/>
              </w:rPr>
            </w:pPr>
            <w:r>
              <w:rPr>
                <w:rFonts w:hint="eastAsia" w:ascii="宋体" w:hAnsi="宋体" w:eastAsia="宋体" w:cs="宋体"/>
                <w:color w:val="auto"/>
                <w:szCs w:val="21"/>
                <w:lang w:val="en-US" w:eastAsia="zh-CN"/>
              </w:rPr>
              <w:t>环境风险可防控</w:t>
            </w:r>
          </w:p>
        </w:tc>
      </w:tr>
      <w:tr w14:paraId="5B653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0DD074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环境监测</w:t>
            </w:r>
          </w:p>
        </w:tc>
        <w:tc>
          <w:tcPr>
            <w:tcW w:w="859" w:type="pct"/>
            <w:noWrap w:val="0"/>
            <w:vAlign w:val="center"/>
          </w:tcPr>
          <w:p w14:paraId="2C6109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73CA38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15C3F1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制定运营期环境监测方案，并委托有资质的环境监测单位实施。</w:t>
            </w:r>
          </w:p>
        </w:tc>
        <w:tc>
          <w:tcPr>
            <w:tcW w:w="1139" w:type="pct"/>
            <w:noWrap w:val="0"/>
            <w:vAlign w:val="center"/>
          </w:tcPr>
          <w:p w14:paraId="5F743D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eastAsia="宋体" w:cs="宋体"/>
                <w:color w:val="auto"/>
                <w:szCs w:val="21"/>
                <w:lang w:val="en-US" w:eastAsia="zh-CN"/>
              </w:rPr>
            </w:pPr>
            <w:r>
              <w:rPr>
                <w:rFonts w:hint="eastAsia" w:ascii="宋体" w:hAnsi="宋体" w:cs="宋体"/>
                <w:color w:val="auto"/>
                <w:szCs w:val="21"/>
                <w:lang w:val="en-US" w:eastAsia="zh-CN"/>
              </w:rPr>
              <w:t>落实措施</w:t>
            </w:r>
          </w:p>
        </w:tc>
      </w:tr>
      <w:tr w14:paraId="6E04E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284" w:type="pct"/>
            <w:noWrap w:val="0"/>
            <w:vAlign w:val="center"/>
          </w:tcPr>
          <w:p w14:paraId="44639D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rPr>
              <w:t>其他</w:t>
            </w:r>
          </w:p>
        </w:tc>
        <w:tc>
          <w:tcPr>
            <w:tcW w:w="859" w:type="pct"/>
            <w:noWrap w:val="0"/>
            <w:vAlign w:val="center"/>
          </w:tcPr>
          <w:p w14:paraId="647FA7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29" w:type="pct"/>
            <w:noWrap w:val="0"/>
            <w:vAlign w:val="center"/>
          </w:tcPr>
          <w:p w14:paraId="10E37C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886" w:type="pct"/>
            <w:noWrap w:val="0"/>
            <w:vAlign w:val="center"/>
          </w:tcPr>
          <w:p w14:paraId="2BDA80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lang w:val="en-US" w:eastAsia="zh-CN"/>
              </w:rPr>
              <w:t>/</w:t>
            </w:r>
          </w:p>
        </w:tc>
        <w:tc>
          <w:tcPr>
            <w:tcW w:w="1139" w:type="pct"/>
            <w:noWrap w:val="0"/>
            <w:vAlign w:val="center"/>
          </w:tcPr>
          <w:p w14:paraId="64B2D7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outlineLvl w:val="9"/>
              <w:rPr>
                <w:rFonts w:hint="default" w:ascii="宋体" w:hAnsi="宋体" w:cs="宋体"/>
                <w:color w:val="auto"/>
                <w:szCs w:val="21"/>
              </w:rPr>
            </w:pPr>
            <w:r>
              <w:rPr>
                <w:rFonts w:hint="eastAsia" w:ascii="宋体" w:hAnsi="宋体" w:cs="宋体"/>
                <w:color w:val="auto"/>
                <w:szCs w:val="21"/>
                <w:lang w:val="en-US" w:eastAsia="zh-CN"/>
              </w:rPr>
              <w:t>/</w:t>
            </w:r>
          </w:p>
        </w:tc>
      </w:tr>
    </w:tbl>
    <w:p w14:paraId="26CBDF76">
      <w:pPr>
        <w:pStyle w:val="19"/>
        <w:keepNext w:val="0"/>
        <w:keepLines w:val="0"/>
        <w:pageBreakBefore w:val="0"/>
        <w:widowControl/>
        <w:kinsoku/>
        <w:wordWrap/>
        <w:overflowPunct/>
        <w:topLinePunct w:val="0"/>
        <w:autoSpaceDE/>
        <w:autoSpaceDN/>
        <w:bidi w:val="0"/>
        <w:adjustRightInd/>
        <w:snapToGrid/>
        <w:spacing w:before="0" w:beforeAutospacing="0" w:line="15" w:lineRule="auto"/>
        <w:jc w:val="center"/>
        <w:textAlignment w:val="auto"/>
        <w:outlineLvl w:val="9"/>
        <w:rPr>
          <w:rFonts w:ascii="黑体" w:hAnsi="黑体" w:eastAsia="黑体"/>
          <w:snapToGrid w:val="0"/>
          <w:color w:val="auto"/>
          <w:sz w:val="30"/>
          <w:szCs w:val="30"/>
        </w:rPr>
      </w:pPr>
    </w:p>
    <w:p w14:paraId="5E4EB371">
      <w:pPr>
        <w:pStyle w:val="19"/>
        <w:keepNext w:val="0"/>
        <w:keepLines w:val="0"/>
        <w:pageBreakBefore w:val="0"/>
        <w:widowControl/>
        <w:kinsoku/>
        <w:wordWrap/>
        <w:overflowPunct/>
        <w:topLinePunct w:val="0"/>
        <w:autoSpaceDE/>
        <w:autoSpaceDN/>
        <w:bidi w:val="0"/>
        <w:adjustRightInd/>
        <w:snapToGrid/>
        <w:spacing w:before="0" w:beforeAutospacing="0" w:line="15" w:lineRule="auto"/>
        <w:jc w:val="center"/>
        <w:textAlignment w:val="auto"/>
        <w:outlineLvl w:val="9"/>
        <w:rPr>
          <w:rFonts w:hint="eastAsia" w:ascii="黑体" w:hAnsi="黑体" w:eastAsia="黑体"/>
          <w:snapToGrid w:val="0"/>
          <w:color w:val="auto"/>
          <w:sz w:val="30"/>
          <w:szCs w:val="30"/>
        </w:rPr>
      </w:pPr>
      <w:r>
        <w:rPr>
          <w:rFonts w:ascii="黑体" w:hAnsi="黑体" w:eastAsia="黑体"/>
          <w:snapToGrid w:val="0"/>
          <w:color w:val="auto"/>
          <w:sz w:val="30"/>
          <w:szCs w:val="30"/>
        </w:rPr>
        <w:br w:type="page"/>
      </w:r>
    </w:p>
    <w:p w14:paraId="4B2C6BDE">
      <w:pPr>
        <w:pStyle w:val="19"/>
        <w:jc w:val="center"/>
        <w:outlineLvl w:val="0"/>
        <w:rPr>
          <w:rFonts w:hint="eastAsia" w:ascii="黑体" w:hAnsi="黑体" w:eastAsia="黑体" w:cs="Times New Roman"/>
          <w:snapToGrid w:val="0"/>
          <w:color w:val="auto"/>
          <w:sz w:val="30"/>
          <w:szCs w:val="30"/>
        </w:rPr>
      </w:pPr>
      <w:bookmarkStart w:id="10" w:name="_Toc17990"/>
      <w:r>
        <w:rPr>
          <w:rFonts w:hint="eastAsia" w:ascii="黑体" w:hAnsi="黑体" w:eastAsia="黑体" w:cs="Times New Roman"/>
          <w:snapToGrid w:val="0"/>
          <w:color w:val="auto"/>
          <w:sz w:val="30"/>
          <w:szCs w:val="30"/>
        </w:rPr>
        <w:t>七、结论</w:t>
      </w:r>
      <w:bookmarkEnd w:id="10"/>
    </w:p>
    <w:tbl>
      <w:tblPr>
        <w:tblStyle w:val="21"/>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50A504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49" w:hRule="atLeast"/>
          <w:jc w:val="center"/>
        </w:trPr>
        <w:tc>
          <w:tcPr>
            <w:tcW w:w="9289" w:type="dxa"/>
            <w:noWrap w:val="0"/>
            <w:vAlign w:val="top"/>
          </w:tcPr>
          <w:p w14:paraId="3B047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Cs/>
                <w:color w:val="auto"/>
                <w:szCs w:val="21"/>
                <w:highlight w:val="none"/>
                <w:lang w:val="en-US" w:eastAsia="zh-CN"/>
              </w:rPr>
            </w:pPr>
          </w:p>
          <w:p w14:paraId="0F52D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通过调查、分析和综合评价后认为：拟建项目符合国家和地方有关环境保护法律法规、标准、政策、规范及相关规划要求；生产过程中遵循清洁生产理念，所采用的各项污染防治措施技术可行、经济合理，能保证各类污染物长期稳定达标排放；通过采取有针对性的风险防范措施并落实应急预案，项目的环境风险可防控。</w:t>
            </w:r>
          </w:p>
          <w:p w14:paraId="074188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b/>
                <w:bCs/>
                <w:color w:val="auto"/>
                <w:szCs w:val="21"/>
                <w:highlight w:val="none"/>
                <w:lang w:eastAsia="zh-CN"/>
              </w:rPr>
            </w:pPr>
            <w:r>
              <w:rPr>
                <w:rFonts w:hint="eastAsia" w:ascii="Times New Roman" w:hAnsi="Times New Roman" w:eastAsia="宋体" w:cs="Times New Roman"/>
                <w:bCs/>
                <w:color w:val="auto"/>
                <w:szCs w:val="21"/>
                <w:highlight w:val="none"/>
                <w:lang w:val="en-US" w:eastAsia="zh-CN"/>
              </w:rPr>
              <w:t>综上所述，在落实本报告表中的各项环保措施以及各级环保主管部门管理要求的前提下，从环保角度分析，拟建项目的建设具有环境可行性。同时，拟建项目在设计、建设、运行全过程中还必须满足消防、安全、职业卫生等相关管理要求，进行规范化的设计、施工和运行管理。</w:t>
            </w:r>
          </w:p>
        </w:tc>
      </w:tr>
    </w:tbl>
    <w:p w14:paraId="024540B9">
      <w:pPr>
        <w:widowControl/>
        <w:adjustRightInd w:val="0"/>
        <w:snapToGrid w:val="0"/>
        <w:spacing w:before="192" w:beforeLines="80"/>
        <w:jc w:val="left"/>
        <w:rPr>
          <w:rFonts w:ascii="宋体"/>
          <w:color w:val="auto"/>
        </w:rPr>
        <w:sectPr>
          <w:pgSz w:w="11906" w:h="16838"/>
          <w:pgMar w:top="1440" w:right="1440" w:bottom="1440" w:left="1440"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1"/>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68994D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top"/>
          </w:tcPr>
          <w:p w14:paraId="2C3539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Cs/>
                <w:color w:val="auto"/>
                <w:szCs w:val="21"/>
                <w:highlight w:val="none"/>
                <w:lang w:val="en-US" w:eastAsia="zh-CN"/>
              </w:rPr>
            </w:pPr>
          </w:p>
          <w:p w14:paraId="373256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lang w:val="en-US" w:eastAsia="zh-CN"/>
              </w:rPr>
              <w:t>附图</w:t>
            </w:r>
          </w:p>
          <w:p w14:paraId="421AC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 xml:space="preserve">附图1  </w:t>
            </w:r>
            <w:r>
              <w:rPr>
                <w:rFonts w:hint="eastAsia" w:ascii="Times New Roman" w:hAnsi="Times New Roman" w:eastAsia="宋体" w:cs="Times New Roman"/>
                <w:bCs/>
                <w:color w:val="auto"/>
                <w:szCs w:val="21"/>
                <w:highlight w:val="none"/>
                <w:lang w:val="en-US" w:eastAsia="zh-CN"/>
              </w:rPr>
              <w:t>建设</w:t>
            </w:r>
            <w:r>
              <w:rPr>
                <w:rFonts w:hint="default" w:ascii="Times New Roman" w:hAnsi="Times New Roman" w:eastAsia="宋体" w:cs="Times New Roman"/>
                <w:bCs/>
                <w:color w:val="auto"/>
                <w:szCs w:val="21"/>
                <w:highlight w:val="none"/>
                <w:lang w:val="en-US" w:eastAsia="zh-CN"/>
              </w:rPr>
              <w:t>项目地理位置图</w:t>
            </w:r>
          </w:p>
          <w:p w14:paraId="37A728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附图2  江阴临港开发区工业园区详细规划及城市设计规划用地图</w:t>
            </w:r>
          </w:p>
          <w:p w14:paraId="42522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3</w:t>
            </w:r>
            <w:r>
              <w:rPr>
                <w:rFonts w:hint="default" w:ascii="Times New Roman" w:hAnsi="Times New Roman" w:eastAsia="宋体" w:cs="Times New Roman"/>
                <w:bCs/>
                <w:color w:val="auto"/>
                <w:szCs w:val="21"/>
                <w:highlight w:val="none"/>
                <w:lang w:val="en-US" w:eastAsia="zh-CN"/>
              </w:rPr>
              <w:t xml:space="preserve">  本项目与生态</w:t>
            </w:r>
            <w:r>
              <w:rPr>
                <w:rFonts w:hint="eastAsia" w:ascii="Times New Roman" w:hAnsi="Times New Roman" w:eastAsia="宋体" w:cs="Times New Roman"/>
                <w:bCs/>
                <w:color w:val="auto"/>
                <w:szCs w:val="21"/>
                <w:highlight w:val="none"/>
                <w:lang w:val="en-US" w:eastAsia="zh-CN"/>
              </w:rPr>
              <w:t>保护</w:t>
            </w:r>
            <w:r>
              <w:rPr>
                <w:rFonts w:hint="default" w:ascii="Times New Roman" w:hAnsi="Times New Roman" w:eastAsia="宋体" w:cs="Times New Roman"/>
                <w:bCs/>
                <w:color w:val="auto"/>
                <w:szCs w:val="21"/>
                <w:highlight w:val="none"/>
                <w:lang w:val="en-US" w:eastAsia="zh-CN"/>
              </w:rPr>
              <w:t>红线位置关系图</w:t>
            </w:r>
          </w:p>
          <w:p w14:paraId="4AC3A1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4</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江苏省生态环境管控单元</w:t>
            </w:r>
            <w:r>
              <w:rPr>
                <w:rFonts w:hint="default" w:ascii="Times New Roman" w:hAnsi="Times New Roman" w:eastAsia="宋体" w:cs="Times New Roman"/>
                <w:bCs/>
                <w:color w:val="auto"/>
                <w:szCs w:val="21"/>
                <w:highlight w:val="none"/>
                <w:lang w:val="en-US" w:eastAsia="zh-CN"/>
              </w:rPr>
              <w:t>图</w:t>
            </w:r>
          </w:p>
          <w:p w14:paraId="38F279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无锡市生态环境管控单元</w:t>
            </w:r>
            <w:r>
              <w:rPr>
                <w:rFonts w:hint="default" w:ascii="Times New Roman" w:hAnsi="Times New Roman" w:eastAsia="宋体" w:cs="Times New Roman"/>
                <w:bCs/>
                <w:color w:val="auto"/>
                <w:szCs w:val="21"/>
                <w:highlight w:val="none"/>
                <w:lang w:val="en-US" w:eastAsia="zh-CN"/>
              </w:rPr>
              <w:t>图</w:t>
            </w:r>
          </w:p>
          <w:p w14:paraId="147022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6</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本项目占用生态环境管控单元</w:t>
            </w:r>
            <w:r>
              <w:rPr>
                <w:rFonts w:hint="default" w:ascii="Times New Roman" w:hAnsi="Times New Roman" w:eastAsia="宋体" w:cs="Times New Roman"/>
                <w:bCs/>
                <w:color w:val="auto"/>
                <w:szCs w:val="21"/>
                <w:highlight w:val="none"/>
                <w:lang w:val="en-US" w:eastAsia="zh-CN"/>
              </w:rPr>
              <w:t>图</w:t>
            </w:r>
          </w:p>
          <w:p w14:paraId="5A7007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7</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本项目与周边生态环境分区管控优先保护单元位置关系</w:t>
            </w:r>
            <w:r>
              <w:rPr>
                <w:rFonts w:hint="default" w:ascii="Times New Roman" w:hAnsi="Times New Roman" w:eastAsia="宋体" w:cs="Times New Roman"/>
                <w:bCs/>
                <w:color w:val="auto"/>
                <w:szCs w:val="21"/>
                <w:highlight w:val="none"/>
                <w:lang w:val="en-US" w:eastAsia="zh-CN"/>
              </w:rPr>
              <w:t>图</w:t>
            </w:r>
          </w:p>
          <w:p w14:paraId="72539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yellow"/>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8</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建设项目平面布置图</w:t>
            </w:r>
          </w:p>
          <w:p w14:paraId="1C6422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yellow"/>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9</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项目周边水系图</w:t>
            </w:r>
          </w:p>
          <w:p w14:paraId="604DF5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yellow"/>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10</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项目周边500m环境概况图</w:t>
            </w:r>
          </w:p>
          <w:p w14:paraId="1D8429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yellow"/>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11</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项目大气环境风险敏感目标图</w:t>
            </w:r>
          </w:p>
          <w:p w14:paraId="729ADE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附图12  项目地表水环境风险敏感目标图</w:t>
            </w:r>
          </w:p>
          <w:p w14:paraId="6CE09E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yellow"/>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13</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声环境功能区划图</w:t>
            </w:r>
          </w:p>
          <w:p w14:paraId="00AAF4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14</w:t>
            </w:r>
            <w:r>
              <w:rPr>
                <w:rFonts w:hint="default" w:ascii="Times New Roman" w:hAnsi="Times New Roman" w:eastAsia="宋体" w:cs="Times New Roman"/>
                <w:bCs/>
                <w:color w:val="auto"/>
                <w:szCs w:val="21"/>
                <w:highlight w:val="none"/>
                <w:lang w:val="en-US" w:eastAsia="zh-CN"/>
              </w:rPr>
              <w:t xml:space="preserve">  建设项目危险单元及厂内应急疏散通道图</w:t>
            </w:r>
          </w:p>
          <w:p w14:paraId="3DFD4C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附图15  区域应急疏散通道图</w:t>
            </w:r>
          </w:p>
          <w:p w14:paraId="63D5C8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16</w:t>
            </w:r>
            <w:r>
              <w:rPr>
                <w:rFonts w:hint="default" w:ascii="Times New Roman" w:hAnsi="Times New Roman" w:eastAsia="宋体" w:cs="Times New Roman"/>
                <w:bCs/>
                <w:color w:val="auto"/>
                <w:szCs w:val="21"/>
                <w:highlight w:val="none"/>
                <w:lang w:val="en-US" w:eastAsia="zh-CN"/>
              </w:rPr>
              <w:t xml:space="preserve">  建设项目雨污水及事故水收集管网图</w:t>
            </w:r>
          </w:p>
          <w:p w14:paraId="6F9C77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b/>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附图</w:t>
            </w:r>
            <w:r>
              <w:rPr>
                <w:rFonts w:hint="eastAsia" w:ascii="Times New Roman" w:hAnsi="Times New Roman" w:eastAsia="宋体" w:cs="Times New Roman"/>
                <w:bCs/>
                <w:color w:val="auto"/>
                <w:szCs w:val="21"/>
                <w:highlight w:val="none"/>
                <w:lang w:val="en-US" w:eastAsia="zh-CN"/>
              </w:rPr>
              <w:t>17</w:t>
            </w:r>
            <w:r>
              <w:rPr>
                <w:rFonts w:hint="default" w:ascii="Times New Roman" w:hAnsi="Times New Roman" w:eastAsia="宋体" w:cs="Times New Roman"/>
                <w:bCs/>
                <w:color w:val="auto"/>
                <w:szCs w:val="21"/>
                <w:highlight w:val="none"/>
                <w:lang w:val="en-US" w:eastAsia="zh-CN"/>
              </w:rPr>
              <w:t xml:space="preserve">  园区地表水三级防控体系图</w:t>
            </w:r>
          </w:p>
          <w:p w14:paraId="4D159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0C794F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C895C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1E394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86DF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2A64B9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6FD20A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207FBE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173DDA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78B429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2A2157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9A810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232A2D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18E93E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70DEEE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ED94B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61D15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F8C21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textAlignment w:val="auto"/>
              <w:rPr>
                <w:rFonts w:hint="default" w:ascii="Times New Roman" w:hAnsi="Times New Roman" w:eastAsia="宋体" w:cs="Times New Roman"/>
                <w:b/>
                <w:bCs w:val="0"/>
                <w:color w:val="auto"/>
                <w:szCs w:val="21"/>
                <w:highlight w:val="none"/>
                <w:lang w:val="en-US" w:eastAsia="zh-CN"/>
              </w:rPr>
            </w:pPr>
            <w:r>
              <w:rPr>
                <w:rFonts w:hint="default" w:ascii="Times New Roman" w:hAnsi="Times New Roman" w:eastAsia="宋体" w:cs="Times New Roman"/>
                <w:b/>
                <w:bCs w:val="0"/>
                <w:color w:val="auto"/>
                <w:szCs w:val="21"/>
                <w:highlight w:val="none"/>
                <w:lang w:val="en-US" w:eastAsia="zh-CN"/>
              </w:rPr>
              <w:t>附件</w:t>
            </w:r>
          </w:p>
          <w:p w14:paraId="082835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 xml:space="preserve">附件1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立项备案证及备案登记信息单</w:t>
            </w:r>
          </w:p>
          <w:p w14:paraId="4F3BB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 xml:space="preserve">附件2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营业执照复印件</w:t>
            </w:r>
          </w:p>
          <w:p w14:paraId="77E15D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 xml:space="preserve">附件3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项目委托代理人证明材料</w:t>
            </w:r>
          </w:p>
          <w:p w14:paraId="0B0017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 xml:space="preserve">附件4 </w:t>
            </w:r>
            <w:r>
              <w:rPr>
                <w:rFonts w:hint="eastAsia" w:ascii="Times New Roman" w:hAnsi="Times New Roman" w:eastAsia="宋体" w:cs="Times New Roman"/>
                <w:bCs/>
                <w:color w:val="auto"/>
                <w:szCs w:val="21"/>
                <w:highlight w:val="none"/>
                <w:lang w:val="en-US" w:eastAsia="zh-CN"/>
              </w:rPr>
              <w:t xml:space="preserve"> 土地</w:t>
            </w:r>
            <w:r>
              <w:rPr>
                <w:rFonts w:hint="default" w:ascii="Times New Roman" w:hAnsi="Times New Roman" w:eastAsia="宋体" w:cs="Times New Roman"/>
                <w:bCs/>
                <w:color w:val="auto"/>
                <w:szCs w:val="21"/>
                <w:highlight w:val="none"/>
                <w:lang w:val="en-US" w:eastAsia="zh-CN"/>
              </w:rPr>
              <w:t>证</w:t>
            </w:r>
          </w:p>
          <w:p w14:paraId="1F31F34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 xml:space="preserve">附件5 </w:t>
            </w:r>
            <w:r>
              <w:rPr>
                <w:rFonts w:hint="eastAsia" w:ascii="Times New Roman" w:hAnsi="Times New Roman" w:eastAsia="宋体" w:cs="Times New Roman"/>
                <w:bCs/>
                <w:color w:val="auto"/>
                <w:szCs w:val="21"/>
                <w:highlight w:val="none"/>
                <w:lang w:val="en-US" w:eastAsia="zh-CN"/>
              </w:rPr>
              <w:t xml:space="preserve"> 危废处置协议</w:t>
            </w:r>
          </w:p>
          <w:p w14:paraId="4FD1A7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附件6</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 xml:space="preserve"> 污水</w:t>
            </w:r>
            <w:r>
              <w:rPr>
                <w:rFonts w:hint="eastAsia" w:ascii="Times New Roman" w:hAnsi="Times New Roman" w:eastAsia="宋体" w:cs="Times New Roman"/>
                <w:bCs/>
                <w:color w:val="auto"/>
                <w:szCs w:val="21"/>
                <w:highlight w:val="none"/>
                <w:lang w:val="en-US" w:eastAsia="zh-CN"/>
              </w:rPr>
              <w:t>处理协议</w:t>
            </w:r>
          </w:p>
          <w:p w14:paraId="2FA2BB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附件7</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 xml:space="preserve"> 环保所（科）预审意见</w:t>
            </w:r>
          </w:p>
          <w:p w14:paraId="24A0CF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w:t>
            </w:r>
            <w:r>
              <w:rPr>
                <w:rFonts w:hint="eastAsia" w:ascii="Times New Roman" w:hAnsi="Times New Roman" w:eastAsia="宋体" w:cs="Times New Roman"/>
                <w:bCs/>
                <w:color w:val="auto"/>
                <w:szCs w:val="21"/>
                <w:highlight w:val="none"/>
                <w:lang w:val="en-US" w:eastAsia="zh-CN"/>
              </w:rPr>
              <w:t>8</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现状监测报告（数据）及其他监测报告</w:t>
            </w:r>
          </w:p>
          <w:p w14:paraId="7543B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w:t>
            </w:r>
            <w:r>
              <w:rPr>
                <w:rFonts w:hint="eastAsia" w:ascii="Times New Roman" w:hAnsi="Times New Roman" w:eastAsia="宋体" w:cs="Times New Roman"/>
                <w:bCs/>
                <w:color w:val="auto"/>
                <w:szCs w:val="21"/>
                <w:highlight w:val="none"/>
                <w:lang w:val="en-US" w:eastAsia="zh-CN"/>
              </w:rPr>
              <w:t xml:space="preserve">9 </w:t>
            </w:r>
            <w:r>
              <w:rPr>
                <w:rFonts w:hint="default" w:ascii="Times New Roman" w:hAnsi="Times New Roman" w:eastAsia="宋体" w:cs="Times New Roman"/>
                <w:bCs/>
                <w:color w:val="auto"/>
                <w:szCs w:val="21"/>
                <w:highlight w:val="none"/>
                <w:lang w:val="en-US" w:eastAsia="zh-CN"/>
              </w:rPr>
              <w:t xml:space="preserve"> 区域环境综合整治方案</w:t>
            </w:r>
          </w:p>
          <w:p w14:paraId="2D119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w:t>
            </w:r>
            <w:r>
              <w:rPr>
                <w:rFonts w:hint="eastAsia" w:ascii="Times New Roman" w:hAnsi="Times New Roman" w:eastAsia="宋体" w:cs="Times New Roman"/>
                <w:bCs/>
                <w:color w:val="auto"/>
                <w:szCs w:val="21"/>
                <w:highlight w:val="none"/>
                <w:lang w:val="en-US" w:eastAsia="zh-CN"/>
              </w:rPr>
              <w:t>10</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建设单位项目委托书、承诺书、申请报告</w:t>
            </w:r>
          </w:p>
          <w:p w14:paraId="4ABD53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 xml:space="preserve">附件11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省生态环境厅关于江阴临港化工园总体规划</w:t>
            </w:r>
            <w:r>
              <w:rPr>
                <w:rFonts w:hint="eastAsia"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2023—2035年</w:t>
            </w:r>
            <w:r>
              <w:rPr>
                <w:rFonts w:hint="eastAsia"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环境影响报告书的审查意见</w:t>
            </w:r>
            <w:r>
              <w:rPr>
                <w:rFonts w:hint="eastAsia"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（苏环审〔2025〕88号）</w:t>
            </w:r>
          </w:p>
          <w:p w14:paraId="6C0791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2</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公示涉密说明</w:t>
            </w:r>
          </w:p>
          <w:p w14:paraId="765E34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3</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全本</w:t>
            </w:r>
            <w:r>
              <w:rPr>
                <w:rFonts w:hint="eastAsia" w:ascii="Times New Roman" w:hAnsi="Times New Roman" w:eastAsia="宋体" w:cs="Times New Roman"/>
                <w:bCs/>
                <w:color w:val="auto"/>
                <w:szCs w:val="21"/>
                <w:highlight w:val="none"/>
                <w:lang w:val="en-US" w:eastAsia="zh-CN"/>
              </w:rPr>
              <w:t>公示证明</w:t>
            </w:r>
          </w:p>
          <w:p w14:paraId="7AC41C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4</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环评单位编制情况承诺书</w:t>
            </w:r>
          </w:p>
          <w:p w14:paraId="3CAA5B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5</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环评合同原件</w:t>
            </w:r>
          </w:p>
          <w:p w14:paraId="057C67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6</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工程师现场勘察照片</w:t>
            </w:r>
          </w:p>
          <w:p w14:paraId="717D8A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 xml:space="preserve">7 </w:t>
            </w:r>
            <w:r>
              <w:rPr>
                <w:rFonts w:hint="default" w:ascii="Times New Roman" w:hAnsi="Times New Roman" w:eastAsia="宋体" w:cs="Times New Roman"/>
                <w:bCs/>
                <w:color w:val="auto"/>
                <w:szCs w:val="21"/>
                <w:highlight w:val="none"/>
                <w:lang w:val="en-US" w:eastAsia="zh-CN"/>
              </w:rPr>
              <w:t xml:space="preserve"> 安全承诺书</w:t>
            </w:r>
          </w:p>
          <w:p w14:paraId="7EA27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8</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环境影响报告表受理审核确认表</w:t>
            </w:r>
          </w:p>
          <w:p w14:paraId="5B0CC6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附件1</w:t>
            </w:r>
            <w:r>
              <w:rPr>
                <w:rFonts w:hint="eastAsia" w:ascii="Times New Roman" w:hAnsi="Times New Roman" w:eastAsia="宋体" w:cs="Times New Roman"/>
                <w:bCs/>
                <w:color w:val="auto"/>
                <w:szCs w:val="21"/>
                <w:highlight w:val="none"/>
                <w:lang w:val="en-US" w:eastAsia="zh-CN"/>
              </w:rPr>
              <w:t>9</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环评编制人员信息（资格证书、社保）</w:t>
            </w:r>
          </w:p>
          <w:p w14:paraId="201F08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w:t>
            </w:r>
            <w:r>
              <w:rPr>
                <w:rFonts w:hint="eastAsia" w:ascii="Times New Roman" w:hAnsi="Times New Roman" w:eastAsia="宋体" w:cs="Times New Roman"/>
                <w:bCs/>
                <w:color w:val="auto"/>
                <w:szCs w:val="21"/>
                <w:highlight w:val="none"/>
                <w:lang w:val="en-US" w:eastAsia="zh-CN"/>
              </w:rPr>
              <w:t>20</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其他未在清单中列明的附件</w:t>
            </w:r>
            <w:r>
              <w:rPr>
                <w:rFonts w:hint="eastAsia" w:ascii="Times New Roman" w:hAnsi="Times New Roman" w:eastAsia="宋体" w:cs="Times New Roman"/>
                <w:bCs/>
                <w:color w:val="auto"/>
                <w:szCs w:val="21"/>
                <w:highlight w:val="none"/>
                <w:lang w:val="en-US" w:eastAsia="zh-CN"/>
              </w:rPr>
              <w:t>（江苏省生态环境分区管控综合查询报告书、排污许可证、应急预案备案证、危废管理计划）</w:t>
            </w:r>
          </w:p>
          <w:p w14:paraId="76699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附件</w:t>
            </w:r>
            <w:r>
              <w:rPr>
                <w:rFonts w:hint="eastAsia" w:ascii="Times New Roman" w:hAnsi="Times New Roman" w:eastAsia="宋体" w:cs="Times New Roman"/>
                <w:bCs/>
                <w:color w:val="auto"/>
                <w:szCs w:val="21"/>
                <w:highlight w:val="none"/>
                <w:lang w:val="en-US" w:eastAsia="zh-CN"/>
              </w:rPr>
              <w:t>21</w:t>
            </w:r>
            <w:r>
              <w:rPr>
                <w:rFonts w:hint="default" w:ascii="Times New Roman" w:hAnsi="Times New Roman" w:eastAsia="宋体" w:cs="Times New Roman"/>
                <w:bCs/>
                <w:color w:val="auto"/>
                <w:szCs w:val="21"/>
                <w:highlight w:val="none"/>
                <w:lang w:val="en-US" w:eastAsia="zh-CN"/>
              </w:rPr>
              <w:t xml:space="preserve"> </w:t>
            </w:r>
            <w:r>
              <w:rPr>
                <w:rFonts w:hint="eastAsia" w:ascii="Times New Roman" w:hAnsi="Times New Roman" w:eastAsia="宋体" w:cs="Times New Roman"/>
                <w:bCs/>
                <w:color w:val="auto"/>
                <w:szCs w:val="21"/>
                <w:highlight w:val="none"/>
                <w:lang w:val="en-US" w:eastAsia="zh-CN"/>
              </w:rPr>
              <w:t xml:space="preserve"> </w:t>
            </w:r>
            <w:r>
              <w:rPr>
                <w:rFonts w:hint="default" w:ascii="Times New Roman" w:hAnsi="Times New Roman" w:eastAsia="宋体" w:cs="Times New Roman"/>
                <w:bCs/>
                <w:color w:val="auto"/>
                <w:szCs w:val="21"/>
                <w:highlight w:val="none"/>
                <w:lang w:val="en-US" w:eastAsia="zh-CN"/>
              </w:rPr>
              <w:t>原项目审批情况</w:t>
            </w:r>
            <w:r>
              <w:rPr>
                <w:rFonts w:hint="eastAsia" w:ascii="Times New Roman" w:hAnsi="Times New Roman" w:eastAsia="宋体" w:cs="Times New Roman"/>
                <w:bCs/>
                <w:color w:val="auto"/>
                <w:szCs w:val="21"/>
                <w:highlight w:val="none"/>
                <w:lang w:val="en-US" w:eastAsia="zh-CN"/>
              </w:rPr>
              <w:t>、</w:t>
            </w:r>
            <w:r>
              <w:rPr>
                <w:rFonts w:hint="default" w:ascii="Times New Roman" w:hAnsi="Times New Roman" w:eastAsia="宋体" w:cs="Times New Roman"/>
                <w:bCs/>
                <w:color w:val="auto"/>
                <w:szCs w:val="21"/>
                <w:highlight w:val="none"/>
                <w:lang w:val="en-US" w:eastAsia="zh-CN"/>
              </w:rPr>
              <w:t>验收情况</w:t>
            </w:r>
          </w:p>
          <w:p w14:paraId="07DA49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27FBA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079206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1A658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6EDE57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352141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53DC98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5EC09F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71CC8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p w14:paraId="7EC11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eastAsia"/>
                <w:b/>
                <w:bCs/>
                <w:color w:val="auto"/>
                <w:szCs w:val="21"/>
                <w:highlight w:val="none"/>
                <w:lang w:eastAsia="zh-CN"/>
              </w:rPr>
            </w:pPr>
          </w:p>
        </w:tc>
      </w:tr>
    </w:tbl>
    <w:p w14:paraId="2B3D66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Cs w:val="21"/>
          <w:highlight w:val="yellow"/>
          <w:lang w:val="en-US" w:eastAsia="zh-CN"/>
        </w:rPr>
      </w:pPr>
    </w:p>
    <w:sectPr>
      <w:pgSz w:w="11906" w:h="16838"/>
      <w:pgMar w:top="1440" w:right="1440" w:bottom="1440" w:left="144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8BF46E7-3A86-4797-83A1-2B320168885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BC58EA8C-B694-4E8B-A9F5-898BDCB2AC97}"/>
  </w:font>
  <w:font w:name="仿宋">
    <w:panose1 w:val="02010609060101010101"/>
    <w:charset w:val="86"/>
    <w:family w:val="auto"/>
    <w:pitch w:val="default"/>
    <w:sig w:usb0="800002BF" w:usb1="38CF7CFA" w:usb2="00000016" w:usb3="00000000" w:csb0="00040001" w:csb1="00000000"/>
    <w:embedRegular r:id="rId3" w:fontKey="{2450A730-6269-4319-8F3E-AD10038D1AC6}"/>
  </w:font>
  <w:font w:name="楷体">
    <w:panose1 w:val="02010609060101010101"/>
    <w:charset w:val="86"/>
    <w:family w:val="auto"/>
    <w:pitch w:val="default"/>
    <w:sig w:usb0="800002BF" w:usb1="38CF7CFA" w:usb2="00000016" w:usb3="00000000" w:csb0="00040001" w:csb1="00000000"/>
  </w:font>
  <w:font w:name="方正楷体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方正小标宋_GBK">
    <w:panose1 w:val="02000000000000000000"/>
    <w:charset w:val="86"/>
    <w:family w:val="script"/>
    <w:pitch w:val="default"/>
    <w:sig w:usb0="A00002BF" w:usb1="38CF7CFA" w:usb2="00082016" w:usb3="00000000" w:csb0="00040001" w:csb1="00000000"/>
    <w:embedRegular r:id="rId4" w:fontKey="{3C87B185-261E-4064-80FF-8DD2D8EB1475}"/>
  </w:font>
  <w:font w:name="楷体_GB2312">
    <w:altName w:val="楷体"/>
    <w:panose1 w:val="02010609030101010101"/>
    <w:charset w:val="86"/>
    <w:family w:val="modern"/>
    <w:pitch w:val="default"/>
    <w:sig w:usb0="00000000" w:usb1="00000000" w:usb2="00000010" w:usb3="00000000" w:csb0="00040000" w:csb1="00000000"/>
    <w:embedRegular r:id="rId5" w:fontKey="{4B7250C7-2AD3-43F8-B8E8-5B0553EF898C}"/>
  </w:font>
  <w:font w:name="华文仿宋">
    <w:panose1 w:val="02010600040101010101"/>
    <w:charset w:val="86"/>
    <w:family w:val="auto"/>
    <w:pitch w:val="default"/>
    <w:sig w:usb0="00000287" w:usb1="080F0000" w:usb2="00000000" w:usb3="00000000" w:csb0="0004009F" w:csb1="DFD70000"/>
    <w:embedRegular r:id="rId6" w:fontKey="{52BC3DAE-400C-4C1C-9177-7575E8ADAC46}"/>
  </w:font>
  <w:font w:name="KSOFE44F9426">
    <w:panose1 w:val="02010609060101010101"/>
    <w:charset w:val="86"/>
    <w:family w:val="auto"/>
    <w:pitch w:val="default"/>
    <w:sig w:usb0="00000001" w:usb1="00000000" w:usb2="00000000" w:usb3="00000000" w:csb0="00040001" w:csb1="00000000"/>
  </w:font>
  <w:font w:name="等线">
    <w:panose1 w:val="02010600030101010101"/>
    <w:charset w:val="86"/>
    <w:family w:val="auto"/>
    <w:pitch w:val="default"/>
    <w:sig w:usb0="A00002BF" w:usb1="38CF7CFA" w:usb2="00000016" w:usb3="00000000" w:csb0="0004000F" w:csb1="00000000"/>
    <w:embedRegular r:id="rId7" w:fontKey="{8B2B5E12-4DAD-4511-8FC0-4580F22DDF65}"/>
  </w:font>
  <w:font w:name="微软雅黑">
    <w:panose1 w:val="020B0503020204020204"/>
    <w:charset w:val="86"/>
    <w:family w:val="auto"/>
    <w:pitch w:val="default"/>
    <w:sig w:usb0="80000287" w:usb1="2ACF3C50" w:usb2="00000016" w:usb3="00000000" w:csb0="0004001F" w:csb1="00000000"/>
    <w:embedRegular r:id="rId8" w:fontKey="{2AE80741-96A6-4260-A7E6-C816BB95565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57C7F">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ED4BD">
    <w:pPr>
      <w:pStyle w:val="16"/>
      <w:framePr w:wrap="around" w:vAnchor="text" w:hAnchor="margin" w:xAlign="outside" w:y="1"/>
      <w:rPr>
        <w:rStyle w:val="24"/>
      </w:rPr>
    </w:pPr>
    <w:r>
      <w:rPr>
        <w:rStyle w:val="24"/>
      </w:rPr>
      <w:fldChar w:fldCharType="begin"/>
    </w:r>
    <w:r>
      <w:rPr>
        <w:rStyle w:val="24"/>
      </w:rPr>
      <w:instrText xml:space="preserve">PAGE  </w:instrText>
    </w:r>
    <w:r>
      <w:rPr>
        <w:rStyle w:val="24"/>
      </w:rPr>
      <w:fldChar w:fldCharType="end"/>
    </w:r>
  </w:p>
  <w:p w14:paraId="4D3FBE8F">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C15C0">
    <w:pPr>
      <w:pStyle w:val="16"/>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E4AE07">
                          <w:pPr>
                            <w:pStyle w:val="16"/>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szCs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22</w:t>
                          </w:r>
                          <w:r>
                            <w:rPr>
                              <w:rStyle w:val="24"/>
                              <w:rFonts w:ascii="宋体" w:hAnsi="宋体"/>
                              <w:sz w:val="26"/>
                              <w:szCs w:val="26"/>
                            </w:rPr>
                            <w:fldChar w:fldCharType="end"/>
                          </w:r>
                          <w:r>
                            <w:rPr>
                              <w:rStyle w:val="24"/>
                              <w:rFonts w:hint="eastAsia" w:ascii="宋体" w:hAnsi="宋体"/>
                              <w:sz w:val="20"/>
                              <w:szCs w:val="20"/>
                            </w:rPr>
                            <w:t xml:space="preserve">  </w:t>
                          </w:r>
                          <w:r>
                            <w:rPr>
                              <w:rStyle w:val="24"/>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A5R1ndAQAAvwMAAA4AAAAAAAAA&#10;AQAgAAAAHgEAAGRycy9lMm9Eb2MueG1sUEsFBgAAAAAGAAYAWQEAAG0FAAAAAA==&#10;">
              <v:fill on="f" focussize="0,0"/>
              <v:stroke on="f"/>
              <v:imagedata o:title=""/>
              <o:lock v:ext="edit" aspectratio="f"/>
              <v:textbox inset="0mm,0mm,0mm,0mm" style="mso-fit-shape-to-text:t;">
                <w:txbxContent>
                  <w:p w14:paraId="2EE4AE07">
                    <w:pPr>
                      <w:pStyle w:val="16"/>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szCs w:val="20"/>
                      </w:rPr>
                      <w:t xml:space="preserve">  </w:t>
                    </w:r>
                    <w:r>
                      <w:rPr>
                        <w:rStyle w:val="24"/>
                        <w:rFonts w:ascii="宋体" w:hAnsi="宋体"/>
                        <w:sz w:val="26"/>
                        <w:szCs w:val="26"/>
                      </w:rPr>
                      <w:fldChar w:fldCharType="begin"/>
                    </w:r>
                    <w:r>
                      <w:rPr>
                        <w:rStyle w:val="24"/>
                        <w:rFonts w:ascii="宋体" w:hAnsi="宋体"/>
                        <w:sz w:val="26"/>
                        <w:szCs w:val="26"/>
                      </w:rPr>
                      <w:instrText xml:space="preserve">PAGE  </w:instrText>
                    </w:r>
                    <w:r>
                      <w:rPr>
                        <w:rStyle w:val="24"/>
                        <w:rFonts w:ascii="宋体" w:hAnsi="宋体"/>
                        <w:sz w:val="26"/>
                        <w:szCs w:val="26"/>
                      </w:rPr>
                      <w:fldChar w:fldCharType="separate"/>
                    </w:r>
                    <w:r>
                      <w:rPr>
                        <w:rStyle w:val="24"/>
                        <w:rFonts w:ascii="宋体" w:hAnsi="宋体"/>
                        <w:sz w:val="26"/>
                        <w:szCs w:val="26"/>
                      </w:rPr>
                      <w:t>22</w:t>
                    </w:r>
                    <w:r>
                      <w:rPr>
                        <w:rStyle w:val="24"/>
                        <w:rFonts w:ascii="宋体" w:hAnsi="宋体"/>
                        <w:sz w:val="26"/>
                        <w:szCs w:val="26"/>
                      </w:rPr>
                      <w:fldChar w:fldCharType="end"/>
                    </w:r>
                    <w:r>
                      <w:rPr>
                        <w:rStyle w:val="24"/>
                        <w:rFonts w:hint="eastAsia" w:ascii="宋体" w:hAnsi="宋体"/>
                        <w:sz w:val="20"/>
                        <w:szCs w:val="20"/>
                      </w:rPr>
                      <w:t xml:space="preserve">  </w:t>
                    </w:r>
                    <w:r>
                      <w:rPr>
                        <w:rStyle w:val="24"/>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AA484E"/>
    <w:multiLevelType w:val="singleLevel"/>
    <w:tmpl w:val="FEAA484E"/>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022F0569"/>
    <w:multiLevelType w:val="multilevel"/>
    <w:tmpl w:val="022F0569"/>
    <w:lvl w:ilvl="0" w:tentative="0">
      <w:start w:val="1"/>
      <w:numFmt w:val="decimal"/>
      <w:pStyle w:val="71"/>
      <w:suff w:val="nothing"/>
      <w:lvlText w:val="%1"/>
      <w:lvlJc w:val="left"/>
      <w:pPr>
        <w:tabs>
          <w:tab w:val="left" w:pos="0"/>
        </w:tabs>
        <w:ind w:left="0" w:firstLine="0"/>
      </w:pPr>
      <w:rPr>
        <w:rFonts w:hint="default" w:ascii="Times New Roman" w:hAnsi="Times New Roman" w:eastAsia="宋体" w:cs="Times New Roman"/>
        <w:sz w:val="21"/>
        <w:szCs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
    <w:nsid w:val="26276ECC"/>
    <w:multiLevelType w:val="multilevel"/>
    <w:tmpl w:val="26276ECC"/>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9E4"/>
    <w:rsid w:val="00206A65"/>
    <w:rsid w:val="00212D31"/>
    <w:rsid w:val="002130C7"/>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82DEE"/>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672B9"/>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39A0"/>
    <w:rsid w:val="00554A7B"/>
    <w:rsid w:val="0055572C"/>
    <w:rsid w:val="0056064F"/>
    <w:rsid w:val="00561B84"/>
    <w:rsid w:val="00571D98"/>
    <w:rsid w:val="005720AE"/>
    <w:rsid w:val="0058030D"/>
    <w:rsid w:val="00582045"/>
    <w:rsid w:val="00590AE3"/>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63658"/>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2BA0"/>
    <w:rsid w:val="00B24F30"/>
    <w:rsid w:val="00B31ABF"/>
    <w:rsid w:val="00B335AE"/>
    <w:rsid w:val="00B37CE1"/>
    <w:rsid w:val="00B40ACF"/>
    <w:rsid w:val="00B46BAA"/>
    <w:rsid w:val="00B50B5F"/>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A8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202AC6"/>
    <w:rsid w:val="014402D6"/>
    <w:rsid w:val="014E7706"/>
    <w:rsid w:val="016C6AAC"/>
    <w:rsid w:val="02150564"/>
    <w:rsid w:val="024938ED"/>
    <w:rsid w:val="028B18FB"/>
    <w:rsid w:val="029F7971"/>
    <w:rsid w:val="02A62291"/>
    <w:rsid w:val="02AD1871"/>
    <w:rsid w:val="02B63EF1"/>
    <w:rsid w:val="02E74840"/>
    <w:rsid w:val="0308050A"/>
    <w:rsid w:val="03311B51"/>
    <w:rsid w:val="033755DF"/>
    <w:rsid w:val="03455F4E"/>
    <w:rsid w:val="037013AD"/>
    <w:rsid w:val="03B53475"/>
    <w:rsid w:val="03B74955"/>
    <w:rsid w:val="03BE06BF"/>
    <w:rsid w:val="03C136E4"/>
    <w:rsid w:val="03D83AC0"/>
    <w:rsid w:val="03E649EA"/>
    <w:rsid w:val="04165A06"/>
    <w:rsid w:val="04482E2A"/>
    <w:rsid w:val="044A55B1"/>
    <w:rsid w:val="045A2844"/>
    <w:rsid w:val="04843F2D"/>
    <w:rsid w:val="049525BD"/>
    <w:rsid w:val="04CE1F73"/>
    <w:rsid w:val="04FD57D9"/>
    <w:rsid w:val="05373674"/>
    <w:rsid w:val="054007B3"/>
    <w:rsid w:val="05440421"/>
    <w:rsid w:val="05742AC8"/>
    <w:rsid w:val="05852631"/>
    <w:rsid w:val="05B43BA3"/>
    <w:rsid w:val="05DC421B"/>
    <w:rsid w:val="05DE071C"/>
    <w:rsid w:val="06352F05"/>
    <w:rsid w:val="063E7D85"/>
    <w:rsid w:val="065A3ABE"/>
    <w:rsid w:val="066B0EE6"/>
    <w:rsid w:val="06752B0F"/>
    <w:rsid w:val="06844182"/>
    <w:rsid w:val="070875E0"/>
    <w:rsid w:val="071030B3"/>
    <w:rsid w:val="07126147"/>
    <w:rsid w:val="071A68F1"/>
    <w:rsid w:val="07293586"/>
    <w:rsid w:val="07294AC3"/>
    <w:rsid w:val="07295285"/>
    <w:rsid w:val="07770C56"/>
    <w:rsid w:val="07846919"/>
    <w:rsid w:val="078801B7"/>
    <w:rsid w:val="078B5EF9"/>
    <w:rsid w:val="07936640"/>
    <w:rsid w:val="07A2497A"/>
    <w:rsid w:val="07B71B72"/>
    <w:rsid w:val="07C05BA3"/>
    <w:rsid w:val="07F8734E"/>
    <w:rsid w:val="082936CA"/>
    <w:rsid w:val="08430582"/>
    <w:rsid w:val="085E6EED"/>
    <w:rsid w:val="08607247"/>
    <w:rsid w:val="086132A7"/>
    <w:rsid w:val="0865499C"/>
    <w:rsid w:val="086E3851"/>
    <w:rsid w:val="08830217"/>
    <w:rsid w:val="089B5724"/>
    <w:rsid w:val="08B110B7"/>
    <w:rsid w:val="08D46B19"/>
    <w:rsid w:val="092217DD"/>
    <w:rsid w:val="093A7294"/>
    <w:rsid w:val="097A4477"/>
    <w:rsid w:val="09CD27F9"/>
    <w:rsid w:val="09E377B9"/>
    <w:rsid w:val="09F832AE"/>
    <w:rsid w:val="0A2E299B"/>
    <w:rsid w:val="0A486323"/>
    <w:rsid w:val="0A7C69B9"/>
    <w:rsid w:val="0A876FC3"/>
    <w:rsid w:val="0A9805B1"/>
    <w:rsid w:val="0AA51080"/>
    <w:rsid w:val="0AB3379D"/>
    <w:rsid w:val="0AE55920"/>
    <w:rsid w:val="0B016BFE"/>
    <w:rsid w:val="0B29708A"/>
    <w:rsid w:val="0B2D0A13"/>
    <w:rsid w:val="0B324107"/>
    <w:rsid w:val="0B8769D7"/>
    <w:rsid w:val="0BB0529B"/>
    <w:rsid w:val="0BD22349"/>
    <w:rsid w:val="0BD27BF6"/>
    <w:rsid w:val="0BF222C8"/>
    <w:rsid w:val="0BFA364D"/>
    <w:rsid w:val="0C081041"/>
    <w:rsid w:val="0C0F682B"/>
    <w:rsid w:val="0C686809"/>
    <w:rsid w:val="0C844494"/>
    <w:rsid w:val="0CB101B0"/>
    <w:rsid w:val="0D051A1A"/>
    <w:rsid w:val="0D442843"/>
    <w:rsid w:val="0D533882"/>
    <w:rsid w:val="0D6A4C27"/>
    <w:rsid w:val="0D894C89"/>
    <w:rsid w:val="0D9C567C"/>
    <w:rsid w:val="0D9C676A"/>
    <w:rsid w:val="0D9E6986"/>
    <w:rsid w:val="0D9F26FE"/>
    <w:rsid w:val="0DA47D15"/>
    <w:rsid w:val="0DAE109B"/>
    <w:rsid w:val="0DB37587"/>
    <w:rsid w:val="0E0F33E0"/>
    <w:rsid w:val="0E110BA6"/>
    <w:rsid w:val="0E110D06"/>
    <w:rsid w:val="0E2B6EB6"/>
    <w:rsid w:val="0E612360"/>
    <w:rsid w:val="0EAC2101"/>
    <w:rsid w:val="0EEA5BFB"/>
    <w:rsid w:val="0F13775A"/>
    <w:rsid w:val="0F2138C1"/>
    <w:rsid w:val="0F251A1F"/>
    <w:rsid w:val="0F5655FC"/>
    <w:rsid w:val="0F77102E"/>
    <w:rsid w:val="0F810D9D"/>
    <w:rsid w:val="0F9A112B"/>
    <w:rsid w:val="0FA22205"/>
    <w:rsid w:val="0FAE09D7"/>
    <w:rsid w:val="106D2F64"/>
    <w:rsid w:val="10A314A9"/>
    <w:rsid w:val="10A55F1E"/>
    <w:rsid w:val="10B63710"/>
    <w:rsid w:val="10C1300E"/>
    <w:rsid w:val="10E943BC"/>
    <w:rsid w:val="111921EA"/>
    <w:rsid w:val="111C2F7A"/>
    <w:rsid w:val="113013DE"/>
    <w:rsid w:val="114F36C3"/>
    <w:rsid w:val="11544F10"/>
    <w:rsid w:val="11862732"/>
    <w:rsid w:val="11A402E3"/>
    <w:rsid w:val="12065D1F"/>
    <w:rsid w:val="122B06C2"/>
    <w:rsid w:val="123C49C0"/>
    <w:rsid w:val="124F54E6"/>
    <w:rsid w:val="1258388A"/>
    <w:rsid w:val="12816876"/>
    <w:rsid w:val="128F52CB"/>
    <w:rsid w:val="12B10F0A"/>
    <w:rsid w:val="12C761E2"/>
    <w:rsid w:val="12CE6145"/>
    <w:rsid w:val="12F71682"/>
    <w:rsid w:val="132C67E2"/>
    <w:rsid w:val="133A4435"/>
    <w:rsid w:val="137A6087"/>
    <w:rsid w:val="1382238D"/>
    <w:rsid w:val="13951726"/>
    <w:rsid w:val="13A22600"/>
    <w:rsid w:val="13A715EA"/>
    <w:rsid w:val="13D604FC"/>
    <w:rsid w:val="13E23345"/>
    <w:rsid w:val="13FB22A7"/>
    <w:rsid w:val="143926FE"/>
    <w:rsid w:val="14396509"/>
    <w:rsid w:val="1447165C"/>
    <w:rsid w:val="144A3F50"/>
    <w:rsid w:val="14BC3B96"/>
    <w:rsid w:val="150562C2"/>
    <w:rsid w:val="152A0AFF"/>
    <w:rsid w:val="152F3AAF"/>
    <w:rsid w:val="155618F4"/>
    <w:rsid w:val="15671D54"/>
    <w:rsid w:val="15CB0E82"/>
    <w:rsid w:val="16045210"/>
    <w:rsid w:val="16493207"/>
    <w:rsid w:val="16930926"/>
    <w:rsid w:val="16980730"/>
    <w:rsid w:val="16B972F6"/>
    <w:rsid w:val="16CA7DE5"/>
    <w:rsid w:val="16CF19BA"/>
    <w:rsid w:val="16DD4DCA"/>
    <w:rsid w:val="1719019C"/>
    <w:rsid w:val="171A4BA4"/>
    <w:rsid w:val="172228C3"/>
    <w:rsid w:val="17321EED"/>
    <w:rsid w:val="175E736C"/>
    <w:rsid w:val="17735226"/>
    <w:rsid w:val="17874176"/>
    <w:rsid w:val="17BD1C5F"/>
    <w:rsid w:val="17CD1C16"/>
    <w:rsid w:val="17F37D87"/>
    <w:rsid w:val="180A6D34"/>
    <w:rsid w:val="181078CA"/>
    <w:rsid w:val="18204890"/>
    <w:rsid w:val="182B53F1"/>
    <w:rsid w:val="185A4C56"/>
    <w:rsid w:val="187D53EA"/>
    <w:rsid w:val="18865056"/>
    <w:rsid w:val="18A46A59"/>
    <w:rsid w:val="18B7118C"/>
    <w:rsid w:val="18D42054"/>
    <w:rsid w:val="18FC6C57"/>
    <w:rsid w:val="19026AC9"/>
    <w:rsid w:val="19387FE6"/>
    <w:rsid w:val="19553FDD"/>
    <w:rsid w:val="196D1903"/>
    <w:rsid w:val="197131A1"/>
    <w:rsid w:val="197F7673"/>
    <w:rsid w:val="19AC242B"/>
    <w:rsid w:val="19E93307"/>
    <w:rsid w:val="1A002777"/>
    <w:rsid w:val="1A167FF9"/>
    <w:rsid w:val="1A1C66C0"/>
    <w:rsid w:val="1A3F5CD9"/>
    <w:rsid w:val="1A42393B"/>
    <w:rsid w:val="1A5F2FF9"/>
    <w:rsid w:val="1A824F3A"/>
    <w:rsid w:val="1A8D56E2"/>
    <w:rsid w:val="1A9A6D77"/>
    <w:rsid w:val="1AA17AB6"/>
    <w:rsid w:val="1AAB39C5"/>
    <w:rsid w:val="1AC473CE"/>
    <w:rsid w:val="1ACE20F1"/>
    <w:rsid w:val="1AD82DF4"/>
    <w:rsid w:val="1B046F80"/>
    <w:rsid w:val="1B3267B5"/>
    <w:rsid w:val="1B65082C"/>
    <w:rsid w:val="1B7E6946"/>
    <w:rsid w:val="1B862808"/>
    <w:rsid w:val="1BAD4238"/>
    <w:rsid w:val="1BBA3A78"/>
    <w:rsid w:val="1BC25DC8"/>
    <w:rsid w:val="1BF85756"/>
    <w:rsid w:val="1C5E7925"/>
    <w:rsid w:val="1C660767"/>
    <w:rsid w:val="1C887FC8"/>
    <w:rsid w:val="1CA4195D"/>
    <w:rsid w:val="1CA732C5"/>
    <w:rsid w:val="1CB25949"/>
    <w:rsid w:val="1D5F6196"/>
    <w:rsid w:val="1D6132A5"/>
    <w:rsid w:val="1D730C5C"/>
    <w:rsid w:val="1D8E56D5"/>
    <w:rsid w:val="1DEA52D0"/>
    <w:rsid w:val="1E114F52"/>
    <w:rsid w:val="1E34479D"/>
    <w:rsid w:val="1E5F65D3"/>
    <w:rsid w:val="1E7A43DA"/>
    <w:rsid w:val="1E854FF8"/>
    <w:rsid w:val="1E870E3D"/>
    <w:rsid w:val="1EB277FE"/>
    <w:rsid w:val="1EB956AC"/>
    <w:rsid w:val="1EC75611"/>
    <w:rsid w:val="1EE0054A"/>
    <w:rsid w:val="1F1A1BE5"/>
    <w:rsid w:val="1F3C1B5B"/>
    <w:rsid w:val="1F8B41DC"/>
    <w:rsid w:val="1F974FE3"/>
    <w:rsid w:val="1F9C5040"/>
    <w:rsid w:val="1FC441DF"/>
    <w:rsid w:val="1FDC50EC"/>
    <w:rsid w:val="1FE521F3"/>
    <w:rsid w:val="1FE7539E"/>
    <w:rsid w:val="1FF50CC5"/>
    <w:rsid w:val="20027DC8"/>
    <w:rsid w:val="201073CD"/>
    <w:rsid w:val="202C47F3"/>
    <w:rsid w:val="20305D34"/>
    <w:rsid w:val="20580C17"/>
    <w:rsid w:val="20622EC2"/>
    <w:rsid w:val="208070AE"/>
    <w:rsid w:val="208B2A2D"/>
    <w:rsid w:val="20963CB8"/>
    <w:rsid w:val="20B07FB6"/>
    <w:rsid w:val="20E414F7"/>
    <w:rsid w:val="20E439B8"/>
    <w:rsid w:val="20FB6266"/>
    <w:rsid w:val="211C60E8"/>
    <w:rsid w:val="212E4E27"/>
    <w:rsid w:val="213B74B1"/>
    <w:rsid w:val="21411C65"/>
    <w:rsid w:val="214B42D7"/>
    <w:rsid w:val="215A2310"/>
    <w:rsid w:val="21650232"/>
    <w:rsid w:val="21723F5A"/>
    <w:rsid w:val="21A22698"/>
    <w:rsid w:val="21AD4F92"/>
    <w:rsid w:val="21B76A07"/>
    <w:rsid w:val="21DE318A"/>
    <w:rsid w:val="21EF5B80"/>
    <w:rsid w:val="223942B3"/>
    <w:rsid w:val="224334AA"/>
    <w:rsid w:val="22547E66"/>
    <w:rsid w:val="22576990"/>
    <w:rsid w:val="226B0684"/>
    <w:rsid w:val="228026A7"/>
    <w:rsid w:val="229A3F2B"/>
    <w:rsid w:val="229C4EAB"/>
    <w:rsid w:val="22A45C99"/>
    <w:rsid w:val="22C8411F"/>
    <w:rsid w:val="22CE51C0"/>
    <w:rsid w:val="230B3A55"/>
    <w:rsid w:val="238735C1"/>
    <w:rsid w:val="23D06D16"/>
    <w:rsid w:val="245A4C34"/>
    <w:rsid w:val="246C2EE2"/>
    <w:rsid w:val="24771887"/>
    <w:rsid w:val="24D665AE"/>
    <w:rsid w:val="24E32A79"/>
    <w:rsid w:val="24E9445F"/>
    <w:rsid w:val="25041E90"/>
    <w:rsid w:val="250C6474"/>
    <w:rsid w:val="252A23ED"/>
    <w:rsid w:val="252D53FE"/>
    <w:rsid w:val="25746F1E"/>
    <w:rsid w:val="25DA70BA"/>
    <w:rsid w:val="25EC2D81"/>
    <w:rsid w:val="25F52A64"/>
    <w:rsid w:val="25F67894"/>
    <w:rsid w:val="25FB16BD"/>
    <w:rsid w:val="26087D12"/>
    <w:rsid w:val="262D1A90"/>
    <w:rsid w:val="264528BD"/>
    <w:rsid w:val="26666417"/>
    <w:rsid w:val="26F86CAF"/>
    <w:rsid w:val="27181100"/>
    <w:rsid w:val="27217B94"/>
    <w:rsid w:val="27317895"/>
    <w:rsid w:val="273D46C2"/>
    <w:rsid w:val="27861D78"/>
    <w:rsid w:val="27CD4F0B"/>
    <w:rsid w:val="27CE7A10"/>
    <w:rsid w:val="27D15DD1"/>
    <w:rsid w:val="27D75D5F"/>
    <w:rsid w:val="27EC7B9E"/>
    <w:rsid w:val="27F05BD9"/>
    <w:rsid w:val="28177609"/>
    <w:rsid w:val="28400275"/>
    <w:rsid w:val="286930E4"/>
    <w:rsid w:val="289645E7"/>
    <w:rsid w:val="28A76295"/>
    <w:rsid w:val="28A94AE2"/>
    <w:rsid w:val="28C3509B"/>
    <w:rsid w:val="28E13773"/>
    <w:rsid w:val="291326FE"/>
    <w:rsid w:val="29206EB8"/>
    <w:rsid w:val="293B7327"/>
    <w:rsid w:val="29794A81"/>
    <w:rsid w:val="29A273A6"/>
    <w:rsid w:val="29A44ECD"/>
    <w:rsid w:val="29D15596"/>
    <w:rsid w:val="29D646D8"/>
    <w:rsid w:val="29E325E0"/>
    <w:rsid w:val="29E66882"/>
    <w:rsid w:val="29F82489"/>
    <w:rsid w:val="29FA524E"/>
    <w:rsid w:val="2A452503"/>
    <w:rsid w:val="2A583AEA"/>
    <w:rsid w:val="2A697EC4"/>
    <w:rsid w:val="2A725723"/>
    <w:rsid w:val="2AC858BA"/>
    <w:rsid w:val="2AE337D3"/>
    <w:rsid w:val="2AFE060C"/>
    <w:rsid w:val="2B162169"/>
    <w:rsid w:val="2B232EFF"/>
    <w:rsid w:val="2B7D7783"/>
    <w:rsid w:val="2B7F0ABD"/>
    <w:rsid w:val="2BA936A8"/>
    <w:rsid w:val="2BC97BFB"/>
    <w:rsid w:val="2BCD2015"/>
    <w:rsid w:val="2BD52DA5"/>
    <w:rsid w:val="2BD870AF"/>
    <w:rsid w:val="2BDA1A1F"/>
    <w:rsid w:val="2C1A0B47"/>
    <w:rsid w:val="2C222C90"/>
    <w:rsid w:val="2C300E95"/>
    <w:rsid w:val="2C315A5A"/>
    <w:rsid w:val="2C5030EA"/>
    <w:rsid w:val="2C723060"/>
    <w:rsid w:val="2C863A89"/>
    <w:rsid w:val="2C965046"/>
    <w:rsid w:val="2CB90C8F"/>
    <w:rsid w:val="2CEC1C1D"/>
    <w:rsid w:val="2CEE64E5"/>
    <w:rsid w:val="2D037101"/>
    <w:rsid w:val="2D0619FA"/>
    <w:rsid w:val="2D37573E"/>
    <w:rsid w:val="2D392C79"/>
    <w:rsid w:val="2D40315E"/>
    <w:rsid w:val="2D46629B"/>
    <w:rsid w:val="2D597D7C"/>
    <w:rsid w:val="2D834DF9"/>
    <w:rsid w:val="2D8D1F27"/>
    <w:rsid w:val="2D9E56F5"/>
    <w:rsid w:val="2DB63420"/>
    <w:rsid w:val="2DC248CC"/>
    <w:rsid w:val="2DC90308"/>
    <w:rsid w:val="2DF5484D"/>
    <w:rsid w:val="2E106131"/>
    <w:rsid w:val="2E3A0D95"/>
    <w:rsid w:val="2E3D31FA"/>
    <w:rsid w:val="2E5E24D1"/>
    <w:rsid w:val="2E667F96"/>
    <w:rsid w:val="2E725599"/>
    <w:rsid w:val="2E8226AB"/>
    <w:rsid w:val="2E9F315C"/>
    <w:rsid w:val="2EAE691B"/>
    <w:rsid w:val="2F084F7F"/>
    <w:rsid w:val="2F340AA1"/>
    <w:rsid w:val="2F5D3D3C"/>
    <w:rsid w:val="2F832C79"/>
    <w:rsid w:val="2F8D373D"/>
    <w:rsid w:val="2FC04521"/>
    <w:rsid w:val="2FD708CD"/>
    <w:rsid w:val="2FEF2C1A"/>
    <w:rsid w:val="2FEF2D58"/>
    <w:rsid w:val="2FF034A9"/>
    <w:rsid w:val="300A1801"/>
    <w:rsid w:val="30223F77"/>
    <w:rsid w:val="30354AD0"/>
    <w:rsid w:val="30580BC9"/>
    <w:rsid w:val="30FA1FFA"/>
    <w:rsid w:val="310D77FB"/>
    <w:rsid w:val="311E2ED7"/>
    <w:rsid w:val="31325167"/>
    <w:rsid w:val="313E1763"/>
    <w:rsid w:val="315C449C"/>
    <w:rsid w:val="31750EFD"/>
    <w:rsid w:val="31A6555A"/>
    <w:rsid w:val="31B82709"/>
    <w:rsid w:val="31C75DAA"/>
    <w:rsid w:val="31D25E0E"/>
    <w:rsid w:val="31E7004C"/>
    <w:rsid w:val="320928B7"/>
    <w:rsid w:val="32111360"/>
    <w:rsid w:val="32400B34"/>
    <w:rsid w:val="326F3B9E"/>
    <w:rsid w:val="32901A51"/>
    <w:rsid w:val="329E6876"/>
    <w:rsid w:val="32A61E75"/>
    <w:rsid w:val="32B144D4"/>
    <w:rsid w:val="32D433E8"/>
    <w:rsid w:val="32E60304"/>
    <w:rsid w:val="330E785B"/>
    <w:rsid w:val="332378CD"/>
    <w:rsid w:val="33272CFD"/>
    <w:rsid w:val="33323549"/>
    <w:rsid w:val="333F5C66"/>
    <w:rsid w:val="33442FE6"/>
    <w:rsid w:val="33572FB0"/>
    <w:rsid w:val="335E483A"/>
    <w:rsid w:val="336F7604"/>
    <w:rsid w:val="338D792D"/>
    <w:rsid w:val="339C6AB3"/>
    <w:rsid w:val="33D934D4"/>
    <w:rsid w:val="33E0206B"/>
    <w:rsid w:val="33F00D0E"/>
    <w:rsid w:val="33F7209D"/>
    <w:rsid w:val="33F82836"/>
    <w:rsid w:val="33FE2F6A"/>
    <w:rsid w:val="344F47AF"/>
    <w:rsid w:val="348A3E7A"/>
    <w:rsid w:val="34A722B0"/>
    <w:rsid w:val="34BB30CA"/>
    <w:rsid w:val="34CD4CA0"/>
    <w:rsid w:val="34E97C37"/>
    <w:rsid w:val="35066A3B"/>
    <w:rsid w:val="35154ED0"/>
    <w:rsid w:val="35390AE8"/>
    <w:rsid w:val="358160C2"/>
    <w:rsid w:val="35A103A3"/>
    <w:rsid w:val="35AF09D7"/>
    <w:rsid w:val="35B3327A"/>
    <w:rsid w:val="35C73E26"/>
    <w:rsid w:val="36074A7F"/>
    <w:rsid w:val="360811DD"/>
    <w:rsid w:val="36174C78"/>
    <w:rsid w:val="36581EF8"/>
    <w:rsid w:val="365D4290"/>
    <w:rsid w:val="36695270"/>
    <w:rsid w:val="36697387"/>
    <w:rsid w:val="36923549"/>
    <w:rsid w:val="369B31B3"/>
    <w:rsid w:val="36B75FBF"/>
    <w:rsid w:val="36B760D3"/>
    <w:rsid w:val="36E032BC"/>
    <w:rsid w:val="36FB4891"/>
    <w:rsid w:val="372A4537"/>
    <w:rsid w:val="37531CE0"/>
    <w:rsid w:val="375577D6"/>
    <w:rsid w:val="37690BE5"/>
    <w:rsid w:val="37AE4F11"/>
    <w:rsid w:val="37D03331"/>
    <w:rsid w:val="37E1553E"/>
    <w:rsid w:val="380134EA"/>
    <w:rsid w:val="380A05F1"/>
    <w:rsid w:val="38286CC9"/>
    <w:rsid w:val="38352216"/>
    <w:rsid w:val="383733B0"/>
    <w:rsid w:val="38826A3A"/>
    <w:rsid w:val="389A160C"/>
    <w:rsid w:val="38F12CD3"/>
    <w:rsid w:val="38F94775"/>
    <w:rsid w:val="392971ED"/>
    <w:rsid w:val="394B041C"/>
    <w:rsid w:val="396B662C"/>
    <w:rsid w:val="3978678E"/>
    <w:rsid w:val="39822409"/>
    <w:rsid w:val="39933621"/>
    <w:rsid w:val="39C46EC5"/>
    <w:rsid w:val="3A044CC7"/>
    <w:rsid w:val="3A26189D"/>
    <w:rsid w:val="3A3915D4"/>
    <w:rsid w:val="3AA52436"/>
    <w:rsid w:val="3AB127B5"/>
    <w:rsid w:val="3ACB7513"/>
    <w:rsid w:val="3AD76BB8"/>
    <w:rsid w:val="3B2035DD"/>
    <w:rsid w:val="3B3763D1"/>
    <w:rsid w:val="3B505A43"/>
    <w:rsid w:val="3B6A6290"/>
    <w:rsid w:val="3B986CBB"/>
    <w:rsid w:val="3B9D56D9"/>
    <w:rsid w:val="3BD238D0"/>
    <w:rsid w:val="3C0572CE"/>
    <w:rsid w:val="3C7C5835"/>
    <w:rsid w:val="3C836BC3"/>
    <w:rsid w:val="3C8541D9"/>
    <w:rsid w:val="3C887535"/>
    <w:rsid w:val="3C9E64E8"/>
    <w:rsid w:val="3CB7686D"/>
    <w:rsid w:val="3CD36212"/>
    <w:rsid w:val="3CD427F4"/>
    <w:rsid w:val="3CDA245A"/>
    <w:rsid w:val="3CE260D0"/>
    <w:rsid w:val="3CEB0D73"/>
    <w:rsid w:val="3CEE0A37"/>
    <w:rsid w:val="3CFA450F"/>
    <w:rsid w:val="3D3D6D72"/>
    <w:rsid w:val="3D4B5297"/>
    <w:rsid w:val="3D4E5423"/>
    <w:rsid w:val="3D7604D6"/>
    <w:rsid w:val="3D97078C"/>
    <w:rsid w:val="3DBC68B2"/>
    <w:rsid w:val="3DC35C72"/>
    <w:rsid w:val="3DD65EF1"/>
    <w:rsid w:val="3DE73182"/>
    <w:rsid w:val="3DE74F30"/>
    <w:rsid w:val="3DFA4C63"/>
    <w:rsid w:val="3DFF4187"/>
    <w:rsid w:val="3E06185A"/>
    <w:rsid w:val="3E323CFF"/>
    <w:rsid w:val="3E500D27"/>
    <w:rsid w:val="3E575CBE"/>
    <w:rsid w:val="3E99447C"/>
    <w:rsid w:val="3EB92D70"/>
    <w:rsid w:val="3ECE7E74"/>
    <w:rsid w:val="3EE54794"/>
    <w:rsid w:val="3EF43270"/>
    <w:rsid w:val="3F3E429E"/>
    <w:rsid w:val="3F5E56C6"/>
    <w:rsid w:val="3F660E74"/>
    <w:rsid w:val="3F8A64BB"/>
    <w:rsid w:val="3FB30A01"/>
    <w:rsid w:val="3FD140EA"/>
    <w:rsid w:val="400B03A1"/>
    <w:rsid w:val="4025396C"/>
    <w:rsid w:val="402A5051"/>
    <w:rsid w:val="402B55A8"/>
    <w:rsid w:val="4030069C"/>
    <w:rsid w:val="40541AA8"/>
    <w:rsid w:val="4061546E"/>
    <w:rsid w:val="407A6407"/>
    <w:rsid w:val="40845AE0"/>
    <w:rsid w:val="40B67886"/>
    <w:rsid w:val="40D9394E"/>
    <w:rsid w:val="40DE6ABE"/>
    <w:rsid w:val="41036525"/>
    <w:rsid w:val="414A558E"/>
    <w:rsid w:val="416B7C26"/>
    <w:rsid w:val="417D0FF9"/>
    <w:rsid w:val="417E204F"/>
    <w:rsid w:val="419E729D"/>
    <w:rsid w:val="41A03D74"/>
    <w:rsid w:val="41B45713"/>
    <w:rsid w:val="41B66125"/>
    <w:rsid w:val="41BF069E"/>
    <w:rsid w:val="41CF506A"/>
    <w:rsid w:val="41D81760"/>
    <w:rsid w:val="41E07957"/>
    <w:rsid w:val="41EE2D31"/>
    <w:rsid w:val="41FE2C02"/>
    <w:rsid w:val="420050A8"/>
    <w:rsid w:val="4229605A"/>
    <w:rsid w:val="423A3BCC"/>
    <w:rsid w:val="42537062"/>
    <w:rsid w:val="42552DB0"/>
    <w:rsid w:val="42734FE4"/>
    <w:rsid w:val="42BE4BB2"/>
    <w:rsid w:val="42BF022A"/>
    <w:rsid w:val="42DF6B1E"/>
    <w:rsid w:val="42EA1B91"/>
    <w:rsid w:val="430B7913"/>
    <w:rsid w:val="433A6FE6"/>
    <w:rsid w:val="4350713C"/>
    <w:rsid w:val="436653E0"/>
    <w:rsid w:val="448C204E"/>
    <w:rsid w:val="449D459A"/>
    <w:rsid w:val="44B753CD"/>
    <w:rsid w:val="44CD14E0"/>
    <w:rsid w:val="44F10542"/>
    <w:rsid w:val="45283B46"/>
    <w:rsid w:val="453F429A"/>
    <w:rsid w:val="458946E9"/>
    <w:rsid w:val="45B20519"/>
    <w:rsid w:val="46052FFA"/>
    <w:rsid w:val="46730EE7"/>
    <w:rsid w:val="468123C6"/>
    <w:rsid w:val="46B75DE7"/>
    <w:rsid w:val="46BB7D5B"/>
    <w:rsid w:val="46C16C66"/>
    <w:rsid w:val="46C40765"/>
    <w:rsid w:val="46C76D07"/>
    <w:rsid w:val="46D35975"/>
    <w:rsid w:val="46D955A7"/>
    <w:rsid w:val="46EB783F"/>
    <w:rsid w:val="46F30DEA"/>
    <w:rsid w:val="46F81F5C"/>
    <w:rsid w:val="46FB7DC6"/>
    <w:rsid w:val="47046B53"/>
    <w:rsid w:val="47133957"/>
    <w:rsid w:val="474D3AEE"/>
    <w:rsid w:val="4779329E"/>
    <w:rsid w:val="47A07E0C"/>
    <w:rsid w:val="47C06995"/>
    <w:rsid w:val="47C57487"/>
    <w:rsid w:val="47D57F3B"/>
    <w:rsid w:val="481A4013"/>
    <w:rsid w:val="48446ED9"/>
    <w:rsid w:val="484D637A"/>
    <w:rsid w:val="485A1120"/>
    <w:rsid w:val="4870272E"/>
    <w:rsid w:val="48847502"/>
    <w:rsid w:val="488D3FAE"/>
    <w:rsid w:val="48993FD0"/>
    <w:rsid w:val="489B3A19"/>
    <w:rsid w:val="48C062B9"/>
    <w:rsid w:val="48DA42C8"/>
    <w:rsid w:val="490966A2"/>
    <w:rsid w:val="49267254"/>
    <w:rsid w:val="49804BB7"/>
    <w:rsid w:val="49817B3D"/>
    <w:rsid w:val="49900B72"/>
    <w:rsid w:val="499B7256"/>
    <w:rsid w:val="49C16F7D"/>
    <w:rsid w:val="49C66638"/>
    <w:rsid w:val="49DC7715"/>
    <w:rsid w:val="4A023139"/>
    <w:rsid w:val="4A0C5CA6"/>
    <w:rsid w:val="4A137725"/>
    <w:rsid w:val="4A7B576F"/>
    <w:rsid w:val="4A9106FD"/>
    <w:rsid w:val="4AB2715E"/>
    <w:rsid w:val="4AB8212E"/>
    <w:rsid w:val="4ADA2BF4"/>
    <w:rsid w:val="4B0E61F2"/>
    <w:rsid w:val="4B5A7CCA"/>
    <w:rsid w:val="4B6148D3"/>
    <w:rsid w:val="4B893ACB"/>
    <w:rsid w:val="4BA63B62"/>
    <w:rsid w:val="4BB5696A"/>
    <w:rsid w:val="4BCD5D37"/>
    <w:rsid w:val="4BF83930"/>
    <w:rsid w:val="4C242EE4"/>
    <w:rsid w:val="4C4A0649"/>
    <w:rsid w:val="4C995F8F"/>
    <w:rsid w:val="4CAF57B3"/>
    <w:rsid w:val="4CE470D3"/>
    <w:rsid w:val="4D2B308B"/>
    <w:rsid w:val="4D4F6E4B"/>
    <w:rsid w:val="4D970721"/>
    <w:rsid w:val="4D9F7BF5"/>
    <w:rsid w:val="4DA478AD"/>
    <w:rsid w:val="4DA90024"/>
    <w:rsid w:val="4DBB3B00"/>
    <w:rsid w:val="4DCD7C9F"/>
    <w:rsid w:val="4DD2709F"/>
    <w:rsid w:val="4DEC4FB0"/>
    <w:rsid w:val="4DF523A6"/>
    <w:rsid w:val="4E075D8A"/>
    <w:rsid w:val="4E0B4F22"/>
    <w:rsid w:val="4E116CCD"/>
    <w:rsid w:val="4E1C4782"/>
    <w:rsid w:val="4E250F3D"/>
    <w:rsid w:val="4E284B02"/>
    <w:rsid w:val="4E3E2923"/>
    <w:rsid w:val="4E57065E"/>
    <w:rsid w:val="4E755FFF"/>
    <w:rsid w:val="4E86609F"/>
    <w:rsid w:val="4E9702AC"/>
    <w:rsid w:val="4EA1435C"/>
    <w:rsid w:val="4EC05A55"/>
    <w:rsid w:val="4ED178FE"/>
    <w:rsid w:val="4F320A09"/>
    <w:rsid w:val="4F5D14F6"/>
    <w:rsid w:val="4F7725B8"/>
    <w:rsid w:val="4F9758E3"/>
    <w:rsid w:val="4F9D423F"/>
    <w:rsid w:val="4FAF463E"/>
    <w:rsid w:val="4FBF09F4"/>
    <w:rsid w:val="4FC62A8C"/>
    <w:rsid w:val="4FC773F7"/>
    <w:rsid w:val="4FE20F0D"/>
    <w:rsid w:val="500A72AA"/>
    <w:rsid w:val="50286007"/>
    <w:rsid w:val="502B1F4F"/>
    <w:rsid w:val="504306EC"/>
    <w:rsid w:val="50504C4B"/>
    <w:rsid w:val="507B617E"/>
    <w:rsid w:val="507C775A"/>
    <w:rsid w:val="509C6E7C"/>
    <w:rsid w:val="50BD049E"/>
    <w:rsid w:val="50F83F2B"/>
    <w:rsid w:val="512F2A1E"/>
    <w:rsid w:val="5132640A"/>
    <w:rsid w:val="513E2C61"/>
    <w:rsid w:val="51453FF0"/>
    <w:rsid w:val="514636B5"/>
    <w:rsid w:val="515626A1"/>
    <w:rsid w:val="5162104E"/>
    <w:rsid w:val="518D76D3"/>
    <w:rsid w:val="519032CB"/>
    <w:rsid w:val="51A569C3"/>
    <w:rsid w:val="51AE0501"/>
    <w:rsid w:val="51BB36AA"/>
    <w:rsid w:val="51C55131"/>
    <w:rsid w:val="51C63383"/>
    <w:rsid w:val="51EF1345"/>
    <w:rsid w:val="520B4A1A"/>
    <w:rsid w:val="526E647E"/>
    <w:rsid w:val="52756EFD"/>
    <w:rsid w:val="52B92EE7"/>
    <w:rsid w:val="5305612D"/>
    <w:rsid w:val="53085FE0"/>
    <w:rsid w:val="53165C44"/>
    <w:rsid w:val="535F3A8F"/>
    <w:rsid w:val="539066B1"/>
    <w:rsid w:val="53A039CC"/>
    <w:rsid w:val="53A1505A"/>
    <w:rsid w:val="53B31D18"/>
    <w:rsid w:val="54063E08"/>
    <w:rsid w:val="540F6B5A"/>
    <w:rsid w:val="5429521F"/>
    <w:rsid w:val="543437E8"/>
    <w:rsid w:val="543E18F6"/>
    <w:rsid w:val="545C1D7C"/>
    <w:rsid w:val="54820B33"/>
    <w:rsid w:val="5484626E"/>
    <w:rsid w:val="54DE4EF2"/>
    <w:rsid w:val="54ED3248"/>
    <w:rsid w:val="54F26F78"/>
    <w:rsid w:val="55033EAA"/>
    <w:rsid w:val="5527195B"/>
    <w:rsid w:val="559B174B"/>
    <w:rsid w:val="55A615D8"/>
    <w:rsid w:val="55CE0CF4"/>
    <w:rsid w:val="561778BD"/>
    <w:rsid w:val="563D758D"/>
    <w:rsid w:val="563F5D2D"/>
    <w:rsid w:val="56523597"/>
    <w:rsid w:val="567C3BE3"/>
    <w:rsid w:val="567F61F6"/>
    <w:rsid w:val="568B1FB7"/>
    <w:rsid w:val="56B22A9C"/>
    <w:rsid w:val="56B60D4D"/>
    <w:rsid w:val="56F271B4"/>
    <w:rsid w:val="57007337"/>
    <w:rsid w:val="57014E5D"/>
    <w:rsid w:val="570F4D81"/>
    <w:rsid w:val="5725604A"/>
    <w:rsid w:val="575B0743"/>
    <w:rsid w:val="5785077A"/>
    <w:rsid w:val="57B72A76"/>
    <w:rsid w:val="57B93BC0"/>
    <w:rsid w:val="57FE7ACB"/>
    <w:rsid w:val="581A2A5F"/>
    <w:rsid w:val="584C246C"/>
    <w:rsid w:val="586D09FC"/>
    <w:rsid w:val="588418A2"/>
    <w:rsid w:val="588609B7"/>
    <w:rsid w:val="58A3236C"/>
    <w:rsid w:val="58A61818"/>
    <w:rsid w:val="58BE3005"/>
    <w:rsid w:val="59967ADE"/>
    <w:rsid w:val="59AA7F24"/>
    <w:rsid w:val="59B16E95"/>
    <w:rsid w:val="59EC0167"/>
    <w:rsid w:val="5A2275C4"/>
    <w:rsid w:val="5A273174"/>
    <w:rsid w:val="5A3906F8"/>
    <w:rsid w:val="5A3C747D"/>
    <w:rsid w:val="5A464D57"/>
    <w:rsid w:val="5A642EE1"/>
    <w:rsid w:val="5A687DD5"/>
    <w:rsid w:val="5A885638"/>
    <w:rsid w:val="5A9F0C15"/>
    <w:rsid w:val="5AA77AAC"/>
    <w:rsid w:val="5AA77AC9"/>
    <w:rsid w:val="5ABE2233"/>
    <w:rsid w:val="5AD7761B"/>
    <w:rsid w:val="5AE36B58"/>
    <w:rsid w:val="5AF31A1D"/>
    <w:rsid w:val="5AFE05EE"/>
    <w:rsid w:val="5B1038C0"/>
    <w:rsid w:val="5B276D18"/>
    <w:rsid w:val="5B411CCC"/>
    <w:rsid w:val="5B5E462C"/>
    <w:rsid w:val="5B780513"/>
    <w:rsid w:val="5B7A0547"/>
    <w:rsid w:val="5B845E9B"/>
    <w:rsid w:val="5B915EEE"/>
    <w:rsid w:val="5B9E7D89"/>
    <w:rsid w:val="5BA71A4E"/>
    <w:rsid w:val="5BDF5D95"/>
    <w:rsid w:val="5BED0C30"/>
    <w:rsid w:val="5C612BB9"/>
    <w:rsid w:val="5C656B00"/>
    <w:rsid w:val="5C744CAB"/>
    <w:rsid w:val="5C77752E"/>
    <w:rsid w:val="5CDF179C"/>
    <w:rsid w:val="5CFA4828"/>
    <w:rsid w:val="5D731EE5"/>
    <w:rsid w:val="5DDA7752"/>
    <w:rsid w:val="5DF87A0F"/>
    <w:rsid w:val="5E413897"/>
    <w:rsid w:val="5E547B43"/>
    <w:rsid w:val="5E6F6B50"/>
    <w:rsid w:val="5EAA7B88"/>
    <w:rsid w:val="5EB91404"/>
    <w:rsid w:val="5EBD1DAA"/>
    <w:rsid w:val="5EC61C02"/>
    <w:rsid w:val="5EF90385"/>
    <w:rsid w:val="5F1A2B43"/>
    <w:rsid w:val="5F356196"/>
    <w:rsid w:val="5F385194"/>
    <w:rsid w:val="5F714E1D"/>
    <w:rsid w:val="5F7A57AC"/>
    <w:rsid w:val="5F856825"/>
    <w:rsid w:val="5FB837BB"/>
    <w:rsid w:val="5FC1162D"/>
    <w:rsid w:val="5FFC2665"/>
    <w:rsid w:val="5FFE462F"/>
    <w:rsid w:val="600A1AD5"/>
    <w:rsid w:val="600A5DD1"/>
    <w:rsid w:val="605D3332"/>
    <w:rsid w:val="60681AA9"/>
    <w:rsid w:val="609A4047"/>
    <w:rsid w:val="60CD68C0"/>
    <w:rsid w:val="60E6759D"/>
    <w:rsid w:val="60FC378A"/>
    <w:rsid w:val="61016185"/>
    <w:rsid w:val="61271964"/>
    <w:rsid w:val="613B60B7"/>
    <w:rsid w:val="61822AE0"/>
    <w:rsid w:val="61863978"/>
    <w:rsid w:val="61B25FFA"/>
    <w:rsid w:val="61CF2C55"/>
    <w:rsid w:val="61F3071F"/>
    <w:rsid w:val="621041A6"/>
    <w:rsid w:val="62364782"/>
    <w:rsid w:val="6263511C"/>
    <w:rsid w:val="62755D04"/>
    <w:rsid w:val="62A52B40"/>
    <w:rsid w:val="62D9786E"/>
    <w:rsid w:val="62F851A3"/>
    <w:rsid w:val="62FB4E56"/>
    <w:rsid w:val="633C66B6"/>
    <w:rsid w:val="633D546F"/>
    <w:rsid w:val="63A41F3F"/>
    <w:rsid w:val="63BB7D19"/>
    <w:rsid w:val="63D40BE9"/>
    <w:rsid w:val="63DF6526"/>
    <w:rsid w:val="63E0211F"/>
    <w:rsid w:val="643B03A5"/>
    <w:rsid w:val="645B0944"/>
    <w:rsid w:val="646F37A5"/>
    <w:rsid w:val="648233F0"/>
    <w:rsid w:val="648B080B"/>
    <w:rsid w:val="64DA557F"/>
    <w:rsid w:val="64EB5E98"/>
    <w:rsid w:val="64F8164D"/>
    <w:rsid w:val="65044496"/>
    <w:rsid w:val="650A5824"/>
    <w:rsid w:val="65242442"/>
    <w:rsid w:val="653243E6"/>
    <w:rsid w:val="65373578"/>
    <w:rsid w:val="65681DA1"/>
    <w:rsid w:val="656C50E2"/>
    <w:rsid w:val="65815AE7"/>
    <w:rsid w:val="65B70A4E"/>
    <w:rsid w:val="65C041E2"/>
    <w:rsid w:val="65DC0F6F"/>
    <w:rsid w:val="65DF34CC"/>
    <w:rsid w:val="66140709"/>
    <w:rsid w:val="66456B14"/>
    <w:rsid w:val="66806AF2"/>
    <w:rsid w:val="66996AAF"/>
    <w:rsid w:val="66BA2932"/>
    <w:rsid w:val="66E4436D"/>
    <w:rsid w:val="66E53E53"/>
    <w:rsid w:val="66F61BBC"/>
    <w:rsid w:val="673F2C7A"/>
    <w:rsid w:val="6747688A"/>
    <w:rsid w:val="67625D78"/>
    <w:rsid w:val="677376B1"/>
    <w:rsid w:val="67746F85"/>
    <w:rsid w:val="679403C3"/>
    <w:rsid w:val="67A80CC6"/>
    <w:rsid w:val="67BC554A"/>
    <w:rsid w:val="67C93707"/>
    <w:rsid w:val="67DC5256"/>
    <w:rsid w:val="681F6961"/>
    <w:rsid w:val="682636EC"/>
    <w:rsid w:val="683E00BF"/>
    <w:rsid w:val="68610A2F"/>
    <w:rsid w:val="686314D3"/>
    <w:rsid w:val="686B03AF"/>
    <w:rsid w:val="687F7C3A"/>
    <w:rsid w:val="68805514"/>
    <w:rsid w:val="68896A60"/>
    <w:rsid w:val="689B4CA6"/>
    <w:rsid w:val="68A815DC"/>
    <w:rsid w:val="68AF2C6A"/>
    <w:rsid w:val="68BA66EE"/>
    <w:rsid w:val="692F7608"/>
    <w:rsid w:val="693823D6"/>
    <w:rsid w:val="693A1C7B"/>
    <w:rsid w:val="694E2071"/>
    <w:rsid w:val="697A3B33"/>
    <w:rsid w:val="699E2456"/>
    <w:rsid w:val="69A637D3"/>
    <w:rsid w:val="69B0255E"/>
    <w:rsid w:val="69C73F33"/>
    <w:rsid w:val="6A022EC1"/>
    <w:rsid w:val="6A253BA4"/>
    <w:rsid w:val="6A2656FD"/>
    <w:rsid w:val="6A2B7DCF"/>
    <w:rsid w:val="6A520252"/>
    <w:rsid w:val="6A5A06B4"/>
    <w:rsid w:val="6A5B14D5"/>
    <w:rsid w:val="6A71051E"/>
    <w:rsid w:val="6A7246DA"/>
    <w:rsid w:val="6AAD4C88"/>
    <w:rsid w:val="6AC60C91"/>
    <w:rsid w:val="6AD71710"/>
    <w:rsid w:val="6AEF4EA3"/>
    <w:rsid w:val="6B0A5132"/>
    <w:rsid w:val="6B2906AF"/>
    <w:rsid w:val="6B322639"/>
    <w:rsid w:val="6B432559"/>
    <w:rsid w:val="6B7439F8"/>
    <w:rsid w:val="6B811C71"/>
    <w:rsid w:val="6BB36EF5"/>
    <w:rsid w:val="6BF0165A"/>
    <w:rsid w:val="6C2471CC"/>
    <w:rsid w:val="6C33653A"/>
    <w:rsid w:val="6C442BA8"/>
    <w:rsid w:val="6C4C5815"/>
    <w:rsid w:val="6C636C38"/>
    <w:rsid w:val="6C645C89"/>
    <w:rsid w:val="6C7045BA"/>
    <w:rsid w:val="6C9078D2"/>
    <w:rsid w:val="6C922387"/>
    <w:rsid w:val="6CA64085"/>
    <w:rsid w:val="6D093F97"/>
    <w:rsid w:val="6D745F31"/>
    <w:rsid w:val="6DB30B73"/>
    <w:rsid w:val="6DB34098"/>
    <w:rsid w:val="6DB545B6"/>
    <w:rsid w:val="6DC81DD9"/>
    <w:rsid w:val="6DD156E3"/>
    <w:rsid w:val="6DD401F7"/>
    <w:rsid w:val="6DDA01BA"/>
    <w:rsid w:val="6DDB7D5E"/>
    <w:rsid w:val="6DE247B3"/>
    <w:rsid w:val="6E173DBA"/>
    <w:rsid w:val="6E4375A0"/>
    <w:rsid w:val="6E514CED"/>
    <w:rsid w:val="6E5C781B"/>
    <w:rsid w:val="6E79491A"/>
    <w:rsid w:val="6E800468"/>
    <w:rsid w:val="6EB563D5"/>
    <w:rsid w:val="6ECC4C5C"/>
    <w:rsid w:val="6EFF5CCE"/>
    <w:rsid w:val="6F225983"/>
    <w:rsid w:val="6F282B2F"/>
    <w:rsid w:val="6F3C6EA4"/>
    <w:rsid w:val="6F46526F"/>
    <w:rsid w:val="6FCF38F2"/>
    <w:rsid w:val="6FD73DCF"/>
    <w:rsid w:val="6FE23626"/>
    <w:rsid w:val="6FFC5590"/>
    <w:rsid w:val="6FFC72C8"/>
    <w:rsid w:val="70131A31"/>
    <w:rsid w:val="7021244A"/>
    <w:rsid w:val="70301DA3"/>
    <w:rsid w:val="70391A9D"/>
    <w:rsid w:val="706D1DD0"/>
    <w:rsid w:val="707A14EC"/>
    <w:rsid w:val="70856B87"/>
    <w:rsid w:val="70937D81"/>
    <w:rsid w:val="70C60851"/>
    <w:rsid w:val="70D527EE"/>
    <w:rsid w:val="70E138DD"/>
    <w:rsid w:val="70F133F4"/>
    <w:rsid w:val="710F45D5"/>
    <w:rsid w:val="71157F5E"/>
    <w:rsid w:val="713126EC"/>
    <w:rsid w:val="71490342"/>
    <w:rsid w:val="715B5300"/>
    <w:rsid w:val="715F4BD7"/>
    <w:rsid w:val="71645937"/>
    <w:rsid w:val="716B2EA7"/>
    <w:rsid w:val="717410D6"/>
    <w:rsid w:val="718A07AD"/>
    <w:rsid w:val="71CF7BDA"/>
    <w:rsid w:val="71D27F8A"/>
    <w:rsid w:val="71E002A1"/>
    <w:rsid w:val="71E608FF"/>
    <w:rsid w:val="71E64695"/>
    <w:rsid w:val="71EE109B"/>
    <w:rsid w:val="71F744C6"/>
    <w:rsid w:val="71F960CF"/>
    <w:rsid w:val="71FE04BF"/>
    <w:rsid w:val="72192C03"/>
    <w:rsid w:val="724A7059"/>
    <w:rsid w:val="727C3771"/>
    <w:rsid w:val="72A050D2"/>
    <w:rsid w:val="72A34431"/>
    <w:rsid w:val="72A72905"/>
    <w:rsid w:val="72C7128A"/>
    <w:rsid w:val="72D805DF"/>
    <w:rsid w:val="72F5541E"/>
    <w:rsid w:val="73011C04"/>
    <w:rsid w:val="730B5227"/>
    <w:rsid w:val="7311772D"/>
    <w:rsid w:val="731B59E2"/>
    <w:rsid w:val="731E2BC7"/>
    <w:rsid w:val="731F5D5E"/>
    <w:rsid w:val="7363282B"/>
    <w:rsid w:val="73920EBF"/>
    <w:rsid w:val="739B662B"/>
    <w:rsid w:val="73B532BE"/>
    <w:rsid w:val="73B74401"/>
    <w:rsid w:val="73DC038C"/>
    <w:rsid w:val="73DD15C8"/>
    <w:rsid w:val="74033B6B"/>
    <w:rsid w:val="74065015"/>
    <w:rsid w:val="7416389E"/>
    <w:rsid w:val="741E793C"/>
    <w:rsid w:val="7482258E"/>
    <w:rsid w:val="749D658A"/>
    <w:rsid w:val="74BA6511"/>
    <w:rsid w:val="74C07CAE"/>
    <w:rsid w:val="74C9464C"/>
    <w:rsid w:val="74F6547D"/>
    <w:rsid w:val="7504310B"/>
    <w:rsid w:val="750E6B1C"/>
    <w:rsid w:val="751E4AB4"/>
    <w:rsid w:val="75226272"/>
    <w:rsid w:val="75377F70"/>
    <w:rsid w:val="75612339"/>
    <w:rsid w:val="75856710"/>
    <w:rsid w:val="758D75E2"/>
    <w:rsid w:val="75AF3FAA"/>
    <w:rsid w:val="75F145C2"/>
    <w:rsid w:val="75FC6AC3"/>
    <w:rsid w:val="762726D1"/>
    <w:rsid w:val="762878B8"/>
    <w:rsid w:val="7636006F"/>
    <w:rsid w:val="76393874"/>
    <w:rsid w:val="76463F55"/>
    <w:rsid w:val="768C5775"/>
    <w:rsid w:val="76D37E4A"/>
    <w:rsid w:val="76E77774"/>
    <w:rsid w:val="770179C1"/>
    <w:rsid w:val="771B77A5"/>
    <w:rsid w:val="77274F02"/>
    <w:rsid w:val="77585DF7"/>
    <w:rsid w:val="77762421"/>
    <w:rsid w:val="77D93560"/>
    <w:rsid w:val="77DE2925"/>
    <w:rsid w:val="780F09F4"/>
    <w:rsid w:val="781F7D81"/>
    <w:rsid w:val="78340796"/>
    <w:rsid w:val="7861621B"/>
    <w:rsid w:val="787027C1"/>
    <w:rsid w:val="7883171E"/>
    <w:rsid w:val="7888290D"/>
    <w:rsid w:val="7890324A"/>
    <w:rsid w:val="789719A8"/>
    <w:rsid w:val="789C4F47"/>
    <w:rsid w:val="78A90480"/>
    <w:rsid w:val="78AA2787"/>
    <w:rsid w:val="78B02FB4"/>
    <w:rsid w:val="78EA7BB8"/>
    <w:rsid w:val="78EC2E1F"/>
    <w:rsid w:val="792702FB"/>
    <w:rsid w:val="797B22DF"/>
    <w:rsid w:val="79811327"/>
    <w:rsid w:val="79876FEC"/>
    <w:rsid w:val="798E037A"/>
    <w:rsid w:val="79984E69"/>
    <w:rsid w:val="799C2A97"/>
    <w:rsid w:val="79F3642F"/>
    <w:rsid w:val="79FB590B"/>
    <w:rsid w:val="7A011C3C"/>
    <w:rsid w:val="7A102B3D"/>
    <w:rsid w:val="7A364017"/>
    <w:rsid w:val="7A5769BE"/>
    <w:rsid w:val="7A8265E1"/>
    <w:rsid w:val="7A8F43AA"/>
    <w:rsid w:val="7AD83850"/>
    <w:rsid w:val="7ADC6EC3"/>
    <w:rsid w:val="7AF1296F"/>
    <w:rsid w:val="7B1072C7"/>
    <w:rsid w:val="7B26097F"/>
    <w:rsid w:val="7B2965AD"/>
    <w:rsid w:val="7B437FDF"/>
    <w:rsid w:val="7B452CBB"/>
    <w:rsid w:val="7B500AFB"/>
    <w:rsid w:val="7B686D42"/>
    <w:rsid w:val="7B826CB0"/>
    <w:rsid w:val="7B841746"/>
    <w:rsid w:val="7B8B4B71"/>
    <w:rsid w:val="7B8C08E9"/>
    <w:rsid w:val="7BA26E17"/>
    <w:rsid w:val="7BAB0D70"/>
    <w:rsid w:val="7BBE4FF1"/>
    <w:rsid w:val="7BE1390A"/>
    <w:rsid w:val="7BF33ADE"/>
    <w:rsid w:val="7C5F1B5A"/>
    <w:rsid w:val="7C6A0D5B"/>
    <w:rsid w:val="7C790424"/>
    <w:rsid w:val="7CA12173"/>
    <w:rsid w:val="7CBD6589"/>
    <w:rsid w:val="7CC56BE8"/>
    <w:rsid w:val="7CD65511"/>
    <w:rsid w:val="7CD73DE6"/>
    <w:rsid w:val="7D0239FF"/>
    <w:rsid w:val="7D0E2993"/>
    <w:rsid w:val="7D22521A"/>
    <w:rsid w:val="7D23036F"/>
    <w:rsid w:val="7D276B1C"/>
    <w:rsid w:val="7D39684F"/>
    <w:rsid w:val="7D5E40CD"/>
    <w:rsid w:val="7D693BED"/>
    <w:rsid w:val="7D747A9E"/>
    <w:rsid w:val="7D87387E"/>
    <w:rsid w:val="7DC33EFF"/>
    <w:rsid w:val="7DCE664D"/>
    <w:rsid w:val="7DD07AA1"/>
    <w:rsid w:val="7DF509C8"/>
    <w:rsid w:val="7E315931"/>
    <w:rsid w:val="7E5131B9"/>
    <w:rsid w:val="7E543940"/>
    <w:rsid w:val="7E682F48"/>
    <w:rsid w:val="7E85389C"/>
    <w:rsid w:val="7E911C52"/>
    <w:rsid w:val="7E93243A"/>
    <w:rsid w:val="7ED14C71"/>
    <w:rsid w:val="7ED24865"/>
    <w:rsid w:val="7F193E5A"/>
    <w:rsid w:val="7F1A5E1B"/>
    <w:rsid w:val="7F2D5F40"/>
    <w:rsid w:val="7F565496"/>
    <w:rsid w:val="7F957EA2"/>
    <w:rsid w:val="7FA97CBC"/>
    <w:rsid w:val="7FDD747A"/>
    <w:rsid w:val="7FE47E50"/>
    <w:rsid w:val="7FF802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unhideWhenUsed="0" w:uiPriority="0" w:semiHidden="0" w:name="heading 5" w:locked="1"/>
    <w:lsdException w:unhideWhenUsed="0" w:uiPriority="0" w:semiHidden="0" w:name="heading 6" w:locked="1"/>
    <w:lsdException w:unhideWhenUsed="0" w:uiPriority="0" w:semiHidden="0" w:name="heading 7" w:locked="1"/>
    <w:lsdException w:unhideWhenUsed="0" w:uiPriority="0" w:semiHidden="0" w:name="heading 8" w:locked="1"/>
    <w:lsdException w:unhideWhenUsed="0" w:uiPriority="0" w:semiHidden="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ocked="1"/>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ocked="1"/>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tabs>
        <w:tab w:val="left" w:pos="420"/>
      </w:tabs>
      <w:adjustRightInd w:val="0"/>
      <w:snapToGrid w:val="0"/>
      <w:jc w:val="center"/>
      <w:outlineLvl w:val="1"/>
    </w:pPr>
    <w:rPr>
      <w:rFonts w:ascii="Times New Roman" w:hAnsi="Times New Roman" w:eastAsia="Times New Roman"/>
      <w:sz w:val="24"/>
      <w:szCs w:val="20"/>
    </w:rPr>
  </w:style>
  <w:style w:type="paragraph" w:styleId="4">
    <w:name w:val="heading 3"/>
    <w:basedOn w:val="1"/>
    <w:next w:val="1"/>
    <w:qFormat/>
    <w:locked/>
    <w:uiPriority w:val="0"/>
    <w:pPr>
      <w:keepNext/>
      <w:keepLines/>
      <w:adjustRightInd w:val="0"/>
      <w:snapToGrid w:val="0"/>
      <w:spacing w:line="360" w:lineRule="auto"/>
      <w:outlineLvl w:val="2"/>
    </w:pPr>
    <w:rPr>
      <w:b/>
      <w:bCs/>
      <w:sz w:val="30"/>
      <w:szCs w:val="32"/>
    </w:rPr>
  </w:style>
  <w:style w:type="paragraph" w:styleId="5">
    <w:name w:val="heading 4"/>
    <w:basedOn w:val="1"/>
    <w:next w:val="1"/>
    <w:unhideWhenUsed/>
    <w:qFormat/>
    <w:locked/>
    <w:uiPriority w:val="0"/>
    <w:pPr>
      <w:keepNext/>
      <w:keepLines/>
      <w:spacing w:line="500" w:lineRule="exact"/>
      <w:outlineLvl w:val="3"/>
    </w:pPr>
    <w:rPr>
      <w:rFonts w:ascii="Times New Roman" w:hAnsi="Times New Roman" w:eastAsia="宋体" w:cs="Times New Roman"/>
      <w:b/>
      <w:bCs/>
      <w:sz w:val="24"/>
      <w:szCs w:val="24"/>
    </w:rPr>
  </w:style>
  <w:style w:type="character" w:default="1" w:styleId="23">
    <w:name w:val="Default Paragraph Font"/>
    <w:semiHidden/>
    <w:qFormat/>
    <w:uiPriority w:val="0"/>
  </w:style>
  <w:style w:type="table" w:default="1" w:styleId="2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qFormat/>
    <w:uiPriority w:val="99"/>
    <w:pPr>
      <w:ind w:firstLine="200" w:firstLineChars="200"/>
    </w:pPr>
    <w:rPr>
      <w:sz w:val="28"/>
      <w:szCs w:val="24"/>
    </w:rPr>
  </w:style>
  <w:style w:type="paragraph" w:styleId="7">
    <w:name w:val="toa heading"/>
    <w:basedOn w:val="1"/>
    <w:next w:val="1"/>
    <w:semiHidden/>
    <w:qFormat/>
    <w:uiPriority w:val="0"/>
    <w:pPr>
      <w:adjustRightInd w:val="0"/>
      <w:snapToGrid w:val="0"/>
      <w:spacing w:before="120" w:beforeLines="0" w:line="312" w:lineRule="auto"/>
    </w:pPr>
    <w:rPr>
      <w:rFonts w:ascii="Arial" w:hAnsi="Arial" w:cs="Arial"/>
      <w:sz w:val="24"/>
      <w:szCs w:val="24"/>
    </w:rPr>
  </w:style>
  <w:style w:type="paragraph" w:styleId="8">
    <w:name w:val="annotation text"/>
    <w:basedOn w:val="1"/>
    <w:link w:val="27"/>
    <w:semiHidden/>
    <w:qFormat/>
    <w:uiPriority w:val="0"/>
    <w:pPr>
      <w:jc w:val="left"/>
    </w:pPr>
    <w:rPr>
      <w:kern w:val="0"/>
      <w:sz w:val="20"/>
    </w:rPr>
  </w:style>
  <w:style w:type="paragraph" w:styleId="9">
    <w:name w:val="Body Text"/>
    <w:basedOn w:val="1"/>
    <w:next w:val="10"/>
    <w:link w:val="28"/>
    <w:qFormat/>
    <w:uiPriority w:val="0"/>
    <w:pPr>
      <w:widowControl/>
      <w:snapToGrid w:val="0"/>
      <w:spacing w:before="60" w:after="160" w:line="259" w:lineRule="auto"/>
      <w:ind w:right="113"/>
    </w:pPr>
    <w:rPr>
      <w:kern w:val="0"/>
      <w:sz w:val="18"/>
      <w:szCs w:val="18"/>
    </w:rPr>
  </w:style>
  <w:style w:type="paragraph" w:styleId="10">
    <w:name w:val="List Bullet 5"/>
    <w:basedOn w:val="1"/>
    <w:qFormat/>
    <w:uiPriority w:val="0"/>
    <w:pPr>
      <w:numPr>
        <w:ilvl w:val="0"/>
        <w:numId w:val="1"/>
      </w:numPr>
    </w:pPr>
  </w:style>
  <w:style w:type="paragraph" w:styleId="11">
    <w:name w:val="Body Text Indent"/>
    <w:basedOn w:val="1"/>
    <w:next w:val="6"/>
    <w:link w:val="29"/>
    <w:semiHidden/>
    <w:qFormat/>
    <w:uiPriority w:val="0"/>
    <w:pPr>
      <w:spacing w:after="120"/>
      <w:ind w:left="420" w:leftChars="200"/>
    </w:pPr>
  </w:style>
  <w:style w:type="paragraph" w:styleId="12">
    <w:name w:val="Block Text"/>
    <w:basedOn w:val="1"/>
    <w:next w:val="1"/>
    <w:qFormat/>
    <w:uiPriority w:val="0"/>
    <w:pPr>
      <w:spacing w:line="300" w:lineRule="exact"/>
      <w:ind w:left="-96" w:leftChars="-40" w:right="-16" w:firstLine="482" w:firstLineChars="200"/>
    </w:pPr>
    <w:rPr>
      <w:rFonts w:ascii="宋体" w:hAnsi="宋体" w:eastAsia="宋体" w:cs="Times New Roman"/>
      <w:szCs w:val="24"/>
    </w:rPr>
  </w:style>
  <w:style w:type="paragraph" w:styleId="13">
    <w:name w:val="Date"/>
    <w:basedOn w:val="1"/>
    <w:next w:val="1"/>
    <w:link w:val="30"/>
    <w:qFormat/>
    <w:uiPriority w:val="0"/>
    <w:pPr>
      <w:ind w:left="100" w:leftChars="2500"/>
    </w:pPr>
    <w:rPr>
      <w:kern w:val="0"/>
      <w:sz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link w:val="31"/>
    <w:semiHidden/>
    <w:qFormat/>
    <w:uiPriority w:val="0"/>
    <w:rPr>
      <w:sz w:val="18"/>
      <w:szCs w:val="18"/>
    </w:rPr>
  </w:style>
  <w:style w:type="paragraph" w:styleId="16">
    <w:name w:val="footer"/>
    <w:basedOn w:val="1"/>
    <w:link w:val="32"/>
    <w:qFormat/>
    <w:uiPriority w:val="0"/>
    <w:pPr>
      <w:tabs>
        <w:tab w:val="center" w:pos="4153"/>
        <w:tab w:val="right" w:pos="8306"/>
      </w:tabs>
      <w:snapToGrid w:val="0"/>
      <w:jc w:val="left"/>
    </w:pPr>
    <w:rPr>
      <w:sz w:val="18"/>
      <w:szCs w:val="18"/>
    </w:rPr>
  </w:style>
  <w:style w:type="paragraph" w:styleId="17">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locked/>
    <w:uiPriority w:val="0"/>
  </w:style>
  <w:style w:type="paragraph" w:styleId="19">
    <w:name w:val="Normal (Web)"/>
    <w:basedOn w:val="1"/>
    <w:link w:val="34"/>
    <w:qFormat/>
    <w:uiPriority w:val="0"/>
    <w:pPr>
      <w:widowControl/>
      <w:spacing w:before="100" w:beforeAutospacing="1" w:after="100" w:afterAutospacing="1"/>
      <w:jc w:val="left"/>
    </w:pPr>
    <w:rPr>
      <w:rFonts w:ascii="宋体" w:hAnsi="宋体"/>
      <w:kern w:val="0"/>
      <w:sz w:val="24"/>
    </w:rPr>
  </w:style>
  <w:style w:type="paragraph" w:styleId="20">
    <w:name w:val="annotation subject"/>
    <w:basedOn w:val="8"/>
    <w:next w:val="8"/>
    <w:link w:val="35"/>
    <w:semiHidden/>
    <w:qFormat/>
    <w:uiPriority w:val="0"/>
    <w:rPr>
      <w:b/>
      <w:bCs/>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Emphasis"/>
    <w:basedOn w:val="23"/>
    <w:qFormat/>
    <w:locked/>
    <w:uiPriority w:val="0"/>
    <w:rPr>
      <w:i/>
    </w:rPr>
  </w:style>
  <w:style w:type="character" w:styleId="26">
    <w:name w:val="annotation reference"/>
    <w:basedOn w:val="23"/>
    <w:semiHidden/>
    <w:qFormat/>
    <w:uiPriority w:val="0"/>
    <w:rPr>
      <w:sz w:val="21"/>
    </w:rPr>
  </w:style>
  <w:style w:type="character" w:customStyle="1" w:styleId="27">
    <w:name w:val="Comment Text Char"/>
    <w:link w:val="8"/>
    <w:qFormat/>
    <w:locked/>
    <w:uiPriority w:val="0"/>
    <w:rPr>
      <w:rFonts w:ascii="Times New Roman" w:hAnsi="Times New Roman" w:eastAsia="宋体"/>
      <w:sz w:val="24"/>
    </w:rPr>
  </w:style>
  <w:style w:type="character" w:customStyle="1" w:styleId="28">
    <w:name w:val="Body Text Char"/>
    <w:link w:val="9"/>
    <w:qFormat/>
    <w:locked/>
    <w:uiPriority w:val="0"/>
    <w:rPr>
      <w:sz w:val="18"/>
    </w:rPr>
  </w:style>
  <w:style w:type="character" w:customStyle="1" w:styleId="29">
    <w:name w:val="Body Text Indent Char"/>
    <w:basedOn w:val="23"/>
    <w:link w:val="11"/>
    <w:semiHidden/>
    <w:qFormat/>
    <w:locked/>
    <w:uiPriority w:val="0"/>
    <w:rPr>
      <w:rFonts w:ascii="Times New Roman" w:hAnsi="Times New Roman" w:eastAsia="宋体" w:cs="Times New Roman"/>
      <w:sz w:val="24"/>
      <w:szCs w:val="24"/>
    </w:rPr>
  </w:style>
  <w:style w:type="character" w:customStyle="1" w:styleId="30">
    <w:name w:val="Date Char"/>
    <w:link w:val="13"/>
    <w:qFormat/>
    <w:locked/>
    <w:uiPriority w:val="0"/>
    <w:rPr>
      <w:rFonts w:ascii="Times New Roman" w:hAnsi="Times New Roman" w:eastAsia="宋体"/>
      <w:sz w:val="24"/>
    </w:rPr>
  </w:style>
  <w:style w:type="character" w:customStyle="1" w:styleId="31">
    <w:name w:val="Balloon Text Char"/>
    <w:basedOn w:val="23"/>
    <w:link w:val="15"/>
    <w:semiHidden/>
    <w:qFormat/>
    <w:locked/>
    <w:uiPriority w:val="0"/>
    <w:rPr>
      <w:rFonts w:ascii="Times New Roman" w:hAnsi="Times New Roman" w:eastAsia="宋体" w:cs="Times New Roman"/>
      <w:sz w:val="18"/>
      <w:szCs w:val="18"/>
    </w:rPr>
  </w:style>
  <w:style w:type="character" w:customStyle="1" w:styleId="32">
    <w:name w:val="Footer Char"/>
    <w:basedOn w:val="23"/>
    <w:link w:val="16"/>
    <w:qFormat/>
    <w:locked/>
    <w:uiPriority w:val="0"/>
    <w:rPr>
      <w:rFonts w:cs="Times New Roman"/>
      <w:sz w:val="18"/>
      <w:szCs w:val="18"/>
    </w:rPr>
  </w:style>
  <w:style w:type="character" w:customStyle="1" w:styleId="33">
    <w:name w:val="Header Char"/>
    <w:basedOn w:val="23"/>
    <w:link w:val="17"/>
    <w:qFormat/>
    <w:locked/>
    <w:uiPriority w:val="0"/>
    <w:rPr>
      <w:rFonts w:cs="Times New Roman"/>
      <w:sz w:val="18"/>
      <w:szCs w:val="18"/>
    </w:rPr>
  </w:style>
  <w:style w:type="character" w:customStyle="1" w:styleId="34">
    <w:name w:val="Normal (Web) Char"/>
    <w:link w:val="19"/>
    <w:qFormat/>
    <w:locked/>
    <w:uiPriority w:val="0"/>
    <w:rPr>
      <w:rFonts w:ascii="宋体" w:hAnsi="宋体" w:eastAsia="宋体"/>
      <w:sz w:val="24"/>
    </w:rPr>
  </w:style>
  <w:style w:type="character" w:customStyle="1" w:styleId="35">
    <w:name w:val="Comment Subject Char"/>
    <w:basedOn w:val="27"/>
    <w:link w:val="20"/>
    <w:semiHidden/>
    <w:qFormat/>
    <w:locked/>
    <w:uiPriority w:val="0"/>
    <w:rPr>
      <w:rFonts w:cs="Times New Roman"/>
      <w:b/>
      <w:bCs/>
      <w:kern w:val="2"/>
      <w:szCs w:val="24"/>
    </w:rPr>
  </w:style>
  <w:style w:type="character" w:customStyle="1" w:styleId="36">
    <w:name w:val="日期 字符"/>
    <w:basedOn w:val="23"/>
    <w:semiHidden/>
    <w:qFormat/>
    <w:uiPriority w:val="0"/>
    <w:rPr>
      <w:rFonts w:ascii="Times New Roman" w:hAnsi="Times New Roman" w:eastAsia="宋体" w:cs="Times New Roman"/>
      <w:sz w:val="24"/>
      <w:szCs w:val="24"/>
    </w:rPr>
  </w:style>
  <w:style w:type="character" w:customStyle="1" w:styleId="37">
    <w:name w:val="正文文本 字符1"/>
    <w:basedOn w:val="23"/>
    <w:semiHidden/>
    <w:qFormat/>
    <w:uiPriority w:val="0"/>
    <w:rPr>
      <w:rFonts w:ascii="Times New Roman" w:hAnsi="Times New Roman" w:eastAsia="宋体" w:cs="Times New Roman"/>
      <w:sz w:val="24"/>
      <w:szCs w:val="24"/>
    </w:rPr>
  </w:style>
  <w:style w:type="paragraph" w:customStyle="1" w:styleId="3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39">
    <w:name w:val="表格 Char"/>
    <w:link w:val="40"/>
    <w:qFormat/>
    <w:locked/>
    <w:uiPriority w:val="0"/>
    <w:rPr>
      <w:rFonts w:ascii="宋体"/>
      <w:sz w:val="21"/>
    </w:rPr>
  </w:style>
  <w:style w:type="paragraph" w:customStyle="1" w:styleId="40">
    <w:name w:val="表格"/>
    <w:basedOn w:val="1"/>
    <w:next w:val="1"/>
    <w:link w:val="39"/>
    <w:qFormat/>
    <w:uiPriority w:val="0"/>
    <w:pPr>
      <w:adjustRightInd w:val="0"/>
      <w:snapToGrid w:val="0"/>
      <w:spacing w:beforeLines="10" w:afterLines="10" w:line="259" w:lineRule="auto"/>
      <w:jc w:val="center"/>
    </w:pPr>
    <w:rPr>
      <w:rFonts w:ascii="宋体"/>
      <w:kern w:val="0"/>
      <w:sz w:val="20"/>
      <w:szCs w:val="21"/>
    </w:rPr>
  </w:style>
  <w:style w:type="character" w:customStyle="1" w:styleId="41">
    <w:name w:val="批注文字 字符1"/>
    <w:basedOn w:val="23"/>
    <w:semiHidden/>
    <w:qFormat/>
    <w:uiPriority w:val="0"/>
    <w:rPr>
      <w:rFonts w:ascii="Times New Roman" w:hAnsi="Times New Roman" w:eastAsia="宋体" w:cs="Times New Roman"/>
      <w:sz w:val="24"/>
      <w:szCs w:val="24"/>
    </w:rPr>
  </w:style>
  <w:style w:type="character" w:customStyle="1" w:styleId="42">
    <w:name w:val="普通(网站) Char"/>
    <w:qFormat/>
    <w:locked/>
    <w:uiPriority w:val="0"/>
    <w:rPr>
      <w:rFonts w:ascii="宋体" w:hAnsi="宋体" w:eastAsia="宋体"/>
      <w:sz w:val="24"/>
    </w:rPr>
  </w:style>
  <w:style w:type="paragraph" w:customStyle="1" w:styleId="43">
    <w:name w:val="表格 居中"/>
    <w:basedOn w:val="1"/>
    <w:qFormat/>
    <w:uiPriority w:val="0"/>
    <w:pPr>
      <w:widowControl/>
      <w:jc w:val="center"/>
    </w:pPr>
    <w:rPr>
      <w:rFonts w:ascii="宋体" w:hAnsi="宋体" w:eastAsia="仿宋_GB2312" w:cs="宋体"/>
      <w:kern w:val="0"/>
      <w:sz w:val="24"/>
      <w:szCs w:val="21"/>
    </w:rPr>
  </w:style>
  <w:style w:type="paragraph" w:customStyle="1" w:styleId="44">
    <w:name w:val="1表格内字体"/>
    <w:basedOn w:val="1"/>
    <w:qFormat/>
    <w:uiPriority w:val="0"/>
    <w:pPr>
      <w:snapToGrid w:val="0"/>
      <w:spacing w:line="240" w:lineRule="auto"/>
      <w:jc w:val="center"/>
    </w:pPr>
    <w:rPr>
      <w:rFonts w:ascii="Times New Roman" w:hAnsi="Times New Roman"/>
      <w:szCs w:val="21"/>
    </w:rPr>
  </w:style>
  <w:style w:type="character" w:customStyle="1" w:styleId="45">
    <w:name w:val="font41"/>
    <w:basedOn w:val="23"/>
    <w:qFormat/>
    <w:uiPriority w:val="0"/>
    <w:rPr>
      <w:rFonts w:hint="eastAsia" w:ascii="楷体" w:hAnsi="楷体" w:eastAsia="楷体" w:cs="楷体"/>
      <w:color w:val="000000"/>
      <w:sz w:val="18"/>
      <w:szCs w:val="18"/>
      <w:u w:val="none"/>
    </w:rPr>
  </w:style>
  <w:style w:type="character" w:customStyle="1" w:styleId="46">
    <w:name w:val="font51"/>
    <w:basedOn w:val="23"/>
    <w:qFormat/>
    <w:uiPriority w:val="0"/>
    <w:rPr>
      <w:rFonts w:hint="default" w:ascii="Times New Roman" w:hAnsi="Times New Roman" w:cs="Times New Roman"/>
      <w:color w:val="000000"/>
      <w:sz w:val="18"/>
      <w:szCs w:val="18"/>
      <w:u w:val="none"/>
    </w:rPr>
  </w:style>
  <w:style w:type="character" w:customStyle="1" w:styleId="47">
    <w:name w:val="font31"/>
    <w:basedOn w:val="23"/>
    <w:qFormat/>
    <w:uiPriority w:val="0"/>
    <w:rPr>
      <w:rFonts w:ascii="楷体" w:hAnsi="楷体" w:eastAsia="楷体" w:cs="楷体"/>
      <w:b/>
      <w:bCs/>
      <w:color w:val="000000"/>
      <w:sz w:val="16"/>
      <w:szCs w:val="16"/>
      <w:u w:val="none"/>
    </w:rPr>
  </w:style>
  <w:style w:type="character" w:customStyle="1" w:styleId="48">
    <w:name w:val="font21"/>
    <w:basedOn w:val="23"/>
    <w:qFormat/>
    <w:uiPriority w:val="0"/>
    <w:rPr>
      <w:rFonts w:hint="default" w:ascii="Times New Roman" w:hAnsi="Times New Roman" w:cs="Times New Roman"/>
      <w:b/>
      <w:bCs/>
      <w:color w:val="000000"/>
      <w:sz w:val="21"/>
      <w:szCs w:val="21"/>
      <w:u w:val="none"/>
    </w:rPr>
  </w:style>
  <w:style w:type="character" w:customStyle="1" w:styleId="49">
    <w:name w:val="font11"/>
    <w:basedOn w:val="23"/>
    <w:qFormat/>
    <w:uiPriority w:val="0"/>
    <w:rPr>
      <w:rFonts w:hint="default" w:ascii="Times New Roman" w:hAnsi="Times New Roman" w:cs="Times New Roman"/>
      <w:color w:val="000000"/>
      <w:sz w:val="22"/>
      <w:szCs w:val="22"/>
      <w:u w:val="none"/>
    </w:rPr>
  </w:style>
  <w:style w:type="character" w:customStyle="1" w:styleId="50">
    <w:name w:val="font91"/>
    <w:basedOn w:val="23"/>
    <w:qFormat/>
    <w:uiPriority w:val="0"/>
    <w:rPr>
      <w:rFonts w:hint="eastAsia" w:ascii="楷体" w:hAnsi="楷体" w:eastAsia="楷体" w:cs="楷体"/>
      <w:b/>
      <w:bCs/>
      <w:color w:val="000000"/>
      <w:sz w:val="16"/>
      <w:szCs w:val="16"/>
      <w:u w:val="none"/>
    </w:rPr>
  </w:style>
  <w:style w:type="character" w:customStyle="1" w:styleId="51">
    <w:name w:val="font112"/>
    <w:basedOn w:val="23"/>
    <w:qFormat/>
    <w:uiPriority w:val="0"/>
    <w:rPr>
      <w:rFonts w:hint="default" w:ascii="Times New Roman" w:hAnsi="Times New Roman" w:cs="Times New Roman"/>
      <w:b/>
      <w:bCs/>
      <w:color w:val="000000"/>
      <w:sz w:val="16"/>
      <w:szCs w:val="16"/>
      <w:u w:val="none"/>
    </w:rPr>
  </w:style>
  <w:style w:type="character" w:customStyle="1" w:styleId="52">
    <w:name w:val="font121"/>
    <w:basedOn w:val="23"/>
    <w:qFormat/>
    <w:uiPriority w:val="0"/>
    <w:rPr>
      <w:rFonts w:hint="default" w:ascii="Times New Roman" w:hAnsi="Times New Roman" w:cs="Times New Roman"/>
      <w:b/>
      <w:bCs/>
      <w:color w:val="000000"/>
      <w:sz w:val="10"/>
      <w:szCs w:val="10"/>
      <w:u w:val="none"/>
    </w:rPr>
  </w:style>
  <w:style w:type="character" w:customStyle="1" w:styleId="53">
    <w:name w:val="font71"/>
    <w:basedOn w:val="23"/>
    <w:qFormat/>
    <w:uiPriority w:val="0"/>
    <w:rPr>
      <w:rFonts w:hint="eastAsia" w:ascii="楷体" w:hAnsi="楷体" w:eastAsia="楷体" w:cs="楷体"/>
      <w:color w:val="000000"/>
      <w:sz w:val="16"/>
      <w:szCs w:val="16"/>
      <w:u w:val="none"/>
    </w:rPr>
  </w:style>
  <w:style w:type="paragraph" w:customStyle="1" w:styleId="54">
    <w:name w:val="样式16"/>
    <w:basedOn w:val="1"/>
    <w:qFormat/>
    <w:uiPriority w:val="0"/>
    <w:pPr>
      <w:adjustRightInd w:val="0"/>
      <w:snapToGrid w:val="0"/>
      <w:spacing w:line="360" w:lineRule="auto"/>
      <w:ind w:firstLine="200" w:firstLineChars="200"/>
    </w:pPr>
    <w:rPr>
      <w:szCs w:val="28"/>
    </w:rPr>
  </w:style>
  <w:style w:type="paragraph" w:customStyle="1" w:styleId="55">
    <w:name w:val="Table Text"/>
    <w:basedOn w:val="1"/>
    <w:semiHidden/>
    <w:qFormat/>
    <w:uiPriority w:val="0"/>
    <w:rPr>
      <w:rFonts w:ascii="宋体" w:hAnsi="宋体" w:eastAsia="宋体" w:cs="宋体"/>
      <w:sz w:val="24"/>
      <w:szCs w:val="24"/>
      <w:lang w:val="en-US" w:eastAsia="en-US" w:bidi="ar-SA"/>
    </w:rPr>
  </w:style>
  <w:style w:type="table" w:customStyle="1" w:styleId="56">
    <w:name w:val="Table Normal"/>
    <w:unhideWhenUsed/>
    <w:qFormat/>
    <w:uiPriority w:val="0"/>
    <w:tblPr>
      <w:tblCellMar>
        <w:top w:w="0" w:type="dxa"/>
        <w:left w:w="0" w:type="dxa"/>
        <w:bottom w:w="0" w:type="dxa"/>
        <w:right w:w="0" w:type="dxa"/>
      </w:tblCellMar>
    </w:tblPr>
  </w:style>
  <w:style w:type="character" w:customStyle="1" w:styleId="57">
    <w:name w:val="font61"/>
    <w:basedOn w:val="23"/>
    <w:qFormat/>
    <w:uiPriority w:val="0"/>
    <w:rPr>
      <w:rFonts w:hint="eastAsia" w:ascii="楷体" w:hAnsi="楷体" w:eastAsia="楷体" w:cs="楷体"/>
      <w:color w:val="000000"/>
      <w:sz w:val="12"/>
      <w:szCs w:val="12"/>
      <w:u w:val="none"/>
    </w:rPr>
  </w:style>
  <w:style w:type="character" w:customStyle="1" w:styleId="58">
    <w:name w:val="font101"/>
    <w:basedOn w:val="23"/>
    <w:qFormat/>
    <w:uiPriority w:val="0"/>
    <w:rPr>
      <w:rFonts w:hint="eastAsia" w:ascii="宋体" w:hAnsi="宋体" w:eastAsia="宋体" w:cs="宋体"/>
      <w:color w:val="000000"/>
      <w:sz w:val="12"/>
      <w:szCs w:val="12"/>
      <w:u w:val="none"/>
    </w:rPr>
  </w:style>
  <w:style w:type="character" w:customStyle="1" w:styleId="59">
    <w:name w:val="font111"/>
    <w:basedOn w:val="23"/>
    <w:qFormat/>
    <w:uiPriority w:val="0"/>
    <w:rPr>
      <w:rFonts w:hint="default" w:ascii="Times New Roman" w:hAnsi="Times New Roman" w:cs="Times New Roman"/>
      <w:color w:val="000000"/>
      <w:sz w:val="18"/>
      <w:szCs w:val="18"/>
      <w:u w:val="none"/>
    </w:rPr>
  </w:style>
  <w:style w:type="character" w:customStyle="1" w:styleId="60">
    <w:name w:val="font122"/>
    <w:basedOn w:val="23"/>
    <w:qFormat/>
    <w:uiPriority w:val="0"/>
    <w:rPr>
      <w:rFonts w:ascii="仿宋_GB2312" w:eastAsia="仿宋_GB2312" w:cs="仿宋_GB2312"/>
      <w:color w:val="000000"/>
      <w:sz w:val="28"/>
      <w:szCs w:val="28"/>
      <w:u w:val="none"/>
    </w:rPr>
  </w:style>
  <w:style w:type="character" w:customStyle="1" w:styleId="61">
    <w:name w:val="font81"/>
    <w:basedOn w:val="23"/>
    <w:qFormat/>
    <w:uiPriority w:val="0"/>
    <w:rPr>
      <w:rFonts w:hint="default" w:ascii="Times New Roman" w:hAnsi="Times New Roman" w:cs="Times New Roman"/>
      <w:color w:val="000000"/>
      <w:sz w:val="18"/>
      <w:szCs w:val="18"/>
      <w:u w:val="none"/>
    </w:rPr>
  </w:style>
  <w:style w:type="paragraph" w:customStyle="1" w:styleId="62">
    <w:name w:val="表头"/>
    <w:basedOn w:val="1"/>
    <w:qFormat/>
    <w:uiPriority w:val="0"/>
    <w:pPr>
      <w:adjustRightInd w:val="0"/>
      <w:jc w:val="center"/>
      <w:textAlignment w:val="baseline"/>
    </w:pPr>
    <w:rPr>
      <w:spacing w:val="-10"/>
      <w:kern w:val="0"/>
      <w:szCs w:val="20"/>
    </w:rPr>
  </w:style>
  <w:style w:type="paragraph" w:customStyle="1" w:styleId="63">
    <w:name w:val="书表格文字"/>
    <w:basedOn w:val="1"/>
    <w:qFormat/>
    <w:uiPriority w:val="0"/>
    <w:pPr>
      <w:jc w:val="center"/>
    </w:pPr>
    <w:rPr>
      <w:rFonts w:eastAsia="宋体"/>
      <w:kern w:val="0"/>
      <w:sz w:val="21"/>
      <w:szCs w:val="20"/>
    </w:rPr>
  </w:style>
  <w:style w:type="paragraph" w:customStyle="1" w:styleId="64">
    <w:name w:val="正文文本首行缩进 21"/>
    <w:basedOn w:val="1"/>
    <w:qFormat/>
    <w:uiPriority w:val="0"/>
    <w:rPr>
      <w:rFonts w:eastAsia="宋体"/>
      <w:sz w:val="21"/>
      <w:szCs w:val="21"/>
    </w:rPr>
  </w:style>
  <w:style w:type="paragraph" w:customStyle="1" w:styleId="65">
    <w:name w:val="标题4标题"/>
    <w:basedOn w:val="5"/>
    <w:qFormat/>
    <w:uiPriority w:val="0"/>
    <w:pPr>
      <w:adjustRightInd w:val="0"/>
      <w:snapToGrid w:val="0"/>
      <w:spacing w:line="360" w:lineRule="auto"/>
    </w:pPr>
  </w:style>
  <w:style w:type="paragraph" w:customStyle="1" w:styleId="66">
    <w:name w:val="表格内容"/>
    <w:basedOn w:val="1"/>
    <w:next w:val="1"/>
    <w:qFormat/>
    <w:uiPriority w:val="0"/>
    <w:pPr>
      <w:jc w:val="center"/>
    </w:pPr>
    <w:rPr>
      <w:szCs w:val="22"/>
    </w:rPr>
  </w:style>
  <w:style w:type="paragraph" w:customStyle="1" w:styleId="67">
    <w:name w:val="1图表标题"/>
    <w:basedOn w:val="1"/>
    <w:next w:val="68"/>
    <w:qFormat/>
    <w:uiPriority w:val="0"/>
    <w:pPr>
      <w:snapToGrid w:val="0"/>
      <w:spacing w:line="240" w:lineRule="auto"/>
      <w:jc w:val="center"/>
    </w:pPr>
    <w:rPr>
      <w:rFonts w:ascii="Times New Roman" w:hAnsi="Times New Roman"/>
      <w:bCs/>
      <w:szCs w:val="20"/>
    </w:rPr>
  </w:style>
  <w:style w:type="paragraph" w:customStyle="1" w:styleId="68">
    <w:name w:val="1正文--使用此"/>
    <w:basedOn w:val="1"/>
    <w:qFormat/>
    <w:uiPriority w:val="0"/>
    <w:pPr>
      <w:spacing w:line="360" w:lineRule="auto"/>
      <w:ind w:firstLine="720" w:firstLineChars="200"/>
    </w:pPr>
    <w:rPr>
      <w:rFonts w:ascii="Times New Roman" w:hAnsi="Times New Roman"/>
    </w:rPr>
  </w:style>
  <w:style w:type="paragraph" w:customStyle="1" w:styleId="69">
    <w:name w:val="标题3标题"/>
    <w:basedOn w:val="4"/>
    <w:next w:val="54"/>
    <w:qFormat/>
    <w:uiPriority w:val="0"/>
  </w:style>
  <w:style w:type="paragraph" w:customStyle="1" w:styleId="70">
    <w:name w:val="表文字"/>
    <w:basedOn w:val="19"/>
    <w:qFormat/>
    <w:uiPriority w:val="0"/>
    <w:pPr>
      <w:spacing w:before="0" w:beforeAutospacing="0" w:after="0" w:afterAutospacing="0"/>
      <w:jc w:val="center"/>
    </w:pPr>
    <w:rPr>
      <w:sz w:val="21"/>
      <w:szCs w:val="21"/>
    </w:rPr>
  </w:style>
  <w:style w:type="paragraph" w:customStyle="1" w:styleId="71">
    <w:name w:val="章7表"/>
    <w:basedOn w:val="1"/>
    <w:qFormat/>
    <w:uiPriority w:val="0"/>
    <w:pPr>
      <w:numPr>
        <w:ilvl w:val="0"/>
        <w:numId w:val="2"/>
      </w:numPr>
      <w:spacing w:beforeLines="50"/>
      <w:jc w:val="center"/>
    </w:pPr>
    <w:rPr>
      <w:rFonts w:ascii="黑体" w:eastAsia="黑体"/>
      <w:kern w:val="2"/>
      <w:sz w:val="24"/>
      <w:szCs w:val="24"/>
    </w:rPr>
  </w:style>
  <w:style w:type="paragraph" w:customStyle="1" w:styleId="72">
    <w:name w:val="报告表表格"/>
    <w:basedOn w:val="1"/>
    <w:qFormat/>
    <w:uiPriority w:val="0"/>
    <w:pPr>
      <w:jc w:val="center"/>
    </w:pPr>
    <w:rPr>
      <w:rFonts w:ascii="Times New Roman" w:hAnsi="Times New Roman" w:eastAsia="宋体" w:cs="Times New Roman"/>
      <w:kern w:val="44"/>
      <w:szCs w:val="20"/>
    </w:rPr>
  </w:style>
  <w:style w:type="paragraph" w:customStyle="1" w:styleId="73">
    <w:name w:val="正文15"/>
    <w:qFormat/>
    <w:uiPriority w:val="0"/>
    <w:pPr>
      <w:jc w:val="both"/>
    </w:pPr>
    <w:rPr>
      <w:rFonts w:ascii="Times New Roman" w:hAnsi="Times New Roman" w:eastAsia="宋体" w:cs="Times New Roman"/>
      <w:kern w:val="2"/>
      <w:sz w:val="21"/>
      <w:szCs w:val="21"/>
      <w:lang w:val="en-US" w:eastAsia="zh-CN" w:bidi="ar-SA"/>
    </w:rPr>
  </w:style>
  <w:style w:type="paragraph" w:customStyle="1" w:styleId="74">
    <w:name w:val="Plain Text1"/>
    <w:basedOn w:val="1"/>
    <w:qFormat/>
    <w:uiPriority w:val="0"/>
    <w:pPr>
      <w:widowControl/>
      <w:autoSpaceDE w:val="0"/>
      <w:autoSpaceDN w:val="0"/>
      <w:adjustRightInd w:val="0"/>
      <w:jc w:val="left"/>
      <w:textAlignment w:val="baseline"/>
    </w:pPr>
    <w:rPr>
      <w:rFonts w:ascii="宋体" w:cs="宋体"/>
      <w:kern w:val="0"/>
      <w:sz w:val="24"/>
      <w:szCs w:val="20"/>
    </w:rPr>
  </w:style>
  <w:style w:type="paragraph" w:customStyle="1" w:styleId="75">
    <w:name w:val="表格正文"/>
    <w:basedOn w:val="1"/>
    <w:qFormat/>
    <w:uiPriority w:val="0"/>
    <w:pPr>
      <w:spacing w:before="60" w:line="360" w:lineRule="exact"/>
      <w:jc w:val="center"/>
    </w:pPr>
    <w:rPr>
      <w:rFonts w:ascii="Arial" w:hAnsi="Arial"/>
    </w:rPr>
  </w:style>
  <w:style w:type="paragraph" w:customStyle="1" w:styleId="76">
    <w:name w:val="标题2"/>
    <w:basedOn w:val="1"/>
    <w:next w:val="1"/>
    <w:qFormat/>
    <w:uiPriority w:val="0"/>
    <w:pPr>
      <w:widowControl w:val="0"/>
      <w:autoSpaceDE w:val="0"/>
      <w:autoSpaceDN w:val="0"/>
      <w:snapToGrid w:val="0"/>
      <w:spacing w:after="0" w:line="590" w:lineRule="atLeast"/>
      <w:jc w:val="center"/>
    </w:pPr>
    <w:rPr>
      <w:rFonts w:ascii="Calibri" w:hAnsi="Calibri" w:eastAsia="方正楷体_GBK" w:cs="Times New Roman"/>
      <w:snapToGrid/>
      <w:sz w:val="32"/>
      <w:szCs w:val="20"/>
    </w:rPr>
  </w:style>
  <w:style w:type="paragraph" w:customStyle="1" w:styleId="77">
    <w:name w:val="表格用"/>
    <w:basedOn w:val="1"/>
    <w:qFormat/>
    <w:uiPriority w:val="0"/>
    <w:pPr>
      <w:spacing w:after="0" w:line="240" w:lineRule="auto"/>
      <w:ind w:firstLine="0" w:firstLineChars="0"/>
      <w:jc w:val="center"/>
    </w:pPr>
    <w:rPr>
      <w:rFonts w:ascii="Times New Roman" w:hAnsi="Times New Roman" w:eastAsia="宋体" w:cs="Times New Roman"/>
      <w:sz w:val="22"/>
      <w:szCs w:val="21"/>
    </w:rPr>
  </w:style>
  <w:style w:type="character" w:customStyle="1" w:styleId="78">
    <w:name w:val="font01"/>
    <w:basedOn w:val="23"/>
    <w:qFormat/>
    <w:uiPriority w:val="0"/>
    <w:rPr>
      <w:rFonts w:hint="eastAsia" w:ascii="宋体" w:hAnsi="宋体" w:eastAsia="宋体" w:cs="宋体"/>
      <w:color w:val="000000"/>
      <w:sz w:val="21"/>
      <w:szCs w:val="21"/>
      <w:u w:val="none"/>
    </w:rPr>
  </w:style>
  <w:style w:type="paragraph" w:customStyle="1" w:styleId="79">
    <w:name w:val="表格标题-丁"/>
    <w:basedOn w:val="1"/>
    <w:qFormat/>
    <w:uiPriority w:val="0"/>
    <w:pPr>
      <w:jc w:val="center"/>
    </w:pPr>
    <w:rPr>
      <w:rFonts w:ascii="Times New Roman" w:hAnsi="Times New Roman" w:cs="Times New Roman"/>
      <w: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微软中国</Company>
  <Pages>65</Pages>
  <Words>210</Words>
  <Characters>246</Characters>
  <Lines>1</Lines>
  <Paragraphs>1</Paragraphs>
  <TotalTime>11</TotalTime>
  <ScaleCrop>false</ScaleCrop>
  <LinksUpToDate>false</LinksUpToDate>
  <CharactersWithSpaces>293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cici</cp:lastModifiedBy>
  <cp:lastPrinted>2020-12-24T01:50:00Z</cp:lastPrinted>
  <dcterms:modified xsi:type="dcterms:W3CDTF">2026-04-30T04:38:17Z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eyJoZGlkIjoiN2RjNjg1NjNjOTlmM2YxOTgyN2Y1ZmI3Njc5YzQ2MDAiLCJ1c2VySWQiOiI1Nzk1MzI4OTEifQ==</vt:lpwstr>
  </property>
  <property fmtid="{D5CDD505-2E9C-101B-9397-08002B2CF9AE}" pid="4" name="ICV">
    <vt:lpwstr>4DDF72BC20614495ABFF86DA90BC6C65_13</vt:lpwstr>
  </property>
</Properties>
</file>