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BA245">
      <w:pPr>
        <w:spacing w:before="160"/>
        <w:jc w:val="center"/>
        <w:rPr>
          <w:sz w:val="24"/>
        </w:rPr>
      </w:pPr>
      <w:r>
        <w:rPr>
          <w:rFonts w:ascii="宋体" w:hAnsi="宋体" w:eastAsia="宋体" w:cs="宋体"/>
          <w:b/>
          <w:sz w:val="28"/>
        </w:rPr>
        <w:t>澄西污水处理厂四期</w:t>
      </w:r>
      <w:r>
        <w:rPr>
          <w:rFonts w:ascii="宋体" w:hAnsi="宋体" w:eastAsia="宋体" w:cs="宋体"/>
          <w:b/>
          <w:sz w:val="28"/>
        </w:rPr>
        <w:t>运维服务采购需求调查内容</w:t>
      </w:r>
    </w:p>
    <w:p w14:paraId="2C7D705B">
      <w:pPr>
        <w:spacing w:before="160"/>
        <w:jc w:val="left"/>
        <w:rPr>
          <w:sz w:val="24"/>
        </w:rPr>
      </w:pPr>
      <w:r>
        <w:rPr>
          <w:rFonts w:ascii="宋体" w:hAnsi="宋体" w:eastAsia="宋体" w:cs="宋体"/>
          <w:b/>
          <w:sz w:val="24"/>
        </w:rPr>
        <w:t>一、项目简介</w:t>
      </w:r>
    </w:p>
    <w:p w14:paraId="686A277A">
      <w:pPr>
        <w:numPr>
          <w:ilvl w:val="0"/>
          <w:numId w:val="1"/>
        </w:numPr>
        <w:spacing w:before="160"/>
        <w:jc w:val="left"/>
        <w:rPr>
          <w:sz w:val="24"/>
        </w:rPr>
      </w:pPr>
      <w:r>
        <w:rPr>
          <w:rFonts w:ascii="宋体" w:hAnsi="宋体" w:eastAsia="宋体" w:cs="宋体"/>
          <w:b/>
          <w:sz w:val="24"/>
        </w:rPr>
        <w:t>采购项目名称</w:t>
      </w:r>
      <w:r>
        <w:rPr>
          <w:rFonts w:ascii="宋体" w:hAnsi="宋体" w:eastAsia="宋体" w:cs="宋体"/>
          <w:sz w:val="24"/>
        </w:rPr>
        <w:t>：</w:t>
      </w:r>
      <w:bookmarkStart w:id="0" w:name="OLE_LINK2"/>
      <w:bookmarkStart w:id="1" w:name="OLE_LINK3"/>
      <w:r>
        <w:rPr>
          <w:rFonts w:ascii="宋体" w:hAnsi="宋体" w:eastAsia="宋体" w:cs="宋体"/>
          <w:sz w:val="24"/>
        </w:rPr>
        <w:t>澄西污水处理厂四期运维服务</w:t>
      </w:r>
      <w:bookmarkEnd w:id="0"/>
      <w:bookmarkEnd w:id="1"/>
    </w:p>
    <w:p w14:paraId="0E99268B">
      <w:pPr>
        <w:numPr>
          <w:ilvl w:val="0"/>
          <w:numId w:val="1"/>
        </w:numPr>
        <w:spacing w:before="160"/>
        <w:jc w:val="left"/>
        <w:rPr>
          <w:sz w:val="24"/>
        </w:rPr>
      </w:pPr>
      <w:r>
        <w:rPr>
          <w:rFonts w:ascii="宋体" w:hAnsi="宋体" w:eastAsia="宋体" w:cs="宋体"/>
          <w:b/>
          <w:sz w:val="24"/>
        </w:rPr>
        <w:t>采购项目预算</w:t>
      </w:r>
      <w:r>
        <w:rPr>
          <w:rFonts w:hint="eastAsia" w:ascii="宋体" w:hAnsi="宋体" w:eastAsia="宋体" w:cs="宋体"/>
          <w:sz w:val="24"/>
        </w:rPr>
        <w:t>：人民币1080.61万元。最高单价：1.007元/吨</w:t>
      </w:r>
      <w:r>
        <w:rPr>
          <w:rFonts w:hint="eastAsia" w:ascii="宋体" w:hAnsi="宋体" w:cs="Times New Roman"/>
          <w:sz w:val="28"/>
          <w:szCs w:val="28"/>
        </w:rPr>
        <w:t>。</w:t>
      </w:r>
    </w:p>
    <w:p w14:paraId="701E0076">
      <w:pPr>
        <w:numPr>
          <w:ilvl w:val="0"/>
          <w:numId w:val="1"/>
        </w:numPr>
        <w:spacing w:before="160"/>
        <w:jc w:val="left"/>
        <w:rPr>
          <w:sz w:val="24"/>
        </w:rPr>
      </w:pPr>
      <w:r>
        <w:rPr>
          <w:rFonts w:ascii="宋体" w:hAnsi="宋体" w:eastAsia="宋体" w:cs="宋体"/>
          <w:b/>
          <w:sz w:val="24"/>
        </w:rPr>
        <w:t>使用部门</w:t>
      </w:r>
      <w:r>
        <w:rPr>
          <w:rFonts w:ascii="宋体" w:hAnsi="宋体" w:eastAsia="宋体" w:cs="宋体"/>
          <w:sz w:val="24"/>
        </w:rPr>
        <w:t>：江阴市城市综合管理局</w:t>
      </w:r>
      <w:r>
        <w:rPr>
          <w:rFonts w:hint="eastAsia" w:ascii="宋体" w:hAnsi="宋体" w:eastAsia="宋体" w:cs="宋体"/>
          <w:sz w:val="24"/>
        </w:rPr>
        <w:t xml:space="preserve"> </w:t>
      </w:r>
    </w:p>
    <w:p w14:paraId="321A0781">
      <w:pPr>
        <w:numPr>
          <w:ilvl w:val="0"/>
          <w:numId w:val="1"/>
        </w:numPr>
        <w:spacing w:before="160"/>
        <w:jc w:val="left"/>
        <w:rPr>
          <w:sz w:val="24"/>
        </w:rPr>
      </w:pPr>
      <w:r>
        <w:rPr>
          <w:rFonts w:ascii="宋体" w:hAnsi="宋体" w:eastAsia="宋体" w:cs="宋体"/>
          <w:b/>
          <w:sz w:val="24"/>
        </w:rPr>
        <w:t>项目背景</w:t>
      </w:r>
      <w:r>
        <w:rPr>
          <w:rFonts w:ascii="宋体" w:hAnsi="宋体" w:eastAsia="宋体" w:cs="宋体"/>
          <w:sz w:val="24"/>
        </w:rPr>
        <w:t>：</w:t>
      </w:r>
    </w:p>
    <w:p w14:paraId="687769DE">
      <w:pPr>
        <w:pStyle w:val="3"/>
        <w:spacing w:before="269" w:line="360" w:lineRule="auto"/>
        <w:ind w:right="31" w:firstLine="480" w:firstLineChars="200"/>
        <w:jc w:val="both"/>
        <w:rPr>
          <w:rFonts w:ascii="宋体" w:hAnsi="宋体" w:eastAsia="宋体" w:cs="宋体"/>
          <w:color w:val="auto"/>
          <w:sz w:val="24"/>
          <w:szCs w:val="22"/>
          <w:lang w:eastAsia="zh-CN"/>
        </w:rPr>
      </w:pPr>
      <w:r>
        <w:rPr>
          <w:rFonts w:hint="eastAsia" w:ascii="宋体" w:hAnsi="宋体" w:eastAsia="宋体" w:cs="宋体"/>
          <w:color w:val="auto"/>
          <w:sz w:val="24"/>
          <w:szCs w:val="22"/>
          <w:lang w:eastAsia="zh-CN"/>
        </w:rPr>
        <w:t>江阴市澄西污水处理厂四期扩建工程（以下简称“澄西四期”）立项主体为江阴市城市综合管理局，项目位于澄西污水厂西侧地块，初设批复总投资24985.71万元，主要建设内容为：新征用地52.43亩，新建泵房、加药间等，建筑面积约1848  平方米，新建曝气沉沙池、二沉池等，新增部分污水处理设备，设计处理规模4.5万吨/日。项目建成后可提升城区污水处理能力，改善城区水环境。</w:t>
      </w:r>
    </w:p>
    <w:p w14:paraId="77D77916">
      <w:pPr>
        <w:spacing w:before="160" w:line="360" w:lineRule="auto"/>
        <w:ind w:firstLine="480" w:firstLineChars="200"/>
        <w:jc w:val="left"/>
        <w:rPr>
          <w:rFonts w:hint="eastAsia" w:ascii="宋体" w:hAnsi="宋体" w:eastAsia="宋体" w:cs="宋体"/>
          <w:sz w:val="24"/>
        </w:rPr>
      </w:pPr>
      <w:r>
        <w:rPr>
          <w:rFonts w:hint="eastAsia" w:ascii="宋体" w:hAnsi="宋体" w:eastAsia="宋体" w:cs="宋体"/>
          <w:sz w:val="24"/>
        </w:rPr>
        <w:t>2023 年1月，经市政府同意，项目采用特许经营模式，由光大水务（江阴）有限公司（以下简称“光大水务”）负责投资建设运营，特许经营期到期后（2038年1月18  日）移交政府。项目于2023年5月23  日完成单一来源采购，同年12月正式开工，2025年12月竣工。</w:t>
      </w:r>
      <w:r>
        <w:rPr>
          <w:rFonts w:hint="eastAsia" w:ascii="宋体" w:hAnsi="宋体" w:eastAsia="宋体" w:cs="宋体"/>
          <w:sz w:val="24"/>
          <w:lang w:eastAsia="zh-CN"/>
        </w:rPr>
        <w:t>后</w:t>
      </w:r>
      <w:bookmarkStart w:id="3" w:name="_GoBack"/>
      <w:bookmarkEnd w:id="3"/>
      <w:r>
        <w:rPr>
          <w:rFonts w:hint="eastAsia" w:ascii="宋体" w:hAnsi="宋体" w:eastAsia="宋体" w:cs="宋体"/>
          <w:sz w:val="24"/>
          <w:lang w:val="en-US" w:eastAsia="zh-CN"/>
        </w:rPr>
        <w:t>根据《关于规范实施政府和社会资本合作新机制的指导意见》（国办函〔2023〕115 号）相关精神，2025 年，由市政府授权市城管局将澄西污水厂四期扩建特许经营项目整体回购。现拟采用单一来源采购方式，委托光大水务（江阴）有限公司运营澄西污水处理厂四期。</w:t>
      </w:r>
    </w:p>
    <w:p w14:paraId="5628A133">
      <w:pPr>
        <w:spacing w:before="160"/>
        <w:jc w:val="left"/>
        <w:rPr>
          <w:sz w:val="24"/>
        </w:rPr>
      </w:pPr>
      <w:r>
        <w:rPr>
          <w:rFonts w:ascii="宋体" w:hAnsi="宋体" w:eastAsia="宋体" w:cs="宋体"/>
          <w:b/>
          <w:sz w:val="24"/>
        </w:rPr>
        <w:t>二、采购需求调查方式</w:t>
      </w:r>
    </w:p>
    <w:p w14:paraId="417B03B4">
      <w:pPr>
        <w:spacing w:before="160"/>
        <w:ind w:firstLine="480" w:firstLineChars="200"/>
        <w:jc w:val="left"/>
        <w:rPr>
          <w:sz w:val="24"/>
        </w:rPr>
      </w:pPr>
      <w:r>
        <w:rPr>
          <w:rFonts w:ascii="宋体" w:hAnsi="宋体" w:eastAsia="宋体" w:cs="宋体"/>
          <w:sz w:val="24"/>
        </w:rPr>
        <w:t>☑ 采购人自行调查 □ 委托第三方机构调查</w:t>
      </w:r>
    </w:p>
    <w:p w14:paraId="5583AE87">
      <w:pPr>
        <w:spacing w:before="160"/>
        <w:ind w:firstLine="480" w:firstLineChars="200"/>
        <w:jc w:val="left"/>
        <w:rPr>
          <w:sz w:val="24"/>
        </w:rPr>
      </w:pPr>
      <w:r>
        <w:rPr>
          <w:rFonts w:ascii="宋体" w:hAnsi="宋体" w:eastAsia="宋体" w:cs="宋体"/>
          <w:sz w:val="24"/>
        </w:rPr>
        <w:t xml:space="preserve">调查方式：☑ 咨询 </w:t>
      </w:r>
      <w:r>
        <w:rPr>
          <w:rFonts w:hint="eastAsia" w:ascii="宋体" w:hAnsi="宋体" w:eastAsia="宋体" w:cs="宋体"/>
          <w:sz w:val="24"/>
        </w:rPr>
        <w:t>□</w:t>
      </w:r>
      <w:r>
        <w:rPr>
          <w:rFonts w:ascii="宋体" w:hAnsi="宋体" w:eastAsia="宋体" w:cs="宋体"/>
          <w:sz w:val="24"/>
        </w:rPr>
        <w:t xml:space="preserve"> 论证 ☑ 现场调研 □ 其他：________</w:t>
      </w:r>
    </w:p>
    <w:p w14:paraId="2D93A4F9">
      <w:pPr>
        <w:spacing w:before="160"/>
        <w:jc w:val="left"/>
        <w:rPr>
          <w:sz w:val="24"/>
        </w:rPr>
      </w:pPr>
      <w:r>
        <w:rPr>
          <w:rFonts w:ascii="宋体" w:hAnsi="宋体" w:eastAsia="宋体" w:cs="宋体"/>
          <w:b/>
          <w:sz w:val="24"/>
        </w:rPr>
        <w:t>三、需求调查内容</w:t>
      </w:r>
    </w:p>
    <w:p w14:paraId="5699F927">
      <w:pPr>
        <w:keepNext w:val="0"/>
        <w:keepLines w:val="0"/>
        <w:pageBreakBefore w:val="0"/>
        <w:widowControl w:val="0"/>
        <w:kinsoku/>
        <w:wordWrap/>
        <w:overflowPunct/>
        <w:topLinePunct w:val="0"/>
        <w:autoSpaceDE/>
        <w:autoSpaceDN/>
        <w:bidi w:val="0"/>
        <w:adjustRightInd/>
        <w:snapToGrid/>
        <w:spacing w:before="160"/>
        <w:ind w:firstLine="482" w:firstLineChars="200"/>
        <w:jc w:val="left"/>
        <w:textAlignment w:val="auto"/>
        <w:rPr>
          <w:b/>
          <w:bCs/>
          <w:sz w:val="24"/>
        </w:rPr>
      </w:pPr>
      <w:r>
        <w:rPr>
          <w:rFonts w:ascii="宋体" w:hAnsi="宋体" w:eastAsia="宋体" w:cs="宋体"/>
          <w:b/>
          <w:bCs/>
          <w:sz w:val="24"/>
        </w:rPr>
        <w:t>（一）相关产业发展情况</w:t>
      </w:r>
    </w:p>
    <w:p w14:paraId="1F9E4470">
      <w:pPr>
        <w:keepNext w:val="0"/>
        <w:keepLines w:val="0"/>
        <w:pageBreakBefore w:val="0"/>
        <w:widowControl w:val="0"/>
        <w:numPr>
          <w:ilvl w:val="0"/>
          <w:numId w:val="0"/>
        </w:numPr>
        <w:kinsoku/>
        <w:wordWrap/>
        <w:overflowPunct/>
        <w:topLinePunct w:val="0"/>
        <w:autoSpaceDE/>
        <w:autoSpaceDN/>
        <w:bidi w:val="0"/>
        <w:adjustRightInd/>
        <w:snapToGrid/>
        <w:spacing w:before="160" w:line="360" w:lineRule="auto"/>
        <w:ind w:leftChars="0" w:firstLine="482" w:firstLineChars="200"/>
        <w:jc w:val="left"/>
        <w:textAlignment w:val="auto"/>
        <w:rPr>
          <w:rFonts w:ascii="宋体" w:hAnsi="宋体" w:eastAsia="宋体" w:cs="宋体"/>
          <w:sz w:val="24"/>
        </w:rPr>
      </w:pPr>
      <w:r>
        <w:rPr>
          <w:rFonts w:hint="eastAsia" w:ascii="宋体" w:hAnsi="宋体" w:eastAsia="宋体" w:cs="宋体"/>
          <w:b/>
          <w:sz w:val="24"/>
          <w:highlight w:val="none"/>
          <w:lang w:val="en-US" w:eastAsia="zh-CN"/>
        </w:rPr>
        <w:t>1.</w:t>
      </w:r>
      <w:r>
        <w:rPr>
          <w:rFonts w:ascii="宋体" w:hAnsi="宋体" w:eastAsia="宋体" w:cs="宋体"/>
          <w:b/>
          <w:sz w:val="24"/>
          <w:highlight w:val="none"/>
        </w:rPr>
        <w:t>行业现状</w:t>
      </w:r>
      <w:r>
        <w:rPr>
          <w:rFonts w:ascii="宋体" w:hAnsi="宋体" w:eastAsia="宋体" w:cs="宋体"/>
          <w:sz w:val="24"/>
          <w:highlight w:val="none"/>
        </w:rPr>
        <w:t>：</w:t>
      </w:r>
      <w:r>
        <w:rPr>
          <w:rFonts w:ascii="宋体" w:hAnsi="宋体" w:eastAsia="宋体" w:cs="宋体"/>
          <w:sz w:val="24"/>
        </w:rPr>
        <w:t>说明污水处理行业的政策要求、技术标准、技术发展趋势（如智能化运维、环保标准提升等）。</w:t>
      </w:r>
    </w:p>
    <w:p w14:paraId="43F33EB6">
      <w:pPr>
        <w:keepNext w:val="0"/>
        <w:keepLines w:val="0"/>
        <w:pageBreakBefore w:val="0"/>
        <w:widowControl w:val="0"/>
        <w:kinsoku/>
        <w:wordWrap/>
        <w:overflowPunct w:val="0"/>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lang w:val="en-US" w:eastAsia="zh-CN"/>
        </w:rPr>
        <w:t>江苏省城镇污水处理厂目前执行</w:t>
      </w:r>
      <w:r>
        <w:rPr>
          <w:rFonts w:hint="eastAsia" w:ascii="宋体" w:hAnsi="宋体" w:eastAsia="宋体" w:cs="宋体"/>
          <w:sz w:val="24"/>
        </w:rPr>
        <w:t>《城镇污水处理厂污染物排放标准》（GB18918</w:t>
      </w:r>
      <w:r>
        <w:rPr>
          <w:rFonts w:hint="eastAsia" w:ascii="宋体" w:hAnsi="宋体" w:eastAsia="宋体" w:cs="宋体"/>
          <w:sz w:val="24"/>
          <w:lang w:eastAsia="zh-CN"/>
        </w:rPr>
        <w:t>—</w:t>
      </w:r>
      <w:r>
        <w:rPr>
          <w:rFonts w:hint="eastAsia" w:ascii="宋体" w:hAnsi="宋体" w:eastAsia="宋体" w:cs="宋体"/>
          <w:sz w:val="24"/>
        </w:rPr>
        <w:t>2002）</w:t>
      </w:r>
      <w:r>
        <w:rPr>
          <w:rFonts w:hint="eastAsia" w:ascii="宋体" w:hAnsi="宋体" w:eastAsia="宋体" w:cs="宋体"/>
          <w:sz w:val="24"/>
          <w:lang w:eastAsia="zh-CN"/>
        </w:rPr>
        <w:t>（含</w:t>
      </w:r>
      <w:r>
        <w:rPr>
          <w:rFonts w:hint="eastAsia" w:ascii="宋体" w:hAnsi="宋体" w:eastAsia="宋体" w:cs="宋体"/>
          <w:sz w:val="24"/>
          <w:lang w:val="en-US" w:eastAsia="zh-CN"/>
        </w:rPr>
        <w:t>2006年、2025年修改单</w:t>
      </w:r>
      <w:r>
        <w:rPr>
          <w:rFonts w:hint="eastAsia" w:ascii="宋体" w:hAnsi="宋体" w:eastAsia="宋体" w:cs="宋体"/>
          <w:sz w:val="24"/>
          <w:lang w:eastAsia="zh-CN"/>
        </w:rPr>
        <w:t>）</w:t>
      </w:r>
      <w:r>
        <w:rPr>
          <w:rFonts w:hint="eastAsia" w:ascii="宋体" w:hAnsi="宋体" w:eastAsia="宋体" w:cs="宋体"/>
          <w:sz w:val="24"/>
        </w:rPr>
        <w:t>及《城镇污水处理厂污染物排放标准》（DB32/4440</w:t>
      </w:r>
      <w:r>
        <w:rPr>
          <w:rFonts w:hint="eastAsia" w:ascii="宋体" w:hAnsi="宋体" w:eastAsia="宋体" w:cs="宋体"/>
          <w:sz w:val="24"/>
          <w:lang w:eastAsia="zh-CN"/>
        </w:rPr>
        <w:t>—</w:t>
      </w:r>
      <w:r>
        <w:rPr>
          <w:rFonts w:hint="eastAsia" w:ascii="宋体" w:hAnsi="宋体" w:eastAsia="宋体" w:cs="宋体"/>
          <w:sz w:val="24"/>
        </w:rPr>
        <w:t>2022）‌。</w:t>
      </w:r>
      <w:r>
        <w:rPr>
          <w:rFonts w:hint="eastAsia" w:ascii="宋体" w:hAnsi="宋体" w:eastAsia="宋体" w:cs="宋体"/>
          <w:color w:val="auto"/>
          <w:sz w:val="24"/>
          <w:szCs w:val="22"/>
          <w:lang w:val="en-US" w:eastAsia="zh-CN"/>
        </w:rPr>
        <w:t>未来将聚焦智慧化运维与环保能力提升两大核心，推动污水处理行业向高效、低碳、绿色、智能转型，助力生态环境质量持续改善。在智慧化运维方面，整合工艺运行、设备状态、水质监测等各类数据，实现工艺参数实时调控、设备运行状态实时监控、故障智能预警、数据自动分析，减少人工干预，提升运营效率和管控精度。同时，将进一步强化污染治理全流程管控持续优化深度处理工艺，推广高效、低碳的污水处理技术，降低能耗和碳排放，助力“双碳”目标实现。</w:t>
      </w:r>
    </w:p>
    <w:p w14:paraId="05F86FDA">
      <w:pPr>
        <w:keepNext w:val="0"/>
        <w:keepLines w:val="0"/>
        <w:pageBreakBefore w:val="0"/>
        <w:numPr>
          <w:ilvl w:val="0"/>
          <w:numId w:val="0"/>
        </w:numPr>
        <w:wordWrap/>
        <w:topLinePunct w:val="0"/>
        <w:bidi w:val="0"/>
        <w:spacing w:before="160" w:line="360" w:lineRule="auto"/>
        <w:ind w:leftChars="0" w:firstLine="482" w:firstLineChars="200"/>
        <w:jc w:val="left"/>
        <w:textAlignment w:val="auto"/>
        <w:rPr>
          <w:rFonts w:ascii="宋体" w:hAnsi="宋体" w:eastAsia="宋体" w:cs="宋体"/>
          <w:sz w:val="24"/>
        </w:rPr>
      </w:pPr>
      <w:r>
        <w:rPr>
          <w:rFonts w:hint="eastAsia" w:ascii="宋体" w:hAnsi="宋体" w:eastAsia="宋体" w:cs="宋体"/>
          <w:b/>
          <w:sz w:val="24"/>
          <w:highlight w:val="none"/>
          <w:lang w:val="en-US" w:eastAsia="zh-CN"/>
        </w:rPr>
        <w:t>2.</w:t>
      </w:r>
      <w:r>
        <w:rPr>
          <w:rFonts w:ascii="宋体" w:hAnsi="宋体" w:eastAsia="宋体" w:cs="宋体"/>
          <w:b/>
          <w:sz w:val="24"/>
          <w:highlight w:val="none"/>
        </w:rPr>
        <w:t>技术路线与工艺水平</w:t>
      </w:r>
      <w:r>
        <w:rPr>
          <w:rFonts w:ascii="宋体" w:hAnsi="宋体" w:eastAsia="宋体" w:cs="宋体"/>
          <w:sz w:val="24"/>
          <w:highlight w:val="none"/>
        </w:rPr>
        <w:t>：</w:t>
      </w:r>
      <w:r>
        <w:rPr>
          <w:rFonts w:ascii="宋体" w:hAnsi="宋体" w:eastAsia="宋体" w:cs="宋体"/>
          <w:sz w:val="24"/>
        </w:rPr>
        <w:t>描述污水处理厂采用的核心工艺技术（如AAO、MBR等），以及当前运维服务所需的技术能力要求。</w:t>
      </w:r>
    </w:p>
    <w:p w14:paraId="03B0C1E0">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bookmarkStart w:id="2" w:name="_Ref17469"/>
      <w:r>
        <w:rPr>
          <w:rFonts w:hint="eastAsia" w:ascii="宋体" w:hAnsi="宋体" w:eastAsia="宋体" w:cs="宋体"/>
          <w:color w:val="auto"/>
          <w:sz w:val="24"/>
          <w:szCs w:val="22"/>
          <w:lang w:val="en-US" w:eastAsia="zh-CN"/>
        </w:rPr>
        <w:t>本次四期扩建工程主要处理对象为服务范围内的生活废水。本期工程设计处理规模4.5万m</w:t>
      </w:r>
      <w:r>
        <w:rPr>
          <w:rFonts w:hint="eastAsia" w:ascii="宋体" w:hAnsi="宋体" w:eastAsia="宋体" w:cs="宋体"/>
          <w:color w:val="auto"/>
          <w:sz w:val="24"/>
          <w:szCs w:val="22"/>
          <w:vertAlign w:val="superscript"/>
          <w:lang w:val="en-US" w:eastAsia="zh-CN"/>
        </w:rPr>
        <w:t>3</w:t>
      </w:r>
      <w:r>
        <w:rPr>
          <w:rFonts w:hint="eastAsia" w:ascii="宋体" w:hAnsi="宋体" w:eastAsia="宋体" w:cs="宋体"/>
          <w:color w:val="auto"/>
          <w:sz w:val="24"/>
          <w:szCs w:val="22"/>
          <w:lang w:val="en-US" w:eastAsia="zh-CN"/>
        </w:rPr>
        <w:t>/d，中水回用1.5万m</w:t>
      </w:r>
      <w:r>
        <w:rPr>
          <w:rFonts w:hint="eastAsia" w:ascii="宋体" w:hAnsi="宋体" w:eastAsia="宋体" w:cs="宋体"/>
          <w:color w:val="auto"/>
          <w:sz w:val="24"/>
          <w:szCs w:val="22"/>
          <w:vertAlign w:val="superscript"/>
          <w:lang w:val="en-US" w:eastAsia="zh-CN"/>
        </w:rPr>
        <w:t>3</w:t>
      </w:r>
      <w:r>
        <w:rPr>
          <w:rFonts w:hint="eastAsia" w:ascii="宋体" w:hAnsi="宋体" w:eastAsia="宋体" w:cs="宋体"/>
          <w:color w:val="auto"/>
          <w:sz w:val="24"/>
          <w:szCs w:val="22"/>
          <w:lang w:val="en-US" w:eastAsia="zh-CN"/>
        </w:rPr>
        <w:t>/d，部分配套建构筑物兼顾远期全厂9.0万m</w:t>
      </w:r>
      <w:r>
        <w:rPr>
          <w:rFonts w:hint="eastAsia" w:ascii="宋体" w:hAnsi="宋体" w:eastAsia="宋体" w:cs="宋体"/>
          <w:color w:val="auto"/>
          <w:sz w:val="24"/>
          <w:szCs w:val="22"/>
          <w:vertAlign w:val="superscript"/>
          <w:lang w:val="en-US" w:eastAsia="zh-CN"/>
        </w:rPr>
        <w:t>3</w:t>
      </w:r>
      <w:r>
        <w:rPr>
          <w:rFonts w:hint="eastAsia" w:ascii="宋体" w:hAnsi="宋体" w:eastAsia="宋体" w:cs="宋体"/>
          <w:color w:val="auto"/>
          <w:sz w:val="24"/>
          <w:szCs w:val="22"/>
          <w:lang w:val="en-US" w:eastAsia="zh-CN"/>
        </w:rPr>
        <w:t>/d规模土建一次建成并预留设备位置。四期工程污水处理采用“预处理（粗格栅及进水泵房+细格栅及曝气沉砂池）+生化处理（预缺氧A</w:t>
      </w:r>
      <w:r>
        <w:rPr>
          <w:rFonts w:hint="eastAsia" w:ascii="宋体" w:hAnsi="宋体" w:eastAsia="宋体" w:cs="宋体"/>
          <w:color w:val="auto"/>
          <w:sz w:val="24"/>
          <w:szCs w:val="22"/>
          <w:vertAlign w:val="superscript"/>
          <w:lang w:val="en-US" w:eastAsia="zh-CN"/>
        </w:rPr>
        <w:t>2</w:t>
      </w:r>
      <w:r>
        <w:rPr>
          <w:rFonts w:hint="eastAsia" w:ascii="宋体" w:hAnsi="宋体" w:eastAsia="宋体" w:cs="宋体"/>
          <w:color w:val="auto"/>
          <w:sz w:val="24"/>
          <w:szCs w:val="22"/>
          <w:lang w:val="en-US" w:eastAsia="zh-CN"/>
        </w:rPr>
        <w:t>O/AO生化池+二沉池）+深度处理（高效沉淀池+反硝化深床滤池），其中3.0万m3/d尾水最终依托原有澄西污水厂排污口排放至老夏港河，出水执行《城镇污水处理厂污染物排放标准》（DB32/4440-2022 ）B标准。1.5万m</w:t>
      </w:r>
      <w:r>
        <w:rPr>
          <w:rFonts w:hint="eastAsia" w:ascii="宋体" w:hAnsi="宋体" w:eastAsia="宋体" w:cs="宋体"/>
          <w:color w:val="auto"/>
          <w:sz w:val="24"/>
          <w:szCs w:val="22"/>
          <w:vertAlign w:val="superscript"/>
          <w:lang w:val="en-US" w:eastAsia="zh-CN"/>
        </w:rPr>
        <w:t>3</w:t>
      </w:r>
      <w:r>
        <w:rPr>
          <w:rFonts w:hint="eastAsia" w:ascii="宋体" w:hAnsi="宋体" w:eastAsia="宋体" w:cs="宋体"/>
          <w:color w:val="auto"/>
          <w:sz w:val="24"/>
          <w:szCs w:val="22"/>
          <w:lang w:val="en-US" w:eastAsia="zh-CN"/>
        </w:rPr>
        <w:t>/d尾水经四期配套的臭氧接触氧化工艺进一步处理后达到《地表水环境质量标准》（GB3838-2002）IV类标准、《城市污水再生利用 景观环境用水水质》（GB/T18921-2019）和《再生水水质标准》（SL368-2006）中观赏性景观环境用水河道类相应要求，进入北横河，作为河道补水。污泥采用污泥机械浓缩+污泥调理+板框压滤深度脱水工艺，脱水后污泥含水率低于50%，然后外运进行焚烧处置。</w:t>
      </w:r>
    </w:p>
    <w:bookmarkEnd w:id="2"/>
    <w:p w14:paraId="156791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2" w:firstLineChars="200"/>
        <w:jc w:val="both"/>
        <w:textAlignment w:val="auto"/>
        <w:rPr>
          <w:rFonts w:hint="eastAsia" w:ascii="宋体" w:hAnsi="宋体" w:eastAsia="宋体" w:cs="宋体"/>
          <w:b/>
          <w:color w:val="auto"/>
          <w:sz w:val="24"/>
          <w:szCs w:val="22"/>
          <w:highlight w:val="none"/>
          <w:lang w:val="en-US" w:eastAsia="zh-CN" w:bidi="ar-SA"/>
        </w:rPr>
      </w:pPr>
      <w:r>
        <w:rPr>
          <w:rFonts w:hint="eastAsia" w:ascii="宋体" w:hAnsi="宋体" w:eastAsia="宋体" w:cs="宋体"/>
          <w:b/>
          <w:color w:val="auto"/>
          <w:sz w:val="24"/>
          <w:szCs w:val="22"/>
          <w:highlight w:val="none"/>
          <w:lang w:val="en-US" w:eastAsia="zh-CN" w:bidi="ar-SA"/>
        </w:rPr>
        <w:t>3.运维技术要求</w:t>
      </w:r>
    </w:p>
    <w:p w14:paraId="4E323E77">
      <w:pPr>
        <w:pStyle w:val="3"/>
        <w:numPr>
          <w:ilvl w:val="0"/>
          <w:numId w:val="0"/>
        </w:numPr>
        <w:spacing w:before="269" w:line="360" w:lineRule="auto"/>
        <w:ind w:right="31" w:rightChars="0" w:firstLine="480" w:firstLineChars="200"/>
        <w:jc w:val="both"/>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（1）基础运营能力</w:t>
      </w:r>
    </w:p>
    <w:p w14:paraId="055E73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8" w:rightChars="0"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需要具备城镇集中式污水处理设置运营服务资质，需组建专业运营团队，建立完善的运营管理体系，严格落实各项管理要求，确保项目运营全流程合规、高效，圆满完成运营履约任务。具备丰富的污水处理厂运营经验，拥有符合项目要求的运营业绩，能够为本次项目运营提供可靠的技术支撑和经验保障。</w:t>
      </w:r>
    </w:p>
    <w:p w14:paraId="1BB4BD0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运营单位需要具备正式运营的污水处理厂项目，具备相应的大规模污水处理运营管理能力，能够熟练应对4.5万m³/d规模的污水处理运营工作。运营单位人员需要具备多年污水处理厂运营经验，熟悉工艺的运行控制要点，同时具备深度处理及臭氧高级氧化工艺的运营经验，严格按照项目工艺要求开展运营工作，优化工艺参数，强化水质管控，确保出水各项指标持续稳定满足排放标准。</w:t>
      </w:r>
    </w:p>
    <w:p w14:paraId="6DD47C5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8" w:rightChars="0" w:firstLine="480" w:firstLineChars="200"/>
        <w:jc w:val="both"/>
        <w:textAlignment w:val="auto"/>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（2）人员配置要求</w:t>
      </w:r>
    </w:p>
    <w:p w14:paraId="33B00D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针对本项目组织机构设置需健全、职责分工明确、管理流程清晰，完全满足《江苏省城镇污水处理厂运行管理考核标准》，可实现24小时连续稳定运营及全流程闭环管理。确保项目部组织机构健全，相关人员持证上岗、培训到位、稳定在岗，保障运营工作有序开展。运维单位核心组织机构需设置如下：项目总负责人、技术负责人、安环负责人、财务专员、运行班组、化验检测组、设备维修组、中控调度组、综合管理组。各岗位权责清晰、协同高效，覆盖生产运行、工艺调控、水质检测、设备维护、安全管理、财务管控、应急处置、综合协调等全部运营环节，确保项目运营有序推进。</w:t>
      </w:r>
    </w:p>
    <w:p w14:paraId="7409A95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8" w:rightChars="0"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（3）财务能力</w:t>
      </w:r>
    </w:p>
    <w:p w14:paraId="072073C5">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具备充足的财务实力资产负债率控制在合理范围内，具备充足的流动资金和抗风险能力，能够承担项目运营期间的各项成本支出，确保项目持续稳定运营。具备完善的财务管理制度，确保项目运营期间资金及时到位、合理使用，全面满足项目运营的财务需求，严格按照财务管理制度开展工作，保障项目运营期间的资金需求，按时完成各项财务核算及报表编制工作。确保财务数据真实、准确、完整，定期编制财务报表，接受相关部门的监督检查，确保财务工作合规、透明。</w:t>
      </w:r>
    </w:p>
    <w:p w14:paraId="5BD0B0D2">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（4）应急处置能力</w:t>
      </w:r>
    </w:p>
    <w:p w14:paraId="0BA270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为应对项目运营过程中可能出现的各类突发情况，需制定完善的应急处置方案，建立应急响应机制，确保突发状况能够快速、有效处置，保障项目运行不间断、出水不超标。</w:t>
      </w:r>
    </w:p>
    <w:p w14:paraId="232480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专项应急预案：针对停电、停水、设备故障、进水水质超标、雨季高水量、安全事故等各类突发情况，制定专项应急预案，明确应急处置流程、责任分工、处置措施及注意事项。</w:t>
      </w:r>
    </w:p>
    <w:p w14:paraId="4C3FEAE8">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应急保障和响应：配备充足的应急物资、应急设备和应急人员，定期组织应急演练，提升应急处置能力，确保突发情况发生时，能够快速响应、科学处置，最大限度降低损失，保障项目运营稳定。建立快速应急响应机制，明确应急上报流程和处置时限，确保突发情况能够及时上报、快速处置，避免事态扩大，确保出水稳定达标、运行持续正常。</w:t>
      </w:r>
    </w:p>
    <w:p w14:paraId="6BE3A71A">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2" w:firstLineChars="200"/>
        <w:jc w:val="both"/>
        <w:textAlignment w:val="auto"/>
        <w:rPr>
          <w:rFonts w:hint="eastAsia" w:ascii="宋体" w:hAnsi="宋体" w:eastAsia="宋体" w:cs="宋体"/>
          <w:b/>
          <w:bCs/>
          <w:color w:val="auto"/>
          <w:sz w:val="24"/>
          <w:szCs w:val="22"/>
          <w:lang w:val="en-US" w:eastAsia="zh-CN"/>
        </w:rPr>
      </w:pPr>
      <w:r>
        <w:rPr>
          <w:rFonts w:hint="eastAsia" w:ascii="宋体" w:hAnsi="宋体" w:eastAsia="宋体" w:cs="宋体"/>
          <w:b/>
          <w:bCs/>
          <w:color w:val="auto"/>
          <w:sz w:val="24"/>
          <w:szCs w:val="22"/>
          <w:lang w:val="en-US" w:eastAsia="zh-CN"/>
        </w:rPr>
        <w:t>（二）市场供给情况</w:t>
      </w:r>
    </w:p>
    <w:p w14:paraId="78CEDA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1、供应商唯一性分析：</w:t>
      </w:r>
    </w:p>
    <w:p w14:paraId="6C051F53">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功能客观定位：澄西污水处理厂位于江阴市滨江西路288号，原设计规模为11万吨/天，主要承担澄江街道、夏港街道等辖区内生活、工业污水的处理任务。2007年，该厂由光大水务委托运营，运营模式为特许经营。2023年光大水务根据服务范围内污水处理需求，自筹资金约24985万元在厂内启动四期扩建工程，新增污水处理设计规模4.5万吨/天，并于2025年12月正式投运。根据签订协议，澄西四期过渡期暂定价为1.007元/吨（包括经营成本0.87元/吨、污泥处置费0.137元/吨），远低于市场价。污水处理量预计2.94万吨/日，2026年预算为1080.61万元。扩建后，澄西污水处理厂设计总规模达15.5万吨/天，完全能够满足辖区内的污水处理需求。</w:t>
      </w:r>
    </w:p>
    <w:p w14:paraId="262EA3C5">
      <w:pPr>
        <w:pStyle w:val="3"/>
        <w:spacing w:before="269" w:line="360" w:lineRule="auto"/>
        <w:ind w:right="31" w:firstLine="480" w:firstLineChars="200"/>
        <w:jc w:val="both"/>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2）服务不可替代性：澄西污水处理厂是澄江街道和夏港街道辖区内唯一的综合污水处理厂，根据当前污水规划，辖区内不存在可用于新增污水处理设施的地块；且辖区内市政污水管网已基本建设到位，最终全部接入澄西污水处理厂，形成了闭环、专属的污水收集处理系统，即：澄江街道、夏港街道等辖区内的生活、工业污水只能输送至澄西污水处理厂处理。</w:t>
      </w:r>
    </w:p>
    <w:p w14:paraId="76DBF104">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服务独占性：根据市城管局关于印发《全市污水厂网一体化运营整合实施路径》的通知（澄城委办发〔2024〕16号）：“采取“行政主导、属地负责、并联操作、稳步推进”的策略，引入有能力的专业公司作为市场主体，通过市场化方式开展运营整合工作，近期先实现全市污水厂网的统一运维”，光大水务实际承担了城区污水处理服务。光大水务（江阴）有限公司澄西污水处理厂资产权属清晰，由光大水务（江阴）有限公司持有100%股权，该厂自2007年以来一直以BOT模式由其独立运营，因此，城管局无法通过市场化竞争方式引入其他供应商分别实施或提供同等效果的服务，只能由光大水务提供澄西污水处理厂四期的污水处理服务。</w:t>
      </w:r>
    </w:p>
    <w:p w14:paraId="47F05E07">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（4）进、出污水无法分割</w:t>
      </w:r>
    </w:p>
    <w:p w14:paraId="3EDB9CA6">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澄西四期项目进水汇总至原项目同一个集水井，进水来源无法分割；澄西四期出水与澄西一二三期合并总管排放，污水排放也无法分割。</w:t>
      </w:r>
    </w:p>
    <w:p w14:paraId="7A7FAE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（5）澄西四期无法独立运营</w:t>
      </w:r>
    </w:p>
    <w:p w14:paraId="74B93F6D">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8"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部分生产设施如脱泥、深度处理（液氧储存设施、臭氧发生装置）、中水回用设施、出水在线仪等共用合建，无法分割；同时供电系统、自控系统都统一接入澄西一二三期中控室，配电和自控调度系统这些设施设备也无法分割，需要由澄西厂统一调度运营。</w:t>
      </w:r>
    </w:p>
    <w:p w14:paraId="1F1861F7">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（6）节约项目投资及运营成本</w:t>
      </w:r>
    </w:p>
    <w:p w14:paraId="2DB14C92">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澄西四期共用原光大澄西污水厂设施、办公楼、化验室、中控、机修间、污泥脱水机房可有效节约投资成本；生产运营涉及的生产人员、化验人员、设备维修人员等依托澄西污水厂统一管理，可大大节省生产运营成本。</w:t>
      </w:r>
    </w:p>
    <w:p w14:paraId="5B050426">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 xml:space="preserve">（7）服务可靠性：自2007年光大水务运营澄西污水处理厂以来，生产运营稳定、排放达标、履约情况良好。通过多年运维实践，光大水务已形成成熟高效的管理体系，运行维护成本控制合理，体现了良好的经济性和可持续运营能力。 </w:t>
      </w:r>
    </w:p>
    <w:p w14:paraId="1CAC36E5">
      <w:pPr>
        <w:keepNext w:val="0"/>
        <w:keepLines w:val="0"/>
        <w:pageBreakBefore w:val="0"/>
        <w:wordWrap/>
        <w:overflowPunct/>
        <w:topLinePunct w:val="0"/>
        <w:bidi w:val="0"/>
        <w:spacing w:line="360" w:lineRule="auto"/>
        <w:jc w:val="left"/>
        <w:textAlignment w:val="auto"/>
        <w:rPr>
          <w:b/>
          <w:bCs/>
          <w:sz w:val="24"/>
          <w:highlight w:val="none"/>
        </w:rPr>
      </w:pPr>
      <w:r>
        <w:rPr>
          <w:rFonts w:ascii="宋体" w:hAnsi="宋体" w:eastAsia="宋体" w:cs="宋体"/>
          <w:b/>
          <w:bCs/>
          <w:sz w:val="24"/>
          <w:highlight w:val="none"/>
        </w:rPr>
        <w:t>（三）服务需求明细</w:t>
      </w:r>
    </w:p>
    <w:p w14:paraId="3F8A691E">
      <w:pPr>
        <w:keepNext w:val="0"/>
        <w:keepLines w:val="0"/>
        <w:pageBreakBefore w:val="0"/>
        <w:numPr>
          <w:ilvl w:val="0"/>
          <w:numId w:val="0"/>
        </w:numPr>
        <w:wordWrap/>
        <w:overflowPunct/>
        <w:topLinePunct w:val="0"/>
        <w:bidi w:val="0"/>
        <w:spacing w:line="360" w:lineRule="auto"/>
        <w:ind w:leftChars="0" w:firstLine="482" w:firstLineChars="200"/>
        <w:jc w:val="left"/>
        <w:textAlignment w:val="auto"/>
        <w:rPr>
          <w:sz w:val="24"/>
          <w:highlight w:val="none"/>
        </w:rPr>
      </w:pPr>
      <w:r>
        <w:rPr>
          <w:rFonts w:hint="eastAsia" w:ascii="宋体" w:hAnsi="宋体" w:eastAsia="宋体" w:cs="宋体"/>
          <w:b/>
          <w:sz w:val="24"/>
          <w:highlight w:val="none"/>
          <w:lang w:val="en-US" w:eastAsia="zh-CN"/>
        </w:rPr>
        <w:t>1.</w:t>
      </w:r>
      <w:r>
        <w:rPr>
          <w:rFonts w:ascii="宋体" w:hAnsi="宋体" w:eastAsia="宋体" w:cs="宋体"/>
          <w:b/>
          <w:sz w:val="24"/>
          <w:highlight w:val="none"/>
        </w:rPr>
        <w:t>服务内容</w:t>
      </w:r>
      <w:r>
        <w:rPr>
          <w:rFonts w:ascii="宋体" w:hAnsi="宋体" w:eastAsia="宋体" w:cs="宋体"/>
          <w:sz w:val="24"/>
          <w:highlight w:val="none"/>
        </w:rPr>
        <w:t>：</w:t>
      </w:r>
    </w:p>
    <w:p w14:paraId="5E90752C">
      <w:pPr>
        <w:pStyle w:val="3"/>
        <w:keepNext w:val="0"/>
        <w:keepLines w:val="0"/>
        <w:pageBreakBefore w:val="0"/>
        <w:wordWrap/>
        <w:overflowPunct/>
        <w:topLinePunct w:val="0"/>
        <w:bidi w:val="0"/>
        <w:spacing w:line="360" w:lineRule="auto"/>
        <w:ind w:right="31" w:firstLine="480" w:firstLineChars="200"/>
        <w:jc w:val="both"/>
        <w:textAlignment w:val="auto"/>
        <w:rPr>
          <w:rFonts w:hint="default"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（1）运营管理制度体系管理</w:t>
      </w:r>
    </w:p>
    <w:p w14:paraId="7B8155C3">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结合《江苏省城镇污水处理厂运行管理考核标准》及其他相关技术要求，运营服务单位需建立健全全套运营管理制度，实现运营管理标准化、规范化、精细化，确保各项运营工作有章可循、有据可依。核心管理制度需包括：岗位责任制、生产运行操作规程、工艺运行管理制度、水质检测与质量保证制度、保养及维修管理制度、安全生产管理制度、危化品管理制度、运行台账、档案及报表管理制度、人员培训与考核管理制度、物资采购与管理制度、应急处置管理制度等。</w:t>
      </w:r>
    </w:p>
    <w:p w14:paraId="3ED8B38E">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（2）设备维护与大修更新管理</w:t>
      </w:r>
    </w:p>
    <w:p w14:paraId="33317BF2">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为确保项目各类设施设备长期稳定运行，需制定科学合理、全面可行的设备日常维护、定期保养、年度检修及大修更新计划，完全满足项目委托运营期内的设备保障需求。严格执行设备维护、保养、检修计划，确保设备完好率、运行率达到要求，避免因设备故障影响项目正常运营。</w:t>
      </w:r>
    </w:p>
    <w:p w14:paraId="52429B4D">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维护保养：安排专人对各类设备进行巡检、清洁、紧固、润滑，及时发现并处理设备轻微故障，做好维护记录，确保设备处于良好运行状态。按照设备说明书及运营规范，定期对水泵、风机、仪表、臭氧发生装置、曝气系统、加药系统、电气自控系统等设备进行全面保养</w:t>
      </w:r>
      <w:r>
        <w:rPr>
          <w:rFonts w:hint="eastAsia" w:ascii="宋体" w:hAnsi="宋体" w:eastAsia="宋体" w:cs="宋体"/>
          <w:color w:val="auto"/>
          <w:sz w:val="24"/>
          <w:szCs w:val="22"/>
          <w:highlight w:val="none"/>
          <w:lang w:val="en-US" w:eastAsia="zh-CN"/>
        </w:rPr>
        <w:t>或</w:t>
      </w:r>
      <w:r>
        <w:rPr>
          <w:rFonts w:hint="eastAsia" w:ascii="宋体" w:hAnsi="宋体" w:eastAsia="宋体" w:cs="宋体"/>
          <w:color w:val="auto"/>
          <w:sz w:val="24"/>
          <w:szCs w:val="22"/>
          <w:lang w:val="en-US" w:eastAsia="zh-CN"/>
        </w:rPr>
        <w:t>校准，延长设备使用寿命。</w:t>
      </w:r>
    </w:p>
    <w:p w14:paraId="5F82E9B5">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年度检修与大修更新：对存在隐患的设备及时进行维修或更换；结合设备运行年限、运行状况，制定合理的大修更新计划，提前储备备品备件，确保大修更新工作有序推进，保障设备完好率达到运营要求，避免因设备故障影响项目正常运行。</w:t>
      </w:r>
    </w:p>
    <w:p w14:paraId="06094B8B">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（3）安全管理</w:t>
      </w:r>
    </w:p>
    <w:p w14:paraId="103DAB88">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严格遵循安全生产相关法律法规及江苏省地方安全管理规范，建立全方位、全流程安全管理体系，落实全员安全生产责任制，明确各岗位安全职责，杜绝各类安全事故发生。定期组织全员安全生产培训，重点开展危化品操作、应急处置、设备安全等培训，考核合格后方可上岗；定期</w:t>
      </w:r>
      <w:r>
        <w:rPr>
          <w:rFonts w:hint="eastAsia" w:ascii="宋体" w:hAnsi="宋体" w:eastAsia="宋体" w:cs="宋体"/>
          <w:color w:val="auto"/>
          <w:sz w:val="24"/>
          <w:szCs w:val="22"/>
          <w:highlight w:val="none"/>
          <w:lang w:val="en-US" w:eastAsia="zh-CN"/>
        </w:rPr>
        <w:t>组织安全</w:t>
      </w:r>
      <w:r>
        <w:rPr>
          <w:rFonts w:hint="eastAsia" w:ascii="宋体" w:hAnsi="宋体" w:eastAsia="宋体" w:cs="宋体"/>
          <w:color w:val="auto"/>
          <w:sz w:val="24"/>
          <w:szCs w:val="22"/>
          <w:lang w:val="en-US" w:eastAsia="zh-CN"/>
        </w:rPr>
        <w:t>隐患排查，及时整改各类隐患；定期开展安全应急演练，提升全员应急处置能力。高空作业、有限空间作业等特殊作业，需严格执行作业审批制度，配备监护人员和防护器材，确保作业安全；</w:t>
      </w:r>
    </w:p>
    <w:p w14:paraId="47112FE9">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（4）数据记录与报告（运行台账、排放数据上报）</w:t>
      </w:r>
    </w:p>
    <w:p w14:paraId="5230C7D3">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建立规范、完整的数据记录与报告体系，确保运营数据真实、准确、完整、可追溯。各类数据记录，涵盖进水出水水质、水量、工艺参数、设备运行状态、维护维修记录、安全检查记录、污泥处置记录、在线监测数据、化验数据等，记录需及时、规范、清晰，存档期限不少于项目运营期限，确保数据可追溯。建立数据记录台账，实行分类管理，定期整理、归档，配备专门的档案储存设施，确保记录完好、不丢失、不篡改；按照《水污染源在线监测系统</w:t>
      </w:r>
      <w:r>
        <w:rPr>
          <w:rFonts w:hint="eastAsia" w:ascii="宋体" w:hAnsi="宋体" w:eastAsia="宋体" w:cs="宋体"/>
          <w:color w:val="auto"/>
          <w:sz w:val="24"/>
          <w:szCs w:val="22"/>
          <w:highlight w:val="none"/>
          <w:lang w:val="en-US" w:eastAsia="zh-CN"/>
        </w:rPr>
        <w:t>运行技术</w:t>
      </w:r>
      <w:r>
        <w:rPr>
          <w:rFonts w:hint="eastAsia" w:ascii="宋体" w:hAnsi="宋体" w:eastAsia="宋体" w:cs="宋体"/>
          <w:color w:val="auto"/>
          <w:sz w:val="24"/>
          <w:szCs w:val="22"/>
          <w:lang w:val="en-US" w:eastAsia="zh-CN"/>
        </w:rPr>
        <w:t>规范》（HJ/T 355－</w:t>
      </w:r>
      <w:r>
        <w:rPr>
          <w:rFonts w:hint="eastAsia" w:ascii="宋体" w:hAnsi="宋体" w:eastAsia="宋体" w:cs="宋体"/>
          <w:color w:val="auto"/>
          <w:sz w:val="24"/>
          <w:szCs w:val="22"/>
          <w:highlight w:val="none"/>
          <w:lang w:val="en-US" w:eastAsia="zh-CN"/>
        </w:rPr>
        <w:t>2019</w:t>
      </w:r>
      <w:r>
        <w:rPr>
          <w:rFonts w:hint="eastAsia" w:ascii="宋体" w:hAnsi="宋体" w:eastAsia="宋体" w:cs="宋体"/>
          <w:color w:val="auto"/>
          <w:sz w:val="24"/>
          <w:szCs w:val="22"/>
          <w:lang w:val="en-US" w:eastAsia="zh-CN"/>
        </w:rPr>
        <w:t>）要求，规范在线监测数据记录管理。按照要求提供相关运营报告，内容涵盖运营概况、水质水量、设备运行、安全管理、污泥处置、在线监测、等相关情况，按时报送主管部门。发现水质超标、设备故障、安全隐患、在线监测异常等情况，需立即记录相关数据，及时上报相关部门和做好各平台标记备案工作。</w:t>
      </w:r>
    </w:p>
    <w:p w14:paraId="27C165CD">
      <w:pPr>
        <w:pStyle w:val="3"/>
        <w:keepNext w:val="0"/>
        <w:keepLines w:val="0"/>
        <w:pageBreakBefore w:val="0"/>
        <w:wordWrap/>
        <w:overflowPunct/>
        <w:topLinePunct w:val="0"/>
        <w:bidi w:val="0"/>
        <w:spacing w:line="360" w:lineRule="auto"/>
        <w:ind w:right="31" w:firstLine="480" w:firstLineChars="2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（5）其他特定服务（如污泥处置、在线监控系统维护等）。</w:t>
      </w:r>
    </w:p>
    <w:p w14:paraId="3569DA94">
      <w:pPr>
        <w:pStyle w:val="3"/>
        <w:keepNext w:val="0"/>
        <w:keepLines w:val="0"/>
        <w:pageBreakBefore w:val="0"/>
        <w:wordWrap/>
        <w:overflowPunct/>
        <w:topLinePunct w:val="0"/>
        <w:bidi w:val="0"/>
        <w:spacing w:line="360" w:lineRule="auto"/>
        <w:ind w:right="31" w:firstLine="720" w:firstLineChars="300"/>
        <w:jc w:val="both"/>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污泥管理：严格遵循“减量化、资源化、无害化”原则，按照江苏省污泥处置相关规范及《江苏省城镇污水处理厂污染物排放标准》（DB32/</w:t>
      </w:r>
      <w:r>
        <w:rPr>
          <w:rFonts w:hint="eastAsia" w:ascii="宋体" w:hAnsi="宋体" w:eastAsia="宋体" w:cs="宋体"/>
          <w:color w:val="auto"/>
          <w:sz w:val="24"/>
          <w:szCs w:val="22"/>
          <w:highlight w:val="none"/>
          <w:lang w:val="en-US" w:eastAsia="zh-CN"/>
        </w:rPr>
        <w:t>4440-</w:t>
      </w:r>
      <w:r>
        <w:rPr>
          <w:rFonts w:hint="eastAsia" w:ascii="宋体" w:hAnsi="宋体" w:eastAsia="宋体" w:cs="宋体"/>
          <w:color w:val="auto"/>
          <w:sz w:val="24"/>
          <w:szCs w:val="22"/>
          <w:lang w:val="en-US" w:eastAsia="zh-CN"/>
        </w:rPr>
        <w:t>2022）要求，规范开展污泥处置工作。污泥转移需要按照相关法律法规进行。污泥处置单位污泥运输及焚烧需要进行合规处置。污泥转移要严格执行转移联单制度。污泥运输单位需要在“江苏省污泥企业申报系统”中填报转移联单，保障每车污泥运输符合污泥发起转运至污泥处置接收单位的污泥转移联单闭环管理。</w:t>
      </w:r>
    </w:p>
    <w:p w14:paraId="73EFEE93">
      <w:pPr>
        <w:keepNext w:val="0"/>
        <w:keepLines w:val="0"/>
        <w:pageBreakBefore w:val="0"/>
        <w:numPr>
          <w:ilvl w:val="0"/>
          <w:numId w:val="0"/>
        </w:numPr>
        <w:wordWrap/>
        <w:overflowPunct/>
        <w:topLinePunct w:val="0"/>
        <w:bidi w:val="0"/>
        <w:spacing w:line="360" w:lineRule="auto"/>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sz w:val="24"/>
          <w:szCs w:val="22"/>
          <w:lang w:val="en-US" w:eastAsia="zh-CN"/>
        </w:rPr>
        <w:t>在线设备管理：在线监测仪器系统是水质达标管控的核心设施，需要保障</w:t>
      </w:r>
      <w:r>
        <w:rPr>
          <w:rFonts w:hint="eastAsia" w:ascii="宋体" w:hAnsi="宋体" w:eastAsia="宋体" w:cs="宋体"/>
          <w:color w:val="000000" w:themeColor="text1"/>
          <w:sz w:val="24"/>
          <w:szCs w:val="24"/>
          <w:shd w:val="clear" w:color="auto" w:fill="FFFFFF"/>
          <w:lang w:val="en-US" w:eastAsia="zh-CN"/>
        </w:rPr>
        <w:t>水质在线监控仪，数据采集运行正常，数据传输稳定，可靠。按照</w:t>
      </w:r>
      <w:r>
        <w:rPr>
          <w:rFonts w:hint="eastAsia" w:ascii="宋体" w:hAnsi="宋体" w:eastAsia="宋体" w:cs="宋体"/>
          <w:color w:val="auto"/>
          <w:sz w:val="24"/>
          <w:szCs w:val="22"/>
          <w:lang w:val="en-US" w:eastAsia="zh-CN"/>
        </w:rPr>
        <w:t>国家、地方以及行业的相关强制性标准，根据</w:t>
      </w:r>
      <w:r>
        <w:rPr>
          <w:rFonts w:hint="eastAsia" w:ascii="宋体" w:hAnsi="宋体" w:eastAsia="宋体" w:cs="宋体"/>
          <w:color w:val="000000" w:themeColor="text1"/>
          <w:sz w:val="24"/>
          <w:szCs w:val="24"/>
          <w:shd w:val="clear" w:color="auto" w:fill="FFFFFF"/>
          <w:lang w:val="en-US" w:eastAsia="zh-CN"/>
        </w:rPr>
        <w:t>国家、地方以及行业的相关强制性标准，《省生态环境厅关于进一步做好我省生态环境非现场监管工作的通知》苏环办[2023]221号、中华人民共和国国务院令820号《生态环境监测条例》、《江苏省污染源自动监测监控管理办法》（2022年修订）、《水污染源在线监测系统（CODcr、NH3-N等）运行技术规范》（HJ 355-2019）《水污染源在线监测系统（CODcr、NH3-N等）数据有效性判别技术规范》（HJ 356-2019）、《污染源在线自动监控（监测）系统数据传输标准》(HJ/T 212-2017)、《固定污染源监测质量保证与质量控制技术规范（试行）》（HJ/T 373-2007）、《污染源自动监控设施现场监督检查技术指南》等相关要求开展定期维护工作。</w:t>
      </w:r>
    </w:p>
    <w:p w14:paraId="517C44D2">
      <w:pPr>
        <w:keepNext w:val="0"/>
        <w:keepLines w:val="0"/>
        <w:pageBreakBefore w:val="0"/>
        <w:numPr>
          <w:ilvl w:val="0"/>
          <w:numId w:val="0"/>
        </w:numPr>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shd w:val="clear" w:color="auto" w:fill="FFFFFF"/>
          <w:lang w:val="en-US" w:eastAsia="zh-CN"/>
        </w:rPr>
      </w:pPr>
      <w:r>
        <w:rPr>
          <w:rFonts w:hint="eastAsia" w:ascii="宋体" w:hAnsi="宋体" w:eastAsia="宋体" w:cs="宋体"/>
          <w:color w:val="000000" w:themeColor="text1"/>
          <w:sz w:val="24"/>
          <w:szCs w:val="24"/>
          <w:shd w:val="clear" w:color="auto" w:fill="FFFFFF"/>
          <w:lang w:val="en-US" w:eastAsia="zh-CN"/>
        </w:rPr>
        <w:t>2.服务标准：</w:t>
      </w:r>
    </w:p>
    <w:p w14:paraId="7932D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sz w:val="24"/>
          <w:lang w:val="en-US"/>
        </w:rPr>
      </w:pPr>
      <w:r>
        <w:rPr>
          <w:rFonts w:ascii="宋体" w:hAnsi="宋体" w:eastAsia="宋体" w:cs="宋体"/>
          <w:sz w:val="24"/>
        </w:rPr>
        <w:t>执行标准</w:t>
      </w:r>
      <w:r>
        <w:rPr>
          <w:rFonts w:hint="eastAsia" w:ascii="宋体" w:hAnsi="宋体" w:eastAsia="宋体" w:cs="宋体"/>
          <w:sz w:val="24"/>
          <w:lang w:eastAsia="zh-CN"/>
        </w:rPr>
        <w:t>：</w:t>
      </w:r>
      <w:r>
        <w:rPr>
          <w:rFonts w:ascii="宋体" w:hAnsi="宋体" w:eastAsia="宋体" w:cs="宋体"/>
          <w:kern w:val="0"/>
          <w:sz w:val="24"/>
          <w:szCs w:val="24"/>
          <w:lang w:val="en-US" w:eastAsia="zh-CN" w:bidi="ar"/>
        </w:rPr>
        <w:t>《江苏省城镇污水处理厂污染物排放标准》（DB32/</w:t>
      </w:r>
      <w:r>
        <w:rPr>
          <w:rFonts w:hint="eastAsia" w:ascii="宋体" w:hAnsi="宋体" w:eastAsia="宋体" w:cs="宋体"/>
          <w:kern w:val="0"/>
          <w:sz w:val="24"/>
          <w:szCs w:val="24"/>
          <w:highlight w:val="none"/>
          <w:lang w:val="en-US" w:eastAsia="zh-CN" w:bidi="ar"/>
        </w:rPr>
        <w:t>4440</w:t>
      </w:r>
      <w:r>
        <w:rPr>
          <w:rFonts w:ascii="宋体" w:hAnsi="宋体" w:eastAsia="宋体" w:cs="宋体"/>
          <w:kern w:val="0"/>
          <w:sz w:val="24"/>
          <w:szCs w:val="24"/>
          <w:lang w:val="en-US" w:eastAsia="zh-CN" w:bidi="ar"/>
        </w:rPr>
        <w:t>-2022）</w:t>
      </w:r>
      <w:r>
        <w:rPr>
          <w:rFonts w:hint="eastAsia" w:ascii="宋体" w:hAnsi="宋体" w:eastAsia="宋体" w:cs="宋体"/>
          <w:kern w:val="0"/>
          <w:sz w:val="24"/>
          <w:szCs w:val="24"/>
          <w:lang w:val="en-US" w:eastAsia="zh-CN" w:bidi="ar"/>
        </w:rPr>
        <w:t>B标准。</w:t>
      </w:r>
    </w:p>
    <w:p w14:paraId="516599A1">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4"/>
          <w:lang w:val="en-US" w:eastAsia="zh-CN"/>
        </w:rPr>
      </w:pPr>
      <w:r>
        <w:rPr>
          <w:rFonts w:ascii="宋体" w:hAnsi="宋体" w:eastAsia="宋体" w:cs="宋体"/>
          <w:sz w:val="24"/>
        </w:rPr>
        <w:t>响应时间要求</w:t>
      </w:r>
      <w:r>
        <w:rPr>
          <w:rFonts w:hint="eastAsia" w:ascii="宋体" w:hAnsi="宋体" w:eastAsia="宋体" w:cs="宋体"/>
          <w:sz w:val="24"/>
          <w:lang w:eastAsia="zh-CN"/>
        </w:rPr>
        <w:t>：</w:t>
      </w:r>
      <w:r>
        <w:rPr>
          <w:rFonts w:hint="eastAsia" w:ascii="宋体" w:hAnsi="宋体" w:eastAsia="宋体" w:cs="宋体"/>
          <w:sz w:val="24"/>
          <w:lang w:val="en-US" w:eastAsia="zh-CN"/>
        </w:rPr>
        <w:t>维修人员接到报修后一般故障2小时内恢复。</w:t>
      </w:r>
    </w:p>
    <w:p w14:paraId="1ECA36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ascii="宋体" w:hAnsi="宋体" w:eastAsia="宋体" w:cs="宋体"/>
          <w:sz w:val="24"/>
        </w:rPr>
      </w:pPr>
      <w:r>
        <w:rPr>
          <w:rFonts w:ascii="宋体" w:hAnsi="宋体" w:eastAsia="宋体" w:cs="宋体"/>
          <w:sz w:val="24"/>
        </w:rPr>
        <w:t>考核指标</w:t>
      </w:r>
      <w:r>
        <w:rPr>
          <w:rFonts w:hint="eastAsia" w:ascii="宋体" w:hAnsi="宋体" w:eastAsia="宋体" w:cs="宋体"/>
          <w:sz w:val="24"/>
          <w:lang w:eastAsia="zh-CN"/>
        </w:rPr>
        <w:t>：</w:t>
      </w:r>
      <w:r>
        <w:rPr>
          <w:rFonts w:ascii="宋体" w:hAnsi="宋体" w:eastAsia="宋体" w:cs="宋体"/>
          <w:sz w:val="24"/>
        </w:rPr>
        <w:t>达标排放率</w:t>
      </w:r>
      <w:r>
        <w:rPr>
          <w:rFonts w:hint="eastAsia" w:ascii="宋体" w:hAnsi="宋体" w:eastAsia="宋体" w:cs="宋体"/>
          <w:sz w:val="24"/>
          <w:lang w:val="en-US" w:eastAsia="zh-CN"/>
        </w:rPr>
        <w:t>100%；关键</w:t>
      </w:r>
      <w:r>
        <w:rPr>
          <w:rFonts w:ascii="宋体" w:hAnsi="宋体" w:eastAsia="宋体" w:cs="宋体"/>
          <w:sz w:val="24"/>
        </w:rPr>
        <w:t>设备完好率</w:t>
      </w:r>
      <w:r>
        <w:rPr>
          <w:rFonts w:hint="eastAsia" w:ascii="宋体" w:hAnsi="宋体" w:eastAsia="宋体" w:cs="宋体"/>
          <w:sz w:val="24"/>
          <w:lang w:val="en-US" w:eastAsia="zh-CN"/>
        </w:rPr>
        <w:t>≥95%</w:t>
      </w:r>
      <w:r>
        <w:rPr>
          <w:rFonts w:ascii="宋体" w:hAnsi="宋体" w:eastAsia="宋体" w:cs="宋体"/>
          <w:sz w:val="24"/>
        </w:rPr>
        <w:t>。</w:t>
      </w:r>
    </w:p>
    <w:p w14:paraId="66557B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sz w:val="24"/>
        </w:rPr>
      </w:pPr>
      <w:r>
        <w:rPr>
          <w:rFonts w:hint="eastAsia" w:ascii="宋体" w:hAnsi="宋体" w:eastAsia="宋体" w:cs="宋体"/>
          <w:color w:val="000000" w:themeColor="text1"/>
          <w:sz w:val="24"/>
          <w:szCs w:val="24"/>
          <w:shd w:val="clear" w:color="auto" w:fill="FFFFFF"/>
          <w:lang w:val="en-US" w:eastAsia="zh-CN"/>
        </w:rPr>
        <w:t>3.服务期限：</w:t>
      </w:r>
      <w:r>
        <w:rPr>
          <w:rFonts w:hint="eastAsia" w:ascii="宋体" w:hAnsi="宋体" w:eastAsia="宋体" w:cs="宋体"/>
          <w:sz w:val="24"/>
        </w:rPr>
        <w:t>三年</w:t>
      </w:r>
      <w:r>
        <w:rPr>
          <w:rFonts w:ascii="宋体" w:hAnsi="宋体" w:eastAsia="宋体" w:cs="宋体"/>
          <w:sz w:val="24"/>
        </w:rPr>
        <w:t>。</w:t>
      </w:r>
    </w:p>
    <w:p w14:paraId="138AC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themeColor="text1"/>
          <w:sz w:val="24"/>
          <w:szCs w:val="24"/>
          <w:shd w:val="clear" w:color="auto" w:fill="FFFFFF"/>
          <w:lang w:val="en-US" w:eastAsia="zh-CN"/>
        </w:rPr>
      </w:pPr>
      <w:r>
        <w:rPr>
          <w:rFonts w:hint="eastAsia" w:ascii="宋体" w:hAnsi="宋体" w:eastAsia="宋体" w:cs="宋体"/>
          <w:color w:val="000000" w:themeColor="text1"/>
          <w:sz w:val="24"/>
          <w:szCs w:val="24"/>
          <w:shd w:val="clear" w:color="auto" w:fill="FFFFFF"/>
          <w:lang w:val="en-US" w:eastAsia="zh-CN"/>
        </w:rPr>
        <w:t>4.付款方式：按合同约定支付。</w:t>
      </w:r>
    </w:p>
    <w:p w14:paraId="3886B3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b/>
          <w:bCs/>
          <w:sz w:val="24"/>
        </w:rPr>
      </w:pPr>
      <w:r>
        <w:rPr>
          <w:rFonts w:ascii="宋体" w:hAnsi="宋体" w:eastAsia="宋体" w:cs="宋体"/>
          <w:b/>
          <w:bCs/>
          <w:sz w:val="24"/>
        </w:rPr>
        <w:t>（四）预算合理性说明</w:t>
      </w:r>
    </w:p>
    <w:p w14:paraId="09C21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rPr>
      </w:pPr>
      <w:r>
        <w:rPr>
          <w:rFonts w:hint="eastAsia" w:ascii="宋体" w:hAnsi="宋体" w:eastAsia="宋体" w:cs="宋体"/>
          <w:sz w:val="24"/>
        </w:rPr>
        <w:t>江阴市澄西污水处理厂四期扩建项目在厂内启动四期扩建工程，新增污水处理设计规模4.5万吨/天，并于2025年12月正式投运。根据签订协议，澄西四期过渡期暂定价为1.007元/吨（包括经营成本0.87元/吨、污泥处置费0.137元/吨），远低于市场价。污水处理量预计2.94万吨/日，2026年预算为1080.61万元。</w:t>
      </w:r>
    </w:p>
    <w:p w14:paraId="1637514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rPr>
      </w:pPr>
      <w:r>
        <w:rPr>
          <w:rFonts w:ascii="宋体" w:hAnsi="宋体" w:eastAsia="宋体" w:cs="宋体"/>
          <w:b/>
          <w:sz w:val="24"/>
        </w:rPr>
        <w:t>四、采用单一来源采购方式的理由及依据</w:t>
      </w:r>
    </w:p>
    <w:p w14:paraId="18A9AA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rPr>
        <w:t>根据《中华人民共和国政府采购法》第三十一条第一项及《政府采购法实施条例》第二十七条，本项目符合“只能从唯一供应商处采购”的情形，具体依据为：详见附件专家论证意见。</w:t>
      </w:r>
    </w:p>
    <w:p w14:paraId="3BE1249D">
      <w:pPr>
        <w:spacing w:before="160"/>
        <w:jc w:val="left"/>
        <w:rPr>
          <w:sz w:val="24"/>
        </w:rPr>
      </w:pPr>
      <w:r>
        <w:rPr>
          <w:rFonts w:ascii="宋体" w:hAnsi="宋体" w:eastAsia="宋体" w:cs="宋体"/>
          <w:b/>
          <w:sz w:val="24"/>
        </w:rPr>
        <w:t>五、拟定供应商信息</w:t>
      </w:r>
    </w:p>
    <w:p w14:paraId="384410B3">
      <w:pPr>
        <w:numPr>
          <w:ilvl w:val="0"/>
          <w:numId w:val="2"/>
        </w:numPr>
        <w:spacing w:before="160"/>
        <w:jc w:val="left"/>
        <w:rPr>
          <w:sz w:val="24"/>
        </w:rPr>
      </w:pPr>
      <w:r>
        <w:rPr>
          <w:rFonts w:ascii="宋体" w:hAnsi="宋体" w:eastAsia="宋体" w:cs="宋体"/>
          <w:b/>
          <w:sz w:val="24"/>
        </w:rPr>
        <w:t>供应商名称</w:t>
      </w:r>
      <w:r>
        <w:rPr>
          <w:rFonts w:ascii="宋体" w:hAnsi="宋体" w:eastAsia="宋体" w:cs="宋体"/>
          <w:sz w:val="24"/>
        </w:rPr>
        <w:t>：</w:t>
      </w:r>
      <w:r>
        <w:rPr>
          <w:rFonts w:hint="eastAsia" w:ascii="宋体" w:hAnsi="宋体" w:eastAsia="宋体" w:cs="宋体"/>
          <w:sz w:val="24"/>
        </w:rPr>
        <w:t>光大水务（江阴）有限公司</w:t>
      </w:r>
    </w:p>
    <w:p w14:paraId="0FD69FC3">
      <w:pPr>
        <w:numPr>
          <w:ilvl w:val="0"/>
          <w:numId w:val="2"/>
        </w:numPr>
        <w:spacing w:before="160"/>
        <w:jc w:val="left"/>
        <w:rPr>
          <w:sz w:val="24"/>
        </w:rPr>
      </w:pPr>
      <w:r>
        <w:rPr>
          <w:rFonts w:ascii="宋体" w:hAnsi="宋体" w:eastAsia="宋体" w:cs="宋体"/>
          <w:b/>
          <w:sz w:val="24"/>
        </w:rPr>
        <w:t>供应商地址</w:t>
      </w:r>
      <w:r>
        <w:rPr>
          <w:rFonts w:ascii="宋体" w:hAnsi="宋体" w:eastAsia="宋体" w:cs="宋体"/>
          <w:sz w:val="24"/>
        </w:rPr>
        <w:t>：</w:t>
      </w:r>
      <w:r>
        <w:rPr>
          <w:rFonts w:hint="eastAsia" w:ascii="宋体" w:hAnsi="宋体" w:eastAsia="宋体" w:cs="宋体"/>
          <w:sz w:val="24"/>
        </w:rPr>
        <w:t>江阴市滨江西路</w:t>
      </w:r>
      <w:r>
        <w:rPr>
          <w:rFonts w:ascii="宋体" w:hAnsi="宋体" w:eastAsia="宋体" w:cs="宋体"/>
          <w:sz w:val="24"/>
        </w:rPr>
        <w:t>288号（江阴临港新城夏港园区）</w:t>
      </w:r>
    </w:p>
    <w:p w14:paraId="52DFF990">
      <w:pPr>
        <w:numPr>
          <w:ilvl w:val="0"/>
          <w:numId w:val="2"/>
        </w:numPr>
        <w:spacing w:before="160"/>
        <w:jc w:val="left"/>
        <w:rPr>
          <w:sz w:val="24"/>
        </w:rPr>
      </w:pPr>
      <w:r>
        <w:rPr>
          <w:rFonts w:ascii="宋体" w:hAnsi="宋体" w:eastAsia="宋体" w:cs="宋体"/>
          <w:b/>
          <w:sz w:val="24"/>
        </w:rPr>
        <w:t>供应商资质与能力说明</w:t>
      </w:r>
      <w:r>
        <w:rPr>
          <w:rFonts w:ascii="宋体" w:hAnsi="宋体" w:eastAsia="宋体" w:cs="宋体"/>
          <w:sz w:val="24"/>
        </w:rPr>
        <w:t>：</w:t>
      </w:r>
      <w:r>
        <w:rPr>
          <w:rFonts w:hint="eastAsia" w:ascii="宋体" w:hAnsi="宋体" w:eastAsia="宋体" w:cs="宋体"/>
          <w:sz w:val="24"/>
        </w:rPr>
        <w:t>符合</w:t>
      </w:r>
      <w:r>
        <w:rPr>
          <w:rFonts w:ascii="宋体" w:hAnsi="宋体" w:eastAsia="宋体" w:cs="宋体"/>
          <w:sz w:val="24"/>
        </w:rPr>
        <w:t>本项目采购要求</w:t>
      </w:r>
      <w:r>
        <w:rPr>
          <w:rFonts w:hint="eastAsia" w:ascii="宋体" w:hAnsi="宋体" w:eastAsia="宋体" w:cs="宋体"/>
          <w:sz w:val="24"/>
        </w:rPr>
        <w:t>，</w:t>
      </w:r>
      <w:r>
        <w:rPr>
          <w:rFonts w:ascii="宋体" w:hAnsi="宋体" w:eastAsia="宋体" w:cs="宋体"/>
          <w:sz w:val="24"/>
        </w:rPr>
        <w:t>具有项目履约能力。</w:t>
      </w:r>
    </w:p>
    <w:p w14:paraId="6A494232">
      <w:pPr>
        <w:spacing w:before="160"/>
        <w:jc w:val="left"/>
        <w:rPr>
          <w:rFonts w:hint="eastAsia" w:ascii="宋体" w:hAnsi="宋体" w:eastAsia="宋体" w:cs="宋体"/>
          <w:b/>
          <w:sz w:val="24"/>
        </w:rPr>
      </w:pPr>
      <w:r>
        <w:rPr>
          <w:rFonts w:ascii="宋体" w:hAnsi="宋体" w:eastAsia="宋体" w:cs="宋体"/>
          <w:b/>
          <w:sz w:val="24"/>
        </w:rPr>
        <w:t>六、调查人员及审查意见</w:t>
      </w:r>
    </w:p>
    <w:tbl>
      <w:tblPr>
        <w:tblStyle w:val="7"/>
        <w:tblW w:w="876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418"/>
        <w:gridCol w:w="1134"/>
        <w:gridCol w:w="3543"/>
        <w:gridCol w:w="1855"/>
      </w:tblGrid>
      <w:tr w14:paraId="2D21C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817" w:type="dxa"/>
            <w:vAlign w:val="center"/>
          </w:tcPr>
          <w:p w14:paraId="56CF2FB1">
            <w:pPr>
              <w:jc w:val="center"/>
              <w:rPr>
                <w:b/>
                <w:kern w:val="2"/>
                <w:szCs w:val="21"/>
              </w:rPr>
            </w:pPr>
            <w:r>
              <w:rPr>
                <w:b/>
                <w:kern w:val="2"/>
                <w:szCs w:val="21"/>
              </w:rPr>
              <w:t>序号</w:t>
            </w:r>
          </w:p>
        </w:tc>
        <w:tc>
          <w:tcPr>
            <w:tcW w:w="1418" w:type="dxa"/>
            <w:vAlign w:val="center"/>
          </w:tcPr>
          <w:p w14:paraId="4F6AD758">
            <w:pPr>
              <w:jc w:val="center"/>
              <w:rPr>
                <w:b/>
                <w:kern w:val="2"/>
                <w:szCs w:val="21"/>
              </w:rPr>
            </w:pPr>
            <w:r>
              <w:rPr>
                <w:b/>
                <w:kern w:val="2"/>
                <w:szCs w:val="21"/>
              </w:rPr>
              <w:t>姓名</w:t>
            </w:r>
          </w:p>
        </w:tc>
        <w:tc>
          <w:tcPr>
            <w:tcW w:w="1134" w:type="dxa"/>
            <w:vAlign w:val="center"/>
          </w:tcPr>
          <w:p w14:paraId="10A76E25">
            <w:pPr>
              <w:jc w:val="center"/>
              <w:rPr>
                <w:b/>
                <w:kern w:val="2"/>
                <w:szCs w:val="21"/>
              </w:rPr>
            </w:pPr>
            <w:r>
              <w:rPr>
                <w:b/>
                <w:kern w:val="2"/>
                <w:szCs w:val="21"/>
              </w:rPr>
              <w:t>职称</w:t>
            </w:r>
          </w:p>
        </w:tc>
        <w:tc>
          <w:tcPr>
            <w:tcW w:w="3543" w:type="dxa"/>
            <w:vAlign w:val="center"/>
          </w:tcPr>
          <w:p w14:paraId="32EDDC67">
            <w:pPr>
              <w:jc w:val="center"/>
              <w:rPr>
                <w:b/>
                <w:kern w:val="2"/>
                <w:szCs w:val="21"/>
              </w:rPr>
            </w:pPr>
            <w:r>
              <w:rPr>
                <w:b/>
                <w:kern w:val="2"/>
                <w:szCs w:val="21"/>
              </w:rPr>
              <w:t>单位</w:t>
            </w:r>
          </w:p>
        </w:tc>
        <w:tc>
          <w:tcPr>
            <w:tcW w:w="1855" w:type="dxa"/>
            <w:vAlign w:val="center"/>
          </w:tcPr>
          <w:p w14:paraId="03A12E0E">
            <w:pPr>
              <w:jc w:val="center"/>
              <w:rPr>
                <w:b/>
                <w:kern w:val="2"/>
                <w:szCs w:val="21"/>
              </w:rPr>
            </w:pPr>
            <w:r>
              <w:rPr>
                <w:b/>
                <w:kern w:val="2"/>
                <w:szCs w:val="21"/>
              </w:rPr>
              <w:t>联系方式</w:t>
            </w:r>
          </w:p>
        </w:tc>
      </w:tr>
      <w:tr w14:paraId="183E54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817" w:type="dxa"/>
            <w:vAlign w:val="center"/>
          </w:tcPr>
          <w:p w14:paraId="6F388FD8">
            <w:pPr>
              <w:jc w:val="center"/>
              <w:rPr>
                <w:b/>
                <w:kern w:val="2"/>
                <w:szCs w:val="21"/>
              </w:rPr>
            </w:pPr>
            <w:r>
              <w:rPr>
                <w:rFonts w:hint="eastAsia"/>
                <w:b/>
                <w:kern w:val="2"/>
                <w:szCs w:val="21"/>
              </w:rPr>
              <w:t>1</w:t>
            </w:r>
          </w:p>
        </w:tc>
        <w:tc>
          <w:tcPr>
            <w:tcW w:w="1418" w:type="dxa"/>
            <w:vAlign w:val="center"/>
          </w:tcPr>
          <w:p w14:paraId="3D3F0CAA">
            <w:pPr>
              <w:jc w:val="center"/>
              <w:rPr>
                <w:b/>
                <w:kern w:val="2"/>
                <w:szCs w:val="21"/>
              </w:rPr>
            </w:pPr>
            <w:r>
              <w:rPr>
                <w:rFonts w:hint="eastAsia"/>
                <w:b/>
                <w:kern w:val="2"/>
                <w:szCs w:val="21"/>
              </w:rPr>
              <w:t>周春良</w:t>
            </w:r>
          </w:p>
        </w:tc>
        <w:tc>
          <w:tcPr>
            <w:tcW w:w="1134" w:type="dxa"/>
            <w:vAlign w:val="center"/>
          </w:tcPr>
          <w:p w14:paraId="724771EB">
            <w:pPr>
              <w:jc w:val="center"/>
              <w:rPr>
                <w:b/>
                <w:kern w:val="2"/>
                <w:szCs w:val="21"/>
              </w:rPr>
            </w:pPr>
            <w:r>
              <w:rPr>
                <w:b/>
                <w:kern w:val="2"/>
                <w:szCs w:val="21"/>
              </w:rPr>
              <w:t>高工</w:t>
            </w:r>
          </w:p>
        </w:tc>
        <w:tc>
          <w:tcPr>
            <w:tcW w:w="3543" w:type="dxa"/>
            <w:vAlign w:val="center"/>
          </w:tcPr>
          <w:p w14:paraId="644C7B77">
            <w:pPr>
              <w:jc w:val="center"/>
              <w:rPr>
                <w:b/>
                <w:kern w:val="2"/>
                <w:szCs w:val="21"/>
              </w:rPr>
            </w:pPr>
            <w:r>
              <w:rPr>
                <w:rFonts w:hint="eastAsia"/>
                <w:b/>
                <w:kern w:val="2"/>
                <w:szCs w:val="21"/>
              </w:rPr>
              <w:t>江阴市 高新区财政局</w:t>
            </w:r>
          </w:p>
        </w:tc>
        <w:tc>
          <w:tcPr>
            <w:tcW w:w="1855" w:type="dxa"/>
            <w:vAlign w:val="center"/>
          </w:tcPr>
          <w:p w14:paraId="0C6D489D">
            <w:pPr>
              <w:jc w:val="center"/>
              <w:rPr>
                <w:b/>
                <w:kern w:val="2"/>
                <w:szCs w:val="21"/>
              </w:rPr>
            </w:pPr>
            <w:r>
              <w:rPr>
                <w:rFonts w:hint="eastAsia"/>
                <w:b/>
                <w:kern w:val="2"/>
                <w:szCs w:val="21"/>
              </w:rPr>
              <w:t>13515191537</w:t>
            </w:r>
          </w:p>
        </w:tc>
      </w:tr>
      <w:tr w14:paraId="02B08C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817" w:type="dxa"/>
            <w:vAlign w:val="center"/>
          </w:tcPr>
          <w:p w14:paraId="2A0B1559">
            <w:pPr>
              <w:jc w:val="center"/>
              <w:rPr>
                <w:b/>
                <w:kern w:val="2"/>
                <w:szCs w:val="21"/>
              </w:rPr>
            </w:pPr>
            <w:r>
              <w:rPr>
                <w:rFonts w:hint="eastAsia"/>
                <w:b/>
                <w:kern w:val="2"/>
                <w:szCs w:val="21"/>
              </w:rPr>
              <w:t>2</w:t>
            </w:r>
          </w:p>
        </w:tc>
        <w:tc>
          <w:tcPr>
            <w:tcW w:w="1418" w:type="dxa"/>
            <w:vAlign w:val="center"/>
          </w:tcPr>
          <w:p w14:paraId="7743326C">
            <w:pPr>
              <w:jc w:val="center"/>
              <w:rPr>
                <w:b/>
                <w:kern w:val="2"/>
                <w:szCs w:val="21"/>
              </w:rPr>
            </w:pPr>
            <w:r>
              <w:rPr>
                <w:b/>
                <w:kern w:val="2"/>
                <w:szCs w:val="21"/>
              </w:rPr>
              <w:t>耿惠丽</w:t>
            </w:r>
          </w:p>
        </w:tc>
        <w:tc>
          <w:tcPr>
            <w:tcW w:w="1134" w:type="dxa"/>
            <w:vAlign w:val="center"/>
          </w:tcPr>
          <w:p w14:paraId="685A8B2E">
            <w:pPr>
              <w:jc w:val="center"/>
              <w:rPr>
                <w:b/>
                <w:kern w:val="2"/>
                <w:szCs w:val="21"/>
              </w:rPr>
            </w:pPr>
            <w:r>
              <w:rPr>
                <w:b/>
                <w:kern w:val="2"/>
                <w:szCs w:val="21"/>
              </w:rPr>
              <w:t>高工</w:t>
            </w:r>
          </w:p>
        </w:tc>
        <w:tc>
          <w:tcPr>
            <w:tcW w:w="3543" w:type="dxa"/>
            <w:vAlign w:val="center"/>
          </w:tcPr>
          <w:p w14:paraId="78B84E7F">
            <w:pPr>
              <w:jc w:val="center"/>
              <w:rPr>
                <w:b/>
                <w:kern w:val="2"/>
                <w:szCs w:val="21"/>
              </w:rPr>
            </w:pPr>
            <w:r>
              <w:rPr>
                <w:b/>
                <w:kern w:val="2"/>
                <w:szCs w:val="21"/>
              </w:rPr>
              <w:t>江苏江南水务股份有限公司</w:t>
            </w:r>
          </w:p>
        </w:tc>
        <w:tc>
          <w:tcPr>
            <w:tcW w:w="1855" w:type="dxa"/>
            <w:vAlign w:val="center"/>
          </w:tcPr>
          <w:p w14:paraId="4FCA5D25">
            <w:pPr>
              <w:jc w:val="center"/>
              <w:rPr>
                <w:b/>
                <w:kern w:val="2"/>
                <w:szCs w:val="21"/>
              </w:rPr>
            </w:pPr>
            <w:r>
              <w:rPr>
                <w:rFonts w:hint="eastAsia"/>
                <w:b/>
                <w:kern w:val="2"/>
                <w:szCs w:val="21"/>
              </w:rPr>
              <w:t>13915217585</w:t>
            </w:r>
          </w:p>
        </w:tc>
      </w:tr>
      <w:tr w14:paraId="5A2CE1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817" w:type="dxa"/>
            <w:vAlign w:val="center"/>
          </w:tcPr>
          <w:p w14:paraId="0CC0C7CB">
            <w:pPr>
              <w:jc w:val="center"/>
              <w:rPr>
                <w:b/>
                <w:kern w:val="2"/>
                <w:szCs w:val="21"/>
              </w:rPr>
            </w:pPr>
            <w:r>
              <w:rPr>
                <w:rFonts w:hint="eastAsia"/>
                <w:b/>
                <w:kern w:val="2"/>
                <w:szCs w:val="21"/>
              </w:rPr>
              <w:t>3</w:t>
            </w:r>
          </w:p>
        </w:tc>
        <w:tc>
          <w:tcPr>
            <w:tcW w:w="1418" w:type="dxa"/>
            <w:vAlign w:val="center"/>
          </w:tcPr>
          <w:p w14:paraId="50F7E7CC">
            <w:pPr>
              <w:jc w:val="center"/>
              <w:rPr>
                <w:b/>
                <w:kern w:val="2"/>
                <w:szCs w:val="21"/>
              </w:rPr>
            </w:pPr>
            <w:r>
              <w:rPr>
                <w:b/>
                <w:kern w:val="2"/>
                <w:szCs w:val="21"/>
              </w:rPr>
              <w:t>许鸣</w:t>
            </w:r>
          </w:p>
        </w:tc>
        <w:tc>
          <w:tcPr>
            <w:tcW w:w="1134" w:type="dxa"/>
            <w:vAlign w:val="center"/>
          </w:tcPr>
          <w:p w14:paraId="0C29BA54">
            <w:pPr>
              <w:jc w:val="center"/>
              <w:rPr>
                <w:b/>
                <w:kern w:val="2"/>
                <w:szCs w:val="21"/>
              </w:rPr>
            </w:pPr>
            <w:r>
              <w:rPr>
                <w:b/>
                <w:kern w:val="2"/>
                <w:szCs w:val="21"/>
              </w:rPr>
              <w:t>高工</w:t>
            </w:r>
          </w:p>
        </w:tc>
        <w:tc>
          <w:tcPr>
            <w:tcW w:w="3543" w:type="dxa"/>
            <w:vAlign w:val="center"/>
          </w:tcPr>
          <w:p w14:paraId="2F1BD165">
            <w:pPr>
              <w:jc w:val="center"/>
              <w:rPr>
                <w:b/>
                <w:kern w:val="2"/>
                <w:szCs w:val="21"/>
              </w:rPr>
            </w:pPr>
            <w:r>
              <w:rPr>
                <w:b/>
                <w:kern w:val="2"/>
                <w:szCs w:val="21"/>
              </w:rPr>
              <w:t>江阴市城乡规划设计院有限公司</w:t>
            </w:r>
          </w:p>
        </w:tc>
        <w:tc>
          <w:tcPr>
            <w:tcW w:w="1855" w:type="dxa"/>
            <w:vAlign w:val="center"/>
          </w:tcPr>
          <w:p w14:paraId="2EDD7465">
            <w:pPr>
              <w:jc w:val="center"/>
              <w:rPr>
                <w:b/>
                <w:kern w:val="2"/>
                <w:szCs w:val="21"/>
              </w:rPr>
            </w:pPr>
            <w:r>
              <w:rPr>
                <w:rFonts w:hint="eastAsia"/>
                <w:b/>
                <w:kern w:val="2"/>
                <w:szCs w:val="21"/>
              </w:rPr>
              <w:t>13771597974</w:t>
            </w:r>
          </w:p>
        </w:tc>
      </w:tr>
      <w:tr w14:paraId="2AC57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817" w:type="dxa"/>
            <w:vAlign w:val="center"/>
          </w:tcPr>
          <w:p w14:paraId="799692D4">
            <w:pPr>
              <w:jc w:val="center"/>
              <w:rPr>
                <w:b/>
                <w:kern w:val="2"/>
                <w:szCs w:val="21"/>
              </w:rPr>
            </w:pPr>
            <w:r>
              <w:rPr>
                <w:rFonts w:hint="eastAsia"/>
                <w:b/>
                <w:kern w:val="2"/>
                <w:szCs w:val="21"/>
              </w:rPr>
              <w:t>4</w:t>
            </w:r>
          </w:p>
        </w:tc>
        <w:tc>
          <w:tcPr>
            <w:tcW w:w="1418" w:type="dxa"/>
            <w:vAlign w:val="center"/>
          </w:tcPr>
          <w:p w14:paraId="04D7D46A">
            <w:pPr>
              <w:jc w:val="center"/>
              <w:rPr>
                <w:b/>
                <w:kern w:val="2"/>
                <w:szCs w:val="21"/>
              </w:rPr>
            </w:pPr>
            <w:r>
              <w:rPr>
                <w:rFonts w:hint="eastAsia"/>
                <w:b/>
                <w:kern w:val="2"/>
                <w:szCs w:val="21"/>
              </w:rPr>
              <w:t>曹</w:t>
            </w:r>
            <w:r>
              <w:rPr>
                <w:b/>
                <w:kern w:val="2"/>
                <w:szCs w:val="21"/>
              </w:rPr>
              <w:t>文霞</w:t>
            </w:r>
          </w:p>
        </w:tc>
        <w:tc>
          <w:tcPr>
            <w:tcW w:w="1134" w:type="dxa"/>
            <w:vAlign w:val="center"/>
          </w:tcPr>
          <w:p w14:paraId="3AF72358">
            <w:pPr>
              <w:jc w:val="center"/>
              <w:rPr>
                <w:b/>
                <w:kern w:val="2"/>
                <w:szCs w:val="21"/>
              </w:rPr>
            </w:pPr>
            <w:r>
              <w:rPr>
                <w:b/>
                <w:kern w:val="2"/>
                <w:szCs w:val="21"/>
              </w:rPr>
              <w:t>高工</w:t>
            </w:r>
          </w:p>
        </w:tc>
        <w:tc>
          <w:tcPr>
            <w:tcW w:w="3543" w:type="dxa"/>
            <w:vAlign w:val="center"/>
          </w:tcPr>
          <w:p w14:paraId="7E5DC76F">
            <w:pPr>
              <w:jc w:val="center"/>
              <w:rPr>
                <w:b/>
                <w:kern w:val="2"/>
                <w:szCs w:val="21"/>
              </w:rPr>
            </w:pPr>
            <w:r>
              <w:rPr>
                <w:rFonts w:hint="eastAsia"/>
                <w:b/>
                <w:kern w:val="2"/>
                <w:szCs w:val="21"/>
              </w:rPr>
              <w:t>江阴市</w:t>
            </w:r>
            <w:r>
              <w:rPr>
                <w:b/>
                <w:kern w:val="2"/>
                <w:szCs w:val="21"/>
              </w:rPr>
              <w:t>数据局</w:t>
            </w:r>
          </w:p>
        </w:tc>
        <w:tc>
          <w:tcPr>
            <w:tcW w:w="1855" w:type="dxa"/>
            <w:vAlign w:val="center"/>
          </w:tcPr>
          <w:p w14:paraId="5FE3E92B">
            <w:pPr>
              <w:jc w:val="center"/>
              <w:rPr>
                <w:b/>
                <w:kern w:val="2"/>
                <w:szCs w:val="21"/>
              </w:rPr>
            </w:pPr>
            <w:r>
              <w:rPr>
                <w:rFonts w:hint="eastAsia"/>
                <w:b/>
                <w:kern w:val="2"/>
                <w:szCs w:val="21"/>
              </w:rPr>
              <w:t>18861714931</w:t>
            </w:r>
          </w:p>
        </w:tc>
      </w:tr>
      <w:tr w14:paraId="2F38B6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817" w:type="dxa"/>
            <w:vAlign w:val="center"/>
          </w:tcPr>
          <w:p w14:paraId="3466DBD5">
            <w:pPr>
              <w:jc w:val="center"/>
              <w:rPr>
                <w:b/>
                <w:kern w:val="2"/>
                <w:szCs w:val="21"/>
              </w:rPr>
            </w:pPr>
            <w:r>
              <w:rPr>
                <w:rFonts w:hint="eastAsia"/>
                <w:b/>
                <w:kern w:val="2"/>
                <w:szCs w:val="21"/>
              </w:rPr>
              <w:t>5</w:t>
            </w:r>
          </w:p>
        </w:tc>
        <w:tc>
          <w:tcPr>
            <w:tcW w:w="1418" w:type="dxa"/>
            <w:vAlign w:val="center"/>
          </w:tcPr>
          <w:p w14:paraId="2FCF4C77">
            <w:pPr>
              <w:jc w:val="center"/>
              <w:rPr>
                <w:b/>
                <w:kern w:val="2"/>
                <w:szCs w:val="21"/>
              </w:rPr>
            </w:pPr>
            <w:r>
              <w:rPr>
                <w:b/>
                <w:kern w:val="2"/>
                <w:szCs w:val="21"/>
              </w:rPr>
              <w:t>沈波</w:t>
            </w:r>
          </w:p>
        </w:tc>
        <w:tc>
          <w:tcPr>
            <w:tcW w:w="1134" w:type="dxa"/>
            <w:vAlign w:val="center"/>
          </w:tcPr>
          <w:p w14:paraId="5FC81598">
            <w:pPr>
              <w:jc w:val="center"/>
              <w:rPr>
                <w:b/>
                <w:kern w:val="2"/>
                <w:szCs w:val="21"/>
              </w:rPr>
            </w:pPr>
            <w:r>
              <w:rPr>
                <w:b/>
                <w:kern w:val="2"/>
                <w:szCs w:val="21"/>
              </w:rPr>
              <w:t>高工</w:t>
            </w:r>
          </w:p>
        </w:tc>
        <w:tc>
          <w:tcPr>
            <w:tcW w:w="3543" w:type="dxa"/>
            <w:vAlign w:val="center"/>
          </w:tcPr>
          <w:p w14:paraId="7802F29F">
            <w:pPr>
              <w:jc w:val="center"/>
              <w:rPr>
                <w:b/>
                <w:kern w:val="2"/>
                <w:szCs w:val="21"/>
              </w:rPr>
            </w:pPr>
            <w:r>
              <w:rPr>
                <w:b/>
                <w:kern w:val="2"/>
                <w:szCs w:val="21"/>
              </w:rPr>
              <w:t>江阴市审计</w:t>
            </w:r>
            <w:r>
              <w:rPr>
                <w:rFonts w:hint="eastAsia"/>
                <w:b/>
                <w:kern w:val="2"/>
                <w:szCs w:val="21"/>
              </w:rPr>
              <w:t>中心</w:t>
            </w:r>
          </w:p>
        </w:tc>
        <w:tc>
          <w:tcPr>
            <w:tcW w:w="1855" w:type="dxa"/>
            <w:vAlign w:val="center"/>
          </w:tcPr>
          <w:p w14:paraId="05C23D3F">
            <w:pPr>
              <w:jc w:val="center"/>
              <w:rPr>
                <w:b/>
                <w:kern w:val="2"/>
                <w:szCs w:val="21"/>
              </w:rPr>
            </w:pPr>
            <w:r>
              <w:rPr>
                <w:rFonts w:hint="eastAsia"/>
                <w:b/>
                <w:kern w:val="2"/>
                <w:szCs w:val="21"/>
              </w:rPr>
              <w:t>13601520190</w:t>
            </w:r>
          </w:p>
        </w:tc>
      </w:tr>
      <w:tr w14:paraId="2C729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2" w:hRule="atLeast"/>
        </w:trPr>
        <w:tc>
          <w:tcPr>
            <w:tcW w:w="817" w:type="dxa"/>
            <w:vAlign w:val="center"/>
          </w:tcPr>
          <w:p w14:paraId="586A2B42">
            <w:pPr>
              <w:jc w:val="center"/>
              <w:rPr>
                <w:b/>
                <w:kern w:val="2"/>
                <w:szCs w:val="21"/>
              </w:rPr>
            </w:pPr>
            <w:r>
              <w:rPr>
                <w:rFonts w:hint="eastAsia"/>
                <w:b/>
                <w:kern w:val="2"/>
                <w:szCs w:val="21"/>
              </w:rPr>
              <w:t>6</w:t>
            </w:r>
          </w:p>
        </w:tc>
        <w:tc>
          <w:tcPr>
            <w:tcW w:w="1418" w:type="dxa"/>
            <w:vAlign w:val="center"/>
          </w:tcPr>
          <w:p w14:paraId="00F7A392">
            <w:pPr>
              <w:jc w:val="center"/>
              <w:rPr>
                <w:b/>
                <w:kern w:val="2"/>
                <w:szCs w:val="21"/>
              </w:rPr>
            </w:pPr>
            <w:r>
              <w:rPr>
                <w:b/>
                <w:kern w:val="2"/>
                <w:szCs w:val="21"/>
              </w:rPr>
              <w:t>沈正荣</w:t>
            </w:r>
          </w:p>
        </w:tc>
        <w:tc>
          <w:tcPr>
            <w:tcW w:w="1134" w:type="dxa"/>
            <w:vAlign w:val="center"/>
          </w:tcPr>
          <w:p w14:paraId="4BCB034C">
            <w:pPr>
              <w:jc w:val="center"/>
              <w:rPr>
                <w:b/>
                <w:kern w:val="2"/>
                <w:szCs w:val="21"/>
              </w:rPr>
            </w:pPr>
            <w:r>
              <w:rPr>
                <w:b/>
                <w:kern w:val="2"/>
                <w:szCs w:val="21"/>
              </w:rPr>
              <w:t>中级</w:t>
            </w:r>
          </w:p>
        </w:tc>
        <w:tc>
          <w:tcPr>
            <w:tcW w:w="3543" w:type="dxa"/>
            <w:vAlign w:val="center"/>
          </w:tcPr>
          <w:p w14:paraId="112BFB05">
            <w:pPr>
              <w:jc w:val="center"/>
              <w:rPr>
                <w:b/>
                <w:kern w:val="2"/>
                <w:szCs w:val="21"/>
              </w:rPr>
            </w:pPr>
            <w:r>
              <w:rPr>
                <w:b/>
                <w:kern w:val="2"/>
                <w:szCs w:val="21"/>
              </w:rPr>
              <w:t>江阴市财政局</w:t>
            </w:r>
          </w:p>
        </w:tc>
        <w:tc>
          <w:tcPr>
            <w:tcW w:w="1855" w:type="dxa"/>
            <w:vAlign w:val="center"/>
          </w:tcPr>
          <w:p w14:paraId="042997D9">
            <w:pPr>
              <w:jc w:val="center"/>
              <w:rPr>
                <w:b/>
                <w:kern w:val="2"/>
                <w:szCs w:val="21"/>
              </w:rPr>
            </w:pPr>
            <w:r>
              <w:rPr>
                <w:rFonts w:hint="eastAsia"/>
                <w:b/>
                <w:kern w:val="2"/>
                <w:szCs w:val="21"/>
              </w:rPr>
              <w:t>13706163680</w:t>
            </w:r>
          </w:p>
        </w:tc>
      </w:tr>
      <w:tr w14:paraId="49D3DB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2" w:hRule="atLeast"/>
        </w:trPr>
        <w:tc>
          <w:tcPr>
            <w:tcW w:w="817" w:type="dxa"/>
            <w:vAlign w:val="center"/>
          </w:tcPr>
          <w:p w14:paraId="49E1E42C">
            <w:pPr>
              <w:jc w:val="center"/>
              <w:rPr>
                <w:b/>
                <w:kern w:val="2"/>
                <w:szCs w:val="21"/>
              </w:rPr>
            </w:pPr>
            <w:r>
              <w:rPr>
                <w:rFonts w:hint="eastAsia"/>
                <w:b/>
                <w:kern w:val="2"/>
                <w:szCs w:val="21"/>
              </w:rPr>
              <w:t>7</w:t>
            </w:r>
          </w:p>
        </w:tc>
        <w:tc>
          <w:tcPr>
            <w:tcW w:w="1418" w:type="dxa"/>
            <w:vAlign w:val="center"/>
          </w:tcPr>
          <w:p w14:paraId="418FFF22">
            <w:pPr>
              <w:jc w:val="center"/>
              <w:rPr>
                <w:b/>
                <w:kern w:val="2"/>
                <w:szCs w:val="21"/>
              </w:rPr>
            </w:pPr>
            <w:r>
              <w:rPr>
                <w:b/>
                <w:kern w:val="2"/>
                <w:szCs w:val="21"/>
              </w:rPr>
              <w:t>庄毅江</w:t>
            </w:r>
          </w:p>
        </w:tc>
        <w:tc>
          <w:tcPr>
            <w:tcW w:w="1134" w:type="dxa"/>
            <w:vAlign w:val="center"/>
          </w:tcPr>
          <w:p w14:paraId="38C263B7">
            <w:pPr>
              <w:jc w:val="center"/>
              <w:rPr>
                <w:b/>
                <w:kern w:val="2"/>
                <w:szCs w:val="21"/>
              </w:rPr>
            </w:pPr>
            <w:r>
              <w:rPr>
                <w:b/>
                <w:kern w:val="2"/>
                <w:szCs w:val="21"/>
              </w:rPr>
              <w:t>高工</w:t>
            </w:r>
          </w:p>
        </w:tc>
        <w:tc>
          <w:tcPr>
            <w:tcW w:w="3543" w:type="dxa"/>
            <w:vAlign w:val="center"/>
          </w:tcPr>
          <w:p w14:paraId="2CEE7227">
            <w:pPr>
              <w:jc w:val="center"/>
              <w:rPr>
                <w:b/>
                <w:kern w:val="2"/>
                <w:szCs w:val="21"/>
              </w:rPr>
            </w:pPr>
            <w:r>
              <w:rPr>
                <w:b/>
                <w:kern w:val="2"/>
                <w:szCs w:val="21"/>
              </w:rPr>
              <w:t>无锡市新发城市运营管理服务有限公司</w:t>
            </w:r>
          </w:p>
        </w:tc>
        <w:tc>
          <w:tcPr>
            <w:tcW w:w="1855" w:type="dxa"/>
            <w:vAlign w:val="center"/>
          </w:tcPr>
          <w:p w14:paraId="29B826A9">
            <w:pPr>
              <w:jc w:val="center"/>
              <w:rPr>
                <w:b/>
                <w:kern w:val="2"/>
                <w:szCs w:val="21"/>
              </w:rPr>
            </w:pPr>
            <w:r>
              <w:rPr>
                <w:rFonts w:hint="eastAsia"/>
                <w:b/>
                <w:kern w:val="2"/>
                <w:szCs w:val="21"/>
              </w:rPr>
              <w:t>13812031168</w:t>
            </w:r>
          </w:p>
        </w:tc>
      </w:tr>
    </w:tbl>
    <w:p w14:paraId="4395FD1A">
      <w:pPr>
        <w:spacing w:before="160"/>
        <w:jc w:val="left"/>
        <w:rPr>
          <w:sz w:val="24"/>
        </w:rPr>
      </w:pPr>
    </w:p>
    <w:p w14:paraId="571F0801">
      <w:pPr>
        <w:spacing w:before="160"/>
        <w:jc w:val="left"/>
        <w:rPr>
          <w:sz w:val="24"/>
        </w:rPr>
      </w:pPr>
      <w:r>
        <w:rPr>
          <w:rFonts w:ascii="宋体" w:hAnsi="宋体" w:eastAsia="宋体" w:cs="宋体"/>
          <w:b/>
          <w:sz w:val="24"/>
        </w:rPr>
        <w:t>审查意见</w:t>
      </w:r>
      <w:r>
        <w:rPr>
          <w:rFonts w:ascii="宋体" w:hAnsi="宋体" w:eastAsia="宋体" w:cs="宋体"/>
          <w:sz w:val="24"/>
        </w:rPr>
        <w:t>：</w:t>
      </w:r>
    </w:p>
    <w:p w14:paraId="626CB318">
      <w:pPr>
        <w:keepNext w:val="0"/>
        <w:keepLines w:val="0"/>
        <w:pageBreakBefore w:val="0"/>
        <w:widowControl w:val="0"/>
        <w:kinsoku/>
        <w:wordWrap/>
        <w:overflowPunct/>
        <w:topLinePunct w:val="0"/>
        <w:autoSpaceDE/>
        <w:autoSpaceDN/>
        <w:bidi w:val="0"/>
        <w:adjustRightInd/>
        <w:snapToGrid/>
        <w:spacing w:before="160" w:line="360" w:lineRule="auto"/>
        <w:jc w:val="left"/>
        <w:textAlignment w:val="auto"/>
        <w:rPr>
          <w:sz w:val="24"/>
        </w:rPr>
      </w:pPr>
      <w:r>
        <w:rPr>
          <w:rFonts w:ascii="宋体" w:hAnsi="宋体" w:eastAsia="宋体" w:cs="宋体"/>
          <w:sz w:val="24"/>
        </w:rPr>
        <w:t>经调查小组审查，本项目需求明确，采用单一来源采购方式符合法律法规，建议按本需求实施采购。</w:t>
      </w:r>
    </w:p>
    <w:sectPr>
      <w:pgSz w:w="1190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1">
    <w:nsid w:val="0248C179"/>
    <w:multiLevelType w:val="multilevel"/>
    <w:tmpl w:val="0248C179"/>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2"/>
  </w:compat>
  <w:rsids>
    <w:rsidRoot w:val="00576F6D"/>
    <w:rsid w:val="00434E85"/>
    <w:rsid w:val="00576F6D"/>
    <w:rsid w:val="00827EDF"/>
    <w:rsid w:val="00937584"/>
    <w:rsid w:val="009F1249"/>
    <w:rsid w:val="00A4765C"/>
    <w:rsid w:val="00D72C19"/>
    <w:rsid w:val="00E74453"/>
    <w:rsid w:val="00F578B1"/>
    <w:rsid w:val="04C120E6"/>
    <w:rsid w:val="06D00631"/>
    <w:rsid w:val="07DE7479"/>
    <w:rsid w:val="08DA3066"/>
    <w:rsid w:val="09267670"/>
    <w:rsid w:val="0D7D775A"/>
    <w:rsid w:val="0E8160BF"/>
    <w:rsid w:val="0FFF0F48"/>
    <w:rsid w:val="13AD18EA"/>
    <w:rsid w:val="14993628"/>
    <w:rsid w:val="172D0D7B"/>
    <w:rsid w:val="199557C9"/>
    <w:rsid w:val="1B2A6A7C"/>
    <w:rsid w:val="206D0037"/>
    <w:rsid w:val="222A49CC"/>
    <w:rsid w:val="232723EB"/>
    <w:rsid w:val="27AF6E08"/>
    <w:rsid w:val="27D165A2"/>
    <w:rsid w:val="27F651AE"/>
    <w:rsid w:val="283D2292"/>
    <w:rsid w:val="2B5F0F26"/>
    <w:rsid w:val="2CA92D84"/>
    <w:rsid w:val="31CE65DC"/>
    <w:rsid w:val="333220F8"/>
    <w:rsid w:val="368220F2"/>
    <w:rsid w:val="3E4D3BD3"/>
    <w:rsid w:val="51EE02EF"/>
    <w:rsid w:val="5336051D"/>
    <w:rsid w:val="533C0767"/>
    <w:rsid w:val="55735655"/>
    <w:rsid w:val="57FB7594"/>
    <w:rsid w:val="5AD77891"/>
    <w:rsid w:val="5DED7C73"/>
    <w:rsid w:val="5DFE4D20"/>
    <w:rsid w:val="60DB04CD"/>
    <w:rsid w:val="667F033A"/>
    <w:rsid w:val="68FF0D23"/>
    <w:rsid w:val="69A55B1C"/>
    <w:rsid w:val="6E177DCE"/>
    <w:rsid w:val="6E7B3363"/>
    <w:rsid w:val="6EEB7BC6"/>
    <w:rsid w:val="6FFF0615"/>
    <w:rsid w:val="72CE3338"/>
    <w:rsid w:val="735E4C1F"/>
    <w:rsid w:val="745D435B"/>
    <w:rsid w:val="75911842"/>
    <w:rsid w:val="76246BEE"/>
    <w:rsid w:val="79DC2E94"/>
    <w:rsid w:val="7BAFADDA"/>
    <w:rsid w:val="7C014E34"/>
    <w:rsid w:val="7E1F0B59"/>
    <w:rsid w:val="8FBE702B"/>
    <w:rsid w:val="B1FFFF9E"/>
    <w:rsid w:val="B9FDAD7B"/>
    <w:rsid w:val="BD1FA1FE"/>
    <w:rsid w:val="BDA78FB6"/>
    <w:rsid w:val="D1FF49A4"/>
    <w:rsid w:val="DF7FDE74"/>
    <w:rsid w:val="E3DAEC50"/>
    <w:rsid w:val="E7FE646A"/>
    <w:rsid w:val="EBFD7DDA"/>
    <w:rsid w:val="F673E5E2"/>
    <w:rsid w:val="FADF88F7"/>
    <w:rsid w:val="FBFD72D3"/>
    <w:rsid w:val="FCF37BE2"/>
    <w:rsid w:val="FFEFF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2"/>
    <w:basedOn w:val="1"/>
    <w:next w:val="1"/>
    <w:qFormat/>
    <w:uiPriority w:val="0"/>
    <w:pPr>
      <w:keepNext/>
      <w:keepLines/>
      <w:tabs>
        <w:tab w:val="left" w:pos="420"/>
      </w:tabs>
      <w:adjustRightInd w:val="0"/>
      <w:snapToGrid w:val="0"/>
      <w:spacing w:line="240" w:lineRule="auto"/>
      <w:jc w:val="center"/>
      <w:outlineLvl w:val="1"/>
    </w:pPr>
    <w:rPr>
      <w:rFonts w:ascii="Times New Roman" w:hAnsi="Times New Roman" w:eastAsia="Times New Roman"/>
      <w:sz w:val="24"/>
      <w:szCs w:val="20"/>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unhideWhenUsed/>
    <w:qFormat/>
    <w:uiPriority w:val="0"/>
    <w:pPr>
      <w:widowControl/>
      <w:kinsoku w:val="0"/>
      <w:autoSpaceDE w:val="0"/>
      <w:autoSpaceDN w:val="0"/>
      <w:adjustRightInd w:val="0"/>
      <w:snapToGrid w:val="0"/>
      <w:jc w:val="left"/>
    </w:pPr>
    <w:rPr>
      <w:rFonts w:ascii="仿宋" w:hAnsi="仿宋" w:eastAsia="仿宋" w:cs="仿宋"/>
      <w:color w:val="000000"/>
      <w:sz w:val="31"/>
      <w:szCs w:val="31"/>
      <w:lang w:eastAsia="en-US"/>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0"/>
    <w:rPr>
      <w:sz w:val="18"/>
      <w:szCs w:val="18"/>
    </w:rPr>
  </w:style>
  <w:style w:type="character" w:customStyle="1" w:styleId="10">
    <w:name w:val="页脚 Char"/>
    <w:basedOn w:val="8"/>
    <w:link w:val="4"/>
    <w:qFormat/>
    <w:uiPriority w:val="0"/>
    <w:rPr>
      <w:sz w:val="18"/>
      <w:szCs w:val="18"/>
    </w:rPr>
  </w:style>
  <w:style w:type="character" w:customStyle="1" w:styleId="11">
    <w:name w:val="正文文本 Char"/>
    <w:basedOn w:val="8"/>
    <w:link w:val="3"/>
    <w:qFormat/>
    <w:uiPriority w:val="0"/>
    <w:rPr>
      <w:rFonts w:ascii="仿宋" w:hAnsi="仿宋" w:eastAsia="仿宋" w:cs="仿宋"/>
      <w:color w:val="000000"/>
      <w:sz w:val="31"/>
      <w:szCs w:val="31"/>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5882</Words>
  <Characters>6322</Characters>
  <Lines>20</Lines>
  <Paragraphs>5</Paragraphs>
  <TotalTime>13</TotalTime>
  <ScaleCrop>false</ScaleCrop>
  <LinksUpToDate>false</LinksUpToDate>
  <CharactersWithSpaces>6350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2026-03-25T00:52:00Z</dcterms:created>
  <dc:creator>Apache POI</dc:creator>
  <cp:lastModifiedBy>user</cp:lastModifiedBy>
  <cp:lastPrinted>2026-04-14T13:46:08Z</cp:lastPrinted>
  <dcterms:modified xsi:type="dcterms:W3CDTF">2026-04-14T13:56:14Z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{"ContentPropagator":"001191440101MA9Y9T4H7A00000","Label":"1","ReservedCode1":"PrBoM2T8ZcjcByRlVM//gqLA+pzpSKCFrjJw3NMuyfY=","ProduceID":"doc_sgs:eb423fbe-cdda-46ce-aeab-5ec3c30006cc","ReservedCode2":"PrBoM2T8ZcjcByRlVM//gqLA+pzpSKCFrjJw3NMuyfY=","Propag</vt:lpwstr>
  </property>
  <property fmtid="{D5CDD505-2E9C-101B-9397-08002B2CF9AE}" pid="3" name="KSOProductBuildVer">
    <vt:lpwstr>2052-12.1.2.22550</vt:lpwstr>
  </property>
  <property fmtid="{D5CDD505-2E9C-101B-9397-08002B2CF9AE}" pid="4" name="ICV">
    <vt:lpwstr>884CCEBFAAE745AEB8614EEE2C62990B_13</vt:lpwstr>
  </property>
  <property fmtid="{D5CDD505-2E9C-101B-9397-08002B2CF9AE}" pid="5" name="KSOTemplateDocerSaveRecord">
    <vt:lpwstr>eyJoZGlkIjoiMDk0ZGRjZjQwNWYxOTE4ZDdmYjA5MTg4NGZlMGUxMmMiLCJ1c2VySWQiOiIzNjE0OTEzNjYifQ==</vt:lpwstr>
  </property>
</Properties>
</file>