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江阴市市场监管综合行政执法大队</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受江阴市市场监督管理局委托，承担对不正当竟争、知识产权、价格、质量、纤维制品、特种设备、商务、食品、粮油、食盐、药品、医疗器械、化妆品、文化、旅游等领域，违反市场监管相关法律法规行为的查处工作（不含下放镇街的处罚事项）具体职责如下：</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（一）参与反垄断执法工作，依法承担流通领域走私贩私及其他经济违法案件的查处工作；依法查处市场领域不正当竟争、侵犯知识产权、违法直销和传销、价格违法及其他经济违法违规行为。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（二）依法查处质量、计量、纤维制品、特种设备、商务领域违法违规行为。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（三）依法查处食品、保健食品、食盐、粮油领域违法违规行为；依法承担食盐生产、流通的质量监督工作。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（四）依法查处药品、医疗器械、化妆品流通领域的违法违规行为。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（五）依法查处文化市场、文物保护的违法违规行为；依法查处新闻出版、版权行业的违法违规行为；依法查处广播影视行业的违法违规行为。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（六）依法查处有关旅游的违法违规行为。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（七）负责指导镇（街道）市场监管综合执法业务工作，负责组织全市市场监管综合执法人员的业务培训工作。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（八）落实本单位安全生产主体责任。</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（九）完成市市场监督管理局交办的其他任务。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一）综合科。（二）一中队（工商价格执法中队）。（三）二中队（质量商务执法中队）。（四）三中队（食品执法中队）。（五）四中队（药品医疗器械化妆品执法中队）。（六）市场监管镇街执法中队。全市共设17个市场监管镇街执法中队：高新区中队、临港中队、澄南中队、澄北中队、要塞中队、南闸中队、云亭中队、璜土中队、青阳中队、徐霞客中队、华士中队、周庄中队、长泾中队、顾山中队、祝塘中队、新桥中队、月城中队。</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2026年，执法大队将始终坚持稳中求进、以进促稳的总基调，以更高的政治自觉谋划推进综合执法工作，力争在执法质效、服务能力、协作水平和队伍面貌上实现新的跨越。</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在提升执法办案穿透力上攻坚突破。在持续健全规范涉企执法长效机制、严格落实执法全过程记录工作要求的基础上，推动全过程联动、跨区域协作，组织实施全链条执法行动，探索研究执法尺度与取证标准的统一，拓展、挖掘执法办案横向维度与纵向深度。针对新业态、新问题主动靠前作为，及时填补新型领域执法如商业秘密保护等场景的空白，确保新业态规范健康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在增强服务发展保障力上深化拓展。一方面持续丰富“服务型执法”内涵。聚焦优化法治化营商环境目标、市场监管领域的“潜规则”和群众、企业反映强烈的“小投诉”，善于从“小切口”入手，延续“执法+服务”融合模式，将合规指导更深融入执法过程，帮助企业提前规避违法风险，助力市场主体防范风险、健康发展。另一方面不断加强与上级机关的沟通交流。及时掌握工作动向、办案重心，精准衔接执法任务要求，争取业务指导支持，确保执法服务与上级部署同向发力、同频共振，增强服务发展保障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在强化协同联动聚合力上系统集成。对内进一步深化“分局点单、大队接单”模式、持续落实“科室-大队-分局”协同作战机制，强化业务指导带教的精准性，建立完整执法责任链条，开拓全局“执法一盘棋”新格局。对外进一步巩固发展协作关系、密切配合，共同与公安、检察、商务等横向部门、赋权部门夯实案件线索共享、联合办案协作机制，优化“行刑衔接”机制，联建共建打造执法品牌，构建更为严密、健全的市场监管执法体系。</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在锻造专业化执法铁军上久久为功。始终牢记全局执法“领头羊”的关键角色，慎始如终发挥在执法办案领域的“火车头”作用。针对新型、复杂案件加强专题培训和实战演练，着力破解“能力恐慌”、“创新不足”、“经验依赖”等问题。同时，持续以党建引领廉政建设，定期开展执法廉政风险排查与党纪学习教育，强化干部政治定力与纪律定力，打造“政治过硬、业务精湛、作风优良”的执法铁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新的一年，江阴市市场监管综合行政执法大队将以更加昂扬的斗志、更加务实的作风，惟实励新、攻坚克难，为谱写中国式现代化江阴新篇章贡献坚实的执法力量！</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江阴市市场监管综合行政执法大队</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江阴市市场监管综合行政执法大队</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2,422.37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406.43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154.29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709.32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3,692.41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3,692.41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3,692.41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3,692.41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3,692.41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3,692.41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江阴市市场监管综合行政执法大队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江阴市市场监管综合行政执法大队</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3,692.41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2,422.37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406.43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154.29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709.32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3,692.41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3,692.41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3,486.54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389.78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江阴市市场监管综合行政执法大队</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3,692.41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3,486.54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205.87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3,393.28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3,393.28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386.60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1,177.96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1,177.96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913.72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913.72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37.29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259.85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259.85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129.93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129.93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154.29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154.29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16.65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224.83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224.83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9.96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82.20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205.14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205.14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91.27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91.27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0.74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2.70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0.98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15.13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23.40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44.27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93.26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89.55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89.55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0.73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0.73</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3,692.41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3,486.54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3,692.41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3,486.54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205.87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3,393.28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3,393.28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386.60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386.60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1,177.96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1,177.96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913.72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913.72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37.29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37.29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259.85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259.85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129.93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129.93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154.29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154.29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16.65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224.83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224.83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82.20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82.20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205.14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205.14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91.27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91.27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0.74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2.70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0.98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被装购置费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15.13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44.27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93.26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89.55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89.55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0.73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0.73</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2.78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1.80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1.80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0.98</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0.74</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2.70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205.14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被装购置费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44.27</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江阴市市场监管综合行政执法大队</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0.63</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江阴市市场监管综合行政执法大队2026年度收入、支出预算总计3,692.41万元，与上年相比收、支预算总计各增加148.14万元，增长4.18%。其中：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（一）收入预算总计3,692.41万元。包括：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1．本年收入合计3,692.41万元。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（1）一般公共预算拨款收入3,692.41万元，与上年相比增加148.14万元，增长4.18%。主要原因是社保、公积金等缴费基数政策性调整。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（二）支出预算总计3,692.41万元。包括：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1．本年支出合计3,692.41万元。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（1）一般公共服务支出（类）支出2,422.37万元，主要用于日常市场监管执法所需办公经费、人员经费等开支。与上年相比减少2.85万元，减少0.12%。主要原因是减少事业人员2人。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（2）社会保障和就业支出（类）支出406.43万元，主要用于机关事业单位养老保险缴费支出、职业年金缴费支出。与上年相比增加20.36万元，增长5.27%。主要原因是社保缴费基数政策性调整。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（3）卫生健康支出（类）支出154.29万元，主要用于其他社会保障缴费支出（医疗保险缴费）。与上年相比增加52.83万元，增长52.07%。主要原因是医保金缴费基数政策性调整。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（4）住房保障支出（类）支出709.32万元，主要用于为职工缴纳住房公积金，发放提租补贴、购房补贴。与上年相比增加77.8万元，增长12.32%。主要原因是公积金、提租、购房补贴缴费基数政策性调整。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江阴市市场监管综合行政执法大队2026年收入预算合计3,692.41万元，包括本年收入3,692.41万元，上年结转结余0万元。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本年一般公共预算收入3,692.41万元，占100%；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江阴市市场监管综合行政执法大队2026年支出预算合计3,692.41万元，其中：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基本支出3,692.41万元，占100%；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江阴市市场监管综合行政执法大队2026年度财政拨款收、支总预算3,692.41万元。与上年相比，财政拨款收、支总计各增加148.14万元，增长4.18%。主要原因是社保、公积金等缴费基数政策性调整。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江阴市市场监管综合行政执法大队2026年财政拨款预算支出3,692.41万元，占本年支出合计的100%。与上年相比，财政拨款支出增加148.14万元，增长4.18%。主要原因是社保、公积金等缴费基数政策性调整。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市场监督管理事务（款）行政运行（项）支出2,422.37万元，与上年相比减少2.85万元，减少0.12%。主要原因是减少事业人员2人。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1.行政事业单位养老支出（款）机关事业单位基本养老保险缴费支出（项）支出259.85万元，与上年相比增加9.88万元，增长3.95%。主要原因是养老保险缴费基数政策性调整。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2.行政事业单位养老支出（款）机关事业单位职业年金缴费支出（项）支出129.93万元，与上年相比增加4.94万元，增长3.95%。主要原因是职业年金缴费基数政策性调整。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3.其他社会保障和就业支出（款）其他社会保障和就业支出（项）支出16.65万元，与上年相比增加5.54万元，增长49.86%。主要原因是其他社保缴费（工伤、失业、生育保险）基数政策性调整。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行政事业单位医疗（款）行政单位医疗（项）支出154.29万元，与上年相比增加52.83万元，增长52.07%。主要原因是医保金缴费基数政策性调整。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1.住房改革支出（款）住房公积金（项）支出224.83万元，与上年相比增加49.85万元，增长28.49%。主要原因是公积金缴费基数政策性调整。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2.住房改革支出（款）提租补贴（项）支出226.25万元，与上年相比增加0.6万元，增长0.27%。主要原因是提租补贴缴费基数政策性调整。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3.住房改革支出（款）购房补贴（项）支出258.24万元，与上年相比增加27.35万元，增长11.85%。主要原因是购房补贴缴费基数政策性调整。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江阴市市场监管综合行政执法大队2026年度财政拨款基本支出预算3,692.41万元，其中：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3,486.54万元。主要包括：基本工资、津贴补贴、奖金、绩效工资、机关事业单位基本养老保险缴费、职业年金缴费、职工基本医疗保险缴费、其他社会保障缴费、住房公积金、医疗费、其他工资福利支出、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（二）公用经费205.87万元。主要包括：办公费、印刷费、水费、电费、邮电费、差旅费、会议费、培训费、公务接待费、被装购置费、工会经费、公务用车运行维护费、其他商品和服务支出、其他资本性支出。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江阴市市场监管综合行政执法大队2026年一般公共预算财政拨款支出预算3,692.41万元，与上年相比增加148.14万元，增长4.18%。主要原因是社保、公积金等缴费基数政策性调整。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江阴市市场监管综合行政执法大队2026年度一般公共预算财政拨款基本支出预算3,692.41万元，其中：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3,486.54万元。主要包括：基本工资、津贴补贴、奖金、绩效工资、机关事业单位基本养老保险缴费、职业年金缴费、职工基本医疗保险缴费、其他社会保障缴费、住房公积金、医疗费、其他工资福利支出、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（二）公用经费205.87万元。主要包括：办公费、印刷费、水费、电费、邮电费、差旅费、会议费、培训费、公务接待费、被装购置费、工会经费、公务用车运行维护费、其他商品和服务支出、其他资本性支出。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一般公共预算拨款安排的“三公”经费支出预算2.78万元，比上年预算减少40.7万元，变动原因16辆公务用车划转其他单位。其中，因公出国（境）费支出0万元，占“三公”经费的0%；公务用车购置及运行维护费支出1.8万元，占“三公”经费的64.75%；公务接待费支出0.98万元，占“三公”经费的35.25%。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（2）公务用车运行维护费预算支出1.8万元，比上年预算减少40.7万元，主要原因是16辆公务用车划转其他单位。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3．公务接待费预算支出0.98万元，与上年预算数相同。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江阴市市场监管综合行政执法大队2026年度一般公共预算拨款安排的会议费预算支出0.74万元，与上年预算数相同。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江阴市市场监管综合行政执法大队2026年度一般公共预算拨款安排的培训费预算支出2.7万元，与上年预算数相同。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江阴市市场监管综合行政执法大队2026年国有资本经营预算支出0万元。与上年预算数相同。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2026年本单位一般公共预算机关运行经费预算支出205.14万元，与上年相比增加4.69万元，增长2.34%。主要原因是因制服换发导致被装购置费增加。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2026年度政府采购支出预算总额1.57万元，其中：拟采购货物支出1.17万元、拟采购工程支出0万元、拟采购服务支出0.4万元。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0辆、应急保障用车0辆、执法执勤用车1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3,692.41万元；本单位共0个项目纳入绩效目标管理，涉及财政性资金合计0万元，占财政性资金(人员类和运转类中的公用经费项目支出除外)总额的比例为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江阴市市场监管综合行政执法大队</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