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2024年度江阴市商务局部门决算公开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部门</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部门</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部门</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部门</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（1）贯彻、执行国家、省、市有关服务业、商贸、对外贸易、国际经济投资与合作的法律法规和具体政策，拟订相关地方规范性文件并组织实施。</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拟订全市商贸发展战略和中长期发展规划，编制年度目标和工作计划，提出政策建议和调控措施并组织实施；参与拟订全市服务业发展战略和中长期发展规划；调控和监测全市商贸运行状况，发布市场信息；研究经济全球化以及现代商贸发展方向，实施全市商贸市场体系、大宗产品批发市场和城市商业网点规划建设，指导城乡商贸服务业发展和社区商贸服务业规划建设，推进农村市场体系和现代流通网络工程建设；研究现代流通发展方向，推动流通标准化和连锁经营、物流配送等现代流通方式的发展，拟订电子商务发展的标准、政策、规则，并做好相应推进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承担消费品市场调控和重要生产资料流通管理，调查分析商品价格信息，进行市场预测预警和信息引导；负责建立健全生活必需品市场供应应急管理体制机制，按分工负责重要消费品储备管理和市场调控工作；牵头协调整顿和规范市场经济秩序，拟订规范市场运行、流通秩序的相关政策措施，牵头商贸行政综合执法，推动商贸领域信用建设；加强商业特许经营许可管理，按有关规定对成品油流通进行监督管理。</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负责全市进出口贸易管理，拟订促进外贸增长方式转变的政策措施，编制年度进出口目标和工作计划；负责协调、管理进出口许可证申请报批；管理加工贸易；联络协调涉外部门解决外贸出口中的有关问题；推广电子商务；负责国际市场开拓，组织参加国际、国内重要进出口贸易交易会、展销会。推进全市外贸企业国际标准的贯彻和创国际品牌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按照国家对外技术贸易政策，推进技术贸易发展地方规划及其政策的制定，负责技术进出口项目的转报，承担技术进出口市场开拓与协调管理工作落实技术和成套设备进出口政策，依法监督全市技术引进、设备进口、国家限制出口技术的工作；按照分工开展国际商务领域知识产权保护工作，探索和研究服务贸易领域对外开放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承担机电产品进口管理，按照国家机电产品进出口管理的方针政策和法规，拟订全市机电产品进出口规划和年度计划，拟订机电产品出口的地方规范性文件；负责机电产品进口国际招标，经营者备案登记工作，推进重要机电产品出口基地建设。</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负责公平贸易工作，承担协调全市反倾销、反补贴、保障措施的应对事务；建立公平贸易预警机制，组织产业损害调查，指导协调产业安全应对工作，参与开展反垄断调查，承办有关行政复议和行政应诉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负责指导、协调、管理全市利用外资工作，拟订和执行我市利用外资的地方规范性文件，参与拟订全市外商投资的发展战略和中长期规划；协同编制我市招商引资宣传资料，负责外商直接投资项目的审批或报批；审核、上报国家规定的限额以上、限制投资和涉及配额、许可证管理的外商投资企业的设立；审核外商投资项目的合同、章程及其变更；监督检查外商投资企业执行有关法律法规和合同、章程的情况，并协调解决有关问题；负责市利用外资管理委员会日常工作；指导和规范对外招商引资活动，指导投资促进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8）牵头拟订全市服务外包产业发展规划、措施及相关政策建议；跟踪全球服务外包产业发展信息，加强与国家商务部、省商务厅、无锡市及国内外相关组织的联系联络工作，推进服务外包示范区和集聚园区建设；协调组织服务外包产业重大招商活动，推动服务外包产业重点项目的落实；协调服务外包人才培训和协作机制推进；协助服务外包企业资格认定、考核奖励和国际认证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（9）协调、指导、服务全市各类开发区、特色产业园区建设发展工作；组织、指导、协调全市开发区的招商引资、项目推进和园区建设；负责开发区的统计分析。</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10）指导、监督和管理全市对外投资和经济合作业务；核准、报批企业在境外投资开办企业和机构（金融企业除外）；核准对外承包工程企业经营资质，初审对外劳务合作、境外就业经营资质；负责对外承包工程、劳务合作、境外就业项目审查和外派劳务招收备案；承担对外援助和接受国际援助项目的归口管理；推进对外经济合作的促进和服务体系建设。</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（11）负责全市商务团组出国（境）审核；管理全市海外经贸网络；负责局驻海外经贸代表机构队伍建设、人员选派和管理；指导全市商贸队伍加强业务建设。</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（12）协调商检、海关、质检、银行、外汇、出口信用保险与商务工作有关的事项；指导有关协会、商会、学会的工作。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（13）承办市政府交办的其他事项。</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部门</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办公室、外国投资科、对外贸易科、外经合作科，口岸管理科、贸易市场科、电子商务科、安全生产监督管理科、组织人事科。</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本部门下属单位包括：江阴市投资促进中心、江阴市服务业发展中心、江阴市商贸管理办公室。</w:t>
      </w:r>
      <w:r>
        <w:rPr>
          <w:rFonts w:ascii="仿宋" w:eastAsia="仿宋" w:hAnsi="仿宋" w:cs="仿宋"/>
          <w:u w:color="auto"/>
        </w:rPr>
        <w:t/>
      </w:r>
      <w:r>
        <w:rPr>
          <w:rFonts w:ascii="仿宋" w:eastAsia="仿宋" w:hAnsi="仿宋" w:cs="仿宋"/>
          <w:u w:color="auto"/>
        </w:rPr>
        <w:t/>
      </w:r>
    </w:p>
    <w:p w14:paraId="3A5AE81B">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从决算单位构成看</w:t>
      </w:r>
      <w:r>
        <w:rPr>
          <w:rFonts w:hint="eastAsia" w:ascii="仿宋" w:hAnsi="仿宋" w:eastAsia="仿宋" w:cs="仿宋"/>
          <w:lang w:val="en-US"/>
        </w:rPr>
        <w:t>，</w:t>
      </w:r>
      <w:r>
        <w:rPr>
          <w:rFonts w:hint="eastAsia" w:ascii="仿宋" w:hAnsi="仿宋" w:eastAsia="仿宋" w:cs="仿宋"/>
        </w:rPr>
        <w:t>纳入本</w:t>
      </w:r>
      <w:r>
        <w:rPr>
          <w:rFonts w:hint="eastAsia" w:ascii="仿宋" w:hAnsi="仿宋" w:eastAsia="仿宋" w:cs="仿宋"/>
          <w:lang w:val="en-US"/>
        </w:rPr>
        <w:t>部门</w:t>
      </w:r>
      <w:r>
        <w:rPr>
          <w:rFonts w:hint="eastAsia" w:ascii="仿宋" w:hAnsi="仿宋" w:eastAsia="仿宋" w:cs="仿宋"/>
          <w:lang w:val="en-US" w:eastAsia="zh-CN"/>
        </w:rPr>
        <w:t>2024</w:t>
      </w:r>
      <w:r>
        <w:rPr>
          <w:rFonts w:hint="eastAsia" w:ascii="仿宋" w:hAnsi="仿宋" w:eastAsia="仿宋" w:cs="仿宋"/>
        </w:rPr>
        <w:t>年</w:t>
      </w:r>
      <w:r>
        <w:rPr>
          <w:rFonts w:hint="eastAsia" w:ascii="仿宋" w:hAnsi="仿宋" w:eastAsia="仿宋" w:cs="仿宋"/>
          <w:lang w:val="en-US"/>
        </w:rPr>
        <w:t>部门</w:t>
      </w:r>
      <w:r>
        <w:rPr>
          <w:rFonts w:hint="eastAsia" w:ascii="仿宋" w:hAnsi="仿宋" w:eastAsia="仿宋" w:cs="仿宋"/>
        </w:rPr>
        <w:t>汇总决算编制范围的预算单位共计</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4</w:t>
      </w:r>
      <w:r>
        <w:rPr>
          <w:rFonts w:ascii="仿宋" w:eastAsia="仿宋" w:hAnsi="仿宋" w:cs="仿宋"/>
          <w:u w:color="auto"/>
        </w:rPr>
        <w:t/>
      </w:r>
      <w:r>
        <w:rPr>
          <w:rFonts w:ascii="仿宋" w:eastAsia="仿宋" w:hAnsi="仿宋" w:cs="仿宋"/>
          <w:u w:color="auto"/>
        </w:rPr>
        <w:t/>
      </w:r>
      <w:r>
        <w:rPr>
          <w:rFonts w:hint="eastAsia" w:ascii="仿宋" w:hAnsi="仿宋" w:eastAsia="仿宋" w:cs="仿宋"/>
        </w:rPr>
        <w:t>家</w:t>
      </w:r>
      <w:r>
        <w:rPr>
          <w:rFonts w:hint="eastAsia" w:ascii="仿宋" w:hAnsi="仿宋" w:eastAsia="仿宋" w:cs="仿宋"/>
          <w:lang w:val="en-US"/>
        </w:rPr>
        <w:t>，</w:t>
      </w:r>
      <w:r>
        <w:rPr>
          <w:rFonts w:hint="eastAsia" w:ascii="仿宋" w:hAnsi="仿宋" w:eastAsia="仿宋" w:cs="仿宋"/>
        </w:rPr>
        <w:t>具体包括</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江阴市商务局（机关）、江阴市投资促进中心、江阴市服务业发展中心、江阴市商贸管理办公室。</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今年以来，在市委市政府的坚强领导下，商务局坚决贯彻落实国家、省、市决策部署，抢抓机遇、强化措施、主动作为，全力以赴推动商务经济稳步运行。</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增强招商协同，提升引资质量。2024年全市正式签约亿元以上项目共55个，总投资250亿元；10亿元以上重大项目9个，其中50亿元以上重大项目4个。一是推进挂图作战。制定各板块招商挂图作战方案，动员全市上下锚定产业领域，深耕对应区域，明确招引路径，开展企业对接与项目招引工作。二是强化宣传培训。组织“学专业、懂产业”专题培训10期。定期分享中金资本优质产业研究与讲座资源。搭建招商人员学习平台，梳理编制标准化培训素材。制作《这就是江阴》招商视频，为全市招商工作开展提供宣传支撑。三是拓展合作渠道。筹办2024江阴经洽会、基金项目路演等活动，组团赴北上广深以及粤港澳、日本、欧洲等地区开展经贸招商，对接项目160余个，落地特瓦特、捷杰西、M会员商店、山姆（已基本确定）等项目，在谈重大项目65个。</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着力稳中提质，深化双向开放。一是外贸再创历史新高。2024年江阴市实现外贸进出口总值1786亿元，创下历史新纪录，比去年多出213亿元；同比增长13.5%，增速高于全国（5%）、全省（7%）和无锡大市（9.1%），创下2012年以来的历史最高。2024年全年持续推动出口信用保险扩面降费，目前统保平台在保企业140家，同比增长25%，保额12.05亿美元，同比增长20.4%。成功申报商务部第三批外经贸提质增效示范项目，获中央2亿资金扶持。协调口行江苏分行及商业银行，解决中船澄西、新长江集团船东巨额保函需求等问题。多方协调江阴同元汽贸二手车出口业务，于5月18日实现无锡地区首单突破。二是利用外资量质提升。1-12月全市实际使用外资12.6亿美元，位居全省同类城市第一。推荐贝卡尔特（中国）技术研发有限公司、大明重工有限公司等2家企业申报江苏省重点支持的外资研发中心；指导安姆科科技研发有限公司、江阴信邦电子有限公司完成第十五批江苏省跨国公司地区总部和功能性机构申报。三是国际合作领域不断延伸。1-12月预计新批境外项目45个，对外直接投资金额预计完成4.2亿美元，规模位列无锡市第一。今年5月远景科技集团与2家法国企业签下重量级合作，与苏伊士集团将共同在法国创建零碳电池产业园，与法孚集团携手在欧洲设立风电、绿氢、绿氨等新能源项目。贝德服装柬埔寨工厂目前已经投产；海澜之家菲律宾、肯尼亚、马尔代夫首店已开，12月将开印尼首店。</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焕新消费活力，创新消费增量。一是全面贯彻以旧换新。截至10月15日，全市申请汽车报废补贴超2000台、置换更新超1200台，预计全年带动销售额超10亿元。全市实际使用补贴家电7786台，合计补贴金额807万，转化销售额4538万。二是大力开展促销活动。先后举办各类促销活动。市级层面发放商超类、汽车类数字人民币消费红包620万元，撬动新车销售1488台，合计拉动零售额超4亿元。三是持续发力首店经济。截至全年，引进全国线下首店京东奥莱及大润发M会员店，各类品质首店35家，消费集聚度、时尚度、品质度不断提升。</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强化创新驱动，激发新兴动能。一是发展外贸新业态。5月8日启动长三角云蝠跨境贸易综合服务平台，目前已入驻企业30多家，出口额4500多万美元。跨境电商政治风险首张保单在江阴落地。制定扶持政策和产业园规划方案，对跨境电商产业园给予奖补，加速形成产业集聚效应。二是加速重大项目落地。1-12月，全市39个重大服务业项目共完成投资80.02亿元，占当年投资计划的113.77%。4个项目入选江苏省服务业重点项目；12个入选无锡市服务业重点项目。强化项目事后监管，组织专家对“双良双良数字化驱动转型—绿色智能制造服务”项目、“海澜之家—智能化仓库扩建”项目进行验收。三是提升口岸通关便利度。深化智慧口岸和智慧海关建设，牵头制定涉危保税仓库安全智防系统可行性报告，实现与地方安全监管部门数据互联互通，积极对上争取，以开普型船舶为试点，将抵港开普型船舶最大吃水由12.0米提升至12.3米。出台了《江阴口岸新能源产品出运服务指南》，为锂电池车辆等“新三样”货物的出口提供优质的服务，推动“新三样”货物的安全、高效出口。</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强化安全监管，突出专项整治。一是强化统筹联动。常态化落实专委会成员会议、联络员会议、专题会议等议事制度，会同专业部门、属地板块，研究部署推进重点商业领域安全工作。二是开展专项整治。全力推进商超综合体、加油站、农贸市场、废品回收站等五类专项整治，共检查重点商业场所1176家，累计排除隐患1081处（户均发现隐患数提高41%）。同时依托第三方机构开展暗查暗访与“回头看”。三是加强宣传培训。通过专题培训研讨、企业负责人讲安全、集中观看警示教育片、开展“安全承诺践诺”等多种形式，扎实开展商贸领域安全宣传培训。</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江阴市商务局</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部门</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color w:val="000000"/>
                <w:lang w:eastAsia="ar-SA"/>
              </w:rPr>
              <w:t>江阴市商务局</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14,847.83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4,609.59</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0.34</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312.89</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1,459.07</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9.00</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75.00</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8,801.85</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688.94</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14,847.83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15,956.68</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7,309.82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6,200.97</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22,157.65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22,157.65</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江阴市商务局</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14,847.83</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14,847.83</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4,609.49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4,609.49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20113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商贸事务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4,609.49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4,609.49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2011301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978.90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978.90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2011350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1,171.50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1,171.50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2011399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其他商贸事务支出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2,459.09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2,459.09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0.34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0.34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20699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0.34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0.34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2069999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0.34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0.34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330.80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330.80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250.81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250.81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167.15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167.15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83.66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83.66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79.99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79.99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79.99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79.99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315.67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315.67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315.67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315.67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315.67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315.67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交通运输支出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9.00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9.00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21401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公路水路运输</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9.00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9.00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2140199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其他公路水路运输支出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9.00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9.00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资源勘探工业信息等支出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75.00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75.00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21599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其他资源勘探工业信息等支出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75.00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75.00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2159999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其他资源勘探工业信息等支出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75.00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75.00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商业服务业等支出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8,801.85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8,801.85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21606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涉外发展服务支出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7,607.82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7,607.82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2160699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其他涉外发展服务支出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7,607.82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7,607.82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21699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其他商业服务业等支出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1,194.04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1,194.04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2169999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其他商业服务业等支出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1,194.04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1,194.04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705.68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705.68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705.68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705.68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160.93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160.93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339.76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339.76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204.99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204.99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江阴市商务局</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15,956.68</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3,152.33</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12,804.35</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4,609.59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2,150.50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2,459.09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20113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商贸事务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4,609.59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2,150.50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2,459.09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2011301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978.56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978.56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2011350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1,171.94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1,171.94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2011399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其他商贸事务支出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2,459.09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2,459.09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科学技术支出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0.34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0.34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20699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0.34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0.34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2069999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0.34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0.34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312.89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312.89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241.89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241.89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161.26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161.26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80.63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80.63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71.00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71.00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71.00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71.00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1,459.07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1,459.07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1,143.40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1,143.40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2120801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征地和拆迁补偿支出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1,143.40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1,143.40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其他城乡社区支出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315.67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315.67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其他城乡社区支出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315.67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315.67</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交通运输支出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9.00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21401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公路水路运输</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9.00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2140199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其他公路水路运输支出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9.00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资源勘探工业信息等支出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75.00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75.00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21599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其他资源勘探工业信息等支出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75.00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75.00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2159999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其他资源勘探工业信息等支出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75.00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75.00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商业服务业等支出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8,801.85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8,801.85</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21606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涉外发展服务支出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7,607.82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7,607.82</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2160699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其他涉外发展服务支出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7,607.82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7,607.82</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21699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其他商业服务业等支出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1,194.04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1,194.04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2169999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其他商业服务业等支出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1,194.04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1,194.04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688.94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688.94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688.94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688.94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144.18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144.18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339.76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339.76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204.99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204.99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江阴市商务局</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14,847.83</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4,609.59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4,609.59</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0.34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0.34</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312.89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312.89</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1,459.07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315.67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1,143.40</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9.00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9.00</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75.00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75.00</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8,801.85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8,801.85</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688.94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688.94</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14,847.83</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15,956.68</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14,813.28</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1,143.40</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7,309.82</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6,200.97</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143.68</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6,057.29</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109.13</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7,200.69</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22,157.65</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22,157.65</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14,956.96</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7,200.69</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江阴市商务局</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15,956.68</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3,152.33</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12,804.35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4,609.59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2,150.50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2,459.09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20113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商贸事务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4,609.59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2,150.50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2,459.09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2011301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978.56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978.56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2011350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1,171.94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1,171.94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2011399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其他商贸事务支出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2,459.09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2,459.09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0.34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0.34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20699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0.34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0.34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2069999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0.34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0.34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312.89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312.89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241.89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241.89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161.26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161.26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80.63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80.63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71.00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71.00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1,459.07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1,459.07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1,143.40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1,143.40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征地和拆迁补偿支出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1,143.40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1,143.40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315.67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315.67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315.67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315.67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交通运输支出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9.00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9.00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21401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公路水路运输</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9.00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9.00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2140199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其他公路水路运输支出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9.00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9.00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资源勘探工业信息等支出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75.00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75.00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21599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其他资源勘探工业信息等支出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75.00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75.00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2159999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其他资源勘探工业信息等支出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75.00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75.00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商业服务业等支出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8,801.85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8,801.85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21606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涉外发展服务支出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7,607.82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7,607.82</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2160699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其他涉外发展服务支出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7,607.82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7,607.82</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21699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其他商业服务业等支出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1,194.04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1,194.04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2169999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其他商业服务业等支出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1,194.04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1,194.04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688.94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688.94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688.94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688.94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144.18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144.18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339.76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339.76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204.99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204.99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江阴市商务局</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3,152.34</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2,938.96</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213.38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2,627.70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2,627.70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281.42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281.42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648.71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648.71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931.34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931.34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293.91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293.91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161.26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161.26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80.63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80.63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62.77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62.77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8.23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8.23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144.18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144.18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7.44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7.44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7.80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7.80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211.74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211.74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31.46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31.46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4.97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4.97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0.02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4.50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16.55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16.55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0.06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3.93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3.93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3.93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3.93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4.26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4.26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42.10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42.10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15.40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15.40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2.70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2.70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9.73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9.73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72.15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72.15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311.26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311.26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51.03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51.03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230.52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230.52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26.21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26.21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1.48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1.48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2.03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1.63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1.63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江阴市商务局</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14,813.28</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3,152.33</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11,660.95</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4,609.59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2,150.50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2,459.09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20113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商贸事务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4,609.59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2,150.50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2,459.09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2011301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978.56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978.56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2011350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1,171.94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1,171.94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2011399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其他商贸事务支出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2,459.09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2,459.09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0.34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0.34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20699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0.34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0.34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2069999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0.34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0.34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312.89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312.89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241.89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241.89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161.26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161.26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80.63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80.63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71.00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71.00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城乡社区支出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315.67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315.67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其他城乡社区支出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315.67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315.67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2129999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其他城乡社区支出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315.67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315.67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交通运输支出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9.00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9.00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21401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公路水路运输</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9.00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9.00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2140199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其他公路水路运输支出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9.00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9.00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资源勘探工业信息等支出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75.00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75.00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21599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其他资源勘探工业信息等支出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75.00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75.00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2159999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其他资源勘探工业信息等支出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75.00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75.00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商业服务业等支出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8,801.85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8,801.85</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21606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涉外发展服务支出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7,607.82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7,607.82</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2160699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其他涉外发展服务支出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7,607.82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7,607.82</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21699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其他商业服务业等支出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1,194.04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1,194.04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2169999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其他商业服务业等支出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1,194.04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1,194.04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688.94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688.94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688.94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688.94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144.18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144.18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339.76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339.76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204.99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204.99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江阴市商务局</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3,152.34</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2,938.96</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213.38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2,627.70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2,627.70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281.42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281.42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648.71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648.71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931.34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931.34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293.91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293.91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161.26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161.26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80.63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80.63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62.77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62.77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8.23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8.23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144.18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144.18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7.44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7.44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7.80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7.80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211.74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211.74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31.46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31.46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4.97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4.97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0.02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4.50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4.50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16.55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16.55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0.06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3.93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3.93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3.93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3.93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4.26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4.26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42.10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42.10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15.40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15.40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2.70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2.70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9.73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9.73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72.15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72.15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311.26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311.26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51.03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51.03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230.52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230.52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26.21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26.21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1.48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1.48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2.03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1.63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1.63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江阴市商务局</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58.50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36.61</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2.70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2.70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19.19</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16.06</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11.05</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58.50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36.61</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2.70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2.70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19.19</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15.57</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8.90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9</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9</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119</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1,430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107</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1,292</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45</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568</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江阴市商务局</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1,143.40</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1,143.40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1,143.40</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1,143.40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1,143.40</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1,143.40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2120801</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征地和拆迁补偿支出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1,143.40</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1,143.40</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江阴市商务局</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部门</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江阴市商务局</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149.88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149.88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24.04</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2.77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3.66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8.39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3.37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2.03</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3.29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42.10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6.16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3.44</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50.63</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江阴市商务局</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4.11</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4.11</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4.11</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部门</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2024年度收入、支出决算总计22,157.65万元。与上年相比，收、支总计各减少4,995.48万元，减少18.4%。其中：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（一）收入决算总计22,157.65万元。包括：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1.本年收入决算合计14,847.83万元。与上年相比，减少3,225.41万元，减少17.85%，变动原因：上年度支付2022年产业强市延期资金导致基数较大，本年无递延资金，收入减少。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3.年初结转和结余7,309.82万元。与上年相比，减少1,770.07万元，减少19.49%，变动原因：基建结转资金减少。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（二）支出决算总计22,157.65万元。包括：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1.本年支出决算合计15,956.68万元。与上年相比，减少3,886.63万元，减少19.59%，变动原因：上年度支付2022年产业强市延期资金导致基数较大，本年无递延资金，支出减少。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3.年末结转和结余6,200.97万元。结转和结余事项：主要是基建结转资金。与上年相比，减少1,108.85万元，减少15.17%，变动原因：基建项目持续推进，结转减少。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14,847.83万元，其中：财政拨款收入14,847.83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2024年度本年支出决算合计15,956.68万元，其中：基本支出3,152.33万元，占19.76%；项目支出12,804.35万元，占80.24%；上缴上级支出0万元，占0%；经营支出0万元，占0%；对附属单位补助支出0万元，占0%。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22,157.65万元。与上年相比，收、支总计各减少4,995.48万元，减少18.4%，变动原因：上年度支付2022年产业强市延期资金导致基数较大，本年无递延资金，财政拨款收入、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2024年度财政拨款支出决算15,956.68万元，占本年支出合计的100%。与2024年度财政拨款支出年初预算5,037.82万元相比，完成年初预算的316.74%。其中：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（一）一般公共服务支出（类）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1.商贸事务（款）行政运行（项）。年初预算833.78万元，支出决算978.56万元，完成年初预算的117.36%。决算数与年初预算数的差异原因：对上争取工作经费增加。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2.商贸事务（款）事业运行（项）。年初预算847.39万元，支出决算1,171.94万元，完成年初预算的138.3%。决算数与年初预算数的差异原因：补发往年年度奖金和绩效，本年度基础绩效按月发放，奖金支出增加。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3.商贸事务（款）其他商贸事务支出（项）。年初预算2,068.82万元，支出决算2,459.09万元，完成年初预算的118.86%。决算数与年初预算数的差异原因：增加促消费活动经费支出。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（二）科学技术支出（类）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其他科学技术支出（款）其他科学技术支出（项）。年初预算0万元，支出决算0.34万元，（年初预算数为0万元，无法计算完成比率）决算数与年初预算数的差异原因：增加暨阳英才挂职人员经费支出。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1.行政事业单位养老支出（款）机关事业单位基本养老保险缴费支出（项）。年初预算158.62万元，支出决算161.26万元，完成年初预算的101.66%。决算数与年初预算数的差异原因：养老保险基数增加。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2.行政事业单位养老支出（款）机关事业单位职业年金缴费支出（项）。年初预算79.31万元，支出决算80.63万元，完成年初预算的101.66%。决算数与年初预算数的差异原因：职业年金基数增加。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3.其他社会保障和就业支出（款）其他社会保障和就业支出（项）。年初预算61.21万元，支出决算71万元，完成年初预算的115.99%。决算数与年初预算数的差异原因：其他社保基数增加。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（四）城乡社区支出（类）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国有土地使用权出让收入安排的支出（款）征地和拆迁补偿支出（项）。年初预算0万元，支出决算1,143.4万元，（年初预算数为0万元，无法计算完成比率）决算数与年初预算数的差异原因：基建支出使用上年结转经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2.其他城乡社区支出（款）其他城乡社区支出（项）。年初预算315.67万元，支出决算315.67万元，完成年初预算的100%。决算数与年初预算数相同。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（五）交通运输支出（类）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公路水路运输（款）其他公路水路运输支出（项）。年初预算9万元，支出决算9万元，完成年初预算的100%。决算数与年初预算数相同。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（六）资源勘探工业信息等支出（类）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其他资源勘探工业信息等支出（款）其他资源勘探工业信息等支出（项）。年初预算0万元，支出决算75万元，（年初预算数为0万元，无法计算完成比率）决算数与年初预算数的差异原因：增加500强企业奖励资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（七）商业服务业等支出（类）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涉外发展服务支出（款）其他涉外发展服务支出（项）。年初预算0万元，支出决算7,607.82万元，（年初预算数为0万元，无法计算完成比率）决算数与年初预算数的差异原因：增加中央外经贸发展资金、省商务发展专项资金等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其他商业服务业等支出（款）其他商业服务业等支出（项）。年初预算0万元，支出决算1,194.04万元，（年初预算数为0万元，无法计算完成比率）决算数与年初预算数的差异原因：增加中央外经贸发展资金、省商务发展专项资金等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1.住房改革支出（款）住房公积金（项）。年初预算143.22万元，支出决算144.18万元，完成年初预算的100.67%。决算数与年初预算数的差异原因：住房公积金基数增加。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2.住房改革支出（款）提租补贴（项）。年初预算332.47万元，支出决算339.76万元，完成年初预算的102.19%。决算数与年初预算数的差异原因：提租补贴基数增加。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3.住房改革支出（款）购房补贴（项）。年初预算188.33万元，支出决算204.99万元，完成年初预算的108.85%。决算数与年初预算数的差异原因：购房补贴基数增加。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2024年度财政拨款基本支出决算3,152.34万元，其中：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（一）人员经费2,938.96万元。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绩效工资、机关事业单位基本养老保险缴费、职业年金缴费、职工基本医疗保险缴费、其他社会保障缴费、住房公积金、医疗费、其他工资福利支出、离休费、退休费、抚恤金、生活补助、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（二）公用经费213.38万元。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主要包括：办公费、印刷费、手续费、邮电费、差旅费、维修（护）费、会议费、培训费、公务接待费、委托业务费、工会经费、公务用车运行维护费、其他交通费用、其他商品和服务支出、办公设备购置。</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2024年度一般公共预算财政拨款支出决算14,813.28万元。与上年相比，减少3,230.18万元，减少17.9%，变动原因：上年度支付2022年产业强市延期资金导致基数较大，本年无递延资金，一般公共预算财政拨款支出减少。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2024年度一般公共预算财政拨款基本支出决算3,152.34万元，其中：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（一）人员经费2,938.96万元。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绩效工资、机关事业单位基本养老保险缴费、职业年金缴费、职工基本医疗保险缴费、其他社会保障缴费、住房公积金、医疗费、其他工资福利支出、离休费、退休费、抚恤金、生活补助、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（二）公用经费213.38万元。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主要包括：办公费、印刷费、手续费、邮电费、差旅费、维修（护）费、会议费、培训费、公务接待费、委托业务费、工会经费、公务用车运行维护费、其他交通费用、其他商品和服务支出、办公设备购置。</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58.5万元（其中：一般公共预算支出58.5万元；政府性基金预算支出0万元；国有资本经营预算支出0万元）。与上年相比，减少11.44万元，变动原因：因公出国经费减少。其中，因公出国（境）费支出36.61万元，占“三公”经费的62.58%；公务用车购置及运行维护费支出2.7万元，占“三公”经费的4.62%；公务接待费支出19.19万元，占“三公”经费的32.8%。2024年度财政拨款“三公”经费支出预算58.5万元（其中：一般公共预算支出58.5万元；政府性基金预算支出0万元；国有资本经营预算支出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36.61万元（其中：一般公共预算支出36.61万元；政府性基金预算支出0万元；国有资本经营预算支出0万元），支出决算36.61万元（其中：一般公共预算支出36.61万元；政府性基金预算支出0万元；国有资本经营预算支出0万元），完成调整后预算的100%，决算数与预算数相同。全年使用财政拨款涉及的出国（境）团组9个，累计9人次。开支内容：用于支付因公出国团组签证费、机票、食宿、交通费等。</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2.7万元（其中：一般公共预算支出2.7万元；政府性基金预算支出0万元；国有资本经营预算支出0万元），支出决算2.7万元（其中：一般公共预算支出2.7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2.7万元。公务用车运行维护费主要用于按规定保留的公务用车的燃料费、维修费、过桥过路费、保险费、安全奖励费用等支出。截至2024年12月31日，使用财政拨款开支的公务用车保有量为1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19.19万元（其中：一般公共预算支出19.19万元；政府性基金预算支出0万元；国有资本经营预算支出0万元），支出决算19.19万元（其中：一般公共预算支出19.19万元；政府性基金预算支出0万元；国有资本经营预算支出0万元），完成调整后预算的100%，决算数与预算数相同。其中：国内公务接待支出19.19万元，接待119批次，1430人次，开支内容：招商及正常公务接待活动；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16.06万元（其中：一般公共预算支出16.06万元；政府性基金预算支出0万元；国有资本经营预算支出0万元），支出决算15.57万元（其中：一般公共预算支出15.57万元；政府性基金预算支出0万元；国有资本经营预算支出0万元），完成调整后预算的96.95%，决算数与预算数的差异原因：厉行节约进行会议费压减。2024年度全年召开会议107个，参加会议1292人次，开支内容：商务条线会议及一般公务会议。</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11.05万元（其中：一般公共预算支出11.05万元；政府性基金预算支出0万元；国有资本经营预算支出0万元），支出决算8.9万元（其中：一般公共预算支出8.9万元；政府性基金预算支出0万元；国有资本经营预算支出0万元），完成调整后预算的80.54%，决算数与预算数的差异原因：厉行节约进行培训费压减。2024年度全年组织培训45个，组织培训568人次，开支内容：商务条线培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2024年度政府性基金预算财政拨款支出决算1,143.4万元。与上年相比，减少656.45万元，减少36.47%，变动原因：基建支出减少。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149.88万元（其中：一般公共预算支出149.88万元；政府性基金预算支出0万元；国有资本经营预算支出0万元）。与上年相比，减少12.51万元，减少7.7%，变动原因：对上争取资金工作经费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4.11万元，其中：政府采购货物支出4.11万元、政府采购工程支出0万元、政府采购服务支出0万元。政府采购授予中小企业合同金额4.11万元，占政府采购支出总额的100%，其中：授予小微企业合同金额0万元，占授予中小企业合同金额的0%。</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部门共有车辆1辆，其中：副部(省)级及以上领导用车0辆、主要领导干部用车0辆、机要通信用车0辆、应急保障用车0辆、执法执勤用车0辆、特种专业技术用车0辆、离退休干部用车0辆、其他用车1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2024年度，本部门共0个项目开展了财政重点绩效评价，涉及财政性资金合计0万元；本部门未开展部门整体支出财政重点绩效评价，涉及财政性资金0万元。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本部门组织所属单位共对上年度已实施完成的8个项目开展了绩效自评价，涉及财政性资金合计2,391.83万元；本部门组织所属单位共开展4项单位整体支出绩效自评价，涉及财政性资金合计4,996.89万元。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本部门共0个项目开展了部门评价，涉及财政性资金合计0万元；本部门未开展部门整体支出部门评价，涉及财政性资金0万元。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十九、一般公共服务支出(类)商贸事务(款)行政运行(项)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二十、一般公共服务支出(类)商贸事务(款)事业运行(项)</w:t>
      </w:r>
      <w:r>
        <w:rPr>
          <w:b w:val="on"/>
          <w:rFonts w:ascii="仿宋" w:eastAsia="仿宋" w:hAnsi="仿宋" w:cs="仿宋"/>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二十一、一般公共服务支出(类)商贸事务(款)其他商贸事务支出(项)</w:t>
      </w:r>
      <w:r>
        <w:rPr>
          <w:b w:val="on"/>
          <w:rFonts w:ascii="仿宋" w:eastAsia="仿宋" w:hAnsi="仿宋" w:cs="仿宋"/>
          <w:u w:color="auto"/>
        </w:rPr>
        <w:t>：</w:t>
      </w:r>
      <w:r>
        <w:rPr>
          <w:rFonts w:hint="eastAsia" w:ascii="仿宋" w:hAnsi="仿宋" w:eastAsia="仿宋" w:cs="仿宋"/>
        </w:rPr>
        <w:t>反映除上述项目以外其他用于商贸事务方面的支出。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二十二、科学技术支出(类)其他科学技术支出(款)其他科学技术支出(项)</w:t>
      </w:r>
      <w:r>
        <w:rPr>
          <w:b w:val="on"/>
          <w:rFonts w:ascii="仿宋" w:eastAsia="仿宋" w:hAnsi="仿宋" w:cs="仿宋"/>
          <w:u w:color="auto"/>
        </w:rPr>
        <w:t>：</w:t>
      </w:r>
      <w:r>
        <w:rPr>
          <w:rFonts w:hint="eastAsia" w:ascii="仿宋" w:hAnsi="仿宋" w:eastAsia="仿宋" w:cs="仿宋"/>
        </w:rPr>
        <w:t>反映其他科学技术支出中除以上各项外用于科技方面的支出。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二十六、城乡社区支出(类)国有土地使用权出让收入安排的支出(款)征地和拆迁补偿支出(项)</w:t>
      </w:r>
      <w:r>
        <w:rPr>
          <w:b w:val="on"/>
          <w:rFonts w:ascii="仿宋" w:eastAsia="仿宋" w:hAnsi="仿宋" w:cs="仿宋"/>
          <w:u w:color="auto"/>
        </w:rPr>
        <w:t>：</w:t>
      </w:r>
      <w:r>
        <w:rPr>
          <w:rFonts w:hint="eastAsia" w:ascii="仿宋" w:hAnsi="仿宋" w:eastAsia="仿宋" w:cs="仿宋"/>
        </w:rPr>
        <w:t>反映新疆生产建设兵团和地方政府在征地和收购土地过程中支付的土地补偿费、安置补助费、地上附着和青苗补偿费、拆迁补偿费支出。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二十七、城乡社区支出(类)其他城乡社区支出(款)其他城乡社区支出(项)</w:t>
      </w:r>
      <w:r>
        <w:rPr>
          <w:b w:val="on"/>
          <w:rFonts w:ascii="仿宋" w:eastAsia="仿宋" w:hAnsi="仿宋" w:cs="仿宋"/>
          <w:u w:color="auto"/>
        </w:rPr>
        <w:t>：</w:t>
      </w:r>
      <w:r>
        <w:rPr>
          <w:rFonts w:hint="eastAsia" w:ascii="仿宋" w:hAnsi="仿宋" w:eastAsia="仿宋" w:cs="仿宋"/>
        </w:rPr>
        <w:t>反映除上述项目以外其他用于城乡社区方面的支出。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二十八、交通运输支出(类)公路水路运输(款)其他公路水路运输支出(项)</w:t>
      </w:r>
      <w:r>
        <w:rPr>
          <w:b w:val="on"/>
          <w:rFonts w:ascii="仿宋" w:eastAsia="仿宋" w:hAnsi="仿宋" w:cs="仿宋"/>
          <w:u w:color="auto"/>
        </w:rPr>
        <w:t>：</w:t>
      </w:r>
      <w:r>
        <w:rPr>
          <w:rFonts w:hint="eastAsia" w:ascii="仿宋" w:hAnsi="仿宋" w:eastAsia="仿宋" w:cs="仿宋"/>
        </w:rPr>
        <w:t>反映除上述项目以外其他用于公路水路运输方面的支出。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二十九、资源勘探工业信息等支出(类)其他资源勘探工业信息等支出(款)其他资源勘探工业信息等支出(项)</w:t>
      </w:r>
      <w:r>
        <w:rPr>
          <w:b w:val="on"/>
          <w:rFonts w:ascii="仿宋" w:eastAsia="仿宋" w:hAnsi="仿宋" w:cs="仿宋"/>
          <w:u w:color="auto"/>
        </w:rPr>
        <w:t>：</w:t>
      </w:r>
      <w:r>
        <w:rPr>
          <w:rFonts w:hint="eastAsia" w:ascii="仿宋" w:hAnsi="仿宋" w:eastAsia="仿宋" w:cs="仿宋"/>
        </w:rPr>
        <w:t>反映除上述项目以外其他用于资源勘探工业信息等方面的支出。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三十、商业服务业等支出(类)涉外发展服务支出(款)其他涉外发展服务支出(项)</w:t>
      </w:r>
      <w:r>
        <w:rPr>
          <w:b w:val="on"/>
          <w:rFonts w:ascii="仿宋" w:eastAsia="仿宋" w:hAnsi="仿宋" w:cs="仿宋"/>
          <w:u w:color="auto"/>
        </w:rPr>
        <w:t>：</w:t>
      </w:r>
      <w:r>
        <w:rPr>
          <w:rFonts w:hint="eastAsia" w:ascii="仿宋" w:hAnsi="仿宋" w:eastAsia="仿宋" w:cs="仿宋"/>
        </w:rPr>
        <w:t>反映除上述项目以外其他用于涉外发展服务方面的支出。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三十一、商业服务业等支出(类)其他商业服务业等支出(款)其他商业服务业等支出(项)</w:t>
      </w:r>
      <w:r>
        <w:rPr>
          <w:b w:val="on"/>
          <w:rFonts w:ascii="仿宋" w:eastAsia="仿宋" w:hAnsi="仿宋" w:cs="仿宋"/>
          <w:u w:color="auto"/>
        </w:rPr>
        <w:t>：</w:t>
      </w:r>
      <w:r>
        <w:rPr>
          <w:rFonts w:hint="eastAsia" w:ascii="仿宋" w:hAnsi="仿宋" w:eastAsia="仿宋" w:cs="仿宋"/>
        </w:rPr>
        <w:t>反映其他商业服务业等支出中除上述项目以外的其他支出。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三十二、住房保障支出(类)住房改革支出(款)住房公积金(项)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三十三、住房保障支出(类)住房改革支出(款)提租补贴(项)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三十四、住房保障支出(类)住房改革支出(款)购房补贴(项)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江阴市商务局</w:t>
    </w:r>
    <w:r>
      <w:rPr>
        <w:rFonts w:hint="eastAsia"/>
        <w:lang w:val="en-US" w:eastAsia="zh-CN"/>
      </w:rPr>
      <w:t>2024</w:t>
    </w:r>
    <w:r>
      <w:rPr>
        <w:rFonts w:hint="eastAsia"/>
        <w:lang w:val="en-US"/>
        <w:u/>
      </w:rPr>
      <w:t>年度</w:t>
    </w:r>
    <w:r>
      <w:rPr>
        <w:u w:color="auto"/>
      </w:rPr>
      <w:t>部门</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