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AD1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宋体"/>
          <w:color w:val="auto"/>
          <w:spacing w:val="0"/>
          <w:w w:val="100"/>
          <w:sz w:val="44"/>
          <w:szCs w:val="22"/>
        </w:rPr>
      </w:pPr>
      <w:r>
        <w:rPr>
          <w:rFonts w:hint="eastAsia" w:ascii="Times New Roman" w:hAnsi="Times New Roman" w:eastAsia="方正小标宋_GBK" w:cs="宋体"/>
          <w:color w:val="auto"/>
          <w:spacing w:val="0"/>
          <w:w w:val="100"/>
          <w:sz w:val="44"/>
          <w:szCs w:val="22"/>
          <w:lang w:val="en-US" w:eastAsia="zh-CN"/>
        </w:rPr>
        <w:t>关于印发《</w:t>
      </w:r>
      <w:r>
        <w:rPr>
          <w:rFonts w:hint="eastAsia" w:ascii="Times New Roman" w:hAnsi="Times New Roman" w:eastAsia="方正小标宋_GBK" w:cs="宋体"/>
          <w:color w:val="auto"/>
          <w:spacing w:val="0"/>
          <w:w w:val="100"/>
          <w:sz w:val="44"/>
          <w:szCs w:val="22"/>
        </w:rPr>
        <w:t>江阴市“</w:t>
      </w:r>
      <w:r>
        <w:rPr>
          <w:rFonts w:hint="eastAsia" w:ascii="Times New Roman" w:hAnsi="Times New Roman" w:eastAsia="方正小标宋_GBK" w:cs="宋体"/>
          <w:color w:val="auto"/>
          <w:spacing w:val="0"/>
          <w:w w:val="100"/>
          <w:sz w:val="44"/>
          <w:szCs w:val="22"/>
          <w:lang w:val="en-US" w:eastAsia="zh-CN"/>
        </w:rPr>
        <w:t>社会经济类一类事</w:t>
      </w:r>
      <w:r>
        <w:rPr>
          <w:rFonts w:hint="eastAsia" w:ascii="Times New Roman" w:hAnsi="Times New Roman" w:eastAsia="方正小标宋_GBK" w:cs="宋体"/>
          <w:color w:val="auto"/>
          <w:spacing w:val="0"/>
          <w:w w:val="100"/>
          <w:sz w:val="44"/>
          <w:szCs w:val="22"/>
        </w:rPr>
        <w:t>”</w:t>
      </w:r>
    </w:p>
    <w:p w14:paraId="3B3E83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宋体"/>
          <w:color w:val="auto"/>
          <w:spacing w:val="0"/>
          <w:w w:val="100"/>
          <w:sz w:val="44"/>
          <w:szCs w:val="22"/>
          <w:lang w:val="en-US" w:eastAsia="zh-CN"/>
        </w:rPr>
      </w:pPr>
      <w:r>
        <w:rPr>
          <w:rFonts w:hint="eastAsia" w:ascii="Times New Roman" w:hAnsi="Times New Roman" w:eastAsia="方正小标宋_GBK" w:cs="宋体"/>
          <w:color w:val="auto"/>
          <w:spacing w:val="0"/>
          <w:w w:val="100"/>
          <w:sz w:val="44"/>
          <w:szCs w:val="22"/>
          <w:lang w:eastAsia="zh-CN"/>
        </w:rPr>
        <w:t>改革</w:t>
      </w:r>
      <w:r>
        <w:rPr>
          <w:rFonts w:hint="eastAsia" w:ascii="Times New Roman" w:hAnsi="Times New Roman" w:eastAsia="方正小标宋_GBK" w:cs="宋体"/>
          <w:color w:val="auto"/>
          <w:spacing w:val="0"/>
          <w:w w:val="100"/>
          <w:sz w:val="44"/>
          <w:szCs w:val="22"/>
        </w:rPr>
        <w:t>实施方案</w:t>
      </w:r>
      <w:r>
        <w:rPr>
          <w:rFonts w:hint="eastAsia" w:ascii="Times New Roman" w:hAnsi="Times New Roman" w:eastAsia="方正小标宋_GBK" w:cs="宋体"/>
          <w:color w:val="auto"/>
          <w:spacing w:val="0"/>
          <w:w w:val="100"/>
          <w:sz w:val="44"/>
          <w:szCs w:val="22"/>
          <w:lang w:val="en-US" w:eastAsia="zh-CN"/>
        </w:rPr>
        <w:t>》的通知</w:t>
      </w:r>
    </w:p>
    <w:p w14:paraId="3F7880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方正仿宋_GBK" w:cs="方正仿宋_GBK"/>
          <w:color w:val="auto"/>
          <w:spacing w:val="0"/>
          <w:w w:val="100"/>
          <w:sz w:val="32"/>
          <w:szCs w:val="32"/>
        </w:rPr>
      </w:pPr>
    </w:p>
    <w:p w14:paraId="10BB727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各相关部门：</w:t>
      </w:r>
    </w:p>
    <w:p w14:paraId="2DDBB97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为完善“高效办成一件事”集成服务，推动政务服务从“能办”向“好办、易办”转变，增强企业和群众获得感，现将《江阴市“社会经济类一类事”改革实施方案》印发给你们，请认真落实。</w:t>
      </w:r>
    </w:p>
    <w:p w14:paraId="4C5524CE">
      <w:pPr>
        <w:pStyle w:val="2"/>
        <w:keepNext w:val="0"/>
        <w:keepLines w:val="0"/>
        <w:pageBreakBefore w:val="0"/>
        <w:widowControl w:val="0"/>
        <w:kinsoku/>
        <w:wordWrap/>
        <w:topLinePunct w:val="0"/>
        <w:autoSpaceDE/>
        <w:autoSpaceDN/>
        <w:bidi w:val="0"/>
        <w:adjustRightInd/>
        <w:snapToGrid/>
        <w:spacing w:after="0"/>
        <w:ind w:left="0" w:leftChars="0" w:firstLine="0" w:firstLineChars="0"/>
        <w:textAlignment w:val="auto"/>
        <w:rPr>
          <w:rFonts w:hint="eastAsia"/>
        </w:rPr>
      </w:pPr>
    </w:p>
    <w:p w14:paraId="514EE5C7">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3659" w:firstLineChars="1158"/>
        <w:jc w:val="center"/>
        <w:textAlignment w:val="auto"/>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江阴市数据局</w:t>
      </w:r>
    </w:p>
    <w:p w14:paraId="43866200">
      <w:pPr>
        <w:keepNext w:val="0"/>
        <w:keepLines w:val="0"/>
        <w:pageBreakBefore w:val="0"/>
        <w:widowControl w:val="0"/>
        <w:kinsoku/>
        <w:wordWrap/>
        <w:overflowPunct/>
        <w:topLinePunct w:val="0"/>
        <w:autoSpaceDE/>
        <w:autoSpaceDN/>
        <w:bidi w:val="0"/>
        <w:adjustRightInd/>
        <w:snapToGrid/>
        <w:spacing w:line="240" w:lineRule="auto"/>
        <w:ind w:right="1264" w:rightChars="400" w:firstLine="0" w:firstLineChars="0"/>
        <w:jc w:val="right"/>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szCs w:val="32"/>
        </w:rPr>
        <w:t>202</w:t>
      </w:r>
      <w:r>
        <w:rPr>
          <w:rFonts w:hint="eastAsia" w:ascii="Times New Roman" w:hAnsi="Times New Roman" w:eastAsia="方正仿宋_GBK" w:cs="方正仿宋_GBK"/>
          <w:szCs w:val="32"/>
          <w:lang w:val="en-US" w:eastAsia="zh-CN"/>
        </w:rPr>
        <w:t>5</w:t>
      </w:r>
      <w:r>
        <w:rPr>
          <w:rFonts w:hint="eastAsia" w:ascii="Times New Roman" w:hAnsi="Times New Roman" w:eastAsia="方正仿宋_GBK" w:cs="方正仿宋_GBK"/>
          <w:szCs w:val="32"/>
        </w:rPr>
        <w:t>年</w:t>
      </w:r>
      <w:r>
        <w:rPr>
          <w:rFonts w:hint="eastAsia" w:cs="方正仿宋_GBK"/>
          <w:szCs w:val="32"/>
          <w:lang w:val="en-US" w:eastAsia="zh-CN"/>
        </w:rPr>
        <w:t>11</w:t>
      </w:r>
      <w:r>
        <w:rPr>
          <w:rFonts w:hint="eastAsia" w:ascii="Times New Roman" w:hAnsi="Times New Roman" w:eastAsia="方正仿宋_GBK" w:cs="方正仿宋_GBK"/>
          <w:szCs w:val="32"/>
        </w:rPr>
        <w:t>月</w:t>
      </w:r>
      <w:r>
        <w:rPr>
          <w:rFonts w:hint="eastAsia" w:cs="方正仿宋_GBK"/>
          <w:szCs w:val="32"/>
          <w:lang w:val="en-US" w:eastAsia="zh-CN"/>
        </w:rPr>
        <w:t>25</w:t>
      </w:r>
      <w:r>
        <w:rPr>
          <w:rFonts w:hint="eastAsia" w:ascii="Times New Roman" w:hAnsi="Times New Roman" w:eastAsia="方正仿宋_GBK" w:cs="方正仿宋_GBK"/>
          <w:szCs w:val="32"/>
        </w:rPr>
        <w:t>日</w:t>
      </w:r>
      <w:r>
        <w:rPr>
          <w:rFonts w:hint="eastAsia" w:ascii="Times New Roman" w:hAnsi="Times New Roman" w:eastAsia="方正仿宋_GBK" w:cs="方正仿宋_GBK"/>
          <w:color w:val="auto"/>
          <w:spacing w:val="0"/>
          <w:w w:val="100"/>
          <w:sz w:val="32"/>
          <w:szCs w:val="32"/>
        </w:rPr>
        <w:br w:type="page"/>
      </w:r>
    </w:p>
    <w:p w14:paraId="55F81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方正小标宋_GBK"/>
          <w:color w:val="auto"/>
          <w:spacing w:val="0"/>
          <w:w w:val="100"/>
          <w:sz w:val="44"/>
          <w:szCs w:val="44"/>
        </w:rPr>
      </w:pPr>
      <w:r>
        <w:rPr>
          <w:rFonts w:hint="eastAsia" w:ascii="Times New Roman" w:hAnsi="Times New Roman" w:eastAsia="方正小标宋_GBK" w:cs="方正小标宋_GBK"/>
          <w:color w:val="auto"/>
          <w:spacing w:val="0"/>
          <w:w w:val="100"/>
          <w:sz w:val="44"/>
          <w:szCs w:val="44"/>
        </w:rPr>
        <w:t>江阴市“社会经济类一类事”改革实施方案</w:t>
      </w:r>
    </w:p>
    <w:p w14:paraId="1B78A1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p>
    <w:p w14:paraId="01F0F4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为深化综窗改革，完善“高效办成一件事”集成服务，推进政务服务增值化改革，进一步推动政务</w:t>
      </w:r>
      <w:r>
        <w:rPr>
          <w:rFonts w:hint="eastAsia" w:cs="方正仿宋_GBK"/>
          <w:color w:val="auto"/>
          <w:spacing w:val="0"/>
          <w:w w:val="100"/>
          <w:sz w:val="32"/>
          <w:szCs w:val="32"/>
          <w:lang w:eastAsia="zh-CN"/>
        </w:rPr>
        <w:t>服务</w:t>
      </w:r>
      <w:r>
        <w:rPr>
          <w:rFonts w:hint="eastAsia" w:ascii="Times New Roman" w:hAnsi="Times New Roman" w:eastAsia="方正仿宋_GBK" w:cs="方正仿宋_GBK"/>
          <w:color w:val="auto"/>
          <w:spacing w:val="0"/>
          <w:w w:val="100"/>
          <w:sz w:val="32"/>
          <w:szCs w:val="32"/>
        </w:rPr>
        <w:t>数字化场景建设，增强企业和群众获得感，现就“社会经济类一类事”改革制定如下实施方案。</w:t>
      </w:r>
    </w:p>
    <w:p w14:paraId="67CE415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黑体_GBK" w:cs="方正黑体_GBK"/>
          <w:color w:val="auto"/>
          <w:spacing w:val="0"/>
          <w:w w:val="100"/>
          <w:sz w:val="32"/>
          <w:szCs w:val="32"/>
        </w:rPr>
      </w:pPr>
      <w:r>
        <w:rPr>
          <w:rFonts w:hint="eastAsia" w:ascii="Times New Roman" w:hAnsi="Times New Roman" w:eastAsia="方正黑体_GBK" w:cs="方正黑体_GBK"/>
          <w:color w:val="auto"/>
          <w:spacing w:val="0"/>
          <w:w w:val="100"/>
          <w:sz w:val="32"/>
          <w:szCs w:val="32"/>
        </w:rPr>
        <w:t>一、主要目标</w:t>
      </w:r>
    </w:p>
    <w:p w14:paraId="08E537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以“社会经济类一类事”为牵引，加强部门协同和服务集成，通过清单管理、流程重塑、数智赋能等举措，推动服务理念和模式的转型升级。建立覆盖经营主体全生命周期的“社会经济类一类事”重点事项清单体系，实现高频事项集成办理全覆盖，推动企业和群众办事流程更简、效率更高、体验更好，积极探索“高效办成一件事”向“高效办成一类事”拓展路径，形成“高效办成一类事”江阴特色样板。</w:t>
      </w:r>
    </w:p>
    <w:p w14:paraId="66DBC17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黑体_GBK" w:cs="方正黑体_GBK"/>
          <w:color w:val="auto"/>
          <w:spacing w:val="0"/>
          <w:w w:val="100"/>
          <w:sz w:val="32"/>
          <w:szCs w:val="32"/>
        </w:rPr>
      </w:pPr>
      <w:r>
        <w:rPr>
          <w:rFonts w:hint="eastAsia" w:ascii="Times New Roman" w:hAnsi="Times New Roman" w:eastAsia="方正黑体_GBK" w:cs="方正黑体_GBK"/>
          <w:color w:val="auto"/>
          <w:spacing w:val="0"/>
          <w:w w:val="100"/>
          <w:sz w:val="32"/>
          <w:szCs w:val="32"/>
        </w:rPr>
        <w:t>二、基本原则</w:t>
      </w:r>
    </w:p>
    <w:p w14:paraId="51C325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（一）服务升级与需求响应相契合。</w:t>
      </w:r>
      <w:r>
        <w:rPr>
          <w:rFonts w:hint="eastAsia" w:ascii="Times New Roman" w:hAnsi="Times New Roman" w:eastAsia="方正仿宋_GBK" w:cs="方正仿宋_GBK"/>
          <w:color w:val="auto"/>
          <w:spacing w:val="0"/>
          <w:w w:val="100"/>
          <w:sz w:val="32"/>
          <w:szCs w:val="32"/>
        </w:rPr>
        <w:t>按实际应用场景与业务情形对关联“单项事”进行科学归集，全面优化办理流程，通过主题式集成、套餐式供给，推动政务服务从“分散办理”向“集成服务”升级，更好满足企业和群众办事需求。</w:t>
      </w:r>
    </w:p>
    <w:p w14:paraId="276A9A9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（二）重点突破与系统集成相统筹。</w:t>
      </w:r>
      <w:r>
        <w:rPr>
          <w:rFonts w:hint="eastAsia" w:ascii="Times New Roman" w:hAnsi="Times New Roman" w:eastAsia="方正仿宋_GBK" w:cs="方正仿宋_GBK"/>
          <w:color w:val="auto"/>
          <w:spacing w:val="0"/>
          <w:w w:val="100"/>
          <w:sz w:val="32"/>
          <w:szCs w:val="32"/>
        </w:rPr>
        <w:t>聚焦高频重点事项和关键环节，集中力量攻坚突破，以点带面推动整体提升；强化各环节、各领域的协同配合，注重系统集成发力，形成工作合力，提升整体效能。</w:t>
      </w:r>
    </w:p>
    <w:p w14:paraId="4F19EDB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（三）数字赋能与创新驱动相促进。</w:t>
      </w:r>
      <w:r>
        <w:rPr>
          <w:rFonts w:hint="eastAsia" w:ascii="Times New Roman" w:hAnsi="Times New Roman" w:eastAsia="方正仿宋_GBK" w:cs="方正仿宋_GBK"/>
          <w:color w:val="auto"/>
          <w:spacing w:val="0"/>
          <w:w w:val="100"/>
          <w:sz w:val="32"/>
          <w:szCs w:val="32"/>
        </w:rPr>
        <w:t>深化数字技术在政务服务中的应用，推动服务流程智能化、办事渠道便捷化；坚持创新驱动发展，激发全社会创新活力，促进科技成果转化应用，以创新引领“社会经济类一类事”改革走深走实。</w:t>
      </w:r>
    </w:p>
    <w:p w14:paraId="7560CAC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黑体_GBK" w:cs="方正黑体_GBK"/>
          <w:color w:val="auto"/>
          <w:spacing w:val="0"/>
          <w:w w:val="100"/>
          <w:sz w:val="32"/>
          <w:szCs w:val="32"/>
        </w:rPr>
      </w:pPr>
      <w:r>
        <w:rPr>
          <w:rFonts w:hint="eastAsia" w:ascii="Times New Roman" w:hAnsi="Times New Roman" w:eastAsia="方正黑体_GBK" w:cs="方正黑体_GBK"/>
          <w:color w:val="auto"/>
          <w:spacing w:val="0"/>
          <w:w w:val="100"/>
          <w:sz w:val="32"/>
          <w:szCs w:val="32"/>
        </w:rPr>
        <w:t>三、重点任务</w:t>
      </w:r>
    </w:p>
    <w:p w14:paraId="3FD04A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楷体_GBK" w:cs="方正楷体_GBK"/>
          <w:b/>
          <w:bCs/>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（一）加强重点事项清单管理。</w:t>
      </w:r>
    </w:p>
    <w:p w14:paraId="3B060CC5">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1</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明确事项清单。</w:t>
      </w:r>
      <w:r>
        <w:rPr>
          <w:rFonts w:hint="eastAsia" w:ascii="Times New Roman" w:hAnsi="Times New Roman" w:eastAsia="方正仿宋_GBK" w:cs="方正仿宋_GBK"/>
          <w:color w:val="auto"/>
          <w:spacing w:val="0"/>
          <w:w w:val="100"/>
          <w:sz w:val="32"/>
          <w:szCs w:val="32"/>
        </w:rPr>
        <w:t>围绕经营主体从开办到注销的全生命周期，深入调研梳理办理量大、覆盖面广、关联性强的应用场景，结合企业需求，科学制定江阴市“社会经济类一类事”重点事项清单。建立动态更新机制，根据经济社会发展变化和工作实际，及时完善清单，确保清单科学准确。</w:t>
      </w:r>
    </w:p>
    <w:p w14:paraId="796BB9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2</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分批发布清单。</w:t>
      </w:r>
      <w:r>
        <w:rPr>
          <w:rFonts w:hint="eastAsia" w:ascii="Times New Roman" w:hAnsi="Times New Roman" w:eastAsia="方正仿宋_GBK" w:cs="方正仿宋_GBK"/>
          <w:color w:val="auto"/>
          <w:spacing w:val="0"/>
          <w:w w:val="100"/>
          <w:sz w:val="32"/>
          <w:szCs w:val="32"/>
        </w:rPr>
        <w:t>在重点事项清单基础上，按照“成熟一批、发布一批”原则，组织相关部门开展重点事项评估论证，分批发布“社会经济类一类事”重点事项清单。明确每个事项的牵头部门和配合部门，细化责任分工，确保各项工作有序开展。建立清单实施跟踪督导和评估机制，及时发现并解决实施过程中的问题。</w:t>
      </w:r>
    </w:p>
    <w:p w14:paraId="6D70C88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3</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探索特色清单。</w:t>
      </w:r>
      <w:r>
        <w:rPr>
          <w:rFonts w:hint="eastAsia" w:ascii="Times New Roman" w:hAnsi="Times New Roman" w:eastAsia="方正仿宋_GBK" w:cs="方正仿宋_GBK"/>
          <w:color w:val="auto"/>
          <w:spacing w:val="0"/>
          <w:w w:val="100"/>
          <w:sz w:val="32"/>
          <w:szCs w:val="32"/>
        </w:rPr>
        <w:t>紧密结合江阴市地域特色与行业特点，聚焦企业和群众实际需求，深挖产业扶持、工程建设等领域应用场景。积极推动银行、医院、电信等企事业单位公共服务事项纳入“社会经济类一类事”办理范围，建立江阴市特色事项清单。加强与相关企事业单位沟通协调，制定专项实施方案，稳步推进特色事项落地实施。</w:t>
      </w:r>
    </w:p>
    <w:p w14:paraId="36E88C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楷体_GBK" w:cs="方正楷体_GBK"/>
          <w:b/>
          <w:bCs/>
          <w:color w:val="auto"/>
          <w:spacing w:val="0"/>
          <w:w w:val="100"/>
          <w:sz w:val="32"/>
          <w:szCs w:val="32"/>
        </w:rPr>
      </w:pPr>
      <w:r>
        <w:rPr>
          <w:rFonts w:hint="eastAsia" w:ascii="Times New Roman" w:hAnsi="Times New Roman" w:eastAsia="方正楷体_GBK" w:cs="方正楷体_GBK"/>
          <w:b/>
          <w:bCs/>
          <w:color w:val="auto"/>
          <w:spacing w:val="0"/>
          <w:w w:val="100"/>
          <w:sz w:val="32"/>
          <w:szCs w:val="32"/>
        </w:rPr>
        <w:t>（二）推动重点事项高效办理。</w:t>
      </w:r>
    </w:p>
    <w:p w14:paraId="7F6138F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1</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优化办理流程。</w:t>
      </w:r>
      <w:r>
        <w:rPr>
          <w:rFonts w:hint="eastAsia" w:ascii="Times New Roman" w:hAnsi="Times New Roman" w:eastAsia="方正仿宋_GBK" w:cs="方正仿宋_GBK"/>
          <w:color w:val="auto"/>
          <w:spacing w:val="0"/>
          <w:w w:val="100"/>
          <w:sz w:val="32"/>
          <w:szCs w:val="32"/>
        </w:rPr>
        <w:t>企业和群众可自由选择具体事项单独办理或集成办理，不得强制要求集成办理。采集阶段做到“一套材料、一次采集、多方复用”，审核阶段做到“审核合一、能快则快、一次办结”，确保“一类事”在承诺时限内办结，大幅压减办理时长和跑动次数，提高办事效率。</w:t>
      </w:r>
    </w:p>
    <w:p w14:paraId="023E46B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2</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优化审批流程。</w:t>
      </w:r>
      <w:r>
        <w:rPr>
          <w:rFonts w:hint="eastAsia" w:ascii="Times New Roman" w:hAnsi="Times New Roman" w:eastAsia="方正仿宋_GBK" w:cs="方正仿宋_GBK"/>
          <w:color w:val="auto"/>
          <w:spacing w:val="0"/>
          <w:w w:val="100"/>
          <w:sz w:val="32"/>
          <w:szCs w:val="32"/>
        </w:rPr>
        <w:t>构建审批事项智能分发模块，依托业务逻辑和预设规则，自动识别判断事项办理顺序，精准分发至对应审批系统。实现办件智能拆分功能，将集成事项独立推送至各相关审批系统，审批环节实时共享结果信息，确保审批流程顺畅衔接、高效运转，缩短审批周期。</w:t>
      </w:r>
    </w:p>
    <w:p w14:paraId="23A876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3</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强化数据共享。</w:t>
      </w:r>
      <w:r>
        <w:rPr>
          <w:rFonts w:hint="eastAsia" w:ascii="Times New Roman" w:hAnsi="Times New Roman" w:eastAsia="方正仿宋_GBK" w:cs="方正仿宋_GBK"/>
          <w:color w:val="auto"/>
          <w:spacing w:val="0"/>
          <w:w w:val="100"/>
          <w:sz w:val="32"/>
          <w:szCs w:val="32"/>
        </w:rPr>
        <w:t>强化政务数据共享对接，建立跨部门、跨层级数据共享机制，实现表单数据智能预填、证照材料自动获取。推动事项间数据自动传递与共享，已办理事项结果自动补全至后续事项申请材料，避免企业和群众重复提交材料，提升数据利用效率。</w:t>
      </w:r>
    </w:p>
    <w:p w14:paraId="4701913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4</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探索人工智能。</w:t>
      </w:r>
      <w:r>
        <w:rPr>
          <w:rFonts w:hint="eastAsia" w:ascii="Times New Roman" w:hAnsi="Times New Roman" w:eastAsia="方正仿宋_GBK" w:cs="方正仿宋_GBK"/>
          <w:color w:val="auto"/>
          <w:spacing w:val="0"/>
          <w:w w:val="100"/>
          <w:sz w:val="32"/>
          <w:szCs w:val="32"/>
        </w:rPr>
        <w:t>在严守数据安全、网络安全底线的前提下，聚焦“社会经济类一类事”应用场景，推进人工智能大模型应用。搭建智能问答系统，实时回应企业和群众关于办事流程、政策法规等问题咨询，提供精准办事指南和解决方案，实现“边聊边办”；优化智能引导服务，根据企业和群众需求及办事场景，精准规划办事路径，引导高效完成事项办理，提升政务服务智能化水平。</w:t>
      </w:r>
    </w:p>
    <w:p w14:paraId="17C6B07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5</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提升线上线下服务。</w:t>
      </w:r>
      <w:r>
        <w:rPr>
          <w:rFonts w:hint="eastAsia" w:ascii="Times New Roman" w:hAnsi="Times New Roman" w:eastAsia="方正仿宋_GBK" w:cs="方正仿宋_GBK"/>
          <w:color w:val="auto"/>
          <w:spacing w:val="0"/>
          <w:w w:val="100"/>
          <w:sz w:val="32"/>
          <w:szCs w:val="32"/>
        </w:rPr>
        <w:t>依托江阴市现有“一网通办”平台，加大业务系统集约整合和互联互通力度，实现业务协同办理。统筹线上线下服务资源，保留必要线下服务渠道，优化线下大厅导办服务，满足不同群体的办事需求，提供优质高效的全渠道服务。</w:t>
      </w:r>
    </w:p>
    <w:p w14:paraId="4E0D18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楷体_GBK" w:cs="方正楷体_GBK"/>
          <w:b/>
          <w:bCs/>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（三）拓展“社会经济类一类事”应用领域。</w:t>
      </w:r>
    </w:p>
    <w:p w14:paraId="23F267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1</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推进服务集成化，开展特定企业、重点产业链发展等“一类事”集成服务。</w:t>
      </w:r>
      <w:r>
        <w:rPr>
          <w:rFonts w:hint="eastAsia" w:ascii="Times New Roman" w:hAnsi="Times New Roman" w:eastAsia="方正仿宋_GBK" w:cs="方正仿宋_GBK"/>
          <w:color w:val="auto"/>
          <w:spacing w:val="0"/>
          <w:w w:val="100"/>
          <w:sz w:val="32"/>
          <w:szCs w:val="32"/>
        </w:rPr>
        <w:t>针对不同类型企业和产业链特点，制定个性化服务方案，提供一站式、全链条服务。通过典型案例分析总结，推动从解决单个诉求向破解一类问题转变，形成可复制、可推广的长效工作机制。</w:t>
      </w:r>
    </w:p>
    <w:p w14:paraId="44AF45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2</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提升综合监管质效。</w:t>
      </w:r>
      <w:r>
        <w:rPr>
          <w:rFonts w:hint="eastAsia" w:ascii="Times New Roman" w:hAnsi="Times New Roman" w:eastAsia="方正仿宋_GBK" w:cs="方正仿宋_GBK"/>
          <w:color w:val="auto"/>
          <w:spacing w:val="0"/>
          <w:w w:val="100"/>
          <w:sz w:val="32"/>
          <w:szCs w:val="32"/>
        </w:rPr>
        <w:t>按照“社会经济类一类事”要求，推动审批服务协同联动，加强审批部门与监管部门的沟通协调，确保事项办理全链条无断点、无缝隙。建立健全综合监管机制，整合监管资源，构建信息共享、协同联动的综合监管体系。</w:t>
      </w:r>
    </w:p>
    <w:p w14:paraId="2BA654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color w:val="auto"/>
          <w:spacing w:val="0"/>
          <w:w w:val="100"/>
          <w:sz w:val="32"/>
          <w:szCs w:val="32"/>
        </w:rPr>
        <w:t>3</w:t>
      </w:r>
      <w:r>
        <w:rPr>
          <w:rFonts w:hint="eastAsia" w:ascii="Times New Roman" w:hAnsi="Times New Roman" w:eastAsia="方正楷体_GBK" w:cs="方正楷体_GBK"/>
          <w:color w:val="auto"/>
          <w:spacing w:val="0"/>
          <w:w w:val="100"/>
          <w:sz w:val="32"/>
          <w:szCs w:val="32"/>
          <w:lang w:eastAsia="zh-CN"/>
        </w:rPr>
        <w:t>．</w:t>
      </w:r>
      <w:r>
        <w:rPr>
          <w:rFonts w:hint="eastAsia" w:ascii="Times New Roman" w:hAnsi="Times New Roman" w:eastAsia="方正楷体_GBK" w:cs="方正楷体_GBK"/>
          <w:color w:val="auto"/>
          <w:spacing w:val="0"/>
          <w:w w:val="100"/>
          <w:sz w:val="32"/>
          <w:szCs w:val="32"/>
        </w:rPr>
        <w:t>提高政务运行效能。</w:t>
      </w:r>
      <w:r>
        <w:rPr>
          <w:rFonts w:hint="eastAsia" w:ascii="Times New Roman" w:hAnsi="Times New Roman" w:eastAsia="方正仿宋_GBK" w:cs="方正仿宋_GBK"/>
          <w:color w:val="auto"/>
          <w:spacing w:val="0"/>
          <w:w w:val="100"/>
          <w:sz w:val="32"/>
          <w:szCs w:val="32"/>
        </w:rPr>
        <w:t>全面梳理优化事项办理流程，减少不必要的审批环节和申请材料，简化办事手续，提高办事效率。加强政务运行效能监测和评估机制，及时发现问题并整改，持续提升政务运行效率和服务质量。</w:t>
      </w:r>
    </w:p>
    <w:p w14:paraId="74C59AA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黑体_GBK" w:cs="方正黑体_GBK"/>
          <w:color w:val="auto"/>
          <w:spacing w:val="0"/>
          <w:w w:val="100"/>
          <w:sz w:val="32"/>
          <w:szCs w:val="32"/>
        </w:rPr>
      </w:pPr>
      <w:r>
        <w:rPr>
          <w:rFonts w:hint="eastAsia" w:ascii="Times New Roman" w:hAnsi="Times New Roman" w:eastAsia="方正黑体_GBK" w:cs="方正黑体_GBK"/>
          <w:color w:val="auto"/>
          <w:spacing w:val="0"/>
          <w:w w:val="100"/>
          <w:sz w:val="32"/>
          <w:szCs w:val="32"/>
        </w:rPr>
        <w:t>四、实施步骤</w:t>
      </w:r>
    </w:p>
    <w:p w14:paraId="6C58AB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（一）启动筹备阶段（2025年9月底前）。</w:t>
      </w:r>
      <w:r>
        <w:rPr>
          <w:rFonts w:hint="eastAsia" w:ascii="Times New Roman" w:hAnsi="Times New Roman" w:eastAsia="方正仿宋_GBK" w:cs="方正仿宋_GBK"/>
          <w:color w:val="auto"/>
          <w:spacing w:val="0"/>
          <w:w w:val="100"/>
          <w:sz w:val="32"/>
          <w:szCs w:val="32"/>
        </w:rPr>
        <w:t>组建“社会经济一类事”改革专班，明确职责分工及实施步骤。</w:t>
      </w:r>
    </w:p>
    <w:p w14:paraId="23D5E75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（二）组织实施阶段（2025年10月至11月）。</w:t>
      </w:r>
      <w:r>
        <w:rPr>
          <w:rFonts w:hint="eastAsia" w:ascii="Times New Roman" w:hAnsi="Times New Roman" w:eastAsia="方正仿宋_GBK" w:cs="方正仿宋_GBK"/>
          <w:color w:val="auto"/>
          <w:spacing w:val="0"/>
          <w:w w:val="100"/>
          <w:sz w:val="32"/>
          <w:szCs w:val="32"/>
        </w:rPr>
        <w:t>明确第一批“社会经济类一类事”重点事项清单，梳理业务流程，开发线上办理平台。</w:t>
      </w:r>
    </w:p>
    <w:p w14:paraId="213C21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（三）全面推广阶段（2025年11月至12月）。</w:t>
      </w:r>
      <w:r>
        <w:rPr>
          <w:rFonts w:hint="eastAsia" w:ascii="Times New Roman" w:hAnsi="Times New Roman" w:eastAsia="方正仿宋_GBK" w:cs="方正仿宋_GBK"/>
          <w:color w:val="auto"/>
          <w:spacing w:val="0"/>
          <w:w w:val="100"/>
          <w:sz w:val="32"/>
          <w:szCs w:val="32"/>
        </w:rPr>
        <w:t>全面落实第一批“社会经济类一类事”重点事项清单，提高知晓度和使用率。</w:t>
      </w:r>
    </w:p>
    <w:p w14:paraId="7F5660E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（四）总结验收阶段（2025年12月）。</w:t>
      </w:r>
      <w:r>
        <w:rPr>
          <w:rFonts w:hint="eastAsia" w:ascii="Times New Roman" w:hAnsi="Times New Roman" w:eastAsia="方正仿宋_GBK" w:cs="方正仿宋_GBK"/>
          <w:color w:val="auto"/>
          <w:spacing w:val="0"/>
          <w:w w:val="100"/>
          <w:sz w:val="32"/>
          <w:szCs w:val="32"/>
        </w:rPr>
        <w:t>对“社会经济类一类事”改革工作进行总结，巩固成果。</w:t>
      </w:r>
    </w:p>
    <w:p w14:paraId="1ECE5F8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黑体_GBK" w:cs="方正黑体_GBK"/>
          <w:color w:val="auto"/>
          <w:spacing w:val="0"/>
          <w:w w:val="100"/>
          <w:sz w:val="32"/>
          <w:szCs w:val="32"/>
        </w:rPr>
      </w:pPr>
      <w:r>
        <w:rPr>
          <w:rFonts w:hint="eastAsia" w:ascii="Times New Roman" w:hAnsi="Times New Roman" w:eastAsia="方正黑体_GBK" w:cs="方正黑体_GBK"/>
          <w:color w:val="auto"/>
          <w:spacing w:val="0"/>
          <w:w w:val="100"/>
          <w:sz w:val="32"/>
          <w:szCs w:val="32"/>
        </w:rPr>
        <w:t>五、工作职责</w:t>
      </w:r>
    </w:p>
    <w:p w14:paraId="5EB7C94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楷体_GBK" w:cs="方正楷体_GBK"/>
          <w:b/>
          <w:bCs/>
          <w:color w:val="auto"/>
          <w:spacing w:val="0"/>
          <w:w w:val="100"/>
          <w:sz w:val="32"/>
          <w:szCs w:val="32"/>
          <w:lang w:eastAsia="zh-CN"/>
        </w:rPr>
      </w:pPr>
      <w:r>
        <w:rPr>
          <w:rFonts w:hint="eastAsia" w:ascii="Times New Roman" w:hAnsi="Times New Roman" w:eastAsia="方正楷体_GBK" w:cs="方正楷体_GBK"/>
          <w:b/>
          <w:bCs/>
          <w:color w:val="auto"/>
          <w:spacing w:val="0"/>
          <w:w w:val="100"/>
          <w:sz w:val="32"/>
          <w:szCs w:val="32"/>
        </w:rPr>
        <w:t>（一）综合服务窗口职责</w:t>
      </w:r>
      <w:r>
        <w:rPr>
          <w:rFonts w:hint="eastAsia" w:ascii="Times New Roman" w:hAnsi="Times New Roman" w:eastAsia="方正楷体_GBK" w:cs="方正楷体_GBK"/>
          <w:b/>
          <w:bCs/>
          <w:color w:val="auto"/>
          <w:spacing w:val="0"/>
          <w:w w:val="100"/>
          <w:sz w:val="32"/>
          <w:szCs w:val="32"/>
          <w:lang w:eastAsia="zh-CN"/>
        </w:rPr>
        <w:t>。</w:t>
      </w:r>
    </w:p>
    <w:p w14:paraId="550627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1</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做好相关咨询服务工作，处理群众投诉和其他按一般程序难以办成需要协调的事项。</w:t>
      </w:r>
    </w:p>
    <w:p w14:paraId="3BCA7F6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2</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根据审查要点、收件清单及样本对群众和企业办事申请材料是否齐备、规范进行核查。</w:t>
      </w:r>
    </w:p>
    <w:p w14:paraId="0A7490A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3</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对快递寄送材料进行签收、分发、登记等处理。</w:t>
      </w:r>
    </w:p>
    <w:p w14:paraId="459BDE9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4</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将受理的办件移交后台分类审批部门并做好后续跟踪工作。</w:t>
      </w:r>
    </w:p>
    <w:p w14:paraId="07D783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5</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负责业务部门办理结果文书或证书的统一出件和寄递服务。</w:t>
      </w:r>
    </w:p>
    <w:p w14:paraId="0587791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楷体_GBK" w:cs="方正楷体_GBK"/>
          <w:b/>
          <w:bCs/>
          <w:color w:val="auto"/>
          <w:spacing w:val="0"/>
          <w:w w:val="100"/>
          <w:sz w:val="32"/>
          <w:szCs w:val="32"/>
          <w:lang w:eastAsia="zh-CN"/>
        </w:rPr>
      </w:pPr>
      <w:r>
        <w:rPr>
          <w:rFonts w:hint="eastAsia" w:ascii="Times New Roman" w:hAnsi="Times New Roman" w:eastAsia="方正楷体_GBK" w:cs="方正楷体_GBK"/>
          <w:b/>
          <w:bCs/>
          <w:color w:val="auto"/>
          <w:spacing w:val="0"/>
          <w:w w:val="100"/>
          <w:sz w:val="32"/>
          <w:szCs w:val="32"/>
        </w:rPr>
        <w:t>（二）进驻窗口部门职责</w:t>
      </w:r>
      <w:r>
        <w:rPr>
          <w:rFonts w:hint="eastAsia" w:ascii="Times New Roman" w:hAnsi="Times New Roman" w:eastAsia="方正楷体_GBK" w:cs="方正楷体_GBK"/>
          <w:b/>
          <w:bCs/>
          <w:color w:val="auto"/>
          <w:spacing w:val="0"/>
          <w:w w:val="100"/>
          <w:sz w:val="32"/>
          <w:szCs w:val="32"/>
          <w:lang w:eastAsia="zh-CN"/>
        </w:rPr>
        <w:t>。</w:t>
      </w:r>
    </w:p>
    <w:p w14:paraId="021A5C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1</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明确“社会经济类一类事”事项清单，制定服务办事指南，及时提供收件清单和样本；及时、准确、动态调整申请材料，不得无法定依据设置各类前置条件；梳理事项的审查要点，并根据相关要求，及时更新，实现线上线下标准一致。</w:t>
      </w:r>
    </w:p>
    <w:p w14:paraId="7BA2DD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2</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明确“社会经济类一类事”平台的后台审批服务人员，定期开展业务培训，并稳妥做好与平台开发技术人员、其他相关窗口部门的衔接，按照时限要求和程序完成办理流程，制作相关证照或结果文书，及时回送前台综窗出件。</w:t>
      </w:r>
    </w:p>
    <w:p w14:paraId="55BAB81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3</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协调完成需技术论证或踏勘等环节的事项业务。</w:t>
      </w:r>
    </w:p>
    <w:p w14:paraId="6FD027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4</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为服务对象提供疑难杂症的咨询解答工作，并按照要求做好网上、电话等渠道的实时咨询服务。</w:t>
      </w:r>
    </w:p>
    <w:p w14:paraId="29D313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5</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协助市政务服务管理部门对“社会经济类一类事”工作进行监督。</w:t>
      </w:r>
    </w:p>
    <w:p w14:paraId="7DB462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楷体_GBK" w:cs="方正楷体_GBK"/>
          <w:b/>
          <w:bCs/>
          <w:color w:val="auto"/>
          <w:spacing w:val="0"/>
          <w:w w:val="100"/>
          <w:sz w:val="32"/>
          <w:szCs w:val="32"/>
          <w:lang w:eastAsia="zh-CN"/>
        </w:rPr>
      </w:pPr>
      <w:r>
        <w:rPr>
          <w:rFonts w:hint="eastAsia" w:ascii="Times New Roman" w:hAnsi="Times New Roman" w:eastAsia="方正楷体_GBK" w:cs="方正楷体_GBK"/>
          <w:b/>
          <w:bCs/>
          <w:color w:val="auto"/>
          <w:spacing w:val="0"/>
          <w:w w:val="100"/>
          <w:sz w:val="32"/>
          <w:szCs w:val="32"/>
        </w:rPr>
        <w:t>（三）政务服务管理部门职责</w:t>
      </w:r>
      <w:r>
        <w:rPr>
          <w:rFonts w:hint="eastAsia" w:ascii="Times New Roman" w:hAnsi="Times New Roman" w:eastAsia="方正楷体_GBK" w:cs="方正楷体_GBK"/>
          <w:b/>
          <w:bCs/>
          <w:color w:val="auto"/>
          <w:spacing w:val="0"/>
          <w:w w:val="100"/>
          <w:sz w:val="32"/>
          <w:szCs w:val="32"/>
          <w:lang w:eastAsia="zh-CN"/>
        </w:rPr>
        <w:t>。</w:t>
      </w:r>
    </w:p>
    <w:p w14:paraId="63EEBE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1</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负责统筹指导业务流程、业务规范，并做好线上“一类事”平台建设。</w:t>
      </w:r>
    </w:p>
    <w:p w14:paraId="27DE08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2</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建立日常争议解决机制及受理业务规范动态调整机制，协调督促相关部门对受理业务过程中的疑难问题限时处理。</w:t>
      </w:r>
    </w:p>
    <w:p w14:paraId="4B3669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3</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根据群众和企业办事需求提供代办、帮办及咨询等服务。</w:t>
      </w:r>
    </w:p>
    <w:p w14:paraId="3136D57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4</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做好各进驻窗口部门对外公布的办事指南、审查要点和收件清单等材料审核把关工作。</w:t>
      </w:r>
    </w:p>
    <w:p w14:paraId="5B2FEA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黑体_GBK" w:cs="方正黑体_GBK"/>
          <w:color w:val="auto"/>
          <w:spacing w:val="0"/>
          <w:w w:val="100"/>
          <w:sz w:val="32"/>
          <w:szCs w:val="32"/>
        </w:rPr>
      </w:pPr>
      <w:r>
        <w:rPr>
          <w:rFonts w:hint="eastAsia" w:ascii="Times New Roman" w:hAnsi="Times New Roman" w:eastAsia="方正黑体_GBK" w:cs="方正黑体_GBK"/>
          <w:color w:val="auto"/>
          <w:spacing w:val="0"/>
          <w:w w:val="100"/>
          <w:sz w:val="32"/>
          <w:szCs w:val="32"/>
        </w:rPr>
        <w:t>六、工作流程</w:t>
      </w:r>
    </w:p>
    <w:p w14:paraId="51C263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（一）咨询指导。</w:t>
      </w:r>
      <w:r>
        <w:rPr>
          <w:rFonts w:hint="eastAsia" w:ascii="Times New Roman" w:hAnsi="Times New Roman" w:eastAsia="方正仿宋_GBK" w:cs="方正仿宋_GBK"/>
          <w:color w:val="auto"/>
          <w:spacing w:val="0"/>
          <w:w w:val="100"/>
          <w:sz w:val="32"/>
          <w:szCs w:val="32"/>
        </w:rPr>
        <w:t>申请人可通过线上线下的方式咨询一类事业务，线下到社会经济类综合窗口或线上在“一类事”平台，可获取“社会经济类一类事”办事指南，供办理业务参考。若相关事项提供事前踏勘指导服务，申请人可现场或线上提出申请，由涉及事项部门组织踏勘提供指导意见。</w:t>
      </w:r>
    </w:p>
    <w:p w14:paraId="3178BB8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（二）材料提交。</w:t>
      </w:r>
      <w:r>
        <w:rPr>
          <w:rFonts w:hint="eastAsia" w:ascii="Times New Roman" w:hAnsi="Times New Roman" w:eastAsia="方正仿宋_GBK" w:cs="方正仿宋_GBK"/>
          <w:color w:val="auto"/>
          <w:spacing w:val="0"/>
          <w:w w:val="100"/>
          <w:sz w:val="32"/>
          <w:szCs w:val="32"/>
        </w:rPr>
        <w:t>申请人按需求选择套餐事项，并提交申请材料，所有涉及审批事项申请材料整合为一套材料清单，通过信息共享和电子证照应用，不同事项相同的证明材料免于重复提交。</w:t>
      </w:r>
    </w:p>
    <w:p w14:paraId="30FE5C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（三）并联审批。</w:t>
      </w:r>
      <w:r>
        <w:rPr>
          <w:rFonts w:hint="eastAsia" w:ascii="Times New Roman" w:hAnsi="Times New Roman" w:eastAsia="方正仿宋_GBK" w:cs="方正仿宋_GBK"/>
          <w:color w:val="auto"/>
          <w:spacing w:val="0"/>
          <w:w w:val="100"/>
          <w:sz w:val="32"/>
          <w:szCs w:val="32"/>
        </w:rPr>
        <w:t>线上由申请人直接填报电子材料，通过一类事平台流转方式分发至各部门，并明确审批时限要求；线下由综窗人员引导申请人至自助网办区登录一类事平台办理或为其提供帮办代办服务。</w:t>
      </w:r>
    </w:p>
    <w:p w14:paraId="2D1075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lang w:eastAsia="zh-CN"/>
        </w:rPr>
      </w:pPr>
      <w:r>
        <w:rPr>
          <w:rFonts w:hint="eastAsia" w:ascii="Times New Roman" w:hAnsi="Times New Roman" w:eastAsia="方正仿宋_GBK" w:cs="方正仿宋_GBK"/>
          <w:color w:val="auto"/>
          <w:spacing w:val="0"/>
          <w:w w:val="100"/>
          <w:sz w:val="32"/>
          <w:szCs w:val="32"/>
        </w:rPr>
        <w:t>（1）对于材料齐全的即办类、承诺类事项，及时受理</w:t>
      </w:r>
      <w:r>
        <w:rPr>
          <w:rFonts w:hint="eastAsia" w:cs="方正仿宋_GBK"/>
          <w:color w:val="auto"/>
          <w:spacing w:val="0"/>
          <w:w w:val="100"/>
          <w:sz w:val="32"/>
          <w:szCs w:val="32"/>
          <w:lang w:eastAsia="zh-CN"/>
        </w:rPr>
        <w:t>。</w:t>
      </w:r>
    </w:p>
    <w:p w14:paraId="67806A8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（2）对于材料需补齐的，“一类事”平台提示并一次性列出缺少材料名录以及补齐材料的途径或方法，方便群众方便快捷地补齐材料，实现“最多跑一次”。</w:t>
      </w:r>
    </w:p>
    <w:p w14:paraId="63F137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（3）需要勘察等特殊环节的，审批人员及时告知或辅导申请人做好相关准备工作。</w:t>
      </w:r>
    </w:p>
    <w:p w14:paraId="248AA67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（四）事项办结。</w:t>
      </w:r>
      <w:r>
        <w:rPr>
          <w:rFonts w:hint="eastAsia" w:ascii="Times New Roman" w:hAnsi="Times New Roman" w:eastAsia="方正仿宋_GBK" w:cs="方正仿宋_GBK"/>
          <w:color w:val="auto"/>
          <w:spacing w:val="0"/>
          <w:w w:val="100"/>
          <w:sz w:val="32"/>
          <w:szCs w:val="32"/>
        </w:rPr>
        <w:t>各审批部门在规定时限内完成核查审批并将结果上传至一类事平台，由社会经济类综窗统一告知结果，分批或统一颁发证照给申请人，亦可为申请人提供邮寄收件服务。</w:t>
      </w:r>
    </w:p>
    <w:p w14:paraId="2AAC387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黑体_GBK" w:cs="方正黑体_GBK"/>
          <w:color w:val="auto"/>
          <w:spacing w:val="0"/>
          <w:w w:val="100"/>
          <w:sz w:val="32"/>
          <w:szCs w:val="32"/>
        </w:rPr>
      </w:pPr>
      <w:r>
        <w:rPr>
          <w:rFonts w:hint="eastAsia" w:ascii="Times New Roman" w:hAnsi="Times New Roman" w:eastAsia="方正黑体_GBK" w:cs="方正黑体_GBK"/>
          <w:color w:val="auto"/>
          <w:spacing w:val="0"/>
          <w:w w:val="100"/>
          <w:sz w:val="32"/>
          <w:szCs w:val="32"/>
        </w:rPr>
        <w:t>七、组织保障</w:t>
      </w:r>
    </w:p>
    <w:p w14:paraId="5B61A8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（一）加强组织领导。</w:t>
      </w:r>
      <w:r>
        <w:rPr>
          <w:rFonts w:hint="eastAsia" w:ascii="Times New Roman" w:hAnsi="Times New Roman" w:eastAsia="方正仿宋_GBK" w:cs="方正仿宋_GBK"/>
          <w:color w:val="auto"/>
          <w:spacing w:val="0"/>
          <w:w w:val="100"/>
          <w:sz w:val="32"/>
          <w:szCs w:val="32"/>
        </w:rPr>
        <w:t>“社会经济类一类事”改革是优化营商环境的重要举措，是贯彻落实国家和省市改革意见的重要内容。各部门要高度重视，切实加强组织领导。市数据局要牵头建立工作协调机制，明确各部门职责分工，加强协同配合，全面推进改革任务落实。</w:t>
      </w:r>
    </w:p>
    <w:p w14:paraId="5F0822A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（二）加强事前事中指导和事后监管。</w:t>
      </w:r>
      <w:r>
        <w:rPr>
          <w:rFonts w:hint="eastAsia" w:ascii="Times New Roman" w:hAnsi="Times New Roman" w:eastAsia="方正仿宋_GBK" w:cs="方正仿宋_GBK"/>
          <w:color w:val="auto"/>
          <w:spacing w:val="0"/>
          <w:w w:val="100"/>
          <w:sz w:val="32"/>
          <w:szCs w:val="32"/>
        </w:rPr>
        <w:t>针对“社会经济类一类事”跨部门、跨业务、跨层级的特点，各部门要加强事前事中指导，健全监管制度，明确各环节监管部门及职责，完善监管规则和标准，落实监管措施，实施事前事中全方位指导和事后全链条监管。</w:t>
      </w:r>
    </w:p>
    <w:p w14:paraId="67F6FA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楷体_GBK" w:cs="方正楷体_GBK"/>
          <w:b/>
          <w:bCs/>
          <w:color w:val="auto"/>
          <w:spacing w:val="0"/>
          <w:w w:val="100"/>
          <w:sz w:val="32"/>
          <w:szCs w:val="32"/>
        </w:rPr>
        <w:t>（三）加强宣传培训。</w:t>
      </w:r>
      <w:r>
        <w:rPr>
          <w:rFonts w:hint="eastAsia" w:ascii="Times New Roman" w:hAnsi="Times New Roman" w:eastAsia="方正仿宋_GBK" w:cs="方正仿宋_GBK"/>
          <w:color w:val="auto"/>
          <w:spacing w:val="0"/>
          <w:w w:val="100"/>
          <w:sz w:val="32"/>
          <w:szCs w:val="32"/>
        </w:rPr>
        <w:t>要充分利用报纸、互联网、政务网站、微信公众号等宣传媒介，加大“社会经济类一类事”宣传力度，及时了解企业群众“社会经济类一类事”服务的意见和建议，根据意见建议开展功能、流程、内容的持续优化服务，不断提升“社会经济类一类事”服务便捷度、社会认知度和群众满意度。</w:t>
      </w:r>
    </w:p>
    <w:p w14:paraId="324ED8E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p>
    <w:p w14:paraId="1299DA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sz w:val="32"/>
          <w:szCs w:val="32"/>
        </w:rPr>
        <w:t>附件：1</w:t>
      </w:r>
      <w:r>
        <w:rPr>
          <w:rFonts w:hint="eastAsia" w:ascii="Times New Roman" w:hAnsi="Times New Roman" w:cs="方正仿宋_GBK"/>
          <w:color w:val="auto"/>
          <w:spacing w:val="0"/>
          <w:w w:val="100"/>
          <w:sz w:val="32"/>
          <w:szCs w:val="32"/>
          <w:lang w:eastAsia="zh-CN"/>
        </w:rPr>
        <w:t>．</w:t>
      </w:r>
      <w:r>
        <w:rPr>
          <w:rFonts w:hint="eastAsia" w:ascii="Times New Roman" w:hAnsi="Times New Roman" w:eastAsia="方正仿宋_GBK" w:cs="方正仿宋_GBK"/>
          <w:color w:val="auto"/>
          <w:spacing w:val="0"/>
          <w:w w:val="100"/>
          <w:sz w:val="32"/>
          <w:szCs w:val="32"/>
        </w:rPr>
        <w:t>江阴市“社会经济类一类事”事项清单</w:t>
      </w:r>
    </w:p>
    <w:p w14:paraId="07C1A8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596" w:firstLineChars="505"/>
        <w:jc w:val="both"/>
        <w:textAlignment w:val="auto"/>
        <w:rPr>
          <w:rFonts w:hint="eastAsia" w:ascii="Times New Roman" w:hAnsi="Times New Roman" w:eastAsia="方正仿宋_GBK" w:cs="方正仿宋_GBK"/>
          <w:color w:val="auto"/>
          <w:spacing w:val="0"/>
          <w:w w:val="100"/>
          <w:sz w:val="32"/>
          <w:szCs w:val="32"/>
        </w:rPr>
      </w:pPr>
      <w:r>
        <w:rPr>
          <w:rFonts w:hint="eastAsia" w:ascii="Times New Roman" w:hAnsi="Times New Roman" w:eastAsia="方正仿宋_GBK" w:cs="方正仿宋_GBK"/>
          <w:color w:val="auto"/>
          <w:spacing w:val="0"/>
          <w:w w:val="100"/>
          <w:kern w:val="2"/>
          <w:sz w:val="32"/>
          <w:szCs w:val="32"/>
          <w:u w:color="000000"/>
          <w:lang w:val="en-US" w:eastAsia="zh-CN" w:bidi="ar-SA"/>
        </w:rPr>
        <w:t>2．</w:t>
      </w:r>
      <w:r>
        <w:rPr>
          <w:rFonts w:hint="eastAsia" w:ascii="Times New Roman" w:hAnsi="Times New Roman" w:eastAsia="方正仿宋_GBK" w:cs="方正仿宋_GBK"/>
          <w:color w:val="auto"/>
          <w:spacing w:val="0"/>
          <w:w w:val="100"/>
          <w:sz w:val="32"/>
          <w:szCs w:val="32"/>
        </w:rPr>
        <w:t>江阴市“社会经济类一类事”场景清单</w:t>
      </w:r>
    </w:p>
    <w:p w14:paraId="3687AB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方正仿宋_GBK"/>
          <w:color w:val="auto"/>
          <w:spacing w:val="0"/>
          <w:w w:val="100"/>
          <w:sz w:val="32"/>
          <w:szCs w:val="32"/>
        </w:rPr>
      </w:pPr>
    </w:p>
    <w:p w14:paraId="1AC8C4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方正仿宋_GBK"/>
          <w:color w:val="auto"/>
          <w:spacing w:val="0"/>
          <w:w w:val="100"/>
          <w:sz w:val="32"/>
          <w:szCs w:val="32"/>
        </w:rPr>
        <w:sectPr>
          <w:headerReference r:id="rId3" w:type="default"/>
          <w:footerReference r:id="rId5" w:type="default"/>
          <w:headerReference r:id="rId4" w:type="even"/>
          <w:footerReference r:id="rId6" w:type="even"/>
          <w:pgSz w:w="11906" w:h="16838"/>
          <w:pgMar w:top="2098" w:right="1474" w:bottom="1984" w:left="1588" w:header="851" w:footer="1474" w:gutter="0"/>
          <w:pgBorders>
            <w:top w:val="none" w:sz="0" w:space="0"/>
            <w:left w:val="none" w:sz="0" w:space="0"/>
            <w:bottom w:val="none" w:sz="0" w:space="0"/>
            <w:right w:val="none" w:sz="0" w:space="0"/>
          </w:pgBorders>
          <w:cols w:space="0" w:num="1"/>
          <w:docGrid w:type="linesAndChars" w:linePitch="579" w:charSpace="-849"/>
        </w:sectPr>
      </w:pPr>
    </w:p>
    <w:p w14:paraId="61F043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黑体_GBK" w:cs="方正黑体_GBK"/>
          <w:color w:val="auto"/>
          <w:spacing w:val="0"/>
          <w:w w:val="100"/>
          <w:sz w:val="32"/>
          <w:szCs w:val="32"/>
          <w:lang w:val="en-US" w:eastAsia="zh-CN"/>
        </w:rPr>
      </w:pPr>
      <w:r>
        <w:rPr>
          <w:rFonts w:hint="eastAsia" w:ascii="Times New Roman" w:hAnsi="Times New Roman" w:eastAsia="方正黑体_GBK" w:cs="方正黑体_GBK"/>
          <w:color w:val="auto"/>
          <w:spacing w:val="0"/>
          <w:w w:val="100"/>
          <w:sz w:val="32"/>
          <w:szCs w:val="32"/>
          <w:lang w:eastAsia="zh-CN"/>
        </w:rPr>
        <w:t>附件</w:t>
      </w:r>
      <w:r>
        <w:rPr>
          <w:rFonts w:hint="eastAsia" w:ascii="Times New Roman" w:hAnsi="Times New Roman" w:eastAsia="方正黑体_GBK" w:cs="方正黑体_GBK"/>
          <w:color w:val="auto"/>
          <w:spacing w:val="0"/>
          <w:w w:val="100"/>
          <w:sz w:val="32"/>
          <w:szCs w:val="32"/>
          <w:lang w:val="en-US" w:eastAsia="zh-CN"/>
        </w:rPr>
        <w:t>1</w:t>
      </w:r>
    </w:p>
    <w:p w14:paraId="6D11CD8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方正小标宋_GBK"/>
          <w:color w:val="auto"/>
          <w:spacing w:val="0"/>
          <w:w w:val="100"/>
          <w:sz w:val="44"/>
          <w:szCs w:val="44"/>
        </w:rPr>
      </w:pPr>
      <w:r>
        <w:rPr>
          <w:rFonts w:hint="eastAsia" w:ascii="Times New Roman" w:hAnsi="Times New Roman" w:eastAsia="方正小标宋_GBK" w:cs="方正小标宋_GBK"/>
          <w:color w:val="auto"/>
          <w:spacing w:val="0"/>
          <w:w w:val="100"/>
          <w:sz w:val="44"/>
          <w:szCs w:val="44"/>
        </w:rPr>
        <w:t>江阴市“社会经济类一类事”事项清单</w:t>
      </w:r>
    </w:p>
    <w:tbl>
      <w:tblPr>
        <w:tblStyle w:val="12"/>
        <w:tblW w:w="145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1512"/>
        <w:gridCol w:w="5927"/>
        <w:gridCol w:w="1608"/>
        <w:gridCol w:w="4715"/>
      </w:tblGrid>
      <w:tr w14:paraId="28DD1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blHeader/>
          <w:jc w:val="center"/>
        </w:trPr>
        <w:tc>
          <w:tcPr>
            <w:tcW w:w="751" w:type="dxa"/>
            <w:shd w:val="clear" w:color="auto" w:fill="auto"/>
            <w:vAlign w:val="center"/>
          </w:tcPr>
          <w:p w14:paraId="6CAFB5E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序号</w:t>
            </w:r>
          </w:p>
        </w:tc>
        <w:tc>
          <w:tcPr>
            <w:tcW w:w="1512" w:type="dxa"/>
            <w:shd w:val="clear" w:color="auto" w:fill="auto"/>
            <w:vAlign w:val="center"/>
          </w:tcPr>
          <w:p w14:paraId="1AC3668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责任部门</w:t>
            </w:r>
          </w:p>
        </w:tc>
        <w:tc>
          <w:tcPr>
            <w:tcW w:w="5927" w:type="dxa"/>
            <w:shd w:val="clear" w:color="auto" w:fill="auto"/>
            <w:vAlign w:val="center"/>
          </w:tcPr>
          <w:p w14:paraId="3E4D3EE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事项名称</w:t>
            </w:r>
          </w:p>
        </w:tc>
        <w:tc>
          <w:tcPr>
            <w:tcW w:w="1608" w:type="dxa"/>
            <w:shd w:val="clear" w:color="auto" w:fill="auto"/>
            <w:vAlign w:val="center"/>
          </w:tcPr>
          <w:p w14:paraId="3325355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事项类型</w:t>
            </w:r>
          </w:p>
        </w:tc>
        <w:tc>
          <w:tcPr>
            <w:tcW w:w="4715" w:type="dxa"/>
            <w:shd w:val="clear" w:color="auto" w:fill="auto"/>
            <w:vAlign w:val="center"/>
          </w:tcPr>
          <w:p w14:paraId="1E06E5D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业务名称</w:t>
            </w:r>
          </w:p>
        </w:tc>
      </w:tr>
      <w:tr w14:paraId="79D55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5F8E48C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1</w:t>
            </w:r>
          </w:p>
        </w:tc>
        <w:tc>
          <w:tcPr>
            <w:tcW w:w="1512" w:type="dxa"/>
            <w:shd w:val="clear" w:color="auto" w:fill="auto"/>
            <w:vAlign w:val="center"/>
          </w:tcPr>
          <w:p w14:paraId="0002DA8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042DDF3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259510D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281E8BB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公司设立登记</w:t>
            </w:r>
          </w:p>
        </w:tc>
      </w:tr>
      <w:tr w14:paraId="07505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52A476A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2</w:t>
            </w:r>
          </w:p>
        </w:tc>
        <w:tc>
          <w:tcPr>
            <w:tcW w:w="1512" w:type="dxa"/>
            <w:shd w:val="clear" w:color="auto" w:fill="auto"/>
            <w:vAlign w:val="center"/>
          </w:tcPr>
          <w:p w14:paraId="1419DE2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2F78F04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04E7E39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68979FB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公司变更登记</w:t>
            </w:r>
          </w:p>
        </w:tc>
      </w:tr>
      <w:tr w14:paraId="23EEE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40A02CB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3</w:t>
            </w:r>
          </w:p>
        </w:tc>
        <w:tc>
          <w:tcPr>
            <w:tcW w:w="1512" w:type="dxa"/>
            <w:shd w:val="clear" w:color="auto" w:fill="auto"/>
            <w:vAlign w:val="center"/>
          </w:tcPr>
          <w:p w14:paraId="1C58801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0945CCF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32BA724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53850E5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公司注销登记</w:t>
            </w:r>
          </w:p>
        </w:tc>
      </w:tr>
      <w:tr w14:paraId="0B210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006DD6B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4</w:t>
            </w:r>
          </w:p>
        </w:tc>
        <w:tc>
          <w:tcPr>
            <w:tcW w:w="1512" w:type="dxa"/>
            <w:shd w:val="clear" w:color="auto" w:fill="auto"/>
            <w:vAlign w:val="center"/>
          </w:tcPr>
          <w:p w14:paraId="182788A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3A0398A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474D09E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6DE1BE8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分公司设立登记</w:t>
            </w:r>
          </w:p>
        </w:tc>
      </w:tr>
      <w:tr w14:paraId="088F7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3495A3D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5</w:t>
            </w:r>
          </w:p>
        </w:tc>
        <w:tc>
          <w:tcPr>
            <w:tcW w:w="1512" w:type="dxa"/>
            <w:shd w:val="clear" w:color="auto" w:fill="auto"/>
            <w:vAlign w:val="center"/>
          </w:tcPr>
          <w:p w14:paraId="41A94B5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51E67FA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74C6B84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1EA3D48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分公司变更登记</w:t>
            </w:r>
          </w:p>
        </w:tc>
      </w:tr>
      <w:tr w14:paraId="59FB7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54142C7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6</w:t>
            </w:r>
          </w:p>
        </w:tc>
        <w:tc>
          <w:tcPr>
            <w:tcW w:w="1512" w:type="dxa"/>
            <w:shd w:val="clear" w:color="auto" w:fill="auto"/>
            <w:vAlign w:val="center"/>
          </w:tcPr>
          <w:p w14:paraId="0631209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53F8D08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3E7F75B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7FEEF53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分公司注销登记</w:t>
            </w:r>
          </w:p>
        </w:tc>
      </w:tr>
      <w:tr w14:paraId="493A9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5B578E4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7</w:t>
            </w:r>
          </w:p>
        </w:tc>
        <w:tc>
          <w:tcPr>
            <w:tcW w:w="1512" w:type="dxa"/>
            <w:shd w:val="clear" w:color="auto" w:fill="auto"/>
            <w:vAlign w:val="center"/>
          </w:tcPr>
          <w:p w14:paraId="3826713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0A6A537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4D71DE9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17A5BCB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合伙企业分支机构设立登记</w:t>
            </w:r>
          </w:p>
        </w:tc>
      </w:tr>
      <w:tr w14:paraId="0696B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256EB02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8</w:t>
            </w:r>
          </w:p>
        </w:tc>
        <w:tc>
          <w:tcPr>
            <w:tcW w:w="1512" w:type="dxa"/>
            <w:shd w:val="clear" w:color="auto" w:fill="auto"/>
            <w:vAlign w:val="center"/>
          </w:tcPr>
          <w:p w14:paraId="659324F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7520BAF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5770E39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34082A4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合伙企业设立登记</w:t>
            </w:r>
          </w:p>
        </w:tc>
      </w:tr>
      <w:tr w14:paraId="4C9AC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467DB1F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9</w:t>
            </w:r>
          </w:p>
        </w:tc>
        <w:tc>
          <w:tcPr>
            <w:tcW w:w="1512" w:type="dxa"/>
            <w:shd w:val="clear" w:color="auto" w:fill="auto"/>
            <w:vAlign w:val="center"/>
          </w:tcPr>
          <w:p w14:paraId="660D585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09348EE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11241CA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51D547B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合伙企业注销登记</w:t>
            </w:r>
          </w:p>
        </w:tc>
      </w:tr>
      <w:tr w14:paraId="011E2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47CD720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10</w:t>
            </w:r>
          </w:p>
        </w:tc>
        <w:tc>
          <w:tcPr>
            <w:tcW w:w="1512" w:type="dxa"/>
            <w:shd w:val="clear" w:color="auto" w:fill="auto"/>
            <w:vAlign w:val="center"/>
          </w:tcPr>
          <w:p w14:paraId="4C1F858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6D8CAA5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3D55572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4EBC91D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公司备案</w:t>
            </w:r>
          </w:p>
        </w:tc>
      </w:tr>
      <w:tr w14:paraId="697F6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0B48027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11</w:t>
            </w:r>
          </w:p>
        </w:tc>
        <w:tc>
          <w:tcPr>
            <w:tcW w:w="1512" w:type="dxa"/>
            <w:shd w:val="clear" w:color="auto" w:fill="auto"/>
            <w:vAlign w:val="center"/>
          </w:tcPr>
          <w:p w14:paraId="14A30A5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6645C42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企业设立、变更、注销登记</w:t>
            </w:r>
          </w:p>
        </w:tc>
        <w:tc>
          <w:tcPr>
            <w:tcW w:w="1608" w:type="dxa"/>
            <w:shd w:val="clear" w:color="auto" w:fill="auto"/>
            <w:vAlign w:val="center"/>
          </w:tcPr>
          <w:p w14:paraId="5D2ADC7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4F1D8E9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企业申请迁移调档</w:t>
            </w:r>
          </w:p>
        </w:tc>
      </w:tr>
      <w:tr w14:paraId="72156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607880B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12</w:t>
            </w:r>
          </w:p>
        </w:tc>
        <w:tc>
          <w:tcPr>
            <w:tcW w:w="1512" w:type="dxa"/>
            <w:shd w:val="clear" w:color="auto" w:fill="auto"/>
            <w:vAlign w:val="center"/>
          </w:tcPr>
          <w:p w14:paraId="34A10ED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5E61543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个体工商户登记注册</w:t>
            </w:r>
          </w:p>
        </w:tc>
        <w:tc>
          <w:tcPr>
            <w:tcW w:w="1608" w:type="dxa"/>
            <w:shd w:val="clear" w:color="auto" w:fill="auto"/>
            <w:vAlign w:val="center"/>
          </w:tcPr>
          <w:p w14:paraId="73AF1DB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54E086E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个体工商户设立登记</w:t>
            </w:r>
          </w:p>
        </w:tc>
      </w:tr>
      <w:tr w14:paraId="52128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754D9D3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13</w:t>
            </w:r>
          </w:p>
        </w:tc>
        <w:tc>
          <w:tcPr>
            <w:tcW w:w="1512" w:type="dxa"/>
            <w:shd w:val="clear" w:color="auto" w:fill="auto"/>
            <w:vAlign w:val="center"/>
          </w:tcPr>
          <w:p w14:paraId="1D0F9B5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28ED05C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个体工商户登记注册</w:t>
            </w:r>
          </w:p>
        </w:tc>
        <w:tc>
          <w:tcPr>
            <w:tcW w:w="1608" w:type="dxa"/>
            <w:shd w:val="clear" w:color="auto" w:fill="auto"/>
            <w:vAlign w:val="center"/>
          </w:tcPr>
          <w:p w14:paraId="03CCE62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1B80933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个体工商户变更登记</w:t>
            </w:r>
          </w:p>
        </w:tc>
      </w:tr>
      <w:tr w14:paraId="4CBBD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213FB8D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14</w:t>
            </w:r>
          </w:p>
        </w:tc>
        <w:tc>
          <w:tcPr>
            <w:tcW w:w="1512" w:type="dxa"/>
            <w:shd w:val="clear" w:color="auto" w:fill="auto"/>
            <w:vAlign w:val="center"/>
          </w:tcPr>
          <w:p w14:paraId="05BD793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285AD7D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个体工商户登记注册</w:t>
            </w:r>
          </w:p>
        </w:tc>
        <w:tc>
          <w:tcPr>
            <w:tcW w:w="1608" w:type="dxa"/>
            <w:shd w:val="clear" w:color="auto" w:fill="auto"/>
            <w:vAlign w:val="center"/>
          </w:tcPr>
          <w:p w14:paraId="07003DA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6C4E3C9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个体工商户注销登记</w:t>
            </w:r>
          </w:p>
        </w:tc>
      </w:tr>
      <w:tr w14:paraId="0F7F7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1660178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15</w:t>
            </w:r>
          </w:p>
        </w:tc>
        <w:tc>
          <w:tcPr>
            <w:tcW w:w="1512" w:type="dxa"/>
            <w:shd w:val="clear" w:color="auto" w:fill="auto"/>
            <w:vAlign w:val="center"/>
          </w:tcPr>
          <w:p w14:paraId="45101DA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1B47CCC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劳务派遣经营、变更、延续、注销许可</w:t>
            </w:r>
          </w:p>
        </w:tc>
        <w:tc>
          <w:tcPr>
            <w:tcW w:w="1608" w:type="dxa"/>
            <w:shd w:val="clear" w:color="auto" w:fill="auto"/>
            <w:vAlign w:val="center"/>
          </w:tcPr>
          <w:p w14:paraId="6D494E7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11FB756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劳务派遣经营许可地址变更</w:t>
            </w:r>
          </w:p>
        </w:tc>
      </w:tr>
      <w:tr w14:paraId="26DF4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571A325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16</w:t>
            </w:r>
          </w:p>
        </w:tc>
        <w:tc>
          <w:tcPr>
            <w:tcW w:w="1512" w:type="dxa"/>
            <w:shd w:val="clear" w:color="auto" w:fill="auto"/>
            <w:vAlign w:val="center"/>
          </w:tcPr>
          <w:p w14:paraId="5A1E8FF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7D10F41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劳务派遣经营、变更、延续、注销许可</w:t>
            </w:r>
          </w:p>
        </w:tc>
        <w:tc>
          <w:tcPr>
            <w:tcW w:w="1608" w:type="dxa"/>
            <w:shd w:val="clear" w:color="auto" w:fill="auto"/>
            <w:vAlign w:val="center"/>
          </w:tcPr>
          <w:p w14:paraId="3C5E144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7E75DC0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劳务派遣经营许可法人变更</w:t>
            </w:r>
          </w:p>
        </w:tc>
      </w:tr>
      <w:tr w14:paraId="1AB49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667AE00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17</w:t>
            </w:r>
          </w:p>
        </w:tc>
        <w:tc>
          <w:tcPr>
            <w:tcW w:w="1512" w:type="dxa"/>
            <w:shd w:val="clear" w:color="auto" w:fill="auto"/>
            <w:vAlign w:val="center"/>
          </w:tcPr>
          <w:p w14:paraId="5E866C8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3B9E00C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劳务派遣经营、变更、延续、注销许可</w:t>
            </w:r>
          </w:p>
        </w:tc>
        <w:tc>
          <w:tcPr>
            <w:tcW w:w="1608" w:type="dxa"/>
            <w:shd w:val="clear" w:color="auto" w:fill="auto"/>
            <w:vAlign w:val="center"/>
          </w:tcPr>
          <w:p w14:paraId="1ADE6C2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47DBF48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劳务派遣经营许可名称变更、注册资本变更</w:t>
            </w:r>
          </w:p>
        </w:tc>
      </w:tr>
      <w:tr w14:paraId="559F3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6AE31EE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18</w:t>
            </w:r>
          </w:p>
        </w:tc>
        <w:tc>
          <w:tcPr>
            <w:tcW w:w="1512" w:type="dxa"/>
            <w:shd w:val="clear" w:color="auto" w:fill="auto"/>
            <w:vAlign w:val="center"/>
          </w:tcPr>
          <w:p w14:paraId="720BFE4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6ED0A7E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劳务派遣经营、变更、延续、注销许可</w:t>
            </w:r>
          </w:p>
        </w:tc>
        <w:tc>
          <w:tcPr>
            <w:tcW w:w="1608" w:type="dxa"/>
            <w:shd w:val="clear" w:color="auto" w:fill="auto"/>
            <w:vAlign w:val="center"/>
          </w:tcPr>
          <w:p w14:paraId="2B2B21B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679DFBB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劳务派遣经营许可申请</w:t>
            </w:r>
          </w:p>
        </w:tc>
      </w:tr>
      <w:tr w14:paraId="149FB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51" w:type="dxa"/>
            <w:shd w:val="clear" w:color="auto" w:fill="auto"/>
            <w:vAlign w:val="center"/>
          </w:tcPr>
          <w:p w14:paraId="66F3AAC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19</w:t>
            </w:r>
          </w:p>
        </w:tc>
        <w:tc>
          <w:tcPr>
            <w:tcW w:w="1512" w:type="dxa"/>
            <w:shd w:val="clear" w:color="auto" w:fill="auto"/>
            <w:vAlign w:val="center"/>
          </w:tcPr>
          <w:p w14:paraId="0DFF287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08480C6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劳务派遣经营、变更、延续、注销许可</w:t>
            </w:r>
          </w:p>
        </w:tc>
        <w:tc>
          <w:tcPr>
            <w:tcW w:w="1608" w:type="dxa"/>
            <w:shd w:val="clear" w:color="auto" w:fill="auto"/>
            <w:vAlign w:val="center"/>
          </w:tcPr>
          <w:p w14:paraId="3A91E1E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374DCE5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劳务派遣经营许可注销</w:t>
            </w:r>
          </w:p>
        </w:tc>
      </w:tr>
      <w:tr w14:paraId="0A0E1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51" w:type="dxa"/>
            <w:shd w:val="clear" w:color="auto" w:fill="auto"/>
            <w:vAlign w:val="center"/>
          </w:tcPr>
          <w:p w14:paraId="484E823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20</w:t>
            </w:r>
          </w:p>
        </w:tc>
        <w:tc>
          <w:tcPr>
            <w:tcW w:w="1512" w:type="dxa"/>
            <w:shd w:val="clear" w:color="auto" w:fill="auto"/>
            <w:vAlign w:val="center"/>
          </w:tcPr>
          <w:p w14:paraId="37AF113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3880A10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实施中等及中等以下学历教育、学前教育、自学考试助学及其他文化教育的学校设立、变更和终止审批</w:t>
            </w:r>
          </w:p>
        </w:tc>
        <w:tc>
          <w:tcPr>
            <w:tcW w:w="1608" w:type="dxa"/>
            <w:shd w:val="clear" w:color="auto" w:fill="auto"/>
            <w:vAlign w:val="center"/>
          </w:tcPr>
          <w:p w14:paraId="2A4BF43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7A14344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民办非学历教育机构的变更审批</w:t>
            </w:r>
          </w:p>
        </w:tc>
      </w:tr>
      <w:tr w14:paraId="78194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51" w:type="dxa"/>
            <w:shd w:val="clear" w:color="auto" w:fill="auto"/>
            <w:vAlign w:val="center"/>
          </w:tcPr>
          <w:p w14:paraId="0829B75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21</w:t>
            </w:r>
          </w:p>
        </w:tc>
        <w:tc>
          <w:tcPr>
            <w:tcW w:w="1512" w:type="dxa"/>
            <w:shd w:val="clear" w:color="auto" w:fill="auto"/>
            <w:vAlign w:val="center"/>
          </w:tcPr>
          <w:p w14:paraId="3966CD2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58F7D46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实施中等及中等以下学历教育、学前教育、自学考试助学及其他文化教育的学校设立、变更和终止审批</w:t>
            </w:r>
          </w:p>
        </w:tc>
        <w:tc>
          <w:tcPr>
            <w:tcW w:w="1608" w:type="dxa"/>
            <w:shd w:val="clear" w:color="auto" w:fill="auto"/>
            <w:vAlign w:val="center"/>
          </w:tcPr>
          <w:p w14:paraId="009AF74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06E0AA5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民办非学历教育机构的设立审批</w:t>
            </w:r>
          </w:p>
        </w:tc>
      </w:tr>
      <w:tr w14:paraId="700FC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51" w:type="dxa"/>
            <w:shd w:val="clear" w:color="auto" w:fill="auto"/>
            <w:vAlign w:val="center"/>
          </w:tcPr>
          <w:p w14:paraId="0B007C6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22</w:t>
            </w:r>
          </w:p>
        </w:tc>
        <w:tc>
          <w:tcPr>
            <w:tcW w:w="1512" w:type="dxa"/>
            <w:shd w:val="clear" w:color="auto" w:fill="auto"/>
            <w:vAlign w:val="center"/>
          </w:tcPr>
          <w:p w14:paraId="04269AA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数据局</w:t>
            </w:r>
          </w:p>
        </w:tc>
        <w:tc>
          <w:tcPr>
            <w:tcW w:w="5927" w:type="dxa"/>
            <w:shd w:val="clear" w:color="auto" w:fill="auto"/>
            <w:vAlign w:val="center"/>
          </w:tcPr>
          <w:p w14:paraId="7844440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实施中等及中等以下学历教育、学前教育、自学考试助学及其他文化教育的学校设立、变更和终止审批</w:t>
            </w:r>
          </w:p>
        </w:tc>
        <w:tc>
          <w:tcPr>
            <w:tcW w:w="1608" w:type="dxa"/>
            <w:shd w:val="clear" w:color="auto" w:fill="auto"/>
            <w:vAlign w:val="center"/>
          </w:tcPr>
          <w:p w14:paraId="086A1A3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72A2B12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民办非学历教育机构的终止审批</w:t>
            </w:r>
          </w:p>
        </w:tc>
      </w:tr>
      <w:tr w14:paraId="13814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51" w:type="dxa"/>
            <w:shd w:val="clear" w:color="auto" w:fill="auto"/>
            <w:vAlign w:val="center"/>
          </w:tcPr>
          <w:p w14:paraId="5CFDE8B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23</w:t>
            </w:r>
          </w:p>
        </w:tc>
        <w:tc>
          <w:tcPr>
            <w:tcW w:w="1512" w:type="dxa"/>
            <w:shd w:val="clear" w:color="auto" w:fill="auto"/>
            <w:vAlign w:val="center"/>
          </w:tcPr>
          <w:p w14:paraId="78257D2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交通运输局</w:t>
            </w:r>
          </w:p>
        </w:tc>
        <w:tc>
          <w:tcPr>
            <w:tcW w:w="5927" w:type="dxa"/>
            <w:shd w:val="clear" w:color="auto" w:fill="auto"/>
            <w:vAlign w:val="center"/>
          </w:tcPr>
          <w:p w14:paraId="7A4A9FB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道路货运经营许可（除使用4500千克及以下普通货运车辆从事普通货运经营外）</w:t>
            </w:r>
          </w:p>
        </w:tc>
        <w:tc>
          <w:tcPr>
            <w:tcW w:w="1608" w:type="dxa"/>
            <w:shd w:val="clear" w:color="auto" w:fill="auto"/>
            <w:vAlign w:val="center"/>
          </w:tcPr>
          <w:p w14:paraId="2EFBBC5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0F76305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扩大道路货物运输经营许可范围</w:t>
            </w:r>
          </w:p>
        </w:tc>
      </w:tr>
      <w:tr w14:paraId="5AE0E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51" w:type="dxa"/>
            <w:shd w:val="clear" w:color="auto" w:fill="auto"/>
            <w:vAlign w:val="center"/>
          </w:tcPr>
          <w:p w14:paraId="0B5AF19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2"/>
                <w:sz w:val="24"/>
                <w:szCs w:val="24"/>
                <w:u w:val="none" w:color="000000"/>
                <w:lang w:val="en-US" w:eastAsia="zh-CN" w:bidi="ar-SA"/>
              </w:rPr>
            </w:pPr>
            <w:r>
              <w:rPr>
                <w:rFonts w:hint="eastAsia" w:ascii="Times New Roman" w:hAnsi="Times New Roman" w:eastAsia="方正楷体_GBK" w:cs="方正楷体_GBK"/>
                <w:i w:val="0"/>
                <w:iCs w:val="0"/>
                <w:color w:val="000000"/>
                <w:kern w:val="0"/>
                <w:sz w:val="24"/>
                <w:szCs w:val="24"/>
                <w:u w:val="none"/>
                <w:lang w:val="en-US" w:eastAsia="zh-CN" w:bidi="ar"/>
              </w:rPr>
              <w:t>24</w:t>
            </w:r>
          </w:p>
        </w:tc>
        <w:tc>
          <w:tcPr>
            <w:tcW w:w="1512" w:type="dxa"/>
            <w:shd w:val="clear" w:color="auto" w:fill="auto"/>
            <w:vAlign w:val="center"/>
          </w:tcPr>
          <w:p w14:paraId="6DF6606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交通运输局</w:t>
            </w:r>
          </w:p>
        </w:tc>
        <w:tc>
          <w:tcPr>
            <w:tcW w:w="5927" w:type="dxa"/>
            <w:shd w:val="clear" w:color="auto" w:fill="auto"/>
            <w:vAlign w:val="center"/>
          </w:tcPr>
          <w:p w14:paraId="5EA4018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道路运输以及相关业务经营者变更名称、地址、法定代表人等的备案</w:t>
            </w:r>
          </w:p>
        </w:tc>
        <w:tc>
          <w:tcPr>
            <w:tcW w:w="1608" w:type="dxa"/>
            <w:shd w:val="clear" w:color="auto" w:fill="auto"/>
            <w:vAlign w:val="center"/>
          </w:tcPr>
          <w:p w14:paraId="7211F30D">
            <w:pPr>
              <w:keepNext w:val="0"/>
              <w:keepLines w:val="0"/>
              <w:pageBreakBefore w:val="0"/>
              <w:widowControl w:val="0"/>
              <w:suppressLineNumbers w:val="0"/>
              <w:kinsoku/>
              <w:wordWrap/>
              <w:overflowPunct/>
              <w:topLinePunct w:val="0"/>
              <w:autoSpaceDE/>
              <w:autoSpaceDN/>
              <w:bidi w:val="0"/>
              <w:adjustRightInd/>
              <w:snapToGrid/>
              <w:spacing w:line="0" w:lineRule="atLeast"/>
              <w:ind w:left="-158" w:leftChars="-50" w:right="-158" w:rightChars="-5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其他行政权力</w:t>
            </w:r>
          </w:p>
        </w:tc>
        <w:tc>
          <w:tcPr>
            <w:tcW w:w="4715" w:type="dxa"/>
            <w:shd w:val="clear" w:color="auto" w:fill="auto"/>
            <w:vAlign w:val="center"/>
          </w:tcPr>
          <w:p w14:paraId="46CF19B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道路货物运输经营者名称、地址（同一辖区）、法定代表人、经济性质等信息变更备案</w:t>
            </w:r>
          </w:p>
        </w:tc>
      </w:tr>
      <w:tr w14:paraId="0FEAC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1" w:type="dxa"/>
            <w:shd w:val="clear" w:color="auto" w:fill="auto"/>
            <w:vAlign w:val="center"/>
          </w:tcPr>
          <w:p w14:paraId="54F64B7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color="000000"/>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25</w:t>
            </w:r>
          </w:p>
        </w:tc>
        <w:tc>
          <w:tcPr>
            <w:tcW w:w="1512" w:type="dxa"/>
            <w:shd w:val="clear" w:color="auto" w:fill="auto"/>
            <w:vAlign w:val="center"/>
          </w:tcPr>
          <w:p w14:paraId="61F1977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应急管理局</w:t>
            </w:r>
          </w:p>
        </w:tc>
        <w:tc>
          <w:tcPr>
            <w:tcW w:w="5927" w:type="dxa"/>
            <w:shd w:val="clear" w:color="auto" w:fill="auto"/>
            <w:vAlign w:val="center"/>
          </w:tcPr>
          <w:p w14:paraId="35F6DF8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危险化学品经营许可（县级权限）</w:t>
            </w:r>
          </w:p>
        </w:tc>
        <w:tc>
          <w:tcPr>
            <w:tcW w:w="1608" w:type="dxa"/>
            <w:shd w:val="clear" w:color="auto" w:fill="auto"/>
            <w:vAlign w:val="center"/>
          </w:tcPr>
          <w:p w14:paraId="4BA34F8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214D5A0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危险化学品经营许可首次申请</w:t>
            </w:r>
          </w:p>
        </w:tc>
      </w:tr>
      <w:tr w14:paraId="1394E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751" w:type="dxa"/>
            <w:shd w:val="clear" w:color="auto" w:fill="auto"/>
            <w:vAlign w:val="center"/>
          </w:tcPr>
          <w:p w14:paraId="188008A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default" w:ascii="Times New Roman" w:hAnsi="Times New Roman" w:eastAsia="方正楷体_GBK" w:cs="方正楷体_GBK"/>
                <w:i w:val="0"/>
                <w:iCs w:val="0"/>
                <w:color w:val="000000"/>
                <w:kern w:val="0"/>
                <w:sz w:val="24"/>
                <w:szCs w:val="24"/>
                <w:u w:val="none"/>
                <w:lang w:val="en-US" w:eastAsia="zh-CN" w:bidi="ar"/>
              </w:rPr>
            </w:pPr>
            <w:r>
              <w:rPr>
                <w:rFonts w:hint="eastAsia" w:eastAsia="方正楷体_GBK" w:cs="方正楷体_GBK"/>
                <w:i w:val="0"/>
                <w:iCs w:val="0"/>
                <w:color w:val="000000"/>
                <w:kern w:val="0"/>
                <w:sz w:val="24"/>
                <w:szCs w:val="24"/>
                <w:u w:val="none"/>
                <w:lang w:val="en-US" w:eastAsia="zh-CN" w:bidi="ar"/>
              </w:rPr>
              <w:t>26</w:t>
            </w:r>
          </w:p>
        </w:tc>
        <w:tc>
          <w:tcPr>
            <w:tcW w:w="1512" w:type="dxa"/>
            <w:shd w:val="clear" w:color="auto" w:fill="auto"/>
            <w:vAlign w:val="center"/>
          </w:tcPr>
          <w:p w14:paraId="0E326A2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应急管理局</w:t>
            </w:r>
          </w:p>
        </w:tc>
        <w:tc>
          <w:tcPr>
            <w:tcW w:w="5927" w:type="dxa"/>
            <w:shd w:val="clear" w:color="auto" w:fill="auto"/>
            <w:vAlign w:val="center"/>
          </w:tcPr>
          <w:p w14:paraId="0B45949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危险化学品经营许可（县级权限）</w:t>
            </w:r>
          </w:p>
        </w:tc>
        <w:tc>
          <w:tcPr>
            <w:tcW w:w="1608" w:type="dxa"/>
            <w:shd w:val="clear" w:color="auto" w:fill="auto"/>
            <w:vAlign w:val="center"/>
          </w:tcPr>
          <w:p w14:paraId="0989312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56B641B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危险化学品经营许可变更申请（变更企业名称、主要负责人、注册地址）</w:t>
            </w:r>
          </w:p>
        </w:tc>
      </w:tr>
      <w:tr w14:paraId="4A4A2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751" w:type="dxa"/>
            <w:shd w:val="clear" w:color="auto" w:fill="auto"/>
            <w:vAlign w:val="center"/>
          </w:tcPr>
          <w:p w14:paraId="6C8C3E5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default" w:ascii="Times New Roman" w:hAnsi="Times New Roman" w:eastAsia="方正楷体_GBK" w:cs="方正楷体_GBK"/>
                <w:i w:val="0"/>
                <w:iCs w:val="0"/>
                <w:color w:val="000000"/>
                <w:sz w:val="24"/>
                <w:szCs w:val="24"/>
                <w:u w:val="none"/>
                <w:lang w:val="en-US"/>
              </w:rPr>
            </w:pPr>
            <w:r>
              <w:rPr>
                <w:rFonts w:hint="eastAsia" w:eastAsia="方正楷体_GBK" w:cs="方正楷体_GBK"/>
                <w:i w:val="0"/>
                <w:iCs w:val="0"/>
                <w:color w:val="000000"/>
                <w:kern w:val="0"/>
                <w:sz w:val="24"/>
                <w:szCs w:val="24"/>
                <w:u w:val="none"/>
                <w:lang w:val="en-US" w:eastAsia="zh-CN" w:bidi="ar"/>
              </w:rPr>
              <w:t>27</w:t>
            </w:r>
          </w:p>
        </w:tc>
        <w:tc>
          <w:tcPr>
            <w:tcW w:w="1512" w:type="dxa"/>
            <w:shd w:val="clear" w:color="auto" w:fill="auto"/>
            <w:vAlign w:val="center"/>
          </w:tcPr>
          <w:p w14:paraId="350CC16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应急管理局</w:t>
            </w:r>
          </w:p>
        </w:tc>
        <w:tc>
          <w:tcPr>
            <w:tcW w:w="5927" w:type="dxa"/>
            <w:shd w:val="clear" w:color="auto" w:fill="auto"/>
            <w:vAlign w:val="center"/>
          </w:tcPr>
          <w:p w14:paraId="6AF74D0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危险化学品经营许可（县级权限）</w:t>
            </w:r>
          </w:p>
        </w:tc>
        <w:tc>
          <w:tcPr>
            <w:tcW w:w="1608" w:type="dxa"/>
            <w:shd w:val="clear" w:color="auto" w:fill="auto"/>
            <w:vAlign w:val="center"/>
          </w:tcPr>
          <w:p w14:paraId="399AD99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56EF91F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危险化学品经营许可重新申请（不带有储存设施的经营企业变更其经营场所的、经营方式发生变化的、许可范围发生变化的）</w:t>
            </w:r>
          </w:p>
        </w:tc>
      </w:tr>
      <w:tr w14:paraId="49E85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1" w:type="dxa"/>
            <w:shd w:val="clear" w:color="auto" w:fill="auto"/>
            <w:vAlign w:val="center"/>
          </w:tcPr>
          <w:p w14:paraId="137D707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2</w:t>
            </w:r>
            <w:r>
              <w:rPr>
                <w:rFonts w:hint="eastAsia" w:eastAsia="方正楷体_GBK" w:cs="方正楷体_GBK"/>
                <w:i w:val="0"/>
                <w:iCs w:val="0"/>
                <w:color w:val="000000"/>
                <w:kern w:val="0"/>
                <w:sz w:val="24"/>
                <w:szCs w:val="24"/>
                <w:u w:val="none"/>
                <w:lang w:val="en-US" w:eastAsia="zh-CN" w:bidi="ar"/>
              </w:rPr>
              <w:t>8</w:t>
            </w:r>
          </w:p>
        </w:tc>
        <w:tc>
          <w:tcPr>
            <w:tcW w:w="1512" w:type="dxa"/>
            <w:shd w:val="clear" w:color="auto" w:fill="auto"/>
            <w:vAlign w:val="center"/>
          </w:tcPr>
          <w:p w14:paraId="3DEB72D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应急管理局</w:t>
            </w:r>
          </w:p>
        </w:tc>
        <w:tc>
          <w:tcPr>
            <w:tcW w:w="5927" w:type="dxa"/>
            <w:shd w:val="clear" w:color="auto" w:fill="auto"/>
            <w:vAlign w:val="center"/>
          </w:tcPr>
          <w:p w14:paraId="6A44A8F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危险化学品经营许可（县级权限）</w:t>
            </w:r>
          </w:p>
        </w:tc>
        <w:tc>
          <w:tcPr>
            <w:tcW w:w="1608" w:type="dxa"/>
            <w:shd w:val="clear" w:color="auto" w:fill="auto"/>
            <w:vAlign w:val="center"/>
          </w:tcPr>
          <w:p w14:paraId="701AEDE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74AD20A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危险化学品经营许可注销</w:t>
            </w:r>
          </w:p>
        </w:tc>
      </w:tr>
      <w:tr w14:paraId="5006F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1" w:type="dxa"/>
            <w:shd w:val="clear" w:color="auto" w:fill="auto"/>
            <w:vAlign w:val="center"/>
          </w:tcPr>
          <w:p w14:paraId="1C1BDC4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2</w:t>
            </w:r>
            <w:r>
              <w:rPr>
                <w:rFonts w:hint="eastAsia" w:eastAsia="方正楷体_GBK" w:cs="方正楷体_GBK"/>
                <w:i w:val="0"/>
                <w:iCs w:val="0"/>
                <w:color w:val="000000"/>
                <w:kern w:val="0"/>
                <w:sz w:val="24"/>
                <w:szCs w:val="24"/>
                <w:u w:val="none"/>
                <w:lang w:val="en-US" w:eastAsia="zh-CN" w:bidi="ar"/>
              </w:rPr>
              <w:t>9</w:t>
            </w:r>
          </w:p>
        </w:tc>
        <w:tc>
          <w:tcPr>
            <w:tcW w:w="1512" w:type="dxa"/>
            <w:shd w:val="clear" w:color="auto" w:fill="auto"/>
            <w:vAlign w:val="center"/>
          </w:tcPr>
          <w:p w14:paraId="4F9B574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农业农村局</w:t>
            </w:r>
          </w:p>
        </w:tc>
        <w:tc>
          <w:tcPr>
            <w:tcW w:w="5927" w:type="dxa"/>
            <w:shd w:val="clear" w:color="auto" w:fill="auto"/>
            <w:vAlign w:val="center"/>
          </w:tcPr>
          <w:p w14:paraId="6D7F763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动物诊疗许可证核发（县级权限）</w:t>
            </w:r>
          </w:p>
        </w:tc>
        <w:tc>
          <w:tcPr>
            <w:tcW w:w="1608" w:type="dxa"/>
            <w:shd w:val="clear" w:color="auto" w:fill="auto"/>
            <w:vAlign w:val="center"/>
          </w:tcPr>
          <w:p w14:paraId="4D01CEF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23A6C4D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动物诊疗许可证核发（县级权限）</w:t>
            </w:r>
          </w:p>
        </w:tc>
      </w:tr>
      <w:tr w14:paraId="2E781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51" w:type="dxa"/>
            <w:shd w:val="clear" w:color="auto" w:fill="auto"/>
            <w:vAlign w:val="center"/>
          </w:tcPr>
          <w:p w14:paraId="433D9D1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default" w:ascii="Times New Roman" w:hAnsi="Times New Roman" w:eastAsia="方正楷体_GBK" w:cs="方正楷体_GBK"/>
                <w:i w:val="0"/>
                <w:iCs w:val="0"/>
                <w:color w:val="000000"/>
                <w:kern w:val="0"/>
                <w:sz w:val="24"/>
                <w:szCs w:val="24"/>
                <w:u w:val="none"/>
                <w:lang w:val="en-US" w:eastAsia="zh-CN" w:bidi="ar"/>
              </w:rPr>
            </w:pPr>
            <w:r>
              <w:rPr>
                <w:rFonts w:hint="eastAsia" w:eastAsia="方正楷体_GBK" w:cs="方正楷体_GBK"/>
                <w:i w:val="0"/>
                <w:iCs w:val="0"/>
                <w:color w:val="000000"/>
                <w:kern w:val="0"/>
                <w:sz w:val="24"/>
                <w:szCs w:val="24"/>
                <w:u w:val="none"/>
                <w:lang w:val="en-US" w:eastAsia="zh-CN" w:bidi="ar"/>
              </w:rPr>
              <w:t>30</w:t>
            </w:r>
          </w:p>
        </w:tc>
        <w:tc>
          <w:tcPr>
            <w:tcW w:w="1512" w:type="dxa"/>
            <w:shd w:val="clear" w:color="auto" w:fill="auto"/>
            <w:vAlign w:val="center"/>
          </w:tcPr>
          <w:p w14:paraId="4203123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农业农村局</w:t>
            </w:r>
          </w:p>
        </w:tc>
        <w:tc>
          <w:tcPr>
            <w:tcW w:w="5927" w:type="dxa"/>
            <w:shd w:val="clear" w:color="auto" w:fill="auto"/>
            <w:vAlign w:val="center"/>
          </w:tcPr>
          <w:p w14:paraId="4804571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动物诊疗许可证核发（县级权限）</w:t>
            </w:r>
          </w:p>
        </w:tc>
        <w:tc>
          <w:tcPr>
            <w:tcW w:w="1608" w:type="dxa"/>
            <w:shd w:val="clear" w:color="auto" w:fill="auto"/>
            <w:vAlign w:val="center"/>
          </w:tcPr>
          <w:p w14:paraId="41F396D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行政许可</w:t>
            </w:r>
          </w:p>
        </w:tc>
        <w:tc>
          <w:tcPr>
            <w:tcW w:w="4715" w:type="dxa"/>
            <w:shd w:val="clear" w:color="auto" w:fill="auto"/>
            <w:vAlign w:val="center"/>
          </w:tcPr>
          <w:p w14:paraId="2C61BB7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kern w:val="0"/>
                <w:sz w:val="24"/>
                <w:szCs w:val="24"/>
                <w:u w:val="none"/>
                <w:lang w:val="en-US" w:eastAsia="zh-CN" w:bidi="ar"/>
              </w:rPr>
            </w:pPr>
            <w:r>
              <w:rPr>
                <w:rFonts w:hint="eastAsia" w:ascii="Times New Roman" w:hAnsi="Times New Roman" w:eastAsia="方正楷体_GBK" w:cs="方正楷体_GBK"/>
                <w:i w:val="0"/>
                <w:iCs w:val="0"/>
                <w:color w:val="000000"/>
                <w:kern w:val="0"/>
                <w:sz w:val="24"/>
                <w:szCs w:val="24"/>
                <w:u w:val="none"/>
                <w:lang w:val="en-US" w:eastAsia="zh-CN" w:bidi="ar"/>
              </w:rPr>
              <w:t>动物诊疗许可证变更（县级权限）</w:t>
            </w:r>
          </w:p>
        </w:tc>
      </w:tr>
    </w:tbl>
    <w:p w14:paraId="1B3A97E5">
      <w:pPr>
        <w:rPr>
          <w:rFonts w:hint="default" w:ascii="Times New Roman" w:hAnsi="Times New Roman" w:eastAsia="方正仿宋_GBK" w:cs="方正仿宋_GBK"/>
          <w:color w:val="auto"/>
          <w:spacing w:val="0"/>
          <w:w w:val="100"/>
          <w:sz w:val="32"/>
          <w:szCs w:val="32"/>
          <w:lang w:val="en-US" w:eastAsia="zh-CN"/>
        </w:rPr>
      </w:pPr>
      <w:r>
        <w:rPr>
          <w:rFonts w:hint="default" w:ascii="Times New Roman" w:hAnsi="Times New Roman" w:eastAsia="方正仿宋_GBK" w:cs="方正仿宋_GBK"/>
          <w:color w:val="auto"/>
          <w:spacing w:val="0"/>
          <w:w w:val="100"/>
          <w:sz w:val="32"/>
          <w:szCs w:val="32"/>
          <w:lang w:val="en-US" w:eastAsia="zh-CN"/>
        </w:rPr>
        <w:br w:type="page"/>
      </w:r>
    </w:p>
    <w:p w14:paraId="0333A9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方正黑体_GBK" w:cs="方正黑体_GBK"/>
          <w:color w:val="auto"/>
          <w:spacing w:val="0"/>
          <w:w w:val="100"/>
          <w:sz w:val="32"/>
          <w:szCs w:val="32"/>
          <w:lang w:val="en-US" w:eastAsia="zh-CN"/>
        </w:rPr>
      </w:pPr>
      <w:r>
        <w:rPr>
          <w:rFonts w:hint="eastAsia" w:ascii="Times New Roman" w:hAnsi="Times New Roman" w:eastAsia="方正黑体_GBK" w:cs="方正黑体_GBK"/>
          <w:color w:val="auto"/>
          <w:spacing w:val="0"/>
          <w:w w:val="100"/>
          <w:sz w:val="32"/>
          <w:szCs w:val="32"/>
          <w:lang w:val="en-US" w:eastAsia="zh-CN"/>
        </w:rPr>
        <w:t>附件2</w:t>
      </w:r>
    </w:p>
    <w:p w14:paraId="2930D96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方正小标宋_GBK"/>
          <w:sz w:val="44"/>
          <w:szCs w:val="44"/>
          <w:shd w:val="clear" w:color="auto" w:fill="FFFFFF"/>
          <w:lang w:eastAsia="zh-CN"/>
        </w:rPr>
      </w:pPr>
      <w:r>
        <w:rPr>
          <w:rFonts w:hint="eastAsia" w:ascii="Times New Roman" w:hAnsi="Times New Roman" w:eastAsia="方正小标宋_GBK" w:cs="方正小标宋_GBK"/>
          <w:sz w:val="44"/>
          <w:szCs w:val="44"/>
          <w:shd w:val="clear" w:color="auto" w:fill="FFFFFF"/>
        </w:rPr>
        <w:t>江</w:t>
      </w:r>
      <w:r>
        <w:rPr>
          <w:rFonts w:hint="eastAsia" w:ascii="Times New Roman" w:hAnsi="Times New Roman" w:eastAsia="方正小标宋_GBK" w:cs="方正小标宋_GBK"/>
          <w:sz w:val="44"/>
          <w:szCs w:val="44"/>
          <w:shd w:val="clear" w:color="auto" w:fill="FFFFFF"/>
          <w:lang w:eastAsia="zh-CN"/>
        </w:rPr>
        <w:t>阴市</w:t>
      </w:r>
      <w:r>
        <w:rPr>
          <w:rFonts w:hint="eastAsia" w:ascii="Times New Roman" w:hAnsi="Times New Roman" w:eastAsia="方正小标宋_GBK" w:cs="方正小标宋_GBK"/>
          <w:sz w:val="44"/>
          <w:szCs w:val="44"/>
          <w:shd w:val="clear" w:color="auto" w:fill="FFFFFF"/>
        </w:rPr>
        <w:t>“</w:t>
      </w:r>
      <w:r>
        <w:rPr>
          <w:rFonts w:hint="eastAsia" w:ascii="Times New Roman" w:hAnsi="Times New Roman" w:eastAsia="方正小标宋_GBK" w:cs="方正小标宋_GBK"/>
          <w:sz w:val="44"/>
          <w:szCs w:val="44"/>
          <w:shd w:val="clear" w:color="auto" w:fill="FFFFFF"/>
          <w:lang w:eastAsia="zh-CN"/>
        </w:rPr>
        <w:t>社会经济类</w:t>
      </w:r>
      <w:r>
        <w:rPr>
          <w:rFonts w:hint="eastAsia" w:ascii="Times New Roman" w:hAnsi="Times New Roman" w:eastAsia="方正小标宋_GBK" w:cs="方正小标宋_GBK"/>
          <w:sz w:val="44"/>
          <w:szCs w:val="44"/>
          <w:shd w:val="clear" w:color="auto" w:fill="FFFFFF"/>
        </w:rPr>
        <w:t>一</w:t>
      </w:r>
      <w:r>
        <w:rPr>
          <w:rFonts w:hint="eastAsia" w:ascii="Times New Roman" w:hAnsi="Times New Roman" w:eastAsia="方正小标宋_GBK" w:cs="方正小标宋_GBK"/>
          <w:sz w:val="44"/>
          <w:szCs w:val="44"/>
          <w:shd w:val="clear" w:color="auto" w:fill="FFFFFF"/>
          <w:lang w:eastAsia="zh-CN"/>
        </w:rPr>
        <w:t>类</w:t>
      </w:r>
      <w:r>
        <w:rPr>
          <w:rFonts w:hint="eastAsia" w:ascii="Times New Roman" w:hAnsi="Times New Roman" w:eastAsia="方正小标宋_GBK" w:cs="方正小标宋_GBK"/>
          <w:sz w:val="44"/>
          <w:szCs w:val="44"/>
          <w:shd w:val="clear" w:color="auto" w:fill="FFFFFF"/>
        </w:rPr>
        <w:t>事”</w:t>
      </w:r>
      <w:r>
        <w:rPr>
          <w:rFonts w:hint="eastAsia" w:ascii="Times New Roman" w:hAnsi="Times New Roman" w:eastAsia="方正小标宋_GBK" w:cs="方正小标宋_GBK"/>
          <w:sz w:val="44"/>
          <w:szCs w:val="44"/>
          <w:shd w:val="clear" w:color="auto" w:fill="FFFFFF"/>
          <w:lang w:eastAsia="zh-CN"/>
        </w:rPr>
        <w:t>场景清单</w:t>
      </w:r>
    </w:p>
    <w:tbl>
      <w:tblPr>
        <w:tblStyle w:val="12"/>
        <w:tblW w:w="145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4"/>
        <w:gridCol w:w="5015"/>
        <w:gridCol w:w="4594"/>
        <w:gridCol w:w="3989"/>
      </w:tblGrid>
      <w:tr w14:paraId="376AE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jc w:val="center"/>
        </w:trPr>
        <w:tc>
          <w:tcPr>
            <w:tcW w:w="984" w:type="dxa"/>
            <w:shd w:val="clear" w:color="auto" w:fill="auto"/>
            <w:vAlign w:val="center"/>
          </w:tcPr>
          <w:p w14:paraId="79F5D8D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序号</w:t>
            </w:r>
          </w:p>
        </w:tc>
        <w:tc>
          <w:tcPr>
            <w:tcW w:w="5015" w:type="dxa"/>
            <w:shd w:val="clear" w:color="auto" w:fill="auto"/>
            <w:vAlign w:val="center"/>
          </w:tcPr>
          <w:p w14:paraId="3962B43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业务名称</w:t>
            </w:r>
          </w:p>
        </w:tc>
        <w:tc>
          <w:tcPr>
            <w:tcW w:w="4594" w:type="dxa"/>
            <w:shd w:val="clear" w:color="auto" w:fill="auto"/>
            <w:vAlign w:val="center"/>
          </w:tcPr>
          <w:p w14:paraId="7682EA0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业务场景</w:t>
            </w:r>
          </w:p>
        </w:tc>
        <w:tc>
          <w:tcPr>
            <w:tcW w:w="3989" w:type="dxa"/>
            <w:shd w:val="clear" w:color="auto" w:fill="auto"/>
            <w:vAlign w:val="center"/>
          </w:tcPr>
          <w:p w14:paraId="16DC0D7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4"/>
                <w:szCs w:val="24"/>
                <w:u w:val="none"/>
              </w:rPr>
            </w:pPr>
            <w:r>
              <w:rPr>
                <w:rFonts w:hint="eastAsia" w:ascii="Times New Roman" w:hAnsi="Times New Roman" w:eastAsia="方正黑体_GBK" w:cs="方正黑体_GBK"/>
                <w:b w:val="0"/>
                <w:bCs/>
                <w:i w:val="0"/>
                <w:iCs w:val="0"/>
                <w:color w:val="000000"/>
                <w:kern w:val="0"/>
                <w:sz w:val="24"/>
                <w:szCs w:val="24"/>
                <w:u w:val="none"/>
                <w:lang w:val="en-US" w:eastAsia="zh-CN" w:bidi="ar"/>
              </w:rPr>
              <w:t>联办业务场景</w:t>
            </w:r>
          </w:p>
        </w:tc>
      </w:tr>
      <w:tr w14:paraId="72B64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restart"/>
            <w:shd w:val="clear" w:color="auto" w:fill="auto"/>
            <w:noWrap/>
            <w:vAlign w:val="center"/>
          </w:tcPr>
          <w:p w14:paraId="6AE53DA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1</w:t>
            </w:r>
          </w:p>
        </w:tc>
        <w:tc>
          <w:tcPr>
            <w:tcW w:w="5015" w:type="dxa"/>
            <w:vMerge w:val="restart"/>
            <w:shd w:val="clear" w:color="auto" w:fill="auto"/>
            <w:noWrap/>
            <w:vAlign w:val="center"/>
          </w:tcPr>
          <w:p w14:paraId="27EE327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劳务派遣经营许可申请</w:t>
            </w:r>
          </w:p>
        </w:tc>
        <w:tc>
          <w:tcPr>
            <w:tcW w:w="4594" w:type="dxa"/>
            <w:vMerge w:val="restart"/>
            <w:shd w:val="clear" w:color="auto" w:fill="auto"/>
            <w:noWrap/>
            <w:vAlign w:val="center"/>
          </w:tcPr>
          <w:p w14:paraId="2B30454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劳务派遣经营许可申请</w:t>
            </w:r>
          </w:p>
        </w:tc>
        <w:tc>
          <w:tcPr>
            <w:tcW w:w="3989" w:type="dxa"/>
            <w:shd w:val="clear" w:color="auto" w:fill="auto"/>
            <w:vAlign w:val="center"/>
          </w:tcPr>
          <w:p w14:paraId="779E420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公司设立登记</w:t>
            </w:r>
          </w:p>
        </w:tc>
      </w:tr>
      <w:tr w14:paraId="1205C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noWrap/>
            <w:vAlign w:val="center"/>
          </w:tcPr>
          <w:p w14:paraId="05AB3DCA">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noWrap/>
            <w:vAlign w:val="center"/>
          </w:tcPr>
          <w:p w14:paraId="23E1766C">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noWrap/>
            <w:vAlign w:val="center"/>
          </w:tcPr>
          <w:p w14:paraId="12AE4F51">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7AB3F91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公司经营范围变更</w:t>
            </w:r>
          </w:p>
        </w:tc>
      </w:tr>
      <w:tr w14:paraId="6914A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55BEAB1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2</w:t>
            </w:r>
          </w:p>
        </w:tc>
        <w:tc>
          <w:tcPr>
            <w:tcW w:w="5015" w:type="dxa"/>
            <w:shd w:val="clear" w:color="auto" w:fill="auto"/>
            <w:vAlign w:val="center"/>
          </w:tcPr>
          <w:p w14:paraId="5276498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劳务派遣经营许可地址变更</w:t>
            </w:r>
          </w:p>
        </w:tc>
        <w:tc>
          <w:tcPr>
            <w:tcW w:w="4594" w:type="dxa"/>
            <w:shd w:val="clear" w:color="auto" w:fill="auto"/>
            <w:vAlign w:val="center"/>
          </w:tcPr>
          <w:p w14:paraId="1C9ADCB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劳务派遣经营许可地址变更</w:t>
            </w:r>
          </w:p>
        </w:tc>
        <w:tc>
          <w:tcPr>
            <w:tcW w:w="3989" w:type="dxa"/>
            <w:shd w:val="clear" w:color="auto" w:fill="auto"/>
            <w:vAlign w:val="center"/>
          </w:tcPr>
          <w:p w14:paraId="6503C82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公司住所变更</w:t>
            </w:r>
          </w:p>
        </w:tc>
      </w:tr>
      <w:tr w14:paraId="237DE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7E550D7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3</w:t>
            </w:r>
          </w:p>
        </w:tc>
        <w:tc>
          <w:tcPr>
            <w:tcW w:w="5015" w:type="dxa"/>
            <w:shd w:val="clear" w:color="auto" w:fill="auto"/>
            <w:vAlign w:val="center"/>
          </w:tcPr>
          <w:p w14:paraId="4FE3660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劳务派遣经营许可法人变更</w:t>
            </w:r>
          </w:p>
        </w:tc>
        <w:tc>
          <w:tcPr>
            <w:tcW w:w="4594" w:type="dxa"/>
            <w:shd w:val="clear" w:color="auto" w:fill="auto"/>
            <w:vAlign w:val="center"/>
          </w:tcPr>
          <w:p w14:paraId="01483E5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劳务派遣经营许可法人变更</w:t>
            </w:r>
          </w:p>
        </w:tc>
        <w:tc>
          <w:tcPr>
            <w:tcW w:w="3989" w:type="dxa"/>
            <w:shd w:val="clear" w:color="auto" w:fill="auto"/>
            <w:vAlign w:val="center"/>
          </w:tcPr>
          <w:p w14:paraId="62A7791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公司法定代表人变更</w:t>
            </w:r>
          </w:p>
        </w:tc>
      </w:tr>
      <w:tr w14:paraId="5326F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shd w:val="clear" w:color="auto" w:fill="auto"/>
            <w:noWrap/>
            <w:vAlign w:val="center"/>
          </w:tcPr>
          <w:p w14:paraId="466C41F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4</w:t>
            </w:r>
          </w:p>
        </w:tc>
        <w:tc>
          <w:tcPr>
            <w:tcW w:w="5015" w:type="dxa"/>
            <w:shd w:val="clear" w:color="auto" w:fill="auto"/>
            <w:vAlign w:val="center"/>
          </w:tcPr>
          <w:p w14:paraId="764315E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劳务派遣经营许可名称变更、注册资本变更</w:t>
            </w:r>
          </w:p>
        </w:tc>
        <w:tc>
          <w:tcPr>
            <w:tcW w:w="4594" w:type="dxa"/>
            <w:shd w:val="clear" w:color="auto" w:fill="auto"/>
            <w:noWrap/>
            <w:vAlign w:val="center"/>
          </w:tcPr>
          <w:p w14:paraId="1F18603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变更名称</w:t>
            </w:r>
          </w:p>
        </w:tc>
        <w:tc>
          <w:tcPr>
            <w:tcW w:w="3989" w:type="dxa"/>
            <w:shd w:val="clear" w:color="auto" w:fill="auto"/>
            <w:vAlign w:val="center"/>
          </w:tcPr>
          <w:p w14:paraId="2E8EB12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公司名称变更</w:t>
            </w:r>
          </w:p>
        </w:tc>
      </w:tr>
      <w:tr w14:paraId="5F642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0B03A3E2">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5</w:t>
            </w:r>
          </w:p>
        </w:tc>
        <w:tc>
          <w:tcPr>
            <w:tcW w:w="5015" w:type="dxa"/>
            <w:shd w:val="clear" w:color="auto" w:fill="auto"/>
            <w:vAlign w:val="center"/>
          </w:tcPr>
          <w:p w14:paraId="19BBF22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劳务派遣经营许可注销</w:t>
            </w:r>
          </w:p>
        </w:tc>
        <w:tc>
          <w:tcPr>
            <w:tcW w:w="4594" w:type="dxa"/>
            <w:shd w:val="clear" w:color="auto" w:fill="auto"/>
            <w:vAlign w:val="center"/>
          </w:tcPr>
          <w:p w14:paraId="3C63DC0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劳务派遣经营许可注销</w:t>
            </w:r>
          </w:p>
        </w:tc>
        <w:tc>
          <w:tcPr>
            <w:tcW w:w="3989" w:type="dxa"/>
            <w:shd w:val="clear" w:color="auto" w:fill="auto"/>
            <w:vAlign w:val="center"/>
          </w:tcPr>
          <w:p w14:paraId="31CA9D0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公司注销登记</w:t>
            </w:r>
          </w:p>
        </w:tc>
      </w:tr>
      <w:tr w14:paraId="3BA9A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restart"/>
            <w:shd w:val="clear" w:color="auto" w:fill="auto"/>
            <w:vAlign w:val="center"/>
          </w:tcPr>
          <w:p w14:paraId="2E97AA7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6</w:t>
            </w:r>
          </w:p>
        </w:tc>
        <w:tc>
          <w:tcPr>
            <w:tcW w:w="5015" w:type="dxa"/>
            <w:vMerge w:val="restart"/>
            <w:shd w:val="clear" w:color="auto" w:fill="auto"/>
            <w:vAlign w:val="center"/>
          </w:tcPr>
          <w:p w14:paraId="0F9BDB4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民办非学历教育机构的变更审批</w:t>
            </w:r>
          </w:p>
        </w:tc>
        <w:tc>
          <w:tcPr>
            <w:tcW w:w="4594" w:type="dxa"/>
            <w:shd w:val="clear" w:color="auto" w:fill="auto"/>
            <w:vAlign w:val="center"/>
          </w:tcPr>
          <w:p w14:paraId="310831D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变更名称</w:t>
            </w:r>
          </w:p>
        </w:tc>
        <w:tc>
          <w:tcPr>
            <w:tcW w:w="3989" w:type="dxa"/>
            <w:shd w:val="clear" w:color="auto" w:fill="auto"/>
            <w:vAlign w:val="center"/>
          </w:tcPr>
          <w:p w14:paraId="77121A5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公司名称变更</w:t>
            </w:r>
          </w:p>
        </w:tc>
      </w:tr>
      <w:tr w14:paraId="450E9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68CD889A">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0EBAEAC8">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shd w:val="clear" w:color="auto" w:fill="auto"/>
            <w:vAlign w:val="center"/>
          </w:tcPr>
          <w:p w14:paraId="21F4F20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变更地址</w:t>
            </w:r>
          </w:p>
        </w:tc>
        <w:tc>
          <w:tcPr>
            <w:tcW w:w="3989" w:type="dxa"/>
            <w:shd w:val="clear" w:color="auto" w:fill="auto"/>
            <w:vAlign w:val="center"/>
          </w:tcPr>
          <w:p w14:paraId="768A6E2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公司住所变更</w:t>
            </w:r>
          </w:p>
        </w:tc>
      </w:tr>
      <w:tr w14:paraId="1B368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0237A19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7</w:t>
            </w:r>
          </w:p>
        </w:tc>
        <w:tc>
          <w:tcPr>
            <w:tcW w:w="5015" w:type="dxa"/>
            <w:shd w:val="clear" w:color="auto" w:fill="auto"/>
            <w:vAlign w:val="center"/>
          </w:tcPr>
          <w:p w14:paraId="6689F47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民办非学历教育机构的终止审批</w:t>
            </w:r>
          </w:p>
        </w:tc>
        <w:tc>
          <w:tcPr>
            <w:tcW w:w="4594" w:type="dxa"/>
            <w:shd w:val="clear" w:color="auto" w:fill="auto"/>
            <w:vAlign w:val="center"/>
          </w:tcPr>
          <w:p w14:paraId="3F15E82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民办非学历教育机构的终止审批</w:t>
            </w:r>
          </w:p>
        </w:tc>
        <w:tc>
          <w:tcPr>
            <w:tcW w:w="3989" w:type="dxa"/>
            <w:shd w:val="clear" w:color="auto" w:fill="auto"/>
            <w:vAlign w:val="center"/>
          </w:tcPr>
          <w:p w14:paraId="50D6553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公司注销登记</w:t>
            </w:r>
          </w:p>
        </w:tc>
      </w:tr>
      <w:tr w14:paraId="7CFEF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4" w:type="dxa"/>
            <w:vMerge w:val="restart"/>
            <w:shd w:val="clear" w:color="auto" w:fill="auto"/>
            <w:vAlign w:val="center"/>
          </w:tcPr>
          <w:p w14:paraId="1A63548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8</w:t>
            </w:r>
          </w:p>
        </w:tc>
        <w:tc>
          <w:tcPr>
            <w:tcW w:w="5015" w:type="dxa"/>
            <w:vMerge w:val="restart"/>
            <w:shd w:val="clear" w:color="auto" w:fill="auto"/>
            <w:vAlign w:val="center"/>
          </w:tcPr>
          <w:p w14:paraId="5C7F293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危险化学品经营许可变更申请（变更企业名称、主要负责人、注册地址）</w:t>
            </w:r>
          </w:p>
        </w:tc>
        <w:tc>
          <w:tcPr>
            <w:tcW w:w="4594" w:type="dxa"/>
            <w:vMerge w:val="restart"/>
            <w:shd w:val="clear" w:color="auto" w:fill="auto"/>
            <w:vAlign w:val="center"/>
          </w:tcPr>
          <w:p w14:paraId="6D428138">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变更企业名称</w:t>
            </w:r>
          </w:p>
        </w:tc>
        <w:tc>
          <w:tcPr>
            <w:tcW w:w="3989" w:type="dxa"/>
            <w:shd w:val="clear" w:color="auto" w:fill="auto"/>
            <w:vAlign w:val="center"/>
          </w:tcPr>
          <w:p w14:paraId="73B11EE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公司名称变更</w:t>
            </w:r>
          </w:p>
        </w:tc>
      </w:tr>
      <w:tr w14:paraId="466C2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4" w:type="dxa"/>
            <w:vMerge w:val="continue"/>
            <w:shd w:val="clear" w:color="auto" w:fill="auto"/>
            <w:vAlign w:val="center"/>
          </w:tcPr>
          <w:p w14:paraId="2CD30E59">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7581A7BE">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44BEFED9">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130C286B">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分公司名称变更</w:t>
            </w:r>
          </w:p>
        </w:tc>
      </w:tr>
      <w:tr w14:paraId="511D8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4" w:type="dxa"/>
            <w:vMerge w:val="continue"/>
            <w:shd w:val="clear" w:color="auto" w:fill="auto"/>
            <w:vAlign w:val="center"/>
          </w:tcPr>
          <w:p w14:paraId="0C47BA54">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6B2DEE33">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restart"/>
            <w:shd w:val="clear" w:color="auto" w:fill="auto"/>
            <w:noWrap/>
            <w:vAlign w:val="center"/>
          </w:tcPr>
          <w:p w14:paraId="5746CE5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变更主要负责人</w:t>
            </w:r>
          </w:p>
        </w:tc>
        <w:tc>
          <w:tcPr>
            <w:tcW w:w="3989" w:type="dxa"/>
            <w:shd w:val="clear" w:color="auto" w:fill="auto"/>
            <w:vAlign w:val="center"/>
          </w:tcPr>
          <w:p w14:paraId="784CC2C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公司法定代表人变更</w:t>
            </w:r>
          </w:p>
        </w:tc>
      </w:tr>
      <w:tr w14:paraId="601DA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4" w:type="dxa"/>
            <w:vMerge w:val="continue"/>
            <w:shd w:val="clear" w:color="auto" w:fill="auto"/>
            <w:vAlign w:val="center"/>
          </w:tcPr>
          <w:p w14:paraId="4B340169">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7C97C7A7">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noWrap/>
            <w:vAlign w:val="center"/>
          </w:tcPr>
          <w:p w14:paraId="330E7C64">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30CCDEC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分公司负责人变更</w:t>
            </w:r>
          </w:p>
        </w:tc>
      </w:tr>
      <w:tr w14:paraId="76549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dxa"/>
            <w:vMerge w:val="restart"/>
            <w:shd w:val="clear" w:color="auto" w:fill="auto"/>
            <w:vAlign w:val="center"/>
          </w:tcPr>
          <w:p w14:paraId="5DBE454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9</w:t>
            </w:r>
          </w:p>
        </w:tc>
        <w:tc>
          <w:tcPr>
            <w:tcW w:w="5015" w:type="dxa"/>
            <w:vMerge w:val="restart"/>
            <w:shd w:val="clear" w:color="auto" w:fill="auto"/>
            <w:vAlign w:val="center"/>
          </w:tcPr>
          <w:p w14:paraId="39A051C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危险化学品经营许可重新申请（不带有储存设施的经营企业变更其经营场所的、经营方式发生变化的、许可范围发生变化的）</w:t>
            </w:r>
          </w:p>
        </w:tc>
        <w:tc>
          <w:tcPr>
            <w:tcW w:w="4594" w:type="dxa"/>
            <w:vMerge w:val="restart"/>
            <w:shd w:val="clear" w:color="auto" w:fill="auto"/>
            <w:vAlign w:val="center"/>
          </w:tcPr>
          <w:p w14:paraId="3ACA899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危险化学品经营许可重新申请（不带有储存设施的经营企业变更其经营场所的、经营方式发生变化的、许可范围发生变化的）</w:t>
            </w:r>
          </w:p>
        </w:tc>
        <w:tc>
          <w:tcPr>
            <w:tcW w:w="3989" w:type="dxa"/>
            <w:shd w:val="clear" w:color="auto" w:fill="auto"/>
            <w:vAlign w:val="center"/>
          </w:tcPr>
          <w:p w14:paraId="7160193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公司经营范围变更</w:t>
            </w:r>
          </w:p>
        </w:tc>
      </w:tr>
      <w:tr w14:paraId="565A0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dxa"/>
            <w:vMerge w:val="continue"/>
            <w:shd w:val="clear" w:color="auto" w:fill="auto"/>
            <w:vAlign w:val="center"/>
          </w:tcPr>
          <w:p w14:paraId="4CBAE405">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1792163F">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3B1E341B">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78317E4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分公司经营范围变更</w:t>
            </w:r>
          </w:p>
        </w:tc>
      </w:tr>
      <w:tr w14:paraId="57959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dxa"/>
            <w:vMerge w:val="restart"/>
            <w:shd w:val="clear" w:color="auto" w:fill="auto"/>
            <w:vAlign w:val="center"/>
          </w:tcPr>
          <w:p w14:paraId="2AAFE36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10</w:t>
            </w:r>
          </w:p>
        </w:tc>
        <w:tc>
          <w:tcPr>
            <w:tcW w:w="5015" w:type="dxa"/>
            <w:vMerge w:val="restart"/>
            <w:shd w:val="clear" w:color="auto" w:fill="auto"/>
            <w:vAlign w:val="center"/>
          </w:tcPr>
          <w:p w14:paraId="0D8C8A3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危险化学品经营许可注销</w:t>
            </w:r>
          </w:p>
        </w:tc>
        <w:tc>
          <w:tcPr>
            <w:tcW w:w="4594" w:type="dxa"/>
            <w:vMerge w:val="restart"/>
            <w:shd w:val="clear" w:color="auto" w:fill="auto"/>
            <w:vAlign w:val="center"/>
          </w:tcPr>
          <w:p w14:paraId="1DCE34C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危险化学品经营许可注销</w:t>
            </w:r>
          </w:p>
        </w:tc>
        <w:tc>
          <w:tcPr>
            <w:tcW w:w="3989" w:type="dxa"/>
            <w:shd w:val="clear" w:color="auto" w:fill="auto"/>
            <w:vAlign w:val="center"/>
          </w:tcPr>
          <w:p w14:paraId="3278FEF6">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公司注销登记</w:t>
            </w:r>
          </w:p>
        </w:tc>
      </w:tr>
      <w:tr w14:paraId="7C614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dxa"/>
            <w:vMerge w:val="continue"/>
            <w:shd w:val="clear" w:color="auto" w:fill="auto"/>
            <w:vAlign w:val="center"/>
          </w:tcPr>
          <w:p w14:paraId="2FCF4939">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4E74DADB">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792FC268">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382C497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分公司注销登记</w:t>
            </w:r>
          </w:p>
        </w:tc>
      </w:tr>
      <w:tr w14:paraId="1DB72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restart"/>
            <w:shd w:val="clear" w:color="auto" w:fill="auto"/>
            <w:vAlign w:val="center"/>
          </w:tcPr>
          <w:p w14:paraId="3C99844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11</w:t>
            </w:r>
          </w:p>
        </w:tc>
        <w:tc>
          <w:tcPr>
            <w:tcW w:w="5015" w:type="dxa"/>
            <w:vMerge w:val="restart"/>
            <w:shd w:val="clear" w:color="auto" w:fill="auto"/>
            <w:vAlign w:val="center"/>
          </w:tcPr>
          <w:p w14:paraId="46B8147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扩大道路货物运输经营许可范围</w:t>
            </w:r>
          </w:p>
        </w:tc>
        <w:tc>
          <w:tcPr>
            <w:tcW w:w="4594" w:type="dxa"/>
            <w:vMerge w:val="restart"/>
            <w:shd w:val="clear" w:color="auto" w:fill="auto"/>
            <w:vAlign w:val="center"/>
          </w:tcPr>
          <w:p w14:paraId="4944B62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扩大道路货物运输经营许可范围</w:t>
            </w:r>
          </w:p>
        </w:tc>
        <w:tc>
          <w:tcPr>
            <w:tcW w:w="3989" w:type="dxa"/>
            <w:shd w:val="clear" w:color="auto" w:fill="auto"/>
            <w:vAlign w:val="center"/>
          </w:tcPr>
          <w:p w14:paraId="11976A2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公司经营范围变更</w:t>
            </w:r>
          </w:p>
        </w:tc>
      </w:tr>
      <w:tr w14:paraId="64A21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0F93874C">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731DC5D8">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17ED64A5">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5A79C81A">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个体工商户经营范围变更</w:t>
            </w:r>
          </w:p>
        </w:tc>
      </w:tr>
      <w:tr w14:paraId="0E402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restart"/>
            <w:shd w:val="clear" w:color="auto" w:fill="auto"/>
            <w:vAlign w:val="center"/>
          </w:tcPr>
          <w:p w14:paraId="1C311CF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12</w:t>
            </w:r>
          </w:p>
        </w:tc>
        <w:tc>
          <w:tcPr>
            <w:tcW w:w="5015" w:type="dxa"/>
            <w:vMerge w:val="restart"/>
            <w:shd w:val="clear" w:color="auto" w:fill="auto"/>
            <w:vAlign w:val="center"/>
          </w:tcPr>
          <w:p w14:paraId="5E9DD94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道路货物运输经营者名称、地址（同一辖区）、法定代表人、经济性质等信息变更备案</w:t>
            </w:r>
          </w:p>
        </w:tc>
        <w:tc>
          <w:tcPr>
            <w:tcW w:w="4594" w:type="dxa"/>
            <w:vMerge w:val="restart"/>
            <w:shd w:val="clear" w:color="auto" w:fill="auto"/>
            <w:vAlign w:val="center"/>
          </w:tcPr>
          <w:p w14:paraId="2CD5CF1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变更名称</w:t>
            </w:r>
          </w:p>
        </w:tc>
        <w:tc>
          <w:tcPr>
            <w:tcW w:w="3989" w:type="dxa"/>
            <w:shd w:val="clear" w:color="auto" w:fill="auto"/>
            <w:vAlign w:val="center"/>
          </w:tcPr>
          <w:p w14:paraId="420202C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公司名称变更</w:t>
            </w:r>
          </w:p>
        </w:tc>
      </w:tr>
      <w:tr w14:paraId="4215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2CD38961">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07728572">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245F84FB">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2842240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个体工商户名称变更</w:t>
            </w:r>
          </w:p>
        </w:tc>
      </w:tr>
      <w:tr w14:paraId="40C8F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0254446E">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77EE3C02">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restart"/>
            <w:shd w:val="clear" w:color="auto" w:fill="auto"/>
            <w:vAlign w:val="center"/>
          </w:tcPr>
          <w:p w14:paraId="07B1FAE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变更地址</w:t>
            </w:r>
          </w:p>
        </w:tc>
        <w:tc>
          <w:tcPr>
            <w:tcW w:w="3989" w:type="dxa"/>
            <w:shd w:val="clear" w:color="auto" w:fill="auto"/>
            <w:vAlign w:val="center"/>
          </w:tcPr>
          <w:p w14:paraId="0F47935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公司住所变更</w:t>
            </w:r>
          </w:p>
        </w:tc>
      </w:tr>
      <w:tr w14:paraId="1DFCE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0CB2AACA">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578DDD0F">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29054E37">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noWrap/>
            <w:vAlign w:val="center"/>
          </w:tcPr>
          <w:p w14:paraId="4F1CE98D">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个体工商户住所变更</w:t>
            </w:r>
          </w:p>
        </w:tc>
      </w:tr>
      <w:tr w14:paraId="1C81E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376DEED5">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28C27E10">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restart"/>
            <w:shd w:val="clear" w:color="auto" w:fill="auto"/>
            <w:vAlign w:val="center"/>
          </w:tcPr>
          <w:p w14:paraId="4511CF2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变更法定代表人</w:t>
            </w:r>
          </w:p>
        </w:tc>
        <w:tc>
          <w:tcPr>
            <w:tcW w:w="3989" w:type="dxa"/>
            <w:shd w:val="clear" w:color="auto" w:fill="auto"/>
            <w:vAlign w:val="center"/>
          </w:tcPr>
          <w:p w14:paraId="6C23E72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公司法定代表人变更</w:t>
            </w:r>
          </w:p>
        </w:tc>
      </w:tr>
      <w:tr w14:paraId="136A5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6BF0813B">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5C66F18A">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3D2323D5">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7C9BB6C7">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个体工商户经营者变更</w:t>
            </w:r>
          </w:p>
        </w:tc>
      </w:tr>
      <w:tr w14:paraId="37C51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restart"/>
            <w:shd w:val="clear" w:color="auto" w:fill="auto"/>
            <w:vAlign w:val="center"/>
          </w:tcPr>
          <w:p w14:paraId="7F555F70">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13</w:t>
            </w:r>
          </w:p>
        </w:tc>
        <w:tc>
          <w:tcPr>
            <w:tcW w:w="5015" w:type="dxa"/>
            <w:vMerge w:val="restart"/>
            <w:shd w:val="clear" w:color="auto" w:fill="auto"/>
            <w:vAlign w:val="center"/>
          </w:tcPr>
          <w:p w14:paraId="0439BED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动物诊疗许可证变更（县级权限）</w:t>
            </w:r>
          </w:p>
        </w:tc>
        <w:tc>
          <w:tcPr>
            <w:tcW w:w="4594" w:type="dxa"/>
            <w:vMerge w:val="restart"/>
            <w:shd w:val="clear" w:color="auto" w:fill="auto"/>
            <w:vAlign w:val="center"/>
          </w:tcPr>
          <w:p w14:paraId="6CDA4C89">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变更名称</w:t>
            </w:r>
          </w:p>
        </w:tc>
        <w:tc>
          <w:tcPr>
            <w:tcW w:w="3989" w:type="dxa"/>
            <w:shd w:val="clear" w:color="auto" w:fill="auto"/>
            <w:vAlign w:val="center"/>
          </w:tcPr>
          <w:p w14:paraId="1E364E3F">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公司名称变更</w:t>
            </w:r>
          </w:p>
        </w:tc>
      </w:tr>
      <w:tr w14:paraId="5AE3F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582D82EC">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11F6E88B">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4BC03288">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1DE89F6E">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个体工商户名称变更</w:t>
            </w:r>
          </w:p>
        </w:tc>
      </w:tr>
      <w:tr w14:paraId="2BAEB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restart"/>
            <w:shd w:val="clear" w:color="auto" w:fill="auto"/>
            <w:vAlign w:val="center"/>
          </w:tcPr>
          <w:p w14:paraId="3CAD3714">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center"/>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14</w:t>
            </w:r>
          </w:p>
        </w:tc>
        <w:tc>
          <w:tcPr>
            <w:tcW w:w="5015" w:type="dxa"/>
            <w:vMerge w:val="restart"/>
            <w:shd w:val="clear" w:color="auto" w:fill="auto"/>
            <w:vAlign w:val="center"/>
          </w:tcPr>
          <w:p w14:paraId="1E703595">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动物诊疗许可证变更（县级权限）</w:t>
            </w:r>
          </w:p>
        </w:tc>
        <w:tc>
          <w:tcPr>
            <w:tcW w:w="4594" w:type="dxa"/>
            <w:vMerge w:val="restart"/>
            <w:shd w:val="clear" w:color="auto" w:fill="auto"/>
            <w:vAlign w:val="center"/>
          </w:tcPr>
          <w:p w14:paraId="486D7001">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变更法定代表人（负责人）</w:t>
            </w:r>
          </w:p>
        </w:tc>
        <w:tc>
          <w:tcPr>
            <w:tcW w:w="3989" w:type="dxa"/>
            <w:shd w:val="clear" w:color="auto" w:fill="auto"/>
            <w:vAlign w:val="center"/>
          </w:tcPr>
          <w:p w14:paraId="426453C3">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公司法定代表人变更</w:t>
            </w:r>
          </w:p>
        </w:tc>
      </w:tr>
      <w:tr w14:paraId="089EF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vMerge w:val="continue"/>
            <w:shd w:val="clear" w:color="auto" w:fill="auto"/>
            <w:vAlign w:val="center"/>
          </w:tcPr>
          <w:p w14:paraId="12577736">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rPr>
                <w:rFonts w:hint="eastAsia" w:ascii="Times New Roman" w:hAnsi="Times New Roman" w:eastAsia="方正楷体_GBK" w:cs="方正楷体_GBK"/>
                <w:i w:val="0"/>
                <w:iCs w:val="0"/>
                <w:color w:val="000000"/>
                <w:sz w:val="24"/>
                <w:szCs w:val="24"/>
                <w:u w:val="none"/>
              </w:rPr>
            </w:pPr>
          </w:p>
        </w:tc>
        <w:tc>
          <w:tcPr>
            <w:tcW w:w="5015" w:type="dxa"/>
            <w:vMerge w:val="continue"/>
            <w:shd w:val="clear" w:color="auto" w:fill="auto"/>
            <w:vAlign w:val="center"/>
          </w:tcPr>
          <w:p w14:paraId="0F4A3869">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4594" w:type="dxa"/>
            <w:vMerge w:val="continue"/>
            <w:shd w:val="clear" w:color="auto" w:fill="auto"/>
            <w:vAlign w:val="center"/>
          </w:tcPr>
          <w:p w14:paraId="20B051A5">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both"/>
              <w:rPr>
                <w:rFonts w:hint="eastAsia" w:ascii="Times New Roman" w:hAnsi="Times New Roman" w:eastAsia="方正楷体_GBK" w:cs="方正楷体_GBK"/>
                <w:i w:val="0"/>
                <w:iCs w:val="0"/>
                <w:color w:val="000000"/>
                <w:sz w:val="24"/>
                <w:szCs w:val="24"/>
                <w:u w:val="none"/>
              </w:rPr>
            </w:pPr>
          </w:p>
        </w:tc>
        <w:tc>
          <w:tcPr>
            <w:tcW w:w="3989" w:type="dxa"/>
            <w:shd w:val="clear" w:color="auto" w:fill="auto"/>
            <w:vAlign w:val="center"/>
          </w:tcPr>
          <w:p w14:paraId="4BB25C2C">
            <w:pPr>
              <w:keepNext w:val="0"/>
              <w:keepLines w:val="0"/>
              <w:pageBreakBefore w:val="0"/>
              <w:widowControl w:val="0"/>
              <w:suppressLineNumbers w:val="0"/>
              <w:kinsoku/>
              <w:wordWrap/>
              <w:overflowPunct/>
              <w:topLinePunct w:val="0"/>
              <w:autoSpaceDE/>
              <w:autoSpaceDN/>
              <w:bidi w:val="0"/>
              <w:adjustRightInd/>
              <w:snapToGrid/>
              <w:spacing w:line="0" w:lineRule="atLeast"/>
              <w:ind w:left="0" w:leftChars="0" w:right="0" w:rightChars="0" w:firstLine="0" w:firstLineChars="0"/>
              <w:jc w:val="both"/>
              <w:textAlignment w:val="center"/>
              <w:rPr>
                <w:rFonts w:hint="eastAsia" w:ascii="Times New Roman" w:hAnsi="Times New Roman" w:eastAsia="方正楷体_GBK" w:cs="方正楷体_GBK"/>
                <w:i w:val="0"/>
                <w:iCs w:val="0"/>
                <w:color w:val="000000"/>
                <w:sz w:val="24"/>
                <w:szCs w:val="24"/>
                <w:u w:val="none"/>
              </w:rPr>
            </w:pPr>
            <w:r>
              <w:rPr>
                <w:rFonts w:hint="eastAsia" w:ascii="Times New Roman" w:hAnsi="Times New Roman" w:eastAsia="方正楷体_GBK" w:cs="方正楷体_GBK"/>
                <w:i w:val="0"/>
                <w:iCs w:val="0"/>
                <w:color w:val="000000"/>
                <w:kern w:val="0"/>
                <w:sz w:val="24"/>
                <w:szCs w:val="24"/>
                <w:u w:val="none"/>
                <w:lang w:val="en-US" w:eastAsia="zh-CN" w:bidi="ar"/>
              </w:rPr>
              <w:t>个体工商户经营者变更</w:t>
            </w:r>
          </w:p>
        </w:tc>
      </w:tr>
    </w:tbl>
    <w:p w14:paraId="39E84F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方正仿宋_GBK"/>
          <w:sz w:val="32"/>
          <w:szCs w:val="32"/>
          <w:shd w:val="clear" w:color="auto" w:fill="FFFFFF"/>
          <w:lang w:val="en-US"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docGrid w:type="linesAndChars" w:linePitch="602" w:charSpace="-849"/>
        </w:sectPr>
      </w:pPr>
      <w:bookmarkStart w:id="0" w:name="_GoBack"/>
      <w:bookmarkEnd w:id="0"/>
    </w:p>
    <w:p w14:paraId="4B02A5EB">
      <w:pPr>
        <w:rPr>
          <w:rFonts w:hint="default" w:ascii="Times New Roman" w:hAnsi="Times New Roman" w:eastAsia="方正仿宋_GBK" w:cs="方正仿宋_GBK"/>
          <w:sz w:val="32"/>
          <w:szCs w:val="32"/>
          <w:shd w:val="clear" w:color="auto" w:fill="FFFFFF"/>
          <w:lang w:val="en-US" w:eastAsia="zh-CN"/>
        </w:rPr>
      </w:pPr>
    </w:p>
    <w:sectPr>
      <w:footerReference r:id="rId7" w:type="default"/>
      <w:footerReference r:id="rId8" w:type="even"/>
      <w:pgSz w:w="11906" w:h="16838"/>
      <w:pgMar w:top="2098" w:right="1474" w:bottom="1984" w:left="1587" w:header="851" w:footer="1474" w:gutter="0"/>
      <w:pgBorders>
        <w:top w:val="none" w:sz="0" w:space="0"/>
        <w:left w:val="none" w:sz="0" w:space="0"/>
        <w:bottom w:val="none" w:sz="0" w:space="0"/>
        <w:right w:val="none" w:sz="0" w:space="0"/>
      </w:pgBorders>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CE25">
    <w:pPr>
      <w:pStyle w:val="17"/>
      <w:ind w:left="320" w:leftChars="100" w:right="320" w:rightChars="100"/>
      <w:jc w:val="right"/>
    </w:pP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3</w:t>
    </w:r>
    <w:r>
      <w:rPr>
        <w:rFonts w:ascii="宋体" w:hAnsi="宋体" w:eastAsia="宋体"/>
        <w:kern w:val="0"/>
        <w:sz w:val="28"/>
        <w:szCs w:val="28"/>
      </w:rPr>
      <w:fldChar w:fldCharType="end"/>
    </w:r>
    <w:r>
      <w:rPr>
        <w:rFonts w:hint="eastAsia" w:ascii="宋体" w:hAnsi="宋体" w:eastAsia="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C0D48">
    <w:pPr>
      <w:pStyle w:val="17"/>
      <w:ind w:left="320" w:leftChars="100" w:right="320" w:rightChars="100"/>
      <w:jc w:val="both"/>
    </w:pPr>
    <w:r>
      <w:rPr>
        <w:rFonts w:hint="eastAsia"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2</w:t>
    </w:r>
    <w:r>
      <w:rPr>
        <w:rFonts w:ascii="宋体" w:hAnsi="宋体" w:eastAsia="宋体"/>
        <w:kern w:val="0"/>
        <w:sz w:val="28"/>
        <w:szCs w:val="28"/>
      </w:rPr>
      <w:fldChar w:fldCharType="end"/>
    </w:r>
    <w:r>
      <w:rPr>
        <w:rFonts w:hint="eastAsia" w:ascii="宋体" w:hAnsi="宋体" w:eastAsia="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3F26">
    <w:pPr>
      <w:pStyle w:val="17"/>
      <w:ind w:left="320" w:leftChars="100" w:right="320" w:rightChars="10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AF1E">
    <w:pPr>
      <w:pStyle w:val="17"/>
      <w:ind w:left="320" w:leftChars="100" w:right="320" w:rightChars="10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1ED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7356">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OTg2YzAxZWRkNzliMTI5ZjZlMTMxYmE1NzBkZjEifQ=="/>
  </w:docVars>
  <w:rsids>
    <w:rsidRoot w:val="00412918"/>
    <w:rsid w:val="00004E8A"/>
    <w:rsid w:val="00020C7D"/>
    <w:rsid w:val="00032003"/>
    <w:rsid w:val="0003286A"/>
    <w:rsid w:val="0004060E"/>
    <w:rsid w:val="00046498"/>
    <w:rsid w:val="0004776D"/>
    <w:rsid w:val="00057560"/>
    <w:rsid w:val="000610AA"/>
    <w:rsid w:val="00061C97"/>
    <w:rsid w:val="000622F8"/>
    <w:rsid w:val="0006400F"/>
    <w:rsid w:val="00081D7E"/>
    <w:rsid w:val="000A53B5"/>
    <w:rsid w:val="000A6683"/>
    <w:rsid w:val="000C4893"/>
    <w:rsid w:val="000C6C3A"/>
    <w:rsid w:val="000D22DD"/>
    <w:rsid w:val="000E1001"/>
    <w:rsid w:val="000F472E"/>
    <w:rsid w:val="00125DC1"/>
    <w:rsid w:val="00162BC1"/>
    <w:rsid w:val="001823DF"/>
    <w:rsid w:val="001B0AB5"/>
    <w:rsid w:val="001E49A7"/>
    <w:rsid w:val="002019E1"/>
    <w:rsid w:val="00214B78"/>
    <w:rsid w:val="00220B82"/>
    <w:rsid w:val="0022723B"/>
    <w:rsid w:val="002311FD"/>
    <w:rsid w:val="00234118"/>
    <w:rsid w:val="00237192"/>
    <w:rsid w:val="00245640"/>
    <w:rsid w:val="002533AA"/>
    <w:rsid w:val="00261EC2"/>
    <w:rsid w:val="0026729D"/>
    <w:rsid w:val="00282755"/>
    <w:rsid w:val="00290C6A"/>
    <w:rsid w:val="002A52FC"/>
    <w:rsid w:val="002B500B"/>
    <w:rsid w:val="002B6F62"/>
    <w:rsid w:val="002D0E38"/>
    <w:rsid w:val="002D2B8D"/>
    <w:rsid w:val="002E01E2"/>
    <w:rsid w:val="002F069C"/>
    <w:rsid w:val="00306A83"/>
    <w:rsid w:val="003254D8"/>
    <w:rsid w:val="00344501"/>
    <w:rsid w:val="00345991"/>
    <w:rsid w:val="00346528"/>
    <w:rsid w:val="003518D5"/>
    <w:rsid w:val="003540F9"/>
    <w:rsid w:val="00364C55"/>
    <w:rsid w:val="003711C8"/>
    <w:rsid w:val="003818EB"/>
    <w:rsid w:val="003820D9"/>
    <w:rsid w:val="00382F60"/>
    <w:rsid w:val="003A3E21"/>
    <w:rsid w:val="003B57D7"/>
    <w:rsid w:val="003D2639"/>
    <w:rsid w:val="003D370C"/>
    <w:rsid w:val="003E7100"/>
    <w:rsid w:val="003E7675"/>
    <w:rsid w:val="003F2ABB"/>
    <w:rsid w:val="003F2B82"/>
    <w:rsid w:val="00412918"/>
    <w:rsid w:val="004320B8"/>
    <w:rsid w:val="0043224B"/>
    <w:rsid w:val="00481E2C"/>
    <w:rsid w:val="004B4DFD"/>
    <w:rsid w:val="004B527A"/>
    <w:rsid w:val="004B7159"/>
    <w:rsid w:val="004C6881"/>
    <w:rsid w:val="004E2541"/>
    <w:rsid w:val="004F552C"/>
    <w:rsid w:val="004F5775"/>
    <w:rsid w:val="00511FA4"/>
    <w:rsid w:val="0053598D"/>
    <w:rsid w:val="00563308"/>
    <w:rsid w:val="005745E7"/>
    <w:rsid w:val="00577324"/>
    <w:rsid w:val="005912CC"/>
    <w:rsid w:val="00596ED0"/>
    <w:rsid w:val="005A05B1"/>
    <w:rsid w:val="005C52A8"/>
    <w:rsid w:val="005C6B9D"/>
    <w:rsid w:val="005D1C73"/>
    <w:rsid w:val="005D41AC"/>
    <w:rsid w:val="005D7451"/>
    <w:rsid w:val="005D7E13"/>
    <w:rsid w:val="005F032E"/>
    <w:rsid w:val="005F07F9"/>
    <w:rsid w:val="006033C5"/>
    <w:rsid w:val="00606976"/>
    <w:rsid w:val="006147C1"/>
    <w:rsid w:val="00631CF7"/>
    <w:rsid w:val="00641616"/>
    <w:rsid w:val="006440AD"/>
    <w:rsid w:val="0065359B"/>
    <w:rsid w:val="0067121C"/>
    <w:rsid w:val="00674C5A"/>
    <w:rsid w:val="00675481"/>
    <w:rsid w:val="00694D0B"/>
    <w:rsid w:val="006A5CBA"/>
    <w:rsid w:val="006E1978"/>
    <w:rsid w:val="006F34E9"/>
    <w:rsid w:val="007072D9"/>
    <w:rsid w:val="007207B2"/>
    <w:rsid w:val="00736D19"/>
    <w:rsid w:val="00761E82"/>
    <w:rsid w:val="007732D2"/>
    <w:rsid w:val="00774D71"/>
    <w:rsid w:val="00777E8C"/>
    <w:rsid w:val="00780AE8"/>
    <w:rsid w:val="007A252B"/>
    <w:rsid w:val="007C51D3"/>
    <w:rsid w:val="00802628"/>
    <w:rsid w:val="008067D5"/>
    <w:rsid w:val="008074E1"/>
    <w:rsid w:val="00833178"/>
    <w:rsid w:val="00852714"/>
    <w:rsid w:val="0089285A"/>
    <w:rsid w:val="008D7A08"/>
    <w:rsid w:val="00990976"/>
    <w:rsid w:val="009F6C72"/>
    <w:rsid w:val="00A10E43"/>
    <w:rsid w:val="00A12CED"/>
    <w:rsid w:val="00A16FED"/>
    <w:rsid w:val="00A376BD"/>
    <w:rsid w:val="00A570BB"/>
    <w:rsid w:val="00A6008F"/>
    <w:rsid w:val="00A64F08"/>
    <w:rsid w:val="00A964A4"/>
    <w:rsid w:val="00AA4566"/>
    <w:rsid w:val="00AB5266"/>
    <w:rsid w:val="00AD164A"/>
    <w:rsid w:val="00AD28E7"/>
    <w:rsid w:val="00AE56DA"/>
    <w:rsid w:val="00B16423"/>
    <w:rsid w:val="00B22DF7"/>
    <w:rsid w:val="00B27484"/>
    <w:rsid w:val="00B55C69"/>
    <w:rsid w:val="00B72651"/>
    <w:rsid w:val="00B83F2D"/>
    <w:rsid w:val="00B92879"/>
    <w:rsid w:val="00B97F1C"/>
    <w:rsid w:val="00BA1B55"/>
    <w:rsid w:val="00BB48ED"/>
    <w:rsid w:val="00BF1B40"/>
    <w:rsid w:val="00C027AB"/>
    <w:rsid w:val="00C066EE"/>
    <w:rsid w:val="00C31C62"/>
    <w:rsid w:val="00C34775"/>
    <w:rsid w:val="00C44858"/>
    <w:rsid w:val="00C52BF7"/>
    <w:rsid w:val="00C5321D"/>
    <w:rsid w:val="00C74E07"/>
    <w:rsid w:val="00C75087"/>
    <w:rsid w:val="00C75EA4"/>
    <w:rsid w:val="00C816E5"/>
    <w:rsid w:val="00C848CC"/>
    <w:rsid w:val="00C947B0"/>
    <w:rsid w:val="00CA2B54"/>
    <w:rsid w:val="00CB2C74"/>
    <w:rsid w:val="00D026B0"/>
    <w:rsid w:val="00D0675E"/>
    <w:rsid w:val="00D3251B"/>
    <w:rsid w:val="00D37CE2"/>
    <w:rsid w:val="00D466CA"/>
    <w:rsid w:val="00D71685"/>
    <w:rsid w:val="00D84C60"/>
    <w:rsid w:val="00DA25BA"/>
    <w:rsid w:val="00DA6FF1"/>
    <w:rsid w:val="00DB2D99"/>
    <w:rsid w:val="00DD10D5"/>
    <w:rsid w:val="00DD6D82"/>
    <w:rsid w:val="00E05917"/>
    <w:rsid w:val="00E103D4"/>
    <w:rsid w:val="00E137BC"/>
    <w:rsid w:val="00E24603"/>
    <w:rsid w:val="00E32852"/>
    <w:rsid w:val="00E46103"/>
    <w:rsid w:val="00E60B6C"/>
    <w:rsid w:val="00E62764"/>
    <w:rsid w:val="00E81339"/>
    <w:rsid w:val="00E817EB"/>
    <w:rsid w:val="00E9481F"/>
    <w:rsid w:val="00EC6337"/>
    <w:rsid w:val="00ED24C9"/>
    <w:rsid w:val="00ED674E"/>
    <w:rsid w:val="00EE156F"/>
    <w:rsid w:val="00F06067"/>
    <w:rsid w:val="00F1343B"/>
    <w:rsid w:val="00F23C4D"/>
    <w:rsid w:val="00F32C8A"/>
    <w:rsid w:val="00F44D17"/>
    <w:rsid w:val="00F802C6"/>
    <w:rsid w:val="00F8577A"/>
    <w:rsid w:val="00F903B8"/>
    <w:rsid w:val="00FA610B"/>
    <w:rsid w:val="00FC0E3C"/>
    <w:rsid w:val="00FC633E"/>
    <w:rsid w:val="00FD026F"/>
    <w:rsid w:val="00FD1F5F"/>
    <w:rsid w:val="00FD364F"/>
    <w:rsid w:val="00FE51F1"/>
    <w:rsid w:val="0121082E"/>
    <w:rsid w:val="01273F06"/>
    <w:rsid w:val="012868D9"/>
    <w:rsid w:val="01BC0676"/>
    <w:rsid w:val="021E301E"/>
    <w:rsid w:val="025E0DBA"/>
    <w:rsid w:val="02A553C7"/>
    <w:rsid w:val="050D3B20"/>
    <w:rsid w:val="061E4193"/>
    <w:rsid w:val="06627B42"/>
    <w:rsid w:val="06721621"/>
    <w:rsid w:val="06CB28D6"/>
    <w:rsid w:val="076F5B99"/>
    <w:rsid w:val="097664D0"/>
    <w:rsid w:val="09E66D43"/>
    <w:rsid w:val="09E85885"/>
    <w:rsid w:val="0A851326"/>
    <w:rsid w:val="0A894972"/>
    <w:rsid w:val="0AF026F6"/>
    <w:rsid w:val="0AFA33CD"/>
    <w:rsid w:val="0B25038B"/>
    <w:rsid w:val="0CC65701"/>
    <w:rsid w:val="0DD95E61"/>
    <w:rsid w:val="0DE1042A"/>
    <w:rsid w:val="0F56219A"/>
    <w:rsid w:val="100927CB"/>
    <w:rsid w:val="105F56A3"/>
    <w:rsid w:val="11C01D52"/>
    <w:rsid w:val="11E160A1"/>
    <w:rsid w:val="12C34DE6"/>
    <w:rsid w:val="13AC347F"/>
    <w:rsid w:val="14443693"/>
    <w:rsid w:val="147D020A"/>
    <w:rsid w:val="14D033C8"/>
    <w:rsid w:val="152F362A"/>
    <w:rsid w:val="16343254"/>
    <w:rsid w:val="16EC368E"/>
    <w:rsid w:val="186C18E7"/>
    <w:rsid w:val="18B27E87"/>
    <w:rsid w:val="1A524411"/>
    <w:rsid w:val="1B614517"/>
    <w:rsid w:val="1C603916"/>
    <w:rsid w:val="1DD261D8"/>
    <w:rsid w:val="1EBB1231"/>
    <w:rsid w:val="208F5AB5"/>
    <w:rsid w:val="2091024C"/>
    <w:rsid w:val="20C242E2"/>
    <w:rsid w:val="216B57F0"/>
    <w:rsid w:val="230839DB"/>
    <w:rsid w:val="23214306"/>
    <w:rsid w:val="23A457AD"/>
    <w:rsid w:val="23DB2480"/>
    <w:rsid w:val="2427195B"/>
    <w:rsid w:val="24A52A52"/>
    <w:rsid w:val="24E05525"/>
    <w:rsid w:val="257820C7"/>
    <w:rsid w:val="26216E38"/>
    <w:rsid w:val="2699205F"/>
    <w:rsid w:val="26994DDA"/>
    <w:rsid w:val="269A360B"/>
    <w:rsid w:val="271C45C4"/>
    <w:rsid w:val="2752147D"/>
    <w:rsid w:val="276A7481"/>
    <w:rsid w:val="278542BB"/>
    <w:rsid w:val="29347D47"/>
    <w:rsid w:val="294222B7"/>
    <w:rsid w:val="295B7261"/>
    <w:rsid w:val="2A383867"/>
    <w:rsid w:val="2A59186F"/>
    <w:rsid w:val="2AD8611A"/>
    <w:rsid w:val="2AEA33ED"/>
    <w:rsid w:val="2B1D4464"/>
    <w:rsid w:val="2BD77907"/>
    <w:rsid w:val="2BEA66B7"/>
    <w:rsid w:val="2EDA5DD7"/>
    <w:rsid w:val="2F6B3AF2"/>
    <w:rsid w:val="310944F3"/>
    <w:rsid w:val="31171910"/>
    <w:rsid w:val="314A5E2F"/>
    <w:rsid w:val="315944D6"/>
    <w:rsid w:val="31970D5E"/>
    <w:rsid w:val="319E0453"/>
    <w:rsid w:val="31ED0368"/>
    <w:rsid w:val="31F04A5A"/>
    <w:rsid w:val="32CB34CA"/>
    <w:rsid w:val="33067FE2"/>
    <w:rsid w:val="34232E92"/>
    <w:rsid w:val="347012D5"/>
    <w:rsid w:val="34ED32A6"/>
    <w:rsid w:val="36231821"/>
    <w:rsid w:val="37050A1D"/>
    <w:rsid w:val="372B4957"/>
    <w:rsid w:val="394D2A8A"/>
    <w:rsid w:val="39802D18"/>
    <w:rsid w:val="3B7625DD"/>
    <w:rsid w:val="3BD877BD"/>
    <w:rsid w:val="3C9304EA"/>
    <w:rsid w:val="3CAB7EC8"/>
    <w:rsid w:val="3DB63E4E"/>
    <w:rsid w:val="3DBB5CDB"/>
    <w:rsid w:val="3DE50BBD"/>
    <w:rsid w:val="3F8C1D02"/>
    <w:rsid w:val="403719AB"/>
    <w:rsid w:val="403C4F20"/>
    <w:rsid w:val="415F1674"/>
    <w:rsid w:val="4187179E"/>
    <w:rsid w:val="424D052D"/>
    <w:rsid w:val="426F094F"/>
    <w:rsid w:val="43AA1DDF"/>
    <w:rsid w:val="43C743BE"/>
    <w:rsid w:val="43D76843"/>
    <w:rsid w:val="43E50937"/>
    <w:rsid w:val="44CE6502"/>
    <w:rsid w:val="475755E5"/>
    <w:rsid w:val="477044A3"/>
    <w:rsid w:val="47876547"/>
    <w:rsid w:val="486508D7"/>
    <w:rsid w:val="48A8435B"/>
    <w:rsid w:val="48FD2C66"/>
    <w:rsid w:val="495F2766"/>
    <w:rsid w:val="4A1277D9"/>
    <w:rsid w:val="4A871019"/>
    <w:rsid w:val="4A9102D5"/>
    <w:rsid w:val="4AB13017"/>
    <w:rsid w:val="4ACD1F06"/>
    <w:rsid w:val="4B9E6962"/>
    <w:rsid w:val="4CA70CA4"/>
    <w:rsid w:val="4DD612AC"/>
    <w:rsid w:val="4DE73CC8"/>
    <w:rsid w:val="4E4F73D8"/>
    <w:rsid w:val="4EC86C61"/>
    <w:rsid w:val="4FB754D4"/>
    <w:rsid w:val="505706D2"/>
    <w:rsid w:val="527505D4"/>
    <w:rsid w:val="52CF6267"/>
    <w:rsid w:val="53051C89"/>
    <w:rsid w:val="53390F4D"/>
    <w:rsid w:val="555B1AEB"/>
    <w:rsid w:val="55745DC2"/>
    <w:rsid w:val="56D023F0"/>
    <w:rsid w:val="56D7155E"/>
    <w:rsid w:val="56F326EC"/>
    <w:rsid w:val="57762781"/>
    <w:rsid w:val="58E45947"/>
    <w:rsid w:val="591B1234"/>
    <w:rsid w:val="592A069B"/>
    <w:rsid w:val="59882FBB"/>
    <w:rsid w:val="5AFC1BC3"/>
    <w:rsid w:val="5B022486"/>
    <w:rsid w:val="5B135B74"/>
    <w:rsid w:val="5CD501A8"/>
    <w:rsid w:val="5CF65275"/>
    <w:rsid w:val="5D363E46"/>
    <w:rsid w:val="5DA85488"/>
    <w:rsid w:val="5F363B40"/>
    <w:rsid w:val="60213E7A"/>
    <w:rsid w:val="63442359"/>
    <w:rsid w:val="635B4488"/>
    <w:rsid w:val="64640E33"/>
    <w:rsid w:val="64B22D1B"/>
    <w:rsid w:val="65147F48"/>
    <w:rsid w:val="651E04B7"/>
    <w:rsid w:val="659B4AD8"/>
    <w:rsid w:val="668E1E3F"/>
    <w:rsid w:val="685D76E0"/>
    <w:rsid w:val="68713911"/>
    <w:rsid w:val="69EE1F2C"/>
    <w:rsid w:val="6B641A7A"/>
    <w:rsid w:val="6BBE095A"/>
    <w:rsid w:val="6D24486A"/>
    <w:rsid w:val="6DCF69BE"/>
    <w:rsid w:val="6FF45107"/>
    <w:rsid w:val="7031511A"/>
    <w:rsid w:val="70D90D32"/>
    <w:rsid w:val="723170F5"/>
    <w:rsid w:val="728075C1"/>
    <w:rsid w:val="72CF47E7"/>
    <w:rsid w:val="731F5665"/>
    <w:rsid w:val="73F26F38"/>
    <w:rsid w:val="74C94DB4"/>
    <w:rsid w:val="76613D83"/>
    <w:rsid w:val="768D691A"/>
    <w:rsid w:val="77367C8E"/>
    <w:rsid w:val="78030CA2"/>
    <w:rsid w:val="7A1D21F0"/>
    <w:rsid w:val="7AF10D8F"/>
    <w:rsid w:val="7BD331AA"/>
    <w:rsid w:val="7D375EC5"/>
    <w:rsid w:val="7F4F5EB6"/>
    <w:rsid w:val="7F6B73E5"/>
    <w:rsid w:val="7FF16D01"/>
    <w:rsid w:val="FA7FB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方正楷体_GBK"/>
      <w:color w:val="000000"/>
      <w:kern w:val="2"/>
      <w:sz w:val="32"/>
      <w:szCs w:val="32"/>
      <w:u w:color="000000"/>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link w:val="16"/>
    <w:semiHidden/>
    <w:unhideWhenUsed/>
    <w:qFormat/>
    <w:uiPriority w:val="0"/>
    <w:pPr>
      <w:spacing w:beforeAutospacing="1" w:afterAutospacing="1"/>
      <w:jc w:val="left"/>
      <w:outlineLvl w:val="1"/>
    </w:pPr>
    <w:rPr>
      <w:rFonts w:hint="eastAsia" w:ascii="宋体" w:eastAsia="宋体"/>
      <w:b/>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700" w:rightChars="700"/>
    </w:pPr>
    <w:rPr>
      <w:rFonts w:eastAsia="等线"/>
    </w:rPr>
  </w:style>
  <w:style w:type="paragraph" w:styleId="5">
    <w:name w:val="Normal Indent"/>
    <w:basedOn w:val="1"/>
    <w:semiHidden/>
    <w:unhideWhenUsed/>
    <w:qFormat/>
    <w:uiPriority w:val="99"/>
    <w:pPr>
      <w:ind w:firstLine="420" w:firstLineChars="200"/>
    </w:pPr>
  </w:style>
  <w:style w:type="paragraph" w:styleId="6">
    <w:name w:val="annotation text"/>
    <w:basedOn w:val="1"/>
    <w:semiHidden/>
    <w:unhideWhenUsed/>
    <w:qFormat/>
    <w:uiPriority w:val="99"/>
    <w:pPr>
      <w:jc w:val="left"/>
    </w:p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19"/>
    <w:semiHidden/>
    <w:unhideWhenUsed/>
    <w:qFormat/>
    <w:uiPriority w:val="99"/>
    <w:pPr>
      <w:tabs>
        <w:tab w:val="center" w:pos="4153"/>
        <w:tab w:val="right" w:pos="8306"/>
      </w:tabs>
      <w:snapToGrid w:val="0"/>
      <w:jc w:val="left"/>
    </w:pPr>
    <w:rPr>
      <w:sz w:val="18"/>
      <w:szCs w:val="18"/>
    </w:rPr>
  </w:style>
  <w:style w:type="paragraph" w:styleId="10">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标题 2 Char"/>
    <w:basedOn w:val="14"/>
    <w:link w:val="4"/>
    <w:semiHidden/>
    <w:qFormat/>
    <w:uiPriority w:val="0"/>
    <w:rPr>
      <w:rFonts w:ascii="宋体" w:hAnsi="宋体"/>
      <w:b/>
      <w:sz w:val="36"/>
      <w:szCs w:val="36"/>
    </w:rPr>
  </w:style>
  <w:style w:type="paragraph" w:customStyle="1" w:styleId="17">
    <w:name w:val="页脚1"/>
    <w:basedOn w:val="1"/>
    <w:link w:val="18"/>
    <w:unhideWhenUsed/>
    <w:qFormat/>
    <w:uiPriority w:val="0"/>
    <w:pPr>
      <w:tabs>
        <w:tab w:val="center" w:pos="4153"/>
        <w:tab w:val="right" w:pos="8306"/>
      </w:tabs>
      <w:snapToGrid w:val="0"/>
      <w:jc w:val="left"/>
    </w:pPr>
    <w:rPr>
      <w:rFonts w:ascii="Calibri" w:hAnsi="Calibri" w:cs="Times New Roman"/>
      <w:sz w:val="18"/>
      <w:szCs w:val="18"/>
    </w:rPr>
  </w:style>
  <w:style w:type="character" w:customStyle="1" w:styleId="18">
    <w:name w:val="页脚 Char"/>
    <w:basedOn w:val="14"/>
    <w:link w:val="17"/>
    <w:qFormat/>
    <w:uiPriority w:val="0"/>
    <w:rPr>
      <w:rFonts w:ascii="Calibri" w:hAnsi="Calibri" w:eastAsia="仿宋_GB2312" w:cs="Times New Roman"/>
      <w:kern w:val="2"/>
      <w:sz w:val="18"/>
      <w:szCs w:val="18"/>
    </w:rPr>
  </w:style>
  <w:style w:type="character" w:customStyle="1" w:styleId="19">
    <w:name w:val="页脚 Char1"/>
    <w:basedOn w:val="14"/>
    <w:link w:val="9"/>
    <w:semiHidden/>
    <w:qFormat/>
    <w:uiPriority w:val="99"/>
    <w:rPr>
      <w:sz w:val="18"/>
      <w:szCs w:val="18"/>
    </w:rPr>
  </w:style>
  <w:style w:type="character" w:customStyle="1" w:styleId="20">
    <w:name w:val="页眉 Char"/>
    <w:basedOn w:val="14"/>
    <w:link w:val="10"/>
    <w:semiHidden/>
    <w:qFormat/>
    <w:uiPriority w:val="99"/>
    <w:rPr>
      <w:color w:val="000000"/>
      <w:kern w:val="2"/>
      <w:sz w:val="18"/>
      <w:szCs w:val="18"/>
      <w:u w:color="000000"/>
    </w:rPr>
  </w:style>
  <w:style w:type="character" w:customStyle="1" w:styleId="21">
    <w:name w:val="font11"/>
    <w:basedOn w:val="14"/>
    <w:qFormat/>
    <w:uiPriority w:val="0"/>
    <w:rPr>
      <w:rFonts w:hint="eastAsia" w:ascii="宋体" w:hAnsi="宋体" w:eastAsia="宋体" w:cs="宋体"/>
      <w:b/>
      <w:bCs/>
      <w:color w:val="000000"/>
      <w:sz w:val="20"/>
      <w:szCs w:val="20"/>
      <w:u w:val="none"/>
    </w:rPr>
  </w:style>
  <w:style w:type="character" w:customStyle="1" w:styleId="22">
    <w:name w:val="font21"/>
    <w:basedOn w:val="14"/>
    <w:qFormat/>
    <w:uiPriority w:val="0"/>
    <w:rPr>
      <w:rFonts w:hint="default" w:ascii="Arial" w:hAnsi="Arial" w:cs="Arial"/>
      <w:b/>
      <w:bCs/>
      <w:color w:val="000000"/>
      <w:sz w:val="20"/>
      <w:szCs w:val="20"/>
      <w:u w:val="none"/>
    </w:rPr>
  </w:style>
  <w:style w:type="character" w:customStyle="1" w:styleId="23">
    <w:name w:val="批注框文本 Char"/>
    <w:basedOn w:val="14"/>
    <w:link w:val="8"/>
    <w:semiHidden/>
    <w:qFormat/>
    <w:uiPriority w:val="99"/>
    <w:rPr>
      <w:rFonts w:ascii="仿宋_GB2312" w:eastAsia="仿宋_GB2312" w:cs="方正楷体_GBK"/>
      <w:color w:val="000000"/>
      <w:kern w:val="2"/>
      <w:sz w:val="18"/>
      <w:szCs w:val="18"/>
      <w:u w:color="000000"/>
    </w:rPr>
  </w:style>
  <w:style w:type="paragraph" w:customStyle="1" w:styleId="24">
    <w:name w:val="印发栏"/>
    <w:basedOn w:val="5"/>
    <w:qFormat/>
    <w:uiPriority w:val="0"/>
    <w:pPr>
      <w:tabs>
        <w:tab w:val="right" w:pos="8465"/>
      </w:tabs>
      <w:autoSpaceDE w:val="0"/>
      <w:autoSpaceDN w:val="0"/>
      <w:adjustRightInd w:val="0"/>
      <w:spacing w:line="454" w:lineRule="atLeast"/>
      <w:ind w:left="357" w:right="357" w:firstLine="0" w:firstLineChars="0"/>
      <w:jc w:val="left"/>
    </w:pPr>
    <w:rPr>
      <w:rFonts w:cs="Times New Roman"/>
      <w:color w:val="auto"/>
      <w:kern w:val="32"/>
    </w:rPr>
  </w:style>
  <w:style w:type="paragraph" w:customStyle="1" w:styleId="25">
    <w:name w:val="紧急程度"/>
    <w:basedOn w:val="1"/>
    <w:qFormat/>
    <w:uiPriority w:val="0"/>
    <w:pPr>
      <w:overflowPunct w:val="0"/>
      <w:autoSpaceDE w:val="0"/>
      <w:autoSpaceDN w:val="0"/>
      <w:adjustRightInd w:val="0"/>
      <w:snapToGrid w:val="0"/>
      <w:spacing w:line="440" w:lineRule="atLeast"/>
      <w:jc w:val="right"/>
    </w:pPr>
    <w:rPr>
      <w:rFonts w:ascii="黑体" w:hAnsi="Calibri" w:eastAsia="黑体" w:cs="Times New Roman"/>
      <w:snapToGrid w:val="0"/>
      <w:color w:val="auto"/>
      <w:kern w:val="0"/>
      <w:szCs w:val="20"/>
    </w:rPr>
  </w:style>
  <w:style w:type="character" w:customStyle="1" w:styleId="26">
    <w:name w:val="日期 Char"/>
    <w:basedOn w:val="14"/>
    <w:link w:val="7"/>
    <w:semiHidden/>
    <w:qFormat/>
    <w:uiPriority w:val="99"/>
    <w:rPr>
      <w:rFonts w:eastAsia="方正仿宋_GBK" w:cs="方正楷体_GBK"/>
      <w:color w:val="000000"/>
      <w:kern w:val="2"/>
      <w:sz w:val="32"/>
      <w:szCs w:val="32"/>
      <w:u w:color="000000"/>
    </w:rPr>
  </w:style>
  <w:style w:type="paragraph" w:customStyle="1" w:styleId="27">
    <w:name w:val="红线"/>
    <w:basedOn w:val="3"/>
    <w:qFormat/>
    <w:uiPriority w:val="0"/>
    <w:pPr>
      <w:keepNext w:val="0"/>
      <w:keepLines w:val="0"/>
      <w:adjustRightInd w:val="0"/>
      <w:spacing w:before="0" w:after="851" w:line="227" w:lineRule="atLeast"/>
      <w:ind w:right="-142"/>
      <w:jc w:val="center"/>
      <w:outlineLvl w:val="9"/>
    </w:pPr>
    <w:rPr>
      <w:rFonts w:ascii="宋体" w:eastAsia="宋体"/>
      <w:bCs w:val="0"/>
      <w:kern w:val="0"/>
      <w:sz w:val="10"/>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4038</Words>
  <Characters>4064</Characters>
  <Lines>7</Lines>
  <Paragraphs>2</Paragraphs>
  <TotalTime>3</TotalTime>
  <ScaleCrop>false</ScaleCrop>
  <LinksUpToDate>false</LinksUpToDate>
  <CharactersWithSpaces>4064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2020-08-12T14:41:00Z</dcterms:created>
  <dc:creator>微软用户</dc:creator>
  <cp:lastModifiedBy>JYSJJ</cp:lastModifiedBy>
  <cp:lastPrinted>2025-12-11T15:34:00Z</cp:lastPrinted>
  <dcterms:modified xsi:type="dcterms:W3CDTF">2025-12-23T13:12:23Z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7F70C0C29B672597B7244A69FB7C3CD2_43</vt:lpwstr>
  </property>
  <property fmtid="{D5CDD505-2E9C-101B-9397-08002B2CF9AE}" pid="4" name="KSOTemplateDocerSaveRecord">
    <vt:lpwstr>eyJoZGlkIjoiMGEwNGIxM2Y1ZTkwMDU0OGI2MTgwM2I5M2VmZTA5Y2QiLCJ1c2VySWQiOiI0MzU0NDI4NDkifQ==</vt:lpwstr>
  </property>
</Properties>
</file>