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9D9CE">
      <w:pPr>
        <w:pStyle w:val="9"/>
        <w:widowControl/>
        <w:adjustRightInd w:val="0"/>
        <w:snapToGrid w:val="0"/>
        <w:spacing w:line="560" w:lineRule="exact"/>
        <w:jc w:val="center"/>
        <w:rPr>
          <w:rFonts w:hint="eastAsia" w:ascii="方正小标宋_GBK" w:hAnsi="方正小标宋_GBK" w:eastAsia="方正小标宋_GBK" w:cs="方正小标宋_GBK"/>
          <w:bCs/>
          <w:sz w:val="18"/>
          <w:szCs w:val="18"/>
        </w:rPr>
      </w:pPr>
      <w:r>
        <w:rPr>
          <w:rFonts w:hint="eastAsia" w:ascii="方正小标宋_GBK" w:hAnsi="方正小标宋_GBK" w:eastAsia="方正小标宋_GBK" w:cs="方正小标宋_GBK"/>
          <w:bCs/>
          <w:sz w:val="44"/>
          <w:szCs w:val="44"/>
        </w:rPr>
        <w:t>关于调整外商投资企业组织形式、组织机构的提醒</w:t>
      </w:r>
    </w:p>
    <w:p w14:paraId="13D59A91">
      <w:pPr>
        <w:pStyle w:val="9"/>
        <w:widowControl/>
        <w:adjustRightInd w:val="0"/>
        <w:snapToGrid w:val="0"/>
        <w:spacing w:after="156" w:afterLines="50" w:line="560" w:lineRule="exact"/>
        <w:ind w:firstLine="640" w:firstLineChars="200"/>
        <w:jc w:val="center"/>
        <w:rPr>
          <w:rFonts w:hint="eastAsia" w:ascii="方正仿宋_GBK" w:hAnsi="宋体" w:eastAsia="方正仿宋_GBK" w:cs="宋体"/>
          <w:bCs/>
          <w:sz w:val="28"/>
          <w:szCs w:val="28"/>
        </w:rPr>
      </w:pPr>
      <w:r>
        <w:rPr>
          <w:rFonts w:hint="eastAsia" w:ascii="楷体" w:hAnsi="楷体" w:eastAsia="楷体" w:cs="楷体"/>
          <w:bCs/>
          <w:sz w:val="32"/>
          <w:szCs w:val="32"/>
        </w:rPr>
        <w:t>江阴市市场监督管理局</w:t>
      </w:r>
    </w:p>
    <w:p w14:paraId="04976148">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 xml:space="preserve">按照2020年1月1日起实施的《中华人民共和国外商投资法》及《中华人民共和国外商投资法实施条例》等相关规定，对于在2020年1月1日之前成立的中外合资、中外合作、外资企业，设置了五年过渡期，即上述企业最迟应在2024年12月31日前根据《中华人民共和国公司法》调整组织形式、组织机构，并依法办理变更登记备案。结合我市存量企业登记情况，现梳理相关事项提醒如下： </w:t>
      </w:r>
    </w:p>
    <w:p w14:paraId="3E7BA7E6">
      <w:pPr>
        <w:widowControl/>
        <w:shd w:val="clear" w:color="auto" w:fill="FFFFFF"/>
        <w:spacing w:line="530" w:lineRule="atLeast"/>
        <w:ind w:firstLine="640"/>
        <w:rPr>
          <w:rFonts w:ascii="Calibri" w:hAnsi="Calibri" w:eastAsia="宋体" w:cs="Calibri"/>
          <w:color w:val="333333"/>
          <w:kern w:val="0"/>
          <w:sz w:val="32"/>
          <w:szCs w:val="32"/>
        </w:rPr>
      </w:pPr>
      <w:r>
        <w:rPr>
          <w:rFonts w:hint="eastAsia" w:ascii="方正黑体_GBK" w:hAnsi="Calibri" w:eastAsia="方正黑体_GBK" w:cs="Calibri"/>
          <w:color w:val="333333"/>
          <w:kern w:val="0"/>
          <w:sz w:val="32"/>
          <w:szCs w:val="32"/>
        </w:rPr>
        <w:t>一、法律风险提示</w:t>
      </w:r>
    </w:p>
    <w:p w14:paraId="28E50ADB">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中华人民共和国外商投资法实施条例》第四十四条第二款规定，自2025年1月1日起，对未依法调整组织形式、组织机构等并办理变更登记的现有外商投资企业，市场监督管理部门不予办理其申请的其他登记事项，并将相关情形予以公示。</w:t>
      </w:r>
    </w:p>
    <w:p w14:paraId="75DE4767">
      <w:pPr>
        <w:widowControl/>
        <w:shd w:val="clear" w:color="auto" w:fill="FFFFFF"/>
        <w:spacing w:line="530" w:lineRule="atLeast"/>
        <w:ind w:firstLine="640"/>
        <w:rPr>
          <w:rFonts w:ascii="Calibri" w:hAnsi="Calibri" w:eastAsia="宋体" w:cs="Calibri"/>
          <w:color w:val="333333"/>
          <w:kern w:val="0"/>
          <w:sz w:val="32"/>
          <w:szCs w:val="32"/>
        </w:rPr>
      </w:pPr>
      <w:r>
        <w:rPr>
          <w:rFonts w:hint="eastAsia" w:ascii="方正黑体_GBK" w:hAnsi="Calibri" w:eastAsia="方正黑体_GBK" w:cs="Calibri"/>
          <w:color w:val="333333"/>
          <w:kern w:val="0"/>
          <w:sz w:val="32"/>
          <w:szCs w:val="32"/>
        </w:rPr>
        <w:t>二、如何确认对象</w:t>
      </w:r>
    </w:p>
    <w:p w14:paraId="6B661E12">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黑体" w:hAnsi="黑体" w:eastAsia="黑体" w:cs="黑体"/>
          <w:kern w:val="0"/>
          <w:sz w:val="32"/>
          <w:szCs w:val="32"/>
        </w:rPr>
        <w:t>方法1—看章程</w:t>
      </w:r>
      <w:r>
        <w:rPr>
          <w:rFonts w:hint="eastAsia" w:ascii="方正仿宋_GBK" w:hAnsi="宋体" w:eastAsia="方正仿宋_GBK" w:cs="宋体"/>
          <w:kern w:val="0"/>
          <w:sz w:val="32"/>
          <w:szCs w:val="32"/>
        </w:rPr>
        <w:t>：最高权力机构是董事会。</w:t>
      </w:r>
    </w:p>
    <w:p w14:paraId="479C88DB">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黑体" w:hAnsi="黑体" w:eastAsia="黑体" w:cs="黑体"/>
          <w:kern w:val="0"/>
          <w:sz w:val="32"/>
          <w:szCs w:val="32"/>
        </w:rPr>
        <w:t>方法2—看执照</w:t>
      </w:r>
      <w:r>
        <w:rPr>
          <w:rFonts w:hint="eastAsia" w:ascii="方正仿宋_GBK" w:hAnsi="宋体" w:eastAsia="方正仿宋_GBK" w:cs="宋体"/>
          <w:kern w:val="0"/>
          <w:sz w:val="32"/>
          <w:szCs w:val="32"/>
        </w:rPr>
        <w:t>：营业执照上企业类型标注中外合资、中外合作、港澳台与境内合资、港澳台与外国投资者合资等包含“合作”“合资”字样的外商投资企业。</w:t>
      </w:r>
    </w:p>
    <w:p w14:paraId="5B3B1E30">
      <w:pPr>
        <w:widowControl/>
        <w:shd w:val="clear" w:color="auto" w:fill="FFFFFF"/>
        <w:spacing w:line="530" w:lineRule="atLeast"/>
        <w:ind w:firstLine="640"/>
        <w:jc w:val="center"/>
        <w:rPr>
          <w:rFonts w:hint="eastAsia" w:ascii="方正仿宋_GBK" w:hAnsi="宋体" w:eastAsia="方正仿宋_GBK" w:cs="宋体"/>
          <w:kern w:val="0"/>
          <w:sz w:val="32"/>
          <w:szCs w:val="32"/>
          <w:highlight w:val="yellow"/>
        </w:rPr>
      </w:pPr>
      <w:r>
        <w:rPr>
          <w:rFonts w:hint="eastAsia" w:ascii="黑体" w:hAnsi="黑体" w:eastAsia="黑体" w:cs="黑体"/>
          <w:b/>
          <w:bCs/>
          <w:color w:val="ED7D31" w:themeColor="accent2"/>
          <w:kern w:val="0"/>
          <w:sz w:val="32"/>
          <w:szCs w:val="32"/>
          <w14:textFill>
            <w14:solidFill>
              <w14:schemeClr w14:val="accent2"/>
            </w14:solidFill>
          </w14:textFill>
        </w:rPr>
        <w:t>符合以上任一情况均须调整</w:t>
      </w:r>
    </w:p>
    <w:p w14:paraId="0601EF1C">
      <w:pPr>
        <w:widowControl/>
        <w:numPr>
          <w:ilvl w:val="0"/>
          <w:numId w:val="1"/>
        </w:numPr>
        <w:shd w:val="clear" w:color="auto" w:fill="FFFFFF"/>
        <w:spacing w:line="530" w:lineRule="atLeast"/>
        <w:ind w:firstLine="640"/>
        <w:rPr>
          <w:rFonts w:ascii="方正黑体_GBK" w:hAnsi="Calibri" w:eastAsia="方正黑体_GBK" w:cs="Calibri"/>
          <w:color w:val="333333"/>
          <w:kern w:val="0"/>
          <w:sz w:val="32"/>
          <w:szCs w:val="32"/>
        </w:rPr>
      </w:pPr>
      <w:r>
        <w:rPr>
          <w:rFonts w:hint="eastAsia" w:ascii="方正黑体_GBK" w:hAnsi="Calibri" w:eastAsia="方正黑体_GBK" w:cs="Calibri"/>
          <w:color w:val="333333"/>
          <w:kern w:val="0"/>
          <w:sz w:val="32"/>
          <w:szCs w:val="32"/>
        </w:rPr>
        <w:t>如何调整类型</w:t>
      </w:r>
    </w:p>
    <w:p w14:paraId="133EA638">
      <w:pPr>
        <w:widowControl/>
        <w:shd w:val="clear" w:color="auto" w:fill="FFFFFF"/>
        <w:spacing w:line="530" w:lineRule="atLeast"/>
        <w:rPr>
          <w:rFonts w:ascii="方正黑体_GBK" w:hAnsi="Calibri" w:eastAsia="方正黑体_GBK" w:cs="Calibri"/>
          <w:color w:val="333333"/>
          <w:kern w:val="0"/>
          <w:sz w:val="32"/>
          <w:szCs w:val="32"/>
        </w:rPr>
      </w:pPr>
      <w:r>
        <w:rPr>
          <w:rFonts w:hint="eastAsia" w:ascii="方正黑体_GBK" w:hAnsi="Calibri" w:eastAsia="方正黑体_GBK" w:cs="Calibri"/>
          <w:color w:val="333333"/>
          <w:kern w:val="0"/>
          <w:sz w:val="32"/>
          <w:szCs w:val="32"/>
        </w:rPr>
        <w:drawing>
          <wp:inline distT="0" distB="0" distL="114300" distR="114300">
            <wp:extent cx="5247005" cy="2954020"/>
            <wp:effectExtent l="0" t="0" r="10795" b="17780"/>
            <wp:docPr id="1" name="图片 1" descr="现登记的类型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现登记的类型_01"/>
                    <pic:cNvPicPr>
                      <a:picLocks noChangeAspect="1"/>
                    </pic:cNvPicPr>
                  </pic:nvPicPr>
                  <pic:blipFill>
                    <a:blip r:embed="rId4"/>
                    <a:stretch>
                      <a:fillRect/>
                    </a:stretch>
                  </pic:blipFill>
                  <pic:spPr>
                    <a:xfrm>
                      <a:off x="0" y="0"/>
                      <a:ext cx="5247005" cy="2954020"/>
                    </a:xfrm>
                    <a:prstGeom prst="rect">
                      <a:avLst/>
                    </a:prstGeom>
                  </pic:spPr>
                </pic:pic>
              </a:graphicData>
            </a:graphic>
          </wp:inline>
        </w:drawing>
      </w:r>
    </w:p>
    <w:p w14:paraId="657B69CA">
      <w:pPr>
        <w:widowControl/>
        <w:shd w:val="clear" w:color="auto" w:fill="FFFFFF"/>
        <w:spacing w:line="530" w:lineRule="atLeast"/>
        <w:ind w:firstLine="640"/>
        <w:rPr>
          <w:rFonts w:ascii="方正黑体_GBK" w:hAnsi="Calibri" w:eastAsia="方正黑体_GBK" w:cs="Calibri"/>
          <w:color w:val="333333"/>
          <w:kern w:val="0"/>
          <w:sz w:val="32"/>
          <w:szCs w:val="32"/>
        </w:rPr>
      </w:pPr>
      <w:r>
        <w:rPr>
          <w:rFonts w:hint="eastAsia" w:ascii="方正黑体_GBK" w:hAnsi="Calibri" w:eastAsia="方正黑体_GBK" w:cs="Calibri"/>
          <w:color w:val="333333"/>
          <w:kern w:val="0"/>
          <w:sz w:val="32"/>
          <w:szCs w:val="32"/>
        </w:rPr>
        <w:t>三、如何准备材料</w:t>
      </w:r>
    </w:p>
    <w:p w14:paraId="4A96541B">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1.《公司登记（备案）申请书》；</w:t>
      </w:r>
    </w:p>
    <w:p w14:paraId="042574F7">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2.董事会决议（修订并通过新章程，调整公司最高权力机构为股东会等）；</w:t>
      </w:r>
    </w:p>
    <w:p w14:paraId="2C04E373">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3.股东会决议（审议并通过新章程，根据新章程选举代表公司执行公司事务的董事担任法定代表人等）；</w:t>
      </w:r>
    </w:p>
    <w:p w14:paraId="529683B3">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4.符合新《中华人民共和国公司法》的重新修订的公司章程；</w:t>
      </w:r>
      <w:bookmarkStart w:id="3" w:name="_GoBack"/>
      <w:bookmarkEnd w:id="3"/>
    </w:p>
    <w:p w14:paraId="73474A75">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5.已领取纸质版营业执照的缴回营业执照正副本。</w:t>
      </w:r>
    </w:p>
    <w:p w14:paraId="110061F1">
      <w:pPr>
        <w:widowControl/>
        <w:shd w:val="clear" w:color="auto" w:fill="FFFFFF"/>
        <w:spacing w:line="530" w:lineRule="atLeast"/>
        <w:ind w:firstLine="640"/>
        <w:rPr>
          <w:rFonts w:hint="eastAsia" w:ascii="楷体_GB2312" w:hAnsi="宋体" w:eastAsia="楷体_GB2312" w:cs="宋体"/>
          <w:color w:val="FF0000"/>
          <w:kern w:val="0"/>
          <w:sz w:val="32"/>
          <w:szCs w:val="32"/>
        </w:rPr>
      </w:pPr>
      <w:r>
        <w:rPr>
          <w:rFonts w:hint="eastAsia" w:ascii="楷体_GB2312" w:hAnsi="宋体" w:eastAsia="楷体_GB2312" w:cs="宋体"/>
          <w:color w:val="FF0000"/>
          <w:kern w:val="0"/>
          <w:sz w:val="32"/>
          <w:szCs w:val="32"/>
          <w:highlight w:val="yellow"/>
        </w:rPr>
        <w:t>涉及其他变更（备案）事项的，须同时按照国家市场监管总局材料规范要求提交公司登记等相关材料，可参照“外资登记园地”的指引、规范、说明和参考等内容进行准备。</w:t>
      </w:r>
    </w:p>
    <w:p w14:paraId="56BA22B5">
      <w:pPr>
        <w:widowControl/>
        <w:shd w:val="clear" w:color="auto" w:fill="FFFFFF"/>
        <w:spacing w:line="530" w:lineRule="atLeast"/>
        <w:ind w:firstLine="640"/>
        <w:rPr>
          <w:rFonts w:ascii="方正黑体_GBK" w:hAnsi="Calibri" w:eastAsia="方正黑体_GBK" w:cs="Calibri"/>
          <w:color w:val="333333"/>
          <w:kern w:val="0"/>
          <w:sz w:val="32"/>
          <w:szCs w:val="32"/>
        </w:rPr>
      </w:pPr>
      <w:r>
        <w:rPr>
          <w:rFonts w:hint="eastAsia" w:ascii="方正黑体_GBK" w:hAnsi="Calibri" w:eastAsia="方正黑体_GBK" w:cs="Calibri"/>
          <w:color w:val="333333"/>
          <w:kern w:val="0"/>
          <w:sz w:val="32"/>
          <w:szCs w:val="32"/>
        </w:rPr>
        <w:t>四、如何获取材料</w:t>
      </w:r>
    </w:p>
    <w:p w14:paraId="54D071B3">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企业办理变更（备案）所需登记申请文书规范和提交材料规范，可登录江阴市市场监督管理局官网</w:t>
      </w:r>
      <w:r>
        <w:rPr>
          <w:rFonts w:hint="eastAsia" w:ascii="方正仿宋_GBK" w:hAnsi="宋体" w:eastAsia="方正仿宋_GBK" w:cs="宋体"/>
          <w:kern w:val="0"/>
          <w:sz w:val="30"/>
          <w:szCs w:val="30"/>
        </w:rPr>
        <w:t>（</w:t>
      </w:r>
      <w:r>
        <w:rPr>
          <w:rFonts w:hint="eastAsia" w:ascii="方正仿宋_GBK" w:hAnsi="宋体" w:eastAsia="方正仿宋_GBK" w:cs="宋体"/>
          <w:color w:val="auto"/>
          <w:kern w:val="0"/>
          <w:sz w:val="30"/>
          <w:szCs w:val="30"/>
          <w:u w:val="none"/>
        </w:rPr>
        <w:fldChar w:fldCharType="begin"/>
      </w:r>
      <w:r>
        <w:rPr>
          <w:rFonts w:hint="eastAsia" w:ascii="方正仿宋_GBK" w:hAnsi="宋体" w:eastAsia="方正仿宋_GBK" w:cs="宋体"/>
          <w:color w:val="auto"/>
          <w:kern w:val="0"/>
          <w:sz w:val="30"/>
          <w:szCs w:val="30"/>
          <w:u w:val="none"/>
        </w:rPr>
        <w:instrText xml:space="preserve"> HYPERLINK "https://www.jiangyin.gov.cn/scjgj/tzgg/ywgg/index.shtml" </w:instrText>
      </w:r>
      <w:r>
        <w:rPr>
          <w:rFonts w:hint="eastAsia" w:ascii="方正仿宋_GBK" w:hAnsi="宋体" w:eastAsia="方正仿宋_GBK" w:cs="宋体"/>
          <w:color w:val="auto"/>
          <w:kern w:val="0"/>
          <w:sz w:val="30"/>
          <w:szCs w:val="30"/>
          <w:u w:val="none"/>
        </w:rPr>
        <w:fldChar w:fldCharType="separate"/>
      </w:r>
      <w:r>
        <w:rPr>
          <w:rStyle w:val="7"/>
          <w:rFonts w:hint="eastAsia" w:ascii="方正仿宋_GBK" w:hAnsi="宋体" w:eastAsia="方正仿宋_GBK" w:cs="宋体"/>
          <w:kern w:val="0"/>
          <w:sz w:val="30"/>
          <w:szCs w:val="30"/>
        </w:rPr>
        <w:t>https://www.jiangyin.gov.cn/scjgj/tzgg/ywgg/index.shtml</w:t>
      </w:r>
      <w:r>
        <w:rPr>
          <w:rFonts w:hint="eastAsia" w:ascii="方正仿宋_GBK" w:hAnsi="宋体" w:eastAsia="方正仿宋_GBK" w:cs="宋体"/>
          <w:color w:val="auto"/>
          <w:kern w:val="0"/>
          <w:sz w:val="30"/>
          <w:szCs w:val="30"/>
          <w:u w:val="none"/>
        </w:rPr>
        <w:fldChar w:fldCharType="end"/>
      </w:r>
      <w:r>
        <w:rPr>
          <w:rFonts w:hint="eastAsia" w:ascii="方正仿宋_GBK" w:hAnsi="宋体" w:eastAsia="方正仿宋_GBK" w:cs="宋体"/>
          <w:color w:val="auto"/>
          <w:kern w:val="0"/>
          <w:sz w:val="32"/>
          <w:szCs w:val="32"/>
          <w:u w:val="none"/>
        </w:rPr>
        <w:t>）</w:t>
      </w:r>
      <w:r>
        <w:rPr>
          <w:rFonts w:hint="eastAsia" w:ascii="方正仿宋_GBK" w:hAnsi="宋体" w:eastAsia="方正仿宋_GBK" w:cs="宋体"/>
          <w:color w:val="auto"/>
          <w:kern w:val="0"/>
          <w:sz w:val="32"/>
          <w:szCs w:val="32"/>
          <w:u w:val="none"/>
          <w:lang w:eastAsia="zh-CN"/>
        </w:rPr>
        <w:t>“</w:t>
      </w:r>
      <w:r>
        <w:rPr>
          <w:rFonts w:hint="eastAsia" w:ascii="方正仿宋_GBK" w:hAnsi="宋体" w:eastAsia="方正仿宋_GBK" w:cs="宋体"/>
          <w:color w:val="auto"/>
          <w:kern w:val="0"/>
          <w:sz w:val="32"/>
          <w:szCs w:val="32"/>
          <w:u w:val="none"/>
          <w:lang w:val="en-US" w:eastAsia="zh-CN"/>
        </w:rPr>
        <w:t>外资登记园地</w:t>
      </w:r>
      <w:r>
        <w:rPr>
          <w:rFonts w:hint="eastAsia" w:ascii="方正仿宋_GBK" w:hAnsi="宋体" w:eastAsia="方正仿宋_GBK" w:cs="宋体"/>
          <w:color w:val="auto"/>
          <w:kern w:val="0"/>
          <w:sz w:val="32"/>
          <w:szCs w:val="32"/>
          <w:u w:val="none"/>
          <w:lang w:eastAsia="zh-CN"/>
        </w:rPr>
        <w:t>”</w:t>
      </w:r>
      <w:r>
        <w:rPr>
          <w:rFonts w:hint="eastAsia" w:ascii="方正仿宋_GBK" w:hAnsi="宋体" w:eastAsia="方正仿宋_GBK" w:cs="宋体"/>
          <w:color w:val="auto"/>
          <w:kern w:val="0"/>
          <w:sz w:val="32"/>
          <w:szCs w:val="32"/>
          <w:u w:val="none"/>
        </w:rPr>
        <w:t>下载</w:t>
      </w:r>
      <w:r>
        <w:rPr>
          <w:rFonts w:hint="eastAsia" w:ascii="方正仿宋_GBK" w:hAnsi="宋体" w:eastAsia="方正仿宋_GBK" w:cs="宋体"/>
          <w:kern w:val="0"/>
          <w:sz w:val="32"/>
          <w:szCs w:val="32"/>
        </w:rPr>
        <w:t xml:space="preserve">。 </w:t>
      </w:r>
    </w:p>
    <w:p w14:paraId="5BA6C541">
      <w:pPr>
        <w:widowControl/>
        <w:shd w:val="clear" w:color="auto" w:fill="FFFFFF"/>
        <w:spacing w:line="530" w:lineRule="atLeast"/>
        <w:ind w:firstLine="640"/>
        <w:rPr>
          <w:rFonts w:ascii="方正黑体_GBK" w:hAnsi="Calibri" w:eastAsia="方正黑体_GBK" w:cs="Calibri"/>
          <w:color w:val="333333"/>
          <w:kern w:val="0"/>
          <w:sz w:val="32"/>
          <w:szCs w:val="32"/>
        </w:rPr>
      </w:pPr>
      <w:r>
        <w:rPr>
          <w:rFonts w:hint="eastAsia" w:ascii="方正黑体_GBK" w:hAnsi="Calibri" w:eastAsia="方正黑体_GBK" w:cs="Calibri"/>
          <w:color w:val="333333"/>
          <w:kern w:val="0"/>
          <w:sz w:val="32"/>
          <w:szCs w:val="32"/>
        </w:rPr>
        <w:t>五、如何办理申请</w:t>
      </w:r>
    </w:p>
    <w:p w14:paraId="27EA37AA">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1.线上申报：登录江苏省企业全链通综合服务平台</w:t>
      </w:r>
      <w:r>
        <w:rPr>
          <w:rFonts w:hint="eastAsia" w:ascii="方正仿宋_GBK" w:hAnsi="宋体" w:eastAsia="方正仿宋_GBK" w:cs="宋体"/>
          <w:kern w:val="0"/>
          <w:sz w:val="30"/>
          <w:szCs w:val="30"/>
        </w:rPr>
        <w:t>（</w:t>
      </w:r>
      <w:bookmarkStart w:id="0" w:name="OLE_LINK1"/>
      <w:r>
        <w:rPr>
          <w:rFonts w:hint="eastAsia" w:ascii="方正仿宋_GBK" w:hAnsi="宋体" w:eastAsia="方正仿宋_GBK" w:cs="宋体"/>
          <w:kern w:val="0"/>
          <w:sz w:val="30"/>
          <w:szCs w:val="30"/>
        </w:rPr>
        <w:t>https://wsdj.jszwfw.gov.cn:57777/allLinks/business/index/home.jsp</w:t>
      </w:r>
      <w:bookmarkEnd w:id="0"/>
      <w:r>
        <w:rPr>
          <w:rFonts w:hint="eastAsia" w:ascii="方正仿宋_GBK" w:hAnsi="宋体" w:eastAsia="方正仿宋_GBK" w:cs="宋体"/>
          <w:kern w:val="0"/>
          <w:sz w:val="30"/>
          <w:szCs w:val="30"/>
        </w:rPr>
        <w:t>）</w:t>
      </w:r>
      <w:r>
        <w:rPr>
          <w:rFonts w:hint="eastAsia" w:ascii="方正仿宋_GBK" w:hAnsi="宋体" w:eastAsia="方正仿宋_GBK" w:cs="宋体"/>
          <w:kern w:val="0"/>
          <w:sz w:val="32"/>
          <w:szCs w:val="32"/>
        </w:rPr>
        <w:t>，进入“我要变更”模块。</w:t>
      </w:r>
    </w:p>
    <w:p w14:paraId="5F66418F">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2.线下收件：</w:t>
      </w:r>
      <w:bookmarkStart w:id="1" w:name="_Hlk175147973"/>
      <w:r>
        <w:rPr>
          <w:rFonts w:hint="eastAsia" w:ascii="方正仿宋_GBK" w:hAnsi="宋体" w:eastAsia="方正仿宋_GBK" w:cs="宋体"/>
          <w:kern w:val="0"/>
          <w:sz w:val="32"/>
          <w:szCs w:val="32"/>
        </w:rPr>
        <w:t>申请人携带申请材料至</w:t>
      </w:r>
      <w:bookmarkStart w:id="2" w:name="_Hlk175206144"/>
      <w:r>
        <w:rPr>
          <w:rFonts w:hint="eastAsia" w:ascii="方正仿宋_GBK" w:hAnsi="宋体" w:eastAsia="方正仿宋_GBK" w:cs="宋体"/>
          <w:kern w:val="0"/>
          <w:sz w:val="32"/>
          <w:szCs w:val="32"/>
        </w:rPr>
        <w:t>江阴市政务服务中心长江路188号二楼</w:t>
      </w:r>
      <w:bookmarkEnd w:id="1"/>
      <w:bookmarkEnd w:id="2"/>
      <w:r>
        <w:rPr>
          <w:rFonts w:hint="eastAsia" w:ascii="方正仿宋_GBK" w:hAnsi="宋体" w:eastAsia="方正仿宋_GBK" w:cs="宋体"/>
          <w:kern w:val="0"/>
          <w:sz w:val="32"/>
          <w:szCs w:val="32"/>
        </w:rPr>
        <w:t>（外资登记）。</w:t>
      </w:r>
    </w:p>
    <w:p w14:paraId="70EDEBC1">
      <w:pPr>
        <w:widowControl/>
        <w:shd w:val="clear" w:color="auto" w:fill="FFFFFF"/>
        <w:spacing w:line="530" w:lineRule="atLeast"/>
        <w:ind w:firstLine="640"/>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如有疑问可拨打88027252、86841659，或直接至江阴市市场监督管理局澄江西路139号2号楼705进行咨询。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C90453"/>
    <w:multiLevelType w:val="singleLevel"/>
    <w:tmpl w:val="00C9045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BlZmE5MzQ1MjRlZjllYTU2ZWMxOTAwZDUxOGNhOTcifQ=="/>
  </w:docVars>
  <w:rsids>
    <w:rsidRoot w:val="008743F9"/>
    <w:rsid w:val="00007405"/>
    <w:rsid w:val="00016BD5"/>
    <w:rsid w:val="00022A32"/>
    <w:rsid w:val="00025CA3"/>
    <w:rsid w:val="000C60B2"/>
    <w:rsid w:val="001130CE"/>
    <w:rsid w:val="00116CBB"/>
    <w:rsid w:val="00124C87"/>
    <w:rsid w:val="00126138"/>
    <w:rsid w:val="00151CEC"/>
    <w:rsid w:val="001770D3"/>
    <w:rsid w:val="00192AC7"/>
    <w:rsid w:val="001C7DBA"/>
    <w:rsid w:val="0022122F"/>
    <w:rsid w:val="0025435A"/>
    <w:rsid w:val="00264243"/>
    <w:rsid w:val="002717E3"/>
    <w:rsid w:val="002F5895"/>
    <w:rsid w:val="00343E83"/>
    <w:rsid w:val="003E6F7B"/>
    <w:rsid w:val="00421CA9"/>
    <w:rsid w:val="00430A37"/>
    <w:rsid w:val="0044413E"/>
    <w:rsid w:val="00481975"/>
    <w:rsid w:val="004B27D6"/>
    <w:rsid w:val="004B4199"/>
    <w:rsid w:val="00511847"/>
    <w:rsid w:val="00521DA4"/>
    <w:rsid w:val="00557131"/>
    <w:rsid w:val="00573B11"/>
    <w:rsid w:val="005748E8"/>
    <w:rsid w:val="00682EBC"/>
    <w:rsid w:val="00687028"/>
    <w:rsid w:val="00696D8E"/>
    <w:rsid w:val="0072470D"/>
    <w:rsid w:val="00740048"/>
    <w:rsid w:val="00746B08"/>
    <w:rsid w:val="00747904"/>
    <w:rsid w:val="00765DFE"/>
    <w:rsid w:val="007A7FC5"/>
    <w:rsid w:val="007C33EC"/>
    <w:rsid w:val="007C38F5"/>
    <w:rsid w:val="007D69BE"/>
    <w:rsid w:val="00811590"/>
    <w:rsid w:val="00840569"/>
    <w:rsid w:val="008743F9"/>
    <w:rsid w:val="00925F55"/>
    <w:rsid w:val="00950C62"/>
    <w:rsid w:val="009E4A9C"/>
    <w:rsid w:val="009E6A16"/>
    <w:rsid w:val="00A443BA"/>
    <w:rsid w:val="00A86794"/>
    <w:rsid w:val="00AE5425"/>
    <w:rsid w:val="00B260D0"/>
    <w:rsid w:val="00B54FBB"/>
    <w:rsid w:val="00B83A21"/>
    <w:rsid w:val="00B8628F"/>
    <w:rsid w:val="00BB5C10"/>
    <w:rsid w:val="00BC55EF"/>
    <w:rsid w:val="00C0772F"/>
    <w:rsid w:val="00C35DF3"/>
    <w:rsid w:val="00C45C87"/>
    <w:rsid w:val="00C906BD"/>
    <w:rsid w:val="00CC7016"/>
    <w:rsid w:val="00D120B1"/>
    <w:rsid w:val="00D15829"/>
    <w:rsid w:val="00D23E81"/>
    <w:rsid w:val="00E102F7"/>
    <w:rsid w:val="00E440D7"/>
    <w:rsid w:val="00ED583A"/>
    <w:rsid w:val="00EE17D7"/>
    <w:rsid w:val="00F15AD7"/>
    <w:rsid w:val="00F425F5"/>
    <w:rsid w:val="00F4521E"/>
    <w:rsid w:val="00F56F1E"/>
    <w:rsid w:val="00F64103"/>
    <w:rsid w:val="0159764A"/>
    <w:rsid w:val="0D6F4929"/>
    <w:rsid w:val="0DA20704"/>
    <w:rsid w:val="134B17E0"/>
    <w:rsid w:val="1A3441CE"/>
    <w:rsid w:val="2E5E5F10"/>
    <w:rsid w:val="330C609F"/>
    <w:rsid w:val="3A8F302F"/>
    <w:rsid w:val="46F634B6"/>
    <w:rsid w:val="4943162B"/>
    <w:rsid w:val="5221680B"/>
    <w:rsid w:val="60C12434"/>
    <w:rsid w:val="63E37C28"/>
    <w:rsid w:val="650C4968"/>
    <w:rsid w:val="66E53E53"/>
    <w:rsid w:val="67C576AB"/>
    <w:rsid w:val="69E568C7"/>
    <w:rsid w:val="74EE11FE"/>
    <w:rsid w:val="7EBA0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3"/>
    <w:unhideWhenUsed/>
    <w:qFormat/>
    <w:uiPriority w:val="99"/>
    <w:pPr>
      <w:tabs>
        <w:tab w:val="center" w:pos="4153"/>
        <w:tab w:val="right" w:pos="8306"/>
      </w:tabs>
      <w:snapToGrid w:val="0"/>
      <w:jc w:val="left"/>
    </w:pPr>
    <w:rPr>
      <w:sz w:val="18"/>
      <w:szCs w:val="18"/>
    </w:rPr>
  </w:style>
  <w:style w:type="paragraph" w:styleId="3">
    <w:name w:val="header"/>
    <w:basedOn w:val="1"/>
    <w:link w:val="12"/>
    <w:unhideWhenUsed/>
    <w:qFormat/>
    <w:uiPriority w:val="99"/>
    <w:pP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semiHidden/>
    <w:unhideWhenUsed/>
    <w:qFormat/>
    <w:uiPriority w:val="99"/>
    <w:rPr>
      <w:color w:val="800080"/>
      <w:u w:val="single"/>
    </w:rPr>
  </w:style>
  <w:style w:type="character" w:styleId="8">
    <w:name w:val="Hyperlink"/>
    <w:basedOn w:val="6"/>
    <w:unhideWhenUsed/>
    <w:qFormat/>
    <w:uiPriority w:val="99"/>
    <w:rPr>
      <w:color w:val="0563C1" w:themeColor="hyperlink"/>
      <w:u w:val="single"/>
      <w14:textFill>
        <w14:solidFill>
          <w14:schemeClr w14:val="hlink"/>
        </w14:solidFill>
      </w14:textFill>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0">
    <w:name w:val="未处理的提及1"/>
    <w:basedOn w:val="6"/>
    <w:semiHidden/>
    <w:unhideWhenUsed/>
    <w:qFormat/>
    <w:uiPriority w:val="99"/>
    <w:rPr>
      <w:color w:val="605E5C"/>
      <w:shd w:val="clear" w:color="auto" w:fill="E1DFDD"/>
    </w:rPr>
  </w:style>
  <w:style w:type="paragraph" w:styleId="11">
    <w:name w:val="List Paragraph"/>
    <w:basedOn w:val="1"/>
    <w:qFormat/>
    <w:uiPriority w:val="34"/>
    <w:pPr>
      <w:ind w:firstLine="420" w:firstLineChars="200"/>
    </w:pPr>
  </w:style>
  <w:style w:type="character" w:customStyle="1" w:styleId="12">
    <w:name w:val="页眉 字符"/>
    <w:basedOn w:val="6"/>
    <w:link w:val="3"/>
    <w:qFormat/>
    <w:uiPriority w:val="99"/>
    <w:rPr>
      <w:kern w:val="2"/>
      <w:sz w:val="18"/>
      <w:szCs w:val="18"/>
    </w:rPr>
  </w:style>
  <w:style w:type="character" w:customStyle="1" w:styleId="13">
    <w:name w:val="页脚 字符"/>
    <w:basedOn w:val="6"/>
    <w:link w:val="2"/>
    <w:qFormat/>
    <w:uiPriority w:val="99"/>
    <w:rPr>
      <w:kern w:val="2"/>
      <w:sz w:val="18"/>
      <w:szCs w:val="18"/>
    </w:rPr>
  </w:style>
  <w:style w:type="character" w:customStyle="1" w:styleId="14">
    <w:name w:val="未处理的提及2"/>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618D8-A805-4663-9478-78EDEC509CD0}">
  <ds:schemaRefs/>
</ds:datastoreItem>
</file>

<file path=docProps/app.xml><?xml version="1.0" encoding="utf-8"?>
<Properties xmlns="http://schemas.openxmlformats.org/officeDocument/2006/extended-properties" xmlns:vt="http://schemas.openxmlformats.org/officeDocument/2006/docPropsVTypes">
  <Template>Normal</Template>
  <Pages>3</Pages>
  <Words>844</Words>
  <Characters>1003</Characters>
  <Lines>7</Lines>
  <Paragraphs>2</Paragraphs>
  <TotalTime>1</TotalTime>
  <ScaleCrop>false</ScaleCrop>
  <LinksUpToDate>false</LinksUpToDate>
  <CharactersWithSpaces>1005</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2025-10-14T00:27:00Z</dcterms:created>
  <dc:creator>duoduo fang</dc:creator>
  <cp:lastModifiedBy>zoe</cp:lastModifiedBy>
  <dcterms:modified xsi:type="dcterms:W3CDTF">2025-10-14T02:21:28Z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F5E30D6D27634A30908F14A48F237B83_13</vt:lpwstr>
  </property>
  <property fmtid="{D5CDD505-2E9C-101B-9397-08002B2CF9AE}" pid="4" name="KSOTemplateDocerSaveRecord">
    <vt:lpwstr>eyJoZGlkIjoiMWI0NWRhODhmNmE3YmJhMWU5ZTNiOGJkNDllN2RmYTUiLCJ1c2VySWQiOiIzNTgyNTkyMDAifQ==</vt:lpwstr>
  </property>
</Properties>
</file>