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xml:space="preserve">2024年度</w:t>
              <w:br w:type="textWrapping"/>
              <w:t/>
            </w:r>
            <w:r>
              <w:rPr>
                <w:b w:val="on"/>
                <w:rFonts w:ascii="宋体" w:eastAsia="宋体" w:hAnsi="宋体" w:cs="宋体"/>
                <w:sz w:val="52"/>
                <w:u w:color="auto"/>
              </w:rPr>
              <w:t>江阴市文物保护和考古研究中心</w:t>
            </w:r>
            <w:r>
              <w:rPr>
                <w:b w:val="on"/>
                <w:rFonts w:ascii="宋体" w:eastAsia="宋体" w:hAnsi="宋体" w:cs="宋体"/>
                <w:sz w:val="52"/>
                <w:u w:color="auto"/>
              </w:rPr>
              <w:t xml:space="preserve"></w:t>
              <w:br w:type="textWrapping"/>
              <w:t>单位决算公开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(一)根据《中华人民共和国文物保护法》等法律、法规及有关政策，开展文物保护和考古研究中心各项管理工作。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负责要塞司令部、徐霞客故居、刘氏故居、江阴文庙、高城墩遗址、曹颖甫故居、唐公祠等文物保护单位的管理、开放、活化、维护、保养、监测、修缮、安全以及宣传、展示等工作，充分发挥场馆的社教功能。</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(三)协助做好全市不可移动文物资源调查和建档、文物保护规划编制、文物修缮保护及活化利用工程、文物价值评估和文保单位申报等工作。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(四)开展文物保护、考古等方面的业务研究、培训和交流活动，做好全市文保志愿者队伍管理工作。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(五)加强对全市地下文物的保护和管理，协助开展我市国有建设用地考古调查勘探发掘前置工作，开展文物考古工作，协助相关部门打击文物犯罪活动。</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(六)整理汇集考古、地方文献、地方名人等资料并进行相关文史研究。</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(七)落实本单位安全生产主体责任。</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(八)完成市文体广电和旅游局交办的其他任务。</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本单位无内设机构。</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本单位无下属单位。</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意识形态工作。中心班子充分认识做好新时代意识形态工作的重要意义，学深悟透习近平新时代中国特色社会主义思想，认真贯彻落实中央、省、市委意识形态重要指示精神，落实主管局党委意识形态工作部署，牢牢掌握本单位意识形态工作领导权，严格落实工作责任制，营造良好氛围。全年阵地开放参观及各项主题文化活动未发生意识形态风险问题。</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党建工作。一是推动党纪学习教育走深走实，营造学纪、知纪、明纪、守纪的浓厚氛围，按照制定的学习计划，集中学习新修订的《中国共产党纪律处分条例》，通过专题党课、研讨交流、警示教育、实景课堂、送服务进社区等多种方式，全面提升党员干部纪律、责任、服务意识；二是充分发挥场馆优势，打造“文保新活力”党建品牌，以党员为引领，以古建筑为载体，传播文化，服务公益；三是夯实过硬党建基础，三会一课、主题党日等按时完成，全年收缴党费2532元，积极参与社区“三报到三服务”，与西大街社区党委组建党建联盟，所有党员纳入“无锡先锋”平台，党员“学习强国”登录和学习工作常抓不懈；四是打造徐霞客故居和要塞司令部2处党风廉政教育示范基地，要塞司令部讲解稿通过市纪委、党校等部门专家论证，徐霞客故居讲解稿重点延展徐霞客爱国精神，通过中心全体人员，特别是各场馆讲解员的不懈努力，今年共计接待各级参观团队超350个，人数超7000人次。充分发挥了阵地教育功能，较好满足了社会文化需求。</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廉政建设工作。中心班子成员在日常工作生活中严格贯彻中央八项规定精神，按规定落实公务出行、差旅食宿等内控制度，注重依法依规办事，无利用中心资源谋取私利情况；严格执行民主集中各项规定，个人重大事项如实向主管局报告，无漏报、瞒报情况；自觉维护中心团结，接受单位全体人员监督。</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文保资金使用方面，今年完成要塞司令部、徐霞客故居2项防雷工程项并通过省专家验收；完成高城墩遗址保护用房及环境改善工程及下属场馆年度岁修项目；完成2025-2027年中心物业招标。积极对上争取项目和资金，文庙防雷、消防、安防，晴山堂消防，刘氏故居安防、消防项目均已获得江苏省文旅厅批复通过，预计可争取资金一千余万元；完成要塞司令部展陈提升方案，已提交省文物局通过。</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（四）业务工作。</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日常管理方面，积极落实上级工作要求，完成上级交代的工作任务，加强人员管理和队伍建设，开展2024年资产清查盘点工作，年度盘点资产总额12030052.62元，全年下属场馆入馆近70万人次，完成非税收入超28万元。</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安全生产方面，开展应急演练2次，组织自查14次，在春节、中高考、梅雨季、台风“贝碧嘉”登陆等重要节点，提前部署，严密防范，全年未有安全事故发生。</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考古方面，全年协助无锡考古所完成市内14个地块项目的考古勘探和发掘，与江苏省文物考古研究院合作开展江苏地域文明探源工程课题，试掘周庄镇黄土墩遗址，勘探陶城遗址、莫城遗址等，完成江阴市第四次全国不可移动文物普查野外调查作业，完成原有317处登记文物点和新发现文物点的勘测、绘图等工作。</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社教方面，全年举办新春游园、中高考祈福、2024文化和自然遗产日、开笔礼等大型活动6场，抓住我们的节日、5•18博物馆日、5•19旅游日等重要节点，举办猜灯谜、拓碑、古琴、中国画、扎染等小型公益活动60余场，公益服务市民群众超3万人次；加强馆校合作，与辅延小学等学校结对，开展考古研学夏令营、“祖国在我心中”民乐快闪等主题活动；结合百宅百院活化利用，推出“古宅新颜弦歌不辍——二胡传承‘青蓝工程’实境教学展演”及“走进名人故居聆听英雄故事”主题活动，打造身临其境的沉浸式教学课堂；完成文庙书咖、文创展示区的改造。</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获得荣誉方面，“纪念渡江战役胜利暨江阴解放75周年红色主题教育活动”推文被江苏省文化和旅游厅（省文物局）官网采用推出；二胡“青蓝工程”项目申报中国文物报社、全国文博社教案例，入选“锡事明理”人文社科讲堂；红色研学课程“中国共产党领导下的江阴要塞起义”入选江苏省文化和旅游厅、省教育厅、新华日报社红色研学精品思政课；任敏霞、薛雅婷获2024年无锡市社科普及基地讲解员风采展示活动优秀奖，张加莉所在团队获无锡市琢璞年轻人才发展基金会年度征文一等奖，任敏霞获江阴市讲解员风采展示三等奖。</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江阴市文物保护和考古研究中心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单位</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color w:val="000000"/>
                <w:lang w:eastAsia="ar-SA"/>
              </w:rPr>
              <w:t>江阴市文物保护和考古研究中心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925.59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792.89</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45.07</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87.63</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925.59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925.58</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0.12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0.13</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925.71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925.71</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江阴市文物保护和考古研究中心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925.59</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925.59</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792.89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792.89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31.73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31.73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31.73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31.73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文物</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761.16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761.16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2070204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文物保护</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761.16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761.16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45.07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45.07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32.93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32.93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21.95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21.95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10.98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10.98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12.14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12.14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12.14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12.14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87.63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87.63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87.63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87.63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25.89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25.89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44.58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44.58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17.16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17.16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江阴市文物保护和考古研究中心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925.58</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557.13</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368.45</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792.89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424.43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368.45</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31.73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31.73</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31.73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31.73</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文物</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761.16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424.43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336.72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2070204</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文物保护</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761.16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424.43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336.72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45.07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45.07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32.93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32.93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21.95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21.95</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10.98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10.98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12.14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12.14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12.14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12.14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87.63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87.63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87.63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87.63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25.89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25.89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44.58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44.58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17.16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17.16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江阴市文物保护和考古研究中心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925.59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792.89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792.89</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45.07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45.07</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87.63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87.63</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925.59</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925.58</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925.58</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0.12</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0.13</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0.13</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0.12</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925.71</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925.71</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925.71</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江阴市文物保护和考古研究中心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925.58</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557.13</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368.45</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792.89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424.43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368.45</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31.73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31.73</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31.73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31.73</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文物</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761.16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424.43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336.72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2070204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文物保护</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761.16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424.43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336.72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45.07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45.07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32.93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32.93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21.95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21.95</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10.98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10.98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12.14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12.14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12.14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12.14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87.63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87.63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87.63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87.63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25.89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25.89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44.58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44.58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17.16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17.16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江阴市文物保护和考古研究中心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557.13</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520.73</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36.40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511.85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511.85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53.69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53.69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60.84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60.84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170.48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170.48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84.13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84.13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21.95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21.95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10.98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10.98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10.48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10.48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1.66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1.66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25.89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25.89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1.56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1.56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70.20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70.20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36.40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36.40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4.91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4.91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1.33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1.33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11.75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11.75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0.30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0.02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0.11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2.42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2.42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3.07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3.07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12.50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12.50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8.88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8.88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8.64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8.64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0.24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0.24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江阴市文物保护和考古研究中心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925.58</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557.13</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368.45</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792.89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424.43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368.45</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31.73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31.73</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31.73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31.73</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文物</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761.16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424.43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336.72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2070204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文物保护</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761.16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424.43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336.72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45.07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45.07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32.93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32.93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21.95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21.95</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10.98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10.98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12.14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12.14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12.14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12.14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87.63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87.63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87.63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87.63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25.89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25.89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44.58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44.58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17.16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17.16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江阴市文物保护和考古研究中心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557.13</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520.73</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36.40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511.85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511.85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53.69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53.69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60.84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60.84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170.48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170.48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84.13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84.13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21.95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21.95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10.98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10.98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10.48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10.48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1.66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1.66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25.89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25.89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1.56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1.56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70.20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70.20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36.40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36.40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4.91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4.91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1.33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1.33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11.75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11.75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0.30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0.30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0.02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0.11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2.42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2.42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3.07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3.07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12.50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12.50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8.88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8.88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8.64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8.64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0.24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0.24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江阴市文物保护和考古研究中心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0.11</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0.11</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0.02</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0.11</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0.11</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0.02</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5</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4</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江阴市文物保护和考古研究中心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lang w:val="en-US"/>
        </w:rPr>
        <w:t/>
      </w:r>
    </w:p>
    <w:p w14:paraId="3B1CEB3B">
      <w:pPr>
        <w:spacing w:before="25"/>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无政府性基金预算收入支出决算，故本表为空。</w:t>
      </w:r>
      <w:r>
        <w:rPr>
          <w:rFonts w:ascii="仿宋" w:eastAsia="仿宋" w:hAnsi="仿宋" w:cs="仿宋"/>
          <w:u w:color="auto"/>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江阴市文物保护和考古研究中心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江阴市文物保护和考古研究中心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lang w:val="en-US"/>
        </w:rPr>
        <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lang w:val="en-US"/>
        </w:rPr>
        <w:t/>
      </w: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u/>
        </w:rPr>
        <w:t>故本表为空。</w:t>
      </w:r>
      <w:r>
        <w:rPr>
          <w:rFonts w:ascii="仿宋" w:eastAsia="仿宋" w:hAnsi="仿宋" w:cs="仿宋"/>
          <w:u w:color="auto"/>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江阴市文物保护和考古研究中心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92.27</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63.10</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29.17</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2024年度收入、支出决算总计925.71万元。与上年相比，收、支总计各减少8.19万元，减少0.88%。其中：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（一）收入决算总计925.71万元。包括：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1.本年收入决算合计925.59万元。与上年相比，增加21.72万元，增长2.4%，变动原因：新增两名事业单位人员。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3.年初结转和结余0.12万元。与上年相比，减少29.9万元，减少99.6%，变动原因：专项经费减少。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（二）支出决算总计925.71万元。包括：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1.本年支出决算合计925.58万元。与上年相比，减少8.19万元，减少0.88%，变动原因：专项经费减少。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3.年末结转和结余0.13万元。结转和结余事项：社保等代扣代缴资金。与上年相比，增加0.01万元，增长8.33%，变动原因：社保等代扣代缴资金。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925.59万元，其中：财政拨款收入925.59万元，占100%；上级补助收入0万元，占0%；财政专户管理教育收费0万元，占0%；事业收入（不含专户管理教育收费）0万元，占0%；经营收入0万元，占0%；附属单位上缴收入0万元，占0%；其他收入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2024年度本年支出决算合计925.58万元，其中：基本支出557.13万元，占60.19%；项目支出368.45万元，占39.81%；上缴上级支出0万元，占0%；经营支出0万元，占0%；对附属单位补助支出0万元，占0%。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2024年度财政拨款收入、支出决算总计925.71万元。与上年相比，收、支总计各减少8.19万元，减少0.88%，变动原因：专项经费减少。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2024年度财政拨款支出决算925.58万元，占本年支出合计的100%。与2024年度财政拨款支出年初预算704.68万元相比，完成年初预算的131.35%。其中：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（一）文化旅游体育与传媒支出（类）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1.文化和旅游（款）其他文化和旅游支出（项）。年初预算0万元，支出决算31.73万元，（年初预算数为0万元，无法计算完成比率）决算数与年初预算数的差异原因：上级补助资金增加。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2.文物（款）文物保护（项）。年初预算580.09万元，支出决算761.16万元，完成年初预算的131.21%。决算数与年初预算数的差异原因：新增防雷工程项目。</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（二）社会保障和就业支出（类）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1.行政事业单位养老支出（款）机关事业单位基本养老保险缴费支出（项）。年初预算20.49万元，支出决算21.95万元，完成年初预算的107.13%。决算数与年初预算数的差异原因：新增两名事业单位人员。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2.行政事业单位养老支出（款）机关事业单位职业年金缴费支出（项）。年初预算10.25万元，支出决算10.98万元，完成年初预算的107.12%。决算数与年初预算数的差异原因：新增两名事业单位人员。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3.其他社会保障和就业支出（款）其他社会保障和就业支出（项）。年初预算9.81万元，支出决算12.14万元，完成年初预算的123.75%。决算数与年初预算数的差异原因：新增两名事业单位人员。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（三）住房保障支出（类）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1.住房改革支出（款）住房公积金（项）。年初预算23.98万元，支出决算25.89万元，完成年初预算的107.96%。决算数与年初预算数的差异原因：新增两名事业单位人员。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2.住房改革支出（款）提租补贴（项）。年初预算44.58万元，支出决算44.58万元，完成年初预算的100%。决算数与年初预算数相同。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3.住房改革支出（款）购房补贴（项）。年初预算15.48万元，支出决算17.16万元，完成年初预算的110.85%。决算数与年初预算数的差异原因：新增两名事业单位人员。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2024年度财政拨款基本支出决算557.13万元，其中：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（一）人员经费520.73万元。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其他社会保障缴费、住房公积金、医疗费、其他工资福利支出、退休费、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（二）公用经费36.4万元。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主要包括：办公费、水费、电费、差旅费、培训费、公务接待费、工会经费、其他交通费用、其他商品和服务支出。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2024年度一般公共预算财政拨款支出决算925.58万元。与上年相比，减少8.19万元，减少0.88%，变动原因：专项经费减少。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2024年度一般公共预算财政拨款基本支出决算557.13万元，其中：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（一）人员经费520.73万元。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其他社会保障缴费、住房公积金、医疗费、其他工资福利支出、退休费、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（二）公用经费36.4万元。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主要包括：办公费、水费、电费、差旅费、培训费、公务接待费、工会经费、其他交通费用、其他商品和服务支出。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0.11万元（其中：一般公共预算支出0.11万元；政府性基金预算支出0万元；国有资本经营预算支出0万元）。与上年相比，增加0.11万元，变动原因：公务接待费用增加。其中，因公出国（境）费支出0万元，占“三公”经费的0%；公务用车购置及运行维护费支出0万元，占“三公”经费的0%；公务接待费支出0.11万元，占“三公”经费的100%。2024年度财政拨款“三公”经费支出预算0.11万元（其中：一般公共预算支出0.11万元；政府性基金预算支出0万元；国有资本经营预算支出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（1）公务用车购置支出决算0万元。本年度使用财政拨款购置公务用车0辆。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0.11万元（其中：一般公共预算支出0.11万元；政府性基金预算支出0万元；国有资本经营预算支出0万元），支出决算0.11万元（其中：一般公共预算支出0.11万元；政府性基金预算支出0万元；国有资本经营预算支出0万元），完成调整后预算的100%，决算数与预算数相同。其中：国内公务接待支出0.11万元，接待1批次，5人次，开支内容：接待外市来访人员；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0.02万元（其中：一般公共预算支出0.02万元；政府性基金预算支出0万元；国有资本经营预算支出0万元），支出决算0.02万元（其中：一般公共预算支出0.02万元；政府性基金预算支出0万元；国有资本经营预算支出0万元），完成调整后预算的100%，决算数与预算数相同。2024年度全年组织培训2个，组织培训4人次，开支内容：财务人员培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2024年度机关运行经费支出决算0万元（其中：一般公共预算支出0万元；政府性基金预算支出0万元；国有资本经营预算支出0万元）。与上年决算数相同。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92.27万元，其中：政府采购货物支出63.1万元、政府采购工程支出29.17万元、政府采购服务支出0万元。政府采购授予中小企业合同金额0万元，占政府采购支出总额的0%，其中：授予小微企业合同金额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2024年度，本单位共0个项目开展了财政重点绩效评价，涉及财政性资金合计0万元；本单位未开展单位整体支出财政重点绩效评价，涉及财政性资金0万元。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本单位共对上年度已实施完成的3个项目开展了绩效自评价，涉及财政性资金合计245.55万元；本单位共开展1项单位整体支出绩效自评价，涉及财政性资金合计925.58万元。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十九、文化旅游体育与传媒支出(类)文化和旅游(款)其他文化和旅游支出(项)</w:t>
      </w:r>
      <w:r>
        <w:rPr>
          <w:b w:val="on"/>
          <w:rFonts w:ascii="仿宋" w:eastAsia="仿宋" w:hAnsi="仿宋" w:cs="仿宋"/>
          <w:u w:color="auto"/>
        </w:rPr>
        <w:t>：</w:t>
      </w:r>
      <w:r>
        <w:rPr>
          <w:rFonts w:hint="eastAsia" w:ascii="仿宋" w:hAnsi="仿宋" w:eastAsia="仿宋" w:cs="仿宋"/>
        </w:rPr>
        <w:t>反映除上述项目以外其他用于文化和旅游方面的支出。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二十、文化旅游体育与传媒支出(类)文物(款)文物保护(项)</w:t>
      </w:r>
      <w:r>
        <w:rPr>
          <w:b w:val="on"/>
          <w:rFonts w:ascii="仿宋" w:eastAsia="仿宋" w:hAnsi="仿宋" w:cs="仿宋"/>
          <w:u w:color="auto"/>
        </w:rPr>
        <w:t>：</w:t>
      </w:r>
      <w:r>
        <w:rPr>
          <w:rFonts w:hint="eastAsia" w:ascii="仿宋" w:hAnsi="仿宋" w:eastAsia="仿宋" w:cs="仿宋"/>
        </w:rPr>
        <w:t>反映考古发掘及文物保护方面的支出。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二十一、社会保障和就业支出(类)行政事业单位养老支出(款)机关事业单位基本养老保险缴费支出(项)</w:t>
      </w:r>
      <w:r>
        <w:rPr>
          <w:b w:val="on"/>
          <w:rFonts w:ascii="仿宋" w:eastAsia="仿宋" w:hAnsi="仿宋" w:cs="仿宋"/>
          <w:u w:color="auto"/>
        </w:rPr>
        <w:t>：</w:t>
      </w:r>
      <w:r>
        <w:rPr>
          <w:rFonts w:hint="eastAsia" w:ascii="仿宋" w:hAnsi="仿宋" w:eastAsia="仿宋" w:cs="仿宋"/>
        </w:rPr>
        <w:t>反映机关事业单位实施养老保险制度由单位缴纳的基本养老保险费支出。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二十二、社会保障和就业支出(类)行政事业单位养老支出(款)机关事业单位职业年金缴费支出(项)</w:t>
      </w:r>
      <w:r>
        <w:rPr>
          <w:b w:val="on"/>
          <w:rFonts w:ascii="仿宋" w:eastAsia="仿宋" w:hAnsi="仿宋" w:cs="仿宋"/>
          <w:u w:color="auto"/>
        </w:rPr>
        <w:t>：</w:t>
      </w:r>
      <w:r>
        <w:rPr>
          <w:rFonts w:hint="eastAsia" w:ascii="仿宋" w:hAnsi="仿宋" w:eastAsia="仿宋" w:cs="仿宋"/>
        </w:rPr>
        <w:t>反映机关事业单位实施养老保险制度由单位实际缴纳的职业年金支出。(含职业年金补记支出。）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二十三、社会保障和就业支出(类)其他社会保障和就业支出(款)其他社会保障和就业支出(项)</w:t>
      </w:r>
      <w:r>
        <w:rPr>
          <w:b w:val="on"/>
          <w:rFonts w:ascii="仿宋" w:eastAsia="仿宋" w:hAnsi="仿宋" w:cs="仿宋"/>
          <w:u w:color="auto"/>
        </w:rPr>
        <w:t>：</w:t>
      </w:r>
      <w:r>
        <w:rPr>
          <w:rFonts w:hint="eastAsia" w:ascii="仿宋" w:hAnsi="仿宋" w:eastAsia="仿宋" w:cs="仿宋"/>
        </w:rPr>
        <w:t>反映除上述项目以外其他用于社会保障和就业方面的支出。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二十四、住房保障支出(类)住房改革支出(款)住房公积金(项)</w:t>
      </w:r>
      <w:r>
        <w:rPr>
          <w:b w:val="on"/>
          <w:rFonts w:ascii="仿宋" w:eastAsia="仿宋" w:hAnsi="仿宋" w:cs="仿宋"/>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二十五、住房保障支出(类)住房改革支出(款)提租补贴(项)</w:t>
      </w:r>
      <w:r>
        <w:rPr>
          <w:b w:val="on"/>
          <w:rFonts w:ascii="仿宋" w:eastAsia="仿宋" w:hAnsi="仿宋" w:cs="仿宋"/>
          <w:u w:color="auto"/>
        </w:rPr>
        <w:t>：</w:t>
      </w:r>
      <w:r>
        <w:rPr>
          <w:rFonts w:hint="eastAsia" w:ascii="仿宋" w:hAnsi="仿宋" w:eastAsia="仿宋" w:cs="仿宋"/>
        </w:rPr>
        <w:t>反映按房改政策规定的标准，行政事业单位向职工（含离退休人员）发放的租金补贴。</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二十六、住房保障支出(类)住房改革支出(款)购房补贴(项)</w:t>
      </w:r>
      <w:r>
        <w:rPr>
          <w:b w:val="on"/>
          <w:rFonts w:ascii="仿宋" w:eastAsia="仿宋" w:hAnsi="仿宋" w:cs="仿宋"/>
          <w:u w:color="auto"/>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江阴市文物保护和考古研究中心</w:t>
    </w:r>
    <w:r>
      <w:rPr>
        <w:rFonts w:hint="eastAsia"/>
        <w:lang w:val="en-US" w:eastAsia="zh-CN"/>
      </w:rPr>
      <w:t>2024</w:t>
    </w:r>
    <w:r>
      <w:rPr>
        <w:rFonts w:hint="eastAsia"/>
        <w:lang w:val="en-US"/>
        <w:u/>
      </w:rPr>
      <w:t>年度</w:t>
    </w:r>
    <w:r>
      <w:rPr>
        <w:u w:color="auto"/>
      </w:rPr>
      <w:t>单位</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