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江阴市锡剧评弹艺术传承中心</w:t>
            </w:r>
            <w:r>
              <w:rPr>
                <w:b w:val="on"/>
                <w:rFonts w:ascii="宋体" w:eastAsia="宋体" w:hAnsi="宋体" w:cs="宋体"/>
                <w:sz w:val="52"/>
                <w:u w:color="auto"/>
              </w:rPr>
              <w:t xml:space="preserve"></w:t>
              <w:br w:type="textWrapping"/>
              <w:t>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围绕市委市政府中心工作开展宣传活动，促进全市精神文明建设，进行形式多样的创作表演。传承、演出各类传统经典锡剧剧目、评弹书目；创作、演出创新剧目、书目；打造艺术精品剧目、书目。承担锡剧、评弹理论研究工作，推动锡剧评弹艺术传承发展。开展送戏、送评弹下基层、进校园公益演出活动。提供锡剧评弹艺术的普及、培训辅导等公益活动。提供锡剧评弹艺术普及、培训辅导等公益服务。</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本单位无内设机构。</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本单位无下属单位。</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江阴市锡剧评弹艺术传承中心全体深入学习贯彻习近平文化思想，在市文体广电和旅游局的正确领导下，从高认识，周密部署抓推进；创新推动，服务群众新形象。紧紧围绕2024年度制定的工作目标，上下同步，以项目引领管理，一如既往地紧抓锡剧、评弹“双轮驱动，双向发力”，做优评弹剧目生产，做强锡剧传承演出，做大综合文艺品牌。全年完成各项演出任务场次，完成政府下达经营性创收目标任务340.8万元，同比增长79%，顺利完成全年的各项目标任务。具体工作如下：一、以坚持“为人民服务，为社会主义服务”方向，打造主责主业新高度；二、以坚持“练好内功，提升修养”目标，提高专业技能展风采；三、以坚持“全方位培养用好人才”宗旨，构筑人才队伍新高地；四、坚持以“浇花浇心，育人育心”使命，赓续文脉勤育新苗；五、坚持以“强化红线意识”宗旨，营造安全文明的良好环境；六、坚持以“党建融合，强基固本”目标，思想旗帜引领奋进路。</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江阴市锡剧评弹艺术传承中心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江阴市锡剧评弹艺术传承中心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2,478.46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92.91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1,951.76</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213.57</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406.04</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2,571.37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2,571.37</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2,571.37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2,571.37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2,571.37</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2,478.46</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92.91</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1,951.76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1,858.85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92.91</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1,951.76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1,858.85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92.91</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艺术表演团体</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1,946.29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1,853.38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92.91</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5.47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5.47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213.57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213.57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156.92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156.92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104.62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104.62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52.31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52.31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56.64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56.64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56.64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56.64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406.04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406.04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406.04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406.04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109.59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109.59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203.58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203.58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92.86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92.86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2,571.37</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2,472.99</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5.47</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92.91</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1,951.76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1,853.38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5.47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92.91</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1,951.76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1,853.38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5.47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92.91</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艺术表演团体</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1,946.29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1,853.38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92.91</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5.47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5.47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213.57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213.57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156.92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156.92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104.62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104.62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52.31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52.31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56.64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56.64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56.64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56.64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406.04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406.04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406.04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406.04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109.59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109.59</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203.58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203.58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92.86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92.86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2,478.46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1,858.85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1,858.85</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213.57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213.57</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406.04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406.04</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2,478.46</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2,478.46</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2,478.46</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2,478.46</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2,478.46</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2,478.46</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2,478.46</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2,472.99</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5.47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1,858.85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1,853.38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5.47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1,858.85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1,853.38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5.47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艺术表演团体</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1,853.38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1,853.38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5.47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5.47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213.57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213.57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156.92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156.92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104.62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104.62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52.31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52.31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56.64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56.64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56.64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56.64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406.04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406.04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406.04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406.04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109.59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109.59</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203.58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203.58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92.86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92.86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2,472.99</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2,344.90</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128.09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2,240.59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2,240.59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255.53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255.53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240.20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240.20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872.86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872.86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411.19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411.19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104.62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104.62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52.31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52.31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48.91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48.91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7.74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7.74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109.59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109.59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6.36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6.36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131.28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131.28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123.06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123.06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18.21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18.21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0.10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0.52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0.52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0.81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0.81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2.12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2.12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1.23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49.80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49.80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0.50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0.10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0.66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0.86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0.86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11.22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11.22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2.70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0.55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33.68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33.68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104.31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104.31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102.41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102.41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0.64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0.64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5.03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5.03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1.88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1.88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3.15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3.15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2,478.46</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2,472.99</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5.47</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1,858.85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1,853.38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5.47</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1,858.85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1,853.38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5.47</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艺术表演团体</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1,853.38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1,853.38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5.47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5.47</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213.57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213.57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156.92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156.92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104.62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104.62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52.31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52.31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56.64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56.64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56.64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56.64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406.04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406.04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406.04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406.04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109.59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109.59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203.58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203.58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92.86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92.86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2,472.99</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2,344.90</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128.09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2,240.59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2,240.59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255.53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255.53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240.20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240.20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872.86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872.86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411.19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411.19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104.62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104.62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52.31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52.31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48.91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48.91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7.74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7.74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109.59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109.59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6.36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6.36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131.28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131.28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123.06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123.06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18.21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18.21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0.10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0.52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0.52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0.81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0.81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2.12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2.12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1.23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49.80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49.80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0.50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0.10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0.66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0.66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0.86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0.86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11.22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11.22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2.70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2.70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0.55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0.55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33.68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33.68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104.31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104.31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102.41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102.41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0.64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0.64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5.03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5.03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1.88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1.88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3.15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3.15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3.20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2.70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2.70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3.20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2.70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2.70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49</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lang w:val="en-US"/>
        </w:rPr>
        <w:t/>
      </w:r>
    </w:p>
    <w:p w14:paraId="3B1CEB3B">
      <w:pPr>
        <w:spacing w:before="25"/>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无政府性基金预算收入支出决算，故本表为空。</w:t>
      </w:r>
      <w:r>
        <w:rPr>
          <w:rFonts w:ascii="仿宋" w:eastAsia="仿宋" w:hAnsi="仿宋" w:cs="仿宋"/>
          <w:u w:color="auto"/>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lang w:val="en-US"/>
        </w:rPr>
        <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u/>
        </w:rPr>
        <w:t>故本表为空。</w:t>
      </w:r>
      <w:r>
        <w:rPr>
          <w:rFonts w:ascii="仿宋" w:eastAsia="仿宋" w:hAnsi="仿宋" w:cs="仿宋"/>
          <w:u w:color="auto"/>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江阴市锡剧评弹艺术传承中心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1.29</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1.29</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2024年度收入、支出决算总计2,571.37万元。与上年相比，收、支总计各增加666.43万元，增长34.98%。其中：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（一）收入决算总计2,571.37万元。包括：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1.本年收入决算合计2,571.37万元。与上年相比，增加666.43万元，增长34.98%，变动原因：工资福利增加。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（二）支出决算总计2,571.37万元。包括：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1.本年支出决算合计2,571.37万元。与上年相比，增加666.43万元，增长34.98%，变动原因：工资福利增加。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2,571.37万元，其中：财政拨款收入2,478.46万元，占96.39%；上级补助收入0万元，占0%；财政专户管理教育收费0万元，占0%；事业收入（不含专户管理教育收费）0万元，占0%；经营收入92.91万元，占3.61%；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2024年度本年支出决算合计2,571.37万元，其中：基本支出2,472.99万元，占96.18%；项目支出5.47万元，占0.21%；上缴上级支出0万元，占0%；经营支出92.91万元，占3.61%；对附属单位补助支出0万元，占0%。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2024年度财政拨款收入、支出决算总计2,478.46万元。与上年相比，收、支总计各增加654.57万元，增长35.89%，变动原因：工资福利增加。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2024年度财政拨款支出决算2,478.46万元，占本年支出合计的96.39%。与2024年度财政拨款支出年初预算1,938.92万元相比，完成年初预算的127.83%。其中：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（一）文化旅游体育与传媒支出（类）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1.文化和旅游（款）艺术表演团体（项）。年初预算1,363.15万元，支出决算1,853.38万元，完成年初预算的135.96%。决算数与年初预算数的差异原因：工资福利增加。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2.文化和旅游（款）其他文化和旅游支出（项）。年初预算0万元，支出决算5.47万元，（年初预算数为0万元，无法计算完成比率）决算数与年初预算数的差异原因：展陈中心项目尾款结项。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（二）社会保障和就业支出（类）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1.行政事业单位养老支出（款）机关事业单位基本养老保险缴费支出（项）。年初预算98.29万元，支出决算104.62万元，完成年初预算的106.44%。决算数与年初预算数的差异原因：新增3名事业人员。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2.行政事业单位养老支出（款）机关事业单位职业年金缴费支出（项）。年初预算49.15万元，支出决算52.31万元，完成年初预算的106.43%。决算数与年初预算数的差异原因：新增3名事业人员。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3.其他社会保障和就业支出（款）其他社会保障和就业支出（项）。年初预算48.87万元，支出决算56.64万元，完成年初预算的115.9%。决算数与年初预算数的差异原因：新增3名事业人员。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1.住房改革支出（款）住房公积金（项）。年初预算95.57万元，支出决算109.59万元，完成年初预算的114.67%。决算数与年初预算数的差异原因：新增3名事业人员。</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2.住房改革支出（款）提租补贴（项）。年初预算191.64万元，支出决算203.58万元，完成年初预算的106.23%。决算数与年初预算数的差异原因：政策性调整。</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3.住房改革支出（款）购房补贴（项）。年初预算92.25万元，支出决算92.86万元，完成年初预算的100.66%。决算数与年初预算数的差异原因：基本持平。</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2024年度财政拨款基本支出决算2,472.99万元，其中：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（一）人员经费2,344.9万元。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其他工资福利支出、退休费、生活补助、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（二）公用经费128.09万元。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水费、电费、邮电费、差旅费、维修（护）费、租赁费、公务接待费、专用材料费、劳务费、委托业务费、工会经费、公务用车运行维护费、其他交通费用、其他商品和服务支出、办公设备购置、专用设备购置。</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2024年度一般公共预算财政拨款支出决算2,478.46万元。与上年相比，增加654.57万元，增长35.89%，变动原因：工资福利增加。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2024年度一般公共预算财政拨款基本支出决算2,472.99万元，其中：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（一）人员经费2,344.9万元。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其他工资福利支出、退休费、生活补助、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（二）公用经费128.09万元。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水费、电费、邮电费、差旅费、维修（护）费、租赁费、公务接待费、专用材料费、劳务费、委托业务费、工会经费、公务用车运行维护费、其他交通费用、其他商品和服务支出、办公设备购置、专用设备购置。</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3.2万元（其中：一般公共预算支出3.2万元；政府性基金预算支出0万元；国有资本经营预算支出0万元）。与上年相比，增加0.42万元，变动原因：业务交流活动招待。其中，因公出国（境）费支出0万元，占“三公”经费的0%；公务用车购置及运行维护费支出2.7万元，占“三公”经费的84.38%；公务接待费支出0.5万元，占“三公”经费的15.62%。2024年度财政拨款“三公”经费支出预算3.2万元（其中：一般公共预算支出3.2万元；政府性基金预算支出0万元；国有资本经营预算支出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2.7万元（其中：一般公共预算支出2.7万元；政府性基金预算支出0万元；国有资本经营预算支出0万元），支出决算2.7万元（其中：一般公共预算支出2.7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2.7万元。公务用车运行维护费主要用于按规定保留的公务用车的燃料费、维修费、过桥过路费、保险费、安全奖励费用等支出。截至2024年12月31日，使用财政拨款开支的公务用车保有量为1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0.5万元（其中：一般公共预算支出0.5万元；政府性基金预算支出0万元；国有资本经营预算支出0万元），支出决算0.5万元（其中：一般公共预算支出0.5万元；政府性基金预算支出0万元；国有资本经营预算支出0万元），完成调整后预算的100%，决算数与预算数相同。其中：国内公务接待支出0.5万元，接待2批次，49人次，开支内容：业务交流活动招待；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1.29万元，其中：政府采购货物支出1.29万元、政府采购工程支出0万元、政府采购服务支出0万元。政府采购授予中小企业合同金额0万元，占政府采购支出总额的0%，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1辆，其中：副部(省)级及以上领导用车0辆、主要领导干部用车0辆、机要通信用车0辆、应急保障用车0辆、执法执勤用车0辆、特种专业技术用车0辆、离退休干部用车0辆、其他用车1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2024年度，本单位共0个项目开展了财政重点绩效评价，涉及财政性资金合计0万元；本单位未开展单位整体支出财政重点绩效评价，涉及财政性资金0万元。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本单位共对上年度已实施完成的1个项目开展了绩效自评价，涉及财政性资金合计92.91万元；本单位共开展1项单位整体支出绩效自评价，涉及财政性资金合计2,571.37万元。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十九、文化旅游体育与传媒支出(类)文化和旅游(款)艺术表演团体(项)</w:t>
      </w:r>
      <w:r>
        <w:rPr>
          <w:b w:val="on"/>
          <w:rFonts w:ascii="仿宋" w:eastAsia="仿宋" w:hAnsi="仿宋" w:cs="仿宋"/>
          <w:u w:color="auto"/>
        </w:rPr>
        <w:t>：</w:t>
      </w:r>
      <w:r>
        <w:rPr>
          <w:rFonts w:hint="eastAsia" w:ascii="仿宋" w:hAnsi="仿宋" w:eastAsia="仿宋" w:cs="仿宋"/>
        </w:rPr>
        <w:t>反映文化及其他部门主管的剧院（团）等艺术表演团体的支出。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二十、文化旅游体育与传媒支出(类)文化和旅游(款)其他文化和旅游支出(项)</w:t>
      </w:r>
      <w:r>
        <w:rPr>
          <w:b w:val="on"/>
          <w:rFonts w:ascii="仿宋" w:eastAsia="仿宋" w:hAnsi="仿宋" w:cs="仿宋"/>
          <w:u w:color="auto"/>
        </w:rPr>
        <w:t>：</w:t>
      </w:r>
      <w:r>
        <w:rPr>
          <w:rFonts w:hint="eastAsia" w:ascii="仿宋" w:hAnsi="仿宋" w:eastAsia="仿宋" w:cs="仿宋"/>
        </w:rPr>
        <w:t>反映除上述项目以外其他用于文化和旅游方面的支出。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二十一、社会保障和就业支出(类)行政事业单位养老支出(款)机关事业单位基本养老保险缴费支出(项)</w:t>
      </w:r>
      <w:r>
        <w:rPr>
          <w:b w:val="on"/>
          <w:rFonts w:ascii="仿宋" w:eastAsia="仿宋" w:hAnsi="仿宋" w:cs="仿宋"/>
          <w:u w:color="auto"/>
        </w:rPr>
        <w:t>：</w:t>
      </w:r>
      <w:r>
        <w:rPr>
          <w:rFonts w:hint="eastAsia" w:ascii="仿宋" w:hAnsi="仿宋" w:eastAsia="仿宋" w:cs="仿宋"/>
        </w:rPr>
        <w:t>反映机关事业单位实施养老保险制度由单位缴纳的基本养老保险费支出。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二十二、社会保障和就业支出(类)行政事业单位养老支出(款)机关事业单位职业年金缴费支出(项)</w:t>
      </w:r>
      <w:r>
        <w:rPr>
          <w:b w:val="on"/>
          <w:rFonts w:ascii="仿宋" w:eastAsia="仿宋" w:hAnsi="仿宋" w:cs="仿宋"/>
          <w:u w:color="auto"/>
        </w:rPr>
        <w:t>：</w:t>
      </w:r>
      <w:r>
        <w:rPr>
          <w:rFonts w:hint="eastAsia" w:ascii="仿宋" w:hAnsi="仿宋" w:eastAsia="仿宋" w:cs="仿宋"/>
        </w:rPr>
        <w:t>反映机关事业单位实施养老保险制度由单位实际缴纳的职业年金支出。(含职业年金补记支出。）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二十三、社会保障和就业支出(类)其他社会保障和就业支出(款)其他社会保障和就业支出(项)</w:t>
      </w:r>
      <w:r>
        <w:rPr>
          <w:b w:val="on"/>
          <w:rFonts w:ascii="仿宋" w:eastAsia="仿宋" w:hAnsi="仿宋" w:cs="仿宋"/>
          <w:u w:color="auto"/>
        </w:rPr>
        <w:t>：</w:t>
      </w:r>
      <w:r>
        <w:rPr>
          <w:rFonts w:hint="eastAsia" w:ascii="仿宋" w:hAnsi="仿宋" w:eastAsia="仿宋" w:cs="仿宋"/>
        </w:rPr>
        <w:t>反映除上述项目以外其他用于社会保障和就业方面的支出。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二十五、住房保障支出(类)住房改革支出(款)提租补贴(项)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二十六、住房保障支出(类)住房改革支出(款)购房补贴(项)</w:t>
      </w:r>
      <w:r>
        <w:rPr>
          <w:b w:val="on"/>
          <w:rFonts w:ascii="仿宋" w:eastAsia="仿宋" w:hAnsi="仿宋" w:cs="仿宋"/>
          <w:u w:color="auto"/>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江阴市锡剧评弹艺术传承中心</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