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江阴市文体广电和旅游局（机关）</w:t>
            </w:r>
            <w:r>
              <w:rPr>
                <w:b w:val="on"/>
                <w:rFonts w:ascii="宋体" w:eastAsia="宋体" w:hAnsi="宋体" w:cs="宋体"/>
                <w:sz w:val="52"/>
                <w:u w:color="auto"/>
              </w:rPr>
              <w:t xml:space="preserve"></w:t>
              <w:br w:type="textWrapping"/>
              <w:t>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江阴市文体广电和旅游局负责贯彻落实中央关于文化、体育、广播电视、旅游工作的方针政策和省市委决策部署，在履行职责过程中坚持和加强党对文化、体育、广播电视、旅游工作的集中统一领导。主要职能有：起草或参与起草相关规范性文件，拟定相关政策并组织实施，统筹规划文化、体育、广电、旅游业发展以及推进体制机制改革，负责全市文化、体育、广电、旅游的公共事业发展，推进全市公共文化服务体系建设、全民健康体系建设和旅游公共服务建设等。</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本单位内设机构包括</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办公室、政策法规科（行政许可科）、文化艺术科（公共服务科）、文化遗产科（市文物管理委员会办公室）、群众体育科、竞技体育科（青少年体育科）、产业发展科、资源开发科、旅游推广科、市场管理科、广播电视科（市广播电视安全播出调度中心）、组织人事科、财务科、安全监督科。</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本单位无下属单位。</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共服务提质提效。完成沈鹏介居书院易地新建启用，新建周庄镇金湾村图书馆分馆、三味书咖星河国际分馆，新增“艺风微书房”5家，与南理工等3所在澄高校共建大学生艺术教育实践基地，艺风书房、艺风微书房创新实践获评无锡市公共图书馆学会创新案例，江阴市公共文化艺术发展中心入选文旅部基层公共阅读服务推广项目名单。高质量完成乡镇（街道）文化站评估定级，顾山镇共享文体中心等2家单位入选省“最美公共文化空间”打造对象，月城社区锡剧团等3支团队入选省“优秀群众文化团队”培育对象。全年开展文艺展演、全民阅读、健身气功、广场舞等群众文体活动10000余场次，累计服务群众超2220万人次。体育“三进校园”累计送教进校园656课时，培训三级社会体育指导员1356人。江阴市健身操舞协会获评优秀民间健身团队及省级优秀案例，江阴市健身气功协会入选江苏省活力体育组织。新增健身步道16.36公里，捐赠健身路径140套、篮球架21副，全市大型体育场馆低免接待健身市民192人次。</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赛事活动出新出彩。成功举办江阴市庆祝中华人民共和国成立75周年大型红色经典锡剧《英雄儿女》专场演出、市民文化季、“芙蓉花奖”、亚太口琴艺术周等重大文化活动，承办全省“送戏下乡”现场会暨首场演出、澄怀之音——沈鹏诗书艺术品鉴交流座谈会等省级以上文化活动。少儿群舞作品《雄狮少年》获江苏省第八届社会舞蹈暨第十届少儿舞蹈展演“十佳作品”奖；男子群舞《延陵之狮》获“2024中国顶尖舞者成长计划”江苏省十强并参加全国展演；中篇评弹《教我如何不想她》参加第九届中国苏州评弹艺术节演出，2人入选中国戏曲“红梅金花十佳”，2人获评“红梅金花”。举办元旦公益徒步等市级群体赛事活动38项次、青少年阳光体育联赛33项次，承办国际武术邀请赛等省级以上体育竞赛37项次。15岁小将刘柏宏荣获第20届亚洲象棋个人锦标赛冠军并荣获特级大师称号；江阴市足球队成功实现“无锡杯”三连冠；江阴籍运动员累计获得省级以上金牌83枚。深化对口支援协作合作和南北结对帮扶合作，密切澄锡惠一体化联动机制，与新疆霍城、连云港灌云双向开展文化交流活动，与锡山、惠山签订澄锡惠地方文献联合数据库建设协议，举办澄锡惠象棋邀请赛等体育活动，创新组建澄锡惠美食联盟，与靖江、延川等五地文旅局联合主办“霞行万里共阅山河”2024年阅读马拉松大赛，与霍城两地举办“苏韵伊情•文化润心”2024年江阴•霍城小学生国际象棋交流赛。</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文遗保护走深走实。高效落实考古前置工作，完成9个地块近60万平方米的考古勘探，5个地块6410平方米考古发掘。有序实施文物保护工程，完成江阴蚕种场修缮工程，西帝桥、大闸桥迁移工程，要塞司令部旧址、徐霞客故居防雷工程。全面开展第四次全国文物普查，实地调查进度达到75%以上，位居无锡前列。稳步推进全省国有文物收藏单位盘库建档专项行动，完成文物藏品盘核上传、审核建档5737件/套，初步建成馆藏文物藏品档案室。完成赞园等5个“百宅百院”活化利用工程。江阴市博物馆获评第五批“国家一级博物馆”。新增25个江阴市级非遗项目，16个项目通过无锡市第六批非遗公示。在文化和自然遗产日等重要时间节点，组织开展各类展示展演活动100余场次。</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旅游发展有声有色。有序推进《长江国家文化公园江阴段建设保护实施规划》编制工作。成功举办第十九届徐霞客国际旅游节开幕式及第二届华西国际垂直马拉松、“霞映天下文旅四季”文艺show等文商体旅融合活动。推荐上报的农文旅融合发展案例《石堰村：打造“喜事+”IP，甜蜜助力乡村振兴》入选新华网优秀案例。编制简版《徐霞客游记》，策划推出《跟着地铁游江阴》《一年四季游江阴》旅游攻略。深入高校打造年轻化IP，精心策划“江阴文旅进高校”系列推广活动。牵头拟制并推进落实《江阴市文旅配套服务优化提升建议方案》《2024-2026年江阴市农文旅融合发展实施意见》。深化区域联动，加入沪宁沿江高铁城市文旅联盟，积极参与无锡（上海、西安）文旅招商推介会等活动。构建多元化宣传体系，拍摄制作《霞客故里好“澄”光》《向“江”而行》等旅游宣传片，在省电视台播出《“渡江故事”首篇——江阴要塞》《江湖相伴江畔印记》等栏目，开通“江阴文旅”抖音官方号。今年春节、五一、十一长假期间接待游客294.09万人次，同比增长135.45%；纳入监测的点位旅游收入达3478.60万元，同比去年增长51.94%。</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产业发展增速增量。优化产业发展环境，出台《江阴市文化高质量发展扶持专项资金管理实施细则》。加快涉企资金兑付，下拨省级体育产业发展专项资金220万元。完成江阴四方游泳康复产业股份有限公司2023年度国家体育产业基地考核评估工作。海澜飞马水城和花山滑翔伞基地2个项目入选无锡市2024年文商旅消费新场景。新桥镇文体中心、飞马体育公园建成投用，全市首个民营体育综合体厂多多文体中心落户高新区并顺利运营。《海澜飞马水城打造文体旅融合的新典范》入选第一批江苏人文经济入库案例、第二批长三角人文经济典型案例。赴深圳、北京、西安开展招商活动，主动对接腾锡文化、农商行及重点文体旅企业，促成城西万达地块体育综合体、全市智慧文体旅消费平台建设等项目合作。积极推动体育赛事“进景区、进街区、进商圈”，全面提振消费活力，高质量举办江阴半程马拉松、村BA、亚太口琴节、金杯手风琴艺术周等品牌赛事活动，赛事经济效益超8700万元。体彩总销售达11.92亿元，继续保持全国县级市领先。</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6、市场管理常态长效。坚持行业监管与安全生产工作齐抓共管，纵深推进艺体类校培机构消防安全专项整治行动、旅行社业务和旅游包车安全专项整治行动、营业性演出市场监管行动、夏季高危险性体育项目（游泳）专项整治行动，累计开展检查205次、出动检查人员2345人次，检查市场主体1135家次。扎实开展以消防、燃气、特种设备、重大隐患排查为主的专项整治，召开文化旅游和体育场所安全专委会扩大会议，开展“百团进百万企业千万员工安全生产专题宣讲”，联合开展飞行检查3次，文化旅游行业和体育场所安全专项整治累计检查行业单位2020家次，隐患整改率达100%。持续推进地下管网专项整治，有序推进酒店电视操作复杂专项治理，组织安全播出隐患排查，确保“两会”等重要时间节点广播电视安全传输。</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江阴市文体广电和旅游局（机关）</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江阴市文体广电和旅游局（机关）</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4,169.40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0.78</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2,420.97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3,457.55</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242.58</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468.50</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2,420.97</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6,590.38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6,590.38</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0.49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0.49</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6,590.87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6,590.87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6,590.38</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6,590.38</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0.78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20129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群众团体事务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0.78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2012999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其他群众团体事务支出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0.78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3,457.55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3,457.55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3,399.67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3,399.67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1,265.53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1,265.53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文化活动</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40.96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40.96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2,093.18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2,093.18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文物</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57.88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57.88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2070204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文物保护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11.80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11.80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46.08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46.08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242.58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242.58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196.31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196.31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131.26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131.26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65.06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65.06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46.27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46.27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46.27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46.27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468.50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468.50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468.50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468.50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104.96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104.96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276.04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276.04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87.50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87.50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2,420.97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2,420.97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2,420.97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2,420.97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2,420.97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2,420.97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6,590.38</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1,976.61</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4,613.77</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0.78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0.78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20129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群众团体事务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0.78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0.78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2012999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其他群众团体事务支出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0.78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0.78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3,457.55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1,265.53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2,192.02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3,399.67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1,265.53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2,134.14</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1,265.53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1,265.53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文化活动</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40.96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40.96</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2,093.18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2,093.18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文物</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57.88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57.88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2070204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文物保护</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11.80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11.80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2070299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46.08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46.08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242.58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242.58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196.31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196.31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131.26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131.26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65.06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65.06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46.27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46.27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46.27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46.27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468.50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468.50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468.50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468.50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104.96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104.96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276.04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276.04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87.50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87.50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2,420.97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2,420.97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2,420.97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2,420.97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2296003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2,420.97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2,420.97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4,169.40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0.78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0.78</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2,420.97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3,457.55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3,457.55</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242.58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242.58</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468.50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468.50</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2,420.97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2,420.97</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6,590.38</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6,590.38</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4,169.40</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2,420.97</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0.49</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0.49</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0.49</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0.49</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6,590.87</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6,590.87</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4,169.89</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2,420.97</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6,590.38</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1,976.61</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4,613.77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0.78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0.78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0.78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0.78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2012999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其他群众团体事务支出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0.78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0.78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3,457.55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1,265.53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2,192.02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3,399.67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1,265.53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2,134.14</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1,265.53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1,265.53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文化活动</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40.96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40.96</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2,093.18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2,093.18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文物</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57.88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57.88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2070204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文物保护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11.80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11.80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46.08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46.08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242.58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242.58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196.31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196.31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131.26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131.26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65.06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65.06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46.27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46.27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46.27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46.27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468.50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468.50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468.50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468.50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104.96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104.96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276.04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276.04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87.50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87.50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2,420.97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2,420.97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2,420.97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2,420.97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2,420.97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2,420.97</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1,976.61</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1,854.58</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122.03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1,633.76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1,633.76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185.18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185.18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620.33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620.33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439.90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439.90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131.26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131.26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65.06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65.06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30.86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30.86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10.99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10.99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4.42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104.96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104.96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4.44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4.44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36.38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36.38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119.07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119.07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15.97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15.97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2.00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3.29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3.29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14.50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1.76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1.76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5.50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3.18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3.18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0.42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0.21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0.35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0.35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2.62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2.62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2.30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17.12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17.12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14.80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14.80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5.67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5.67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29.38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29.38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220.82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220.82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52.82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52.82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165.72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165.72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2.95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2.95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2.95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2.95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4,169.40</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1,976.61</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2,192.80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0.78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0.78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0.78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0.78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2012999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其他群众团体事务支出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0.78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0.78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3,457.55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1,265.53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2,192.02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3,399.67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1,265.53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2,134.14</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1,265.53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1,265.53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文化活动</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40.96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40.96</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2,093.18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2,093.18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文物</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57.88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57.88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2070204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文物保护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11.80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11.80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46.08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46.08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242.58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242.58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196.31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196.31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131.26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131.26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65.06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65.06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46.27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46.27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46.27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46.27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468.50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468.50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468.50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468.50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104.96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104.96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276.04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276.04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87.50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87.50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1,976.61</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1,854.58</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122.03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1,633.76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1,633.76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185.18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185.18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620.33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620.33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439.90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439.90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131.26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131.26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65.06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65.06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30.86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30.86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10.99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10.99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4.42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4.42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104.96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104.96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4.44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4.44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36.38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36.38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119.07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119.07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15.97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15.97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2.00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3.29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3.29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14.50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14.50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1.76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1.76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5.50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5.50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3.18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3.18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0.42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0.42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0.21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0.35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0.35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2.62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2.62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2.30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2.30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17.12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17.12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14.80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14.80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5.67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5.67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29.38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29.38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220.82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220.82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52.82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52.82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165.72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165.72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2.95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2.95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2.95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2.95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2.80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2.80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0.21</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0.35</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2.62</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2.62</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0.21</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0.35</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20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174</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13</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230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2,420.97</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2,420.97</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2,420.97</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2,420.97</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2,420.97</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2,420.97</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2,420.97</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2,420.97</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122.02</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119.07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15.97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2.00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3.29</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14.50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1.76</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5.50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3.18</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0.42</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0.21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0.35</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2.62</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2.30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17.12</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14.80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5.67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29.38</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2.95</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2.95</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江阴市文体广电和旅游局（机关）</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467.37</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365.78</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80.35</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21.25</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467.37</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467.37</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2024年度收入、支出决算总计6,590.87万元。与上年相比，收、支总计各增加128.23万元，增长1.98%。其中：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（一）收入决算总计6,590.87万元。包括：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1.本年收入决算合计6,590.38万元。与上年相比，增加128.23万元，增长1.98%，变动原因：专项经费增加。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3.年初结转和结余0.49万元。与上年决算数相同。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（二）支出决算总计6,590.87万元。包括：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1.本年支出决算合计6,590.38万元。与上年相比，增加128.23万元，增长1.98%，变动原因：专项经费增加。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3.年末结转和结余0.49万元。结转和结余事项：社保、公积金等代扣代缴资金。与上年决算数相同。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6,590.38万元，其中：财政拨款收入6,590.38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2024年度本年支出决算合计6,590.38万元，其中：基本支出1,976.61万元，占29.99%；项目支出4,613.77万元，占70.01%；上缴上级支出0万元，占0%；经营支出0万元，占0%；对附属单位补助支出0万元，占0%。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2024年度财政拨款收入、支出决算总计6,590.87万元。与上年相比，收、支总计各增加128.23万元，增长1.98%，变动原因：专项经费增加。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2024年度财政拨款支出决算6,590.38万元，占本年支出合计的100%。与2024年度财政拨款支出年初预算5,400.24万元相比，完成年初预算的122.04%。其中：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（一）一般公共服务支出（类）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群众团体事务（款）其他群众团体事务支出（项）。年初预算0万元，支出决算0.78万元，（年初预算数为0万元，无法计算完成比率）决算数与年初预算数的差异原因：本年新增课题研究费专项资金。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（二）文化旅游体育与传媒支出（类）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1.文化和旅游（款）行政运行（项）。年初预算1,297.49万元，支出决算1,265.53万元，完成年初预算的97.54%。决算数与年初预算数的差异原因：人员经费减少。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2.文化和旅游（款）文化活动（项）。年初预算56.28万元，支出决算40.96万元，完成年初预算的72.78%。决算数与年初预算数的差异原因：因江苏省五星工程奖比赛推迟，本年未发生此项支出。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3.文化和旅游（款）其他文化和旅游支出（项）。年初预算1,876.54万元，支出决算2,093.18万元，完成年初预算的111.54%。决算数与年初预算数的差异原因：本年新增江阴徐霞客半程马拉松专项经费。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4.文物（款）文物保护（项）。年初预算11.8万元，支出决算11.8万元，完成年初预算的100%。决算数与年初预算数相同。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5.文物（款）其他文物支出（项）。年初预算0万元，支出决算46.08万元，（年初预算数为0万元，无法计算完成比率）决算数与年初预算数的差异原因：本年新增江阴市第四次全国文物普查工作经费。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（三）社会保障和就业支出（类）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1.行政事业单位养老支出（款）机关事业单位基本养老保险缴费支出（项）。年初预算137.64万元，支出决算131.26万元，完成年初预算的95.36%。决算数与年初预算数的差异原因：本年退休3人。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2.行政事业单位养老支出（款）机关事业单位职业年金缴费支出（项）。年初预算68.82万元，支出决算65.06万元，完成年初预算的94.54%。决算数与年初预算数的差异原因：本年退休3人。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3.其他社会保障和就业支出（款）其他社会保障和就业支出（项）。年初预算44.44万元，支出决算46.27万元，完成年初预算的104.12%。决算数与年初预算数的差异原因：本年新增1人。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1.住房改革支出（款）住房公积金（项）。年初预算99.38万元，支出决算104.96万元，完成年初预算的105.61%。决算数与年初预算数的差异原因：本年新增1人。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2.住房改革支出（款）提租补贴（项）。年初预算279.35万元，支出决算276.04万元，完成年初预算的98.82%。决算数与年初预算数的差异原因：本年退休3人。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3.住房改革支出（款）购房补贴（项）。年初预算85.8万元，支出决算87.5万元，完成年初预算的101.98%。决算数与年初预算数的差异原因：本年新增1人。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（五）其他支出（类）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彩票公益金安排的支出（款）用于体育事业的彩票公益金支出（项）。年初预算1,442.7万元，支出决算2,420.97万元，完成年初预算的167.81%。决算数与年初预算数的差异原因：本年增加新周期联办江苏省马术队经费、引入国家武术研究院太极拳研究中心补助经费无锡配套资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2024年度财政拨款基本支出决算1,976.61万元，其中：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（一）人员经费1,854.58万元。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机关事业单位基本养老保险缴费、职业年金缴费、职工基本医疗保险缴费、公务员医疗补助缴费、其他社会保障缴费、住房公积金、医疗费、其他工资福利支出、离休费、退休费、生活补助、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（二）公用经费122.03万元。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主要包括：办公费、印刷费、水费、电费、邮电费、差旅费、维修（护）费、租赁费、会议费、培训费、公务接待费、劳务费、委托业务费、工会经费、其他交通费用、其他商品和服务支出、其他资本性支出。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2024年度一般公共预算财政拨款支出决算4,169.4万元。与上年相比，增加366.58万元，增长9.64%，变动原因：项目支出增加。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2024年度一般公共预算财政拨款基本支出决算1,976.61万元，其中：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（一）人员经费1,854.58万元。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机关事业单位基本养老保险缴费、职业年金缴费、职工基本医疗保险缴费、公务员医疗补助缴费、其他社会保障缴费、住房公积金、医疗费、其他工资福利支出、离休费、退休费、生活补助、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（二）公用经费122.03万元。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主要包括：办公费、印刷费、水费、电费、邮电费、差旅费、维修（护）费、租赁费、会议费、培训费、公务接待费、劳务费、委托业务费、工会经费、其他交通费用、其他商品和服务支出、其他资本性支出。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2.62万元（其中：一般公共预算支出2.62万元；政府性基金预算支出0万元；国有资本经营预算支出0万元）。与上年相比，减少0.14万元，变动原因：公务接待费减少。其中，因公出国（境）费支出0万元，占“三公”经费的0%；公务用车购置及运行维护费支出0万元，占“三公”经费的0%；公务接待费支出2.62万元，占“三公”经费的100%。2024年度财政拨款“三公”经费支出预算2.8万元（其中：一般公共预算支出2.8万元；政府性基金预算支出0万元；国有资本经营预算支出0万元）。决算数与预算数的差异原因：厉行节约。</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2.8万元（其中：一般公共预算支出2.8万元；政府性基金预算支出0万元；国有资本经营预算支出0万元），支出决算2.62万元（其中：一般公共预算支出2.62万元；政府性基金预算支出0万元；国有资本经营预算支出0万元），完成调整后预算的93.57%，决算数与预算数的差异原因：厉行节约。其中：国内公务接待支出2.62万元，接待20批次，174人次，开支内容：接待上级及外省、外市来访人员；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0.21万元（其中：一般公共预算支出0.21万元；政府性基金预算支出0万元；国有资本经营预算支出0万元），支出决算0.21万元（其中：一般公共预算支出0.21万元；政府性基金预算支出0万元；国有资本经营预算支出0万元），完成调整后预算的100%，决算数与预算数相同。2024年度全年召开会议1个，参加会议13人次，开支内容：调查工作会务开支。</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0.35万元（其中：一般公共预算支出0.35万元；政府性基金预算支出0万元；国有资本经营预算支出0万元），支出决算0.35万元（其中：一般公共预算支出0.35万元；政府性基金预算支出0万元；国有资本经营预算支出0万元），完成调整后预算的100%，决算数与预算数相同。2024年度全年组织培训10个，组织培训230人次，开支内容：民法典培训、普法培训授课费等。</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2024年度政府性基金预算财政拨款支出决算2,420.97万元。与上年相比，减少238.37万元，减少8.96%，变动原因：江苏省体育事业发展专项资金、新周期联办江苏省马术队经费减少。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122.02万元（其中：一般公共预算支出122.02万元；政府性基金预算支出0万元；国有资本经营预算支出0万元）。与上年相比，增加2.07万元，增长1.73%，变动原因：商品和服务支出、资本性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467.37万元，其中：政府采购货物支出365.78万元、政府采购工程支出80.35万元、政府采购服务支出21.25万元。政府采购授予中小企业合同金额467.37万元，占政府采购支出总额的100%，其中：授予小微企业合同金额467.37万元，占授予中小企业合同金额的100%。</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2024年度，本单位共0个项目开展了财政重点绩效评价，涉及财政性资金合计0万元；本单位未开展单位整体支出财政重点绩效评价，涉及财政性资金0万元。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本单位共对上年度已实施完成的15个项目开展了绩效自评价，涉及财政性资金合计3,063.08万元；本单位共开展1项单位整体支出绩效自评价，涉及财政性资金合计6,590.38万元。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十九、一般公共服务支出(类)群众团体事务(款)其他群众团体事务支出(项)</w:t>
      </w:r>
      <w:r>
        <w:rPr>
          <w:b w:val="on"/>
          <w:rFonts w:ascii="仿宋" w:eastAsia="仿宋" w:hAnsi="仿宋" w:cs="仿宋"/>
          <w:u w:color="auto"/>
        </w:rPr>
        <w:t>：</w:t>
      </w:r>
      <w:r>
        <w:rPr>
          <w:rFonts w:hint="eastAsia" w:ascii="仿宋" w:hAnsi="仿宋" w:eastAsia="仿宋" w:cs="仿宋"/>
        </w:rPr>
        <w:t>反映除上述项目以外其他用于群众团体事务方面的支出。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二十、文化旅游体育与传媒支出(类)文化和旅游(款)行政运行(项)</w:t>
      </w:r>
      <w:r>
        <w:rPr>
          <w:b w:val="on"/>
          <w:rFonts w:ascii="仿宋" w:eastAsia="仿宋" w:hAnsi="仿宋" w:cs="仿宋"/>
          <w:u w:color="auto"/>
        </w:rPr>
        <w:t>：</w:t>
      </w:r>
      <w:r>
        <w:rPr>
          <w:rFonts w:hint="eastAsia" w:ascii="仿宋" w:hAnsi="仿宋" w:eastAsia="仿宋" w:cs="仿宋"/>
        </w:rPr>
        <w:t>反映行政单位（包括实行公务员管理的事业单位）的基本支出。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二十一、文化旅游体育与传媒支出(类)文化和旅游(款)文化活动(项)</w:t>
      </w:r>
      <w:r>
        <w:rPr>
          <w:b w:val="on"/>
          <w:rFonts w:ascii="仿宋" w:eastAsia="仿宋" w:hAnsi="仿宋" w:cs="仿宋"/>
          <w:u w:color="auto"/>
        </w:rPr>
        <w:t>：</w:t>
      </w:r>
      <w:r>
        <w:rPr>
          <w:rFonts w:hint="eastAsia" w:ascii="仿宋" w:hAnsi="仿宋" w:eastAsia="仿宋" w:cs="仿宋"/>
        </w:rPr>
        <w:t>反映举办大型文化艺术活动的支出。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二十二、文化旅游体育与传媒支出(类)文化和旅游(款)其他文化和旅游支出(项)</w:t>
      </w:r>
      <w:r>
        <w:rPr>
          <w:b w:val="on"/>
          <w:rFonts w:ascii="仿宋" w:eastAsia="仿宋" w:hAnsi="仿宋" w:cs="仿宋"/>
          <w:u w:color="auto"/>
        </w:rPr>
        <w:t>：</w:t>
      </w:r>
      <w:r>
        <w:rPr>
          <w:rFonts w:hint="eastAsia" w:ascii="仿宋" w:hAnsi="仿宋" w:eastAsia="仿宋" w:cs="仿宋"/>
        </w:rPr>
        <w:t>反映除上述项目以外其他用于文化和旅游方面的支出。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二十三、文化旅游体育与传媒支出(类)文物(款)文物保护(项)</w:t>
      </w:r>
      <w:r>
        <w:rPr>
          <w:b w:val="on"/>
          <w:rFonts w:ascii="仿宋" w:eastAsia="仿宋" w:hAnsi="仿宋" w:cs="仿宋"/>
          <w:u w:color="auto"/>
        </w:rPr>
        <w:t>：</w:t>
      </w:r>
      <w:r>
        <w:rPr>
          <w:rFonts w:hint="eastAsia" w:ascii="仿宋" w:hAnsi="仿宋" w:eastAsia="仿宋" w:cs="仿宋"/>
        </w:rPr>
        <w:t>反映考古发掘及文物保护方面的支出。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二十四、文化旅游体育与传媒支出(类)文物(款)其他文物支出(项)</w:t>
      </w:r>
      <w:r>
        <w:rPr>
          <w:b w:val="on"/>
          <w:rFonts w:ascii="仿宋" w:eastAsia="仿宋" w:hAnsi="仿宋" w:cs="仿宋"/>
          <w:u w:color="auto"/>
        </w:rPr>
        <w:t>：</w:t>
      </w:r>
      <w:r>
        <w:rPr>
          <w:rFonts w:hint="eastAsia" w:ascii="仿宋" w:hAnsi="仿宋" w:eastAsia="仿宋" w:cs="仿宋"/>
        </w:rPr>
        <w:t>反映除上述项目以外其他用于文物方面的支出。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二十五、社会保障和就业支出(类)行政事业单位养老支出(款)机关事业单位基本养老保险缴费支出(项)</w:t>
      </w:r>
      <w:r>
        <w:rPr>
          <w:b w:val="on"/>
          <w:rFonts w:ascii="仿宋" w:eastAsia="仿宋" w:hAnsi="仿宋" w:cs="仿宋"/>
          <w:u w:color="auto"/>
        </w:rPr>
        <w:t>：</w:t>
      </w:r>
      <w:r>
        <w:rPr>
          <w:rFonts w:hint="eastAsia" w:ascii="仿宋" w:hAnsi="仿宋" w:eastAsia="仿宋" w:cs="仿宋"/>
        </w:rPr>
        <w:t>反映机关事业单位实施养老保险制度由单位缴纳的基本养老保险费支出。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二十六、社会保障和就业支出(类)行政事业单位养老支出(款)机关事业单位职业年金缴费支出(项)</w:t>
      </w:r>
      <w:r>
        <w:rPr>
          <w:b w:val="on"/>
          <w:rFonts w:ascii="仿宋" w:eastAsia="仿宋" w:hAnsi="仿宋" w:cs="仿宋"/>
          <w:u w:color="auto"/>
        </w:rPr>
        <w:t>：</w:t>
      </w:r>
      <w:r>
        <w:rPr>
          <w:rFonts w:hint="eastAsia" w:ascii="仿宋" w:hAnsi="仿宋" w:eastAsia="仿宋" w:cs="仿宋"/>
        </w:rPr>
        <w:t>反映机关事业单位实施养老保险制度由单位实际缴纳的职业年金支出。(含职业年金补记支出。）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二十七、社会保障和就业支出(类)其他社会保障和就业支出(款)其他社会保障和就业支出(项)</w:t>
      </w:r>
      <w:r>
        <w:rPr>
          <w:b w:val="on"/>
          <w:rFonts w:ascii="仿宋" w:eastAsia="仿宋" w:hAnsi="仿宋" w:cs="仿宋"/>
          <w:u w:color="auto"/>
        </w:rPr>
        <w:t>：</w:t>
      </w:r>
      <w:r>
        <w:rPr>
          <w:rFonts w:hint="eastAsia" w:ascii="仿宋" w:hAnsi="仿宋" w:eastAsia="仿宋" w:cs="仿宋"/>
        </w:rPr>
        <w:t>反映除上述项目以外其他用于社会保障和就业方面的支出。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二十八、住房保障支出(类)住房改革支出(款)住房公积金(项)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二十九、住房保障支出(类)住房改革支出(款)提租补贴(项)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三十、住房保障支出(类)住房改革支出(款)购房补贴(项)</w:t>
      </w:r>
      <w:r>
        <w:rPr>
          <w:b w:val="on"/>
          <w:rFonts w:ascii="仿宋" w:eastAsia="仿宋" w:hAnsi="仿宋" w:cs="仿宋"/>
          <w:u w:color="auto"/>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三十一、其他支出(类)彩票公益金安排的支出(款)用于体育事业的彩票公益金支出(项)</w:t>
      </w:r>
      <w:r>
        <w:rPr>
          <w:b w:val="on"/>
          <w:rFonts w:ascii="仿宋" w:eastAsia="仿宋" w:hAnsi="仿宋" w:cs="仿宋"/>
          <w:u w:color="auto"/>
        </w:rPr>
        <w:t>：</w:t>
      </w:r>
      <w:r>
        <w:rPr>
          <w:rFonts w:hint="eastAsia" w:ascii="仿宋" w:hAnsi="仿宋" w:eastAsia="仿宋" w:cs="仿宋"/>
        </w:rPr>
        <w:t>反映用于体育事业的彩票公益金支出。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江阴市文体广电和旅游局（机关）</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