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01296">
      <w:pPr>
        <w:snapToGrid w:val="0"/>
        <w:spacing w:line="440" w:lineRule="atLeast"/>
        <w:ind w:firstLine="465"/>
        <w:jc w:val="center"/>
        <w:rPr>
          <w:rFonts w:hint="eastAsia" w:ascii="宋体" w:hAnsi="宋体"/>
          <w:b/>
          <w:sz w:val="36"/>
          <w:szCs w:val="36"/>
          <w:lang w:val="zh-CN" w:eastAsia="zh-CN"/>
        </w:rPr>
      </w:pPr>
      <w:r>
        <w:rPr>
          <w:rFonts w:hint="eastAsia" w:ascii="宋体" w:hAnsi="宋体"/>
          <w:b/>
          <w:sz w:val="36"/>
          <w:szCs w:val="36"/>
          <w:lang w:val="zh-CN" w:eastAsia="zh-CN"/>
        </w:rPr>
        <w:t>执法办案中心三期项目（涉案车辆集中保管区项目）</w:t>
      </w:r>
    </w:p>
    <w:p w14:paraId="65A928C3">
      <w:pPr>
        <w:snapToGrid w:val="0"/>
        <w:spacing w:line="440" w:lineRule="atLeast"/>
        <w:ind w:firstLine="465"/>
        <w:jc w:val="center"/>
        <w:rPr>
          <w:rFonts w:ascii="宋体" w:hAnsi="宋体" w:cs="宋体"/>
          <w:bCs/>
          <w:szCs w:val="21"/>
          <w:lang w:val="zh-CN"/>
        </w:rPr>
      </w:pPr>
      <w:r>
        <w:rPr>
          <w:rFonts w:hint="eastAsia" w:ascii="宋体" w:hAnsi="宋体"/>
          <w:b/>
          <w:sz w:val="36"/>
          <w:szCs w:val="36"/>
          <w:lang w:val="zh-CN"/>
        </w:rPr>
        <w:t>标底编制说明</w:t>
      </w:r>
    </w:p>
    <w:p w14:paraId="72CDA8D2">
      <w:pPr>
        <w:numPr>
          <w:ilvl w:val="0"/>
          <w:numId w:val="1"/>
        </w:numPr>
        <w:snapToGrid w:val="0"/>
        <w:spacing w:line="440" w:lineRule="atLeast"/>
        <w:rPr>
          <w:rFonts w:ascii="宋体" w:hAnsi="宋体" w:cs="宋体"/>
          <w:b/>
          <w:sz w:val="24"/>
          <w:lang w:val="zh-CN"/>
        </w:rPr>
      </w:pPr>
      <w:r>
        <w:rPr>
          <w:rFonts w:hint="eastAsia" w:ascii="宋体" w:hAnsi="宋体" w:cs="宋体"/>
          <w:b/>
          <w:sz w:val="24"/>
          <w:lang w:val="zh-CN"/>
        </w:rPr>
        <w:t>工程概况：</w:t>
      </w:r>
    </w:p>
    <w:p w14:paraId="3BD89818">
      <w:pPr>
        <w:snapToGrid w:val="0"/>
        <w:spacing w:line="440" w:lineRule="atLeast"/>
        <w:rPr>
          <w:rFonts w:hint="eastAsia" w:ascii="宋体" w:hAnsi="宋体" w:cs="宋体"/>
          <w:bCs/>
          <w:sz w:val="24"/>
          <w:lang w:val="zh-CN"/>
        </w:rPr>
      </w:pPr>
      <w:r>
        <w:rPr>
          <w:rFonts w:hint="eastAsia" w:ascii="宋体" w:hAnsi="宋体" w:cs="宋体"/>
          <w:bCs/>
          <w:sz w:val="24"/>
          <w:lang w:val="zh-CN"/>
        </w:rPr>
        <w:t xml:space="preserve">   </w:t>
      </w:r>
      <w:r>
        <w:rPr>
          <w:rFonts w:hint="eastAsia" w:ascii="宋体" w:hAnsi="宋体" w:cs="宋体"/>
          <w:bCs/>
          <w:sz w:val="24"/>
          <w:lang w:val="en-US" w:eastAsia="zh-CN"/>
        </w:rPr>
        <w:t>执法办案中心三期项目（涉案车辆集中保管区项目）</w:t>
      </w:r>
      <w:r>
        <w:rPr>
          <w:rFonts w:hint="eastAsia" w:ascii="宋体" w:hAnsi="宋体" w:cs="宋体"/>
          <w:bCs/>
          <w:sz w:val="24"/>
          <w:lang w:val="zh-CN" w:eastAsia="zh-CN"/>
        </w:rPr>
        <w:t>主要</w:t>
      </w:r>
      <w:r>
        <w:rPr>
          <w:rFonts w:hint="eastAsia" w:ascii="宋体" w:hAnsi="宋体" w:cs="宋体"/>
          <w:bCs/>
          <w:sz w:val="24"/>
          <w:lang w:val="zh-CN"/>
        </w:rPr>
        <w:t>内容为新建砂石停车场、沥青砼道路、围栏围网</w:t>
      </w:r>
      <w:r>
        <w:rPr>
          <w:rFonts w:hint="eastAsia" w:ascii="宋体" w:hAnsi="宋体" w:cs="宋体"/>
          <w:bCs/>
          <w:sz w:val="24"/>
          <w:lang w:val="zh-CN" w:eastAsia="zh-CN"/>
        </w:rPr>
        <w:t>、</w:t>
      </w:r>
      <w:r>
        <w:rPr>
          <w:rFonts w:hint="eastAsia" w:ascii="宋体" w:hAnsi="宋体" w:cs="宋体"/>
          <w:bCs/>
          <w:sz w:val="24"/>
          <w:lang w:val="zh-CN"/>
        </w:rPr>
        <w:t>雨水管道、围</w:t>
      </w:r>
      <w:r>
        <w:rPr>
          <w:rFonts w:hint="eastAsia" w:ascii="宋体" w:hAnsi="宋体" w:cs="宋体"/>
          <w:bCs/>
          <w:sz w:val="24"/>
          <w:lang w:val="en-US" w:eastAsia="zh-CN"/>
        </w:rPr>
        <w:t>墙出新、绿化</w:t>
      </w:r>
      <w:r>
        <w:rPr>
          <w:rFonts w:hint="eastAsia" w:ascii="宋体" w:hAnsi="宋体" w:cs="宋体"/>
          <w:bCs/>
          <w:sz w:val="24"/>
          <w:lang w:val="zh-CN"/>
        </w:rPr>
        <w:t>等。具体详见工程量清单设计施工图。</w:t>
      </w:r>
    </w:p>
    <w:p w14:paraId="271D7B38">
      <w:pPr>
        <w:numPr>
          <w:ilvl w:val="0"/>
          <w:numId w:val="2"/>
        </w:numPr>
        <w:snapToGrid w:val="0"/>
        <w:spacing w:line="440" w:lineRule="atLeast"/>
        <w:rPr>
          <w:rFonts w:ascii="宋体" w:hAnsi="宋体" w:cs="宋体"/>
          <w:b/>
          <w:sz w:val="24"/>
          <w:lang w:val="zh-CN"/>
        </w:rPr>
      </w:pPr>
      <w:r>
        <w:rPr>
          <w:rFonts w:hint="eastAsia" w:ascii="宋体" w:hAnsi="宋体" w:cs="宋体"/>
          <w:b/>
          <w:sz w:val="24"/>
          <w:lang w:val="zh-CN"/>
        </w:rPr>
        <w:t>编制范围：</w:t>
      </w:r>
    </w:p>
    <w:p w14:paraId="0A114E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执法办案中心三期项目（涉案车辆集中保管区项目）</w:t>
      </w:r>
      <w:r>
        <w:rPr>
          <w:rFonts w:hint="eastAsia" w:ascii="宋体" w:hAnsi="宋体" w:cs="宋体"/>
          <w:bCs/>
          <w:sz w:val="24"/>
          <w:lang w:val="zh-CN" w:eastAsia="zh-CN"/>
        </w:rPr>
        <w:t>施工图及</w:t>
      </w:r>
      <w:r>
        <w:rPr>
          <w:rFonts w:hint="eastAsia" w:ascii="宋体" w:hAnsi="宋体" w:cs="宋体"/>
          <w:bCs/>
          <w:sz w:val="24"/>
          <w:lang w:val="zh-CN"/>
        </w:rPr>
        <w:t>清单内的所有工作内容</w:t>
      </w:r>
      <w:r>
        <w:rPr>
          <w:rFonts w:hint="eastAsia" w:ascii="宋体" w:hAnsi="宋体" w:cs="宋体"/>
          <w:bCs/>
          <w:sz w:val="24"/>
        </w:rPr>
        <w:t>。</w:t>
      </w:r>
      <w:r>
        <w:rPr>
          <w:rFonts w:hint="eastAsia" w:ascii="宋体" w:hAnsi="宋体" w:cs="宋体"/>
          <w:bCs/>
          <w:sz w:val="24"/>
          <w:lang w:eastAsia="zh-CN"/>
        </w:rPr>
        <w:t>不包括原砼地坪及非改造围</w:t>
      </w:r>
      <w:r>
        <w:rPr>
          <w:rFonts w:hint="eastAsia" w:ascii="宋体" w:hAnsi="宋体" w:cs="宋体"/>
          <w:bCs/>
          <w:sz w:val="24"/>
          <w:lang w:val="en-US" w:eastAsia="zh-CN"/>
        </w:rPr>
        <w:t>墙</w:t>
      </w:r>
      <w:r>
        <w:rPr>
          <w:rFonts w:hint="eastAsia" w:ascii="宋体" w:hAnsi="宋体" w:cs="宋体"/>
          <w:bCs/>
          <w:sz w:val="24"/>
          <w:lang w:eastAsia="zh-CN"/>
        </w:rPr>
        <w:t>拆除。</w:t>
      </w:r>
    </w:p>
    <w:p w14:paraId="3A6D7570">
      <w:pPr>
        <w:snapToGrid w:val="0"/>
        <w:spacing w:line="440" w:lineRule="atLeast"/>
        <w:rPr>
          <w:rFonts w:ascii="宋体" w:hAnsi="宋体" w:cs="宋体"/>
          <w:b/>
          <w:sz w:val="24"/>
          <w:lang w:val="zh-CN"/>
        </w:rPr>
      </w:pPr>
      <w:r>
        <w:rPr>
          <w:rFonts w:hint="eastAsia" w:ascii="宋体" w:hAnsi="宋体" w:cs="宋体"/>
          <w:b/>
          <w:sz w:val="24"/>
          <w:lang w:val="zh-CN"/>
        </w:rPr>
        <w:t>三、编制依据：</w:t>
      </w:r>
    </w:p>
    <w:p w14:paraId="475E0412">
      <w:pPr>
        <w:spacing w:line="440" w:lineRule="exact"/>
        <w:ind w:right="25" w:rightChars="12" w:firstLine="480" w:firstLineChars="20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1、</w:t>
      </w:r>
      <w:r>
        <w:rPr>
          <w:rFonts w:hint="eastAsia" w:ascii="宋体" w:hAnsi="宋体" w:cs="宋体"/>
          <w:bCs/>
          <w:sz w:val="24"/>
          <w:lang w:val="en-US" w:eastAsia="zh-CN"/>
        </w:rPr>
        <w:t>执法办案中心三期项目（涉案车辆集中保管区项目）</w:t>
      </w:r>
      <w:r>
        <w:rPr>
          <w:rFonts w:hint="eastAsia" w:ascii="宋体" w:hAnsi="宋体" w:cs="宋体"/>
          <w:sz w:val="24"/>
          <w:lang w:val="zh-CN"/>
        </w:rPr>
        <w:t>招标文件。</w:t>
      </w:r>
    </w:p>
    <w:p w14:paraId="0F60F0B2">
      <w:pPr>
        <w:spacing w:line="440" w:lineRule="exact"/>
        <w:ind w:right="25" w:rightChars="12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　　2、建设单位提供的</w:t>
      </w:r>
      <w:r>
        <w:rPr>
          <w:rFonts w:hint="eastAsia" w:ascii="宋体" w:hAnsi="宋体" w:cs="宋体"/>
          <w:bCs/>
          <w:sz w:val="24"/>
          <w:lang w:val="en-US" w:eastAsia="zh-CN"/>
        </w:rPr>
        <w:t>执法办案中心三期项目（涉案车辆集中保管区项目）</w:t>
      </w:r>
      <w:r>
        <w:rPr>
          <w:rFonts w:hint="eastAsia" w:ascii="宋体" w:hAnsi="宋体" w:cs="宋体"/>
          <w:sz w:val="24"/>
          <w:lang w:val="zh-CN"/>
        </w:rPr>
        <w:t>施工图。</w:t>
      </w:r>
    </w:p>
    <w:p w14:paraId="1C0B7D4E">
      <w:pPr>
        <w:spacing w:line="440" w:lineRule="exact"/>
        <w:ind w:right="25" w:rightChars="1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3、《建设工程工程量清单计价规范》GB50500-2013、</w:t>
      </w:r>
      <w:r>
        <w:rPr>
          <w:rFonts w:hint="eastAsia" w:ascii="宋体" w:hAnsi="宋体" w:cs="宋体"/>
          <w:sz w:val="24"/>
          <w:lang w:val="zh-CN"/>
        </w:rPr>
        <w:t>《</w:t>
      </w:r>
      <w:r>
        <w:rPr>
          <w:rFonts w:hint="eastAsia" w:ascii="宋体" w:hAnsi="宋体" w:cs="宋体"/>
          <w:sz w:val="24"/>
        </w:rPr>
        <w:t>通用安装工程工程量计算规范》（GB50856-2013）、</w:t>
      </w:r>
      <w:r>
        <w:rPr>
          <w:rFonts w:hint="eastAsia" w:ascii="宋体" w:hAnsi="宋体" w:cs="宋体"/>
          <w:b w:val="0"/>
          <w:bCs/>
          <w:sz w:val="24"/>
          <w:lang w:val="zh-CN" w:eastAsia="zh-CN"/>
        </w:rPr>
        <w:t>《市政工程工程量计算规范》（GB5085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7</w:t>
      </w:r>
      <w:r>
        <w:rPr>
          <w:rFonts w:hint="eastAsia" w:ascii="宋体" w:hAnsi="宋体" w:cs="宋体"/>
          <w:b w:val="0"/>
          <w:bCs/>
          <w:sz w:val="24"/>
          <w:lang w:val="zh-CN" w:eastAsia="zh-CN"/>
        </w:rPr>
        <w:t>-2013）</w:t>
      </w:r>
      <w:r>
        <w:rPr>
          <w:rFonts w:hint="eastAsia" w:ascii="宋体" w:hAnsi="宋体" w:cs="宋体"/>
          <w:sz w:val="24"/>
        </w:rPr>
        <w:t>。</w:t>
      </w:r>
    </w:p>
    <w:p w14:paraId="62509F5C">
      <w:pPr>
        <w:spacing w:line="440" w:lineRule="exact"/>
        <w:ind w:right="25" w:rightChars="12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4、《江苏省安装工程计价</w:t>
      </w:r>
      <w:r>
        <w:rPr>
          <w:rFonts w:hint="eastAsia" w:ascii="宋体" w:hAnsi="宋体" w:cs="宋体"/>
          <w:sz w:val="24"/>
          <w:lang w:eastAsia="zh-CN"/>
        </w:rPr>
        <w:t>定额</w:t>
      </w:r>
      <w:r>
        <w:rPr>
          <w:rFonts w:hint="eastAsia" w:ascii="宋体" w:hAnsi="宋体" w:cs="宋体"/>
          <w:sz w:val="24"/>
        </w:rPr>
        <w:t>》（2014）、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《江苏省市政工程计价定额》（2014）、</w:t>
      </w:r>
      <w:r>
        <w:rPr>
          <w:rFonts w:hint="eastAsia" w:ascii="宋体" w:hAnsi="宋体" w:cs="宋体"/>
          <w:sz w:val="24"/>
        </w:rPr>
        <w:t>《江苏</w:t>
      </w:r>
      <w:r>
        <w:rPr>
          <w:rFonts w:hint="eastAsia" w:ascii="宋体" w:hAnsi="宋体" w:cs="宋体"/>
          <w:sz w:val="24"/>
          <w:lang w:eastAsia="zh-CN"/>
        </w:rPr>
        <w:t>建筑与装饰</w:t>
      </w:r>
      <w:r>
        <w:rPr>
          <w:rFonts w:hint="eastAsia" w:ascii="宋体" w:hAnsi="宋体" w:cs="宋体"/>
          <w:sz w:val="24"/>
        </w:rPr>
        <w:t>工程计价</w:t>
      </w:r>
      <w:r>
        <w:rPr>
          <w:rFonts w:hint="eastAsia" w:ascii="宋体" w:hAnsi="宋体" w:cs="宋体"/>
          <w:sz w:val="24"/>
          <w:lang w:eastAsia="zh-CN"/>
        </w:rPr>
        <w:t>定额</w:t>
      </w:r>
      <w:r>
        <w:rPr>
          <w:rFonts w:hint="eastAsia" w:ascii="宋体" w:hAnsi="宋体" w:cs="宋体"/>
          <w:sz w:val="24"/>
        </w:rPr>
        <w:t>》（2014）</w:t>
      </w:r>
      <w:r>
        <w:rPr>
          <w:rFonts w:hint="eastAsia" w:ascii="宋体" w:hAnsi="宋体" w:cs="宋体"/>
          <w:sz w:val="24"/>
          <w:lang w:eastAsia="zh-CN"/>
        </w:rPr>
        <w:t>。</w:t>
      </w:r>
    </w:p>
    <w:p w14:paraId="395B9D45">
      <w:pPr>
        <w:spacing w:line="440" w:lineRule="exact"/>
        <w:ind w:right="25" w:rightChars="12"/>
        <w:rPr>
          <w:rFonts w:ascii="宋体" w:hAnsi="宋体" w:cs="宋体"/>
          <w:sz w:val="24"/>
          <w:highlight w:val="cyan"/>
        </w:rPr>
      </w:pPr>
      <w:r>
        <w:rPr>
          <w:rFonts w:hint="eastAsia" w:ascii="宋体" w:hAnsi="宋体" w:cs="宋体"/>
          <w:sz w:val="24"/>
        </w:rPr>
        <w:t>　　5、</w:t>
      </w:r>
      <w:r>
        <w:rPr>
          <w:rFonts w:hint="eastAsia" w:ascii="宋体" w:hAnsi="宋体" w:cs="宋体"/>
          <w:sz w:val="24"/>
          <w:lang w:val="zh-CN"/>
        </w:rPr>
        <w:t>《江苏省建设工程费用定额》（2014）营改增后调整及其他相关文件。</w:t>
      </w:r>
    </w:p>
    <w:p w14:paraId="34A29FF4">
      <w:pPr>
        <w:spacing w:line="440" w:lineRule="exact"/>
        <w:ind w:right="25" w:rightChars="12"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val="zh-CN"/>
        </w:rPr>
        <w:t>江阴市建设局颁发的相关造价文件。</w:t>
      </w:r>
    </w:p>
    <w:p w14:paraId="53CEFF58">
      <w:pPr>
        <w:spacing w:line="440" w:lineRule="exact"/>
        <w:ind w:right="25" w:rightChars="1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val="zh-CN"/>
        </w:rPr>
        <w:t>本工程按锡建建市【2019】7号文有关增值税计价政策进行调整。</w:t>
      </w:r>
    </w:p>
    <w:p w14:paraId="4C139246">
      <w:pPr>
        <w:spacing w:line="440" w:lineRule="exact"/>
        <w:ind w:right="25" w:rightChars="12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</w:rPr>
        <w:t>　　</w:t>
      </w:r>
      <w:r>
        <w:rPr>
          <w:rFonts w:hint="eastAsia" w:ascii="宋体" w:hAnsi="宋体" w:cs="宋体"/>
          <w:sz w:val="24"/>
          <w:lang w:val="en-US" w:eastAsia="zh-CN"/>
        </w:rPr>
        <w:t>8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val="zh-CN"/>
        </w:rPr>
        <w:t>本工程按</w:t>
      </w:r>
      <w:r>
        <w:rPr>
          <w:rFonts w:hint="eastAsia" w:ascii="宋体" w:hAnsi="宋体" w:cs="宋体"/>
          <w:sz w:val="24"/>
          <w:lang w:val="zh-CN" w:eastAsia="zh-CN"/>
        </w:rPr>
        <w:t>无</w:t>
      </w:r>
      <w:r>
        <w:rPr>
          <w:rFonts w:hint="eastAsia" w:ascii="宋体" w:hAnsi="宋体" w:cs="宋体"/>
          <w:sz w:val="24"/>
          <w:lang w:val="zh-CN"/>
        </w:rPr>
        <w:t>锡建建市【2018】17号文计算扬尘污染防治增加费。</w:t>
      </w:r>
    </w:p>
    <w:p w14:paraId="3DB202A7">
      <w:pPr>
        <w:spacing w:line="440" w:lineRule="exact"/>
        <w:ind w:right="25" w:rightChars="12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cs="宋体"/>
          <w:sz w:val="24"/>
        </w:rPr>
        <w:t>、材料价格</w:t>
      </w:r>
      <w:r>
        <w:rPr>
          <w:rFonts w:hint="eastAsia" w:ascii="宋体" w:hAnsi="宋体" w:cs="宋体"/>
          <w:sz w:val="24"/>
          <w:lang w:eastAsia="zh-CN"/>
        </w:rPr>
        <w:t>参照</w:t>
      </w:r>
      <w:r>
        <w:rPr>
          <w:rFonts w:hint="eastAsia" w:ascii="宋体" w:hAnsi="宋体" w:cs="宋体"/>
          <w:sz w:val="24"/>
        </w:rPr>
        <w:t>202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</w:rPr>
        <w:t>月无锡市建设工程造价信息除税指导价，</w:t>
      </w:r>
      <w:r>
        <w:rPr>
          <w:rFonts w:hint="eastAsia" w:ascii="宋体" w:hAnsi="宋体"/>
          <w:color w:val="auto"/>
          <w:sz w:val="24"/>
          <w:lang w:val="en-US" w:eastAsia="zh-CN"/>
        </w:rPr>
        <w:t>苗木价格参照</w:t>
      </w:r>
      <w:r>
        <w:rPr>
          <w:rFonts w:hint="eastAsia" w:ascii="宋体" w:hAnsi="宋体"/>
          <w:color w:val="auto"/>
          <w:sz w:val="24"/>
        </w:rPr>
        <w:t>江阴市2024年</w:t>
      </w:r>
      <w:r>
        <w:rPr>
          <w:rFonts w:hint="eastAsia" w:ascii="宋体" w:hAnsi="宋体"/>
          <w:color w:val="auto"/>
          <w:sz w:val="24"/>
          <w:lang w:val="en-US" w:eastAsia="zh-CN"/>
        </w:rPr>
        <w:t>下半年度</w:t>
      </w:r>
      <w:r>
        <w:rPr>
          <w:rFonts w:hint="eastAsia" w:ascii="宋体" w:hAnsi="宋体"/>
          <w:color w:val="auto"/>
          <w:sz w:val="24"/>
        </w:rPr>
        <w:t>苗木信息价</w:t>
      </w:r>
      <w:r>
        <w:rPr>
          <w:rFonts w:hint="eastAsia" w:ascii="宋体" w:hAnsi="宋体"/>
          <w:color w:val="auto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均无指导价的按同期除税后市场价计算，投标人自行考虑报价。</w:t>
      </w:r>
    </w:p>
    <w:p w14:paraId="21A1F5E3">
      <w:pPr>
        <w:spacing w:line="440" w:lineRule="exact"/>
        <w:ind w:right="25" w:rightChars="12" w:firstLine="480" w:firstLineChars="200"/>
        <w:rPr>
          <w:rFonts w:ascii="宋体" w:hAnsi="宋体" w:cs="宋体"/>
          <w:b w:val="0"/>
          <w:bCs w:val="0"/>
          <w:color w:val="auto"/>
          <w:sz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0</w:t>
      </w:r>
      <w:r>
        <w:rPr>
          <w:rFonts w:hint="eastAsia" w:ascii="宋体" w:hAnsi="宋体" w:cs="宋体"/>
          <w:b w:val="0"/>
          <w:bCs w:val="0"/>
          <w:color w:val="auto"/>
          <w:sz w:val="24"/>
        </w:rPr>
        <w:t>、人工费：执行《江苏省住房城乡建设厅关于发布建设工程人工工资指导价的通知》苏建函价[202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color w:val="auto"/>
          <w:sz w:val="24"/>
        </w:rPr>
        <w:t>]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66</w:t>
      </w:r>
      <w:r>
        <w:rPr>
          <w:rFonts w:hint="eastAsia" w:ascii="宋体" w:hAnsi="宋体" w:cs="宋体"/>
          <w:b w:val="0"/>
          <w:bCs w:val="0"/>
          <w:color w:val="auto"/>
          <w:sz w:val="24"/>
        </w:rPr>
        <w:t>号。</w:t>
      </w:r>
    </w:p>
    <w:p w14:paraId="691E4E3E">
      <w:pPr>
        <w:spacing w:line="440" w:lineRule="exact"/>
        <w:ind w:right="25" w:rightChars="1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1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、本工程按省住房和城乡建设厅公告【2019】19号文计算建筑工人实名制费用。</w:t>
      </w:r>
    </w:p>
    <w:p w14:paraId="32F731B6">
      <w:pPr>
        <w:spacing w:line="440" w:lineRule="exact"/>
        <w:ind w:right="25" w:rightChars="12"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12、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施工</w:t>
      </w:r>
      <w:r>
        <w:rPr>
          <w:rFonts w:hint="eastAsia" w:ascii="宋体" w:hAnsi="宋体" w:cs="宋体"/>
          <w:sz w:val="24"/>
        </w:rPr>
        <w:t>规范按照现行的施工规范和操作规程。</w:t>
      </w:r>
    </w:p>
    <w:p w14:paraId="0E01377A">
      <w:pPr>
        <w:spacing w:line="440" w:lineRule="exact"/>
        <w:ind w:right="25" w:rightChars="1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1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、本工程量清单是依据《建设工程工程量清单计价规范》（GB50845-2013）、</w:t>
      </w:r>
      <w:r>
        <w:rPr>
          <w:rFonts w:hint="eastAsia" w:ascii="宋体" w:hAnsi="宋体" w:cs="宋体"/>
          <w:b w:val="0"/>
          <w:bCs/>
          <w:sz w:val="24"/>
          <w:lang w:val="zh-CN" w:eastAsia="zh-CN"/>
        </w:rPr>
        <w:t>《市政工程工程量计算规范》（GB5085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7</w:t>
      </w:r>
      <w:r>
        <w:rPr>
          <w:rFonts w:hint="eastAsia" w:ascii="宋体" w:hAnsi="宋体" w:cs="宋体"/>
          <w:b w:val="0"/>
          <w:bCs/>
          <w:sz w:val="24"/>
          <w:lang w:val="zh-CN" w:eastAsia="zh-CN"/>
        </w:rPr>
        <w:t>-2013）</w:t>
      </w:r>
      <w:r>
        <w:rPr>
          <w:rFonts w:hint="eastAsia" w:ascii="宋体" w:hAnsi="宋体" w:cs="宋体"/>
          <w:sz w:val="24"/>
          <w:lang w:val="zh-CN"/>
        </w:rPr>
        <w:t>、《</w:t>
      </w:r>
      <w:r>
        <w:rPr>
          <w:rFonts w:hint="eastAsia" w:ascii="宋体" w:hAnsi="宋体" w:cs="宋体"/>
          <w:sz w:val="24"/>
        </w:rPr>
        <w:t>通用安装工程工程量计算规范》（GB50856-2013）中规定的有关工程量计算规则及工程内容编制的,该规范清单“工程内容”中列举了分项工程计量范围内完成本分项工程应有工作内容，凡说明了的工作内容均应包括在报价范围中内。</w:t>
      </w:r>
    </w:p>
    <w:p w14:paraId="1233E2C0">
      <w:pPr>
        <w:spacing w:line="440" w:lineRule="exact"/>
        <w:ind w:right="25" w:rightChars="12"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、本工程量清单应与招标文件、投标须知、现场情况、工程规范、清单计价规范及相关文件等一起使用。</w:t>
      </w:r>
    </w:p>
    <w:p w14:paraId="0209F940">
      <w:pPr>
        <w:spacing w:line="440" w:lineRule="exact"/>
        <w:ind w:right="25" w:rightChars="12" w:firstLine="480"/>
        <w:rPr>
          <w:rFonts w:hint="eastAsia" w:ascii="宋体" w:hAnsi="宋体" w:cs="宋体"/>
          <w:sz w:val="24"/>
        </w:rPr>
      </w:pPr>
    </w:p>
    <w:p w14:paraId="0772E5AC">
      <w:pPr>
        <w:snapToGrid w:val="0"/>
        <w:spacing w:line="440" w:lineRule="atLeast"/>
        <w:rPr>
          <w:rFonts w:hint="eastAsia" w:ascii="宋体" w:hAnsi="宋体" w:cs="宋体"/>
          <w:b/>
          <w:sz w:val="24"/>
          <w:lang w:val="zh-CN"/>
        </w:rPr>
      </w:pPr>
    </w:p>
    <w:p w14:paraId="735CEAA0">
      <w:pPr>
        <w:snapToGrid w:val="0"/>
        <w:spacing w:line="440" w:lineRule="atLeast"/>
        <w:rPr>
          <w:rFonts w:hint="default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zh-CN"/>
        </w:rPr>
        <w:t>四、工程类别：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 </w:t>
      </w:r>
    </w:p>
    <w:p w14:paraId="04239CF6">
      <w:pPr>
        <w:snapToGrid w:val="0"/>
        <w:spacing w:line="440" w:lineRule="atLeast"/>
        <w:rPr>
          <w:rFonts w:ascii="宋体" w:hAnsi="宋体" w:cs="宋体"/>
          <w:b/>
          <w:sz w:val="24"/>
          <w:lang w:val="zh-CN"/>
        </w:rPr>
      </w:pPr>
      <w:r>
        <w:rPr>
          <w:rFonts w:hint="eastAsia" w:ascii="宋体" w:hAnsi="宋体" w:cs="宋体"/>
          <w:b/>
          <w:sz w:val="24"/>
          <w:lang w:val="zh-CN"/>
        </w:rPr>
        <w:t>五、工程质量要求：</w:t>
      </w:r>
      <w:r>
        <w:rPr>
          <w:rFonts w:hint="eastAsia" w:ascii="宋体" w:hAnsi="宋体" w:cs="宋体"/>
          <w:bCs/>
          <w:sz w:val="24"/>
          <w:lang w:val="zh-CN"/>
        </w:rPr>
        <w:t>合格</w:t>
      </w:r>
    </w:p>
    <w:p w14:paraId="604D12AD">
      <w:pPr>
        <w:snapToGrid w:val="0"/>
        <w:spacing w:line="440" w:lineRule="atLeast"/>
        <w:rPr>
          <w:rFonts w:ascii="宋体" w:hAnsi="宋体" w:cs="宋体"/>
          <w:bCs/>
          <w:sz w:val="24"/>
          <w:lang w:val="zh-CN"/>
        </w:rPr>
      </w:pPr>
      <w:r>
        <w:rPr>
          <w:rFonts w:hint="eastAsia" w:ascii="宋体" w:hAnsi="宋体" w:cs="宋体"/>
          <w:b/>
          <w:sz w:val="24"/>
          <w:lang w:val="zh-CN"/>
        </w:rPr>
        <w:t>六、工期要求：</w:t>
      </w:r>
      <w:r>
        <w:rPr>
          <w:rFonts w:hint="eastAsia" w:ascii="宋体" w:hAnsi="宋体" w:cs="宋体"/>
          <w:bCs/>
          <w:sz w:val="24"/>
          <w:u w:val="single"/>
          <w:lang w:val="zh-CN"/>
        </w:rPr>
        <w:t xml:space="preserve"> </w:t>
      </w:r>
      <w:r>
        <w:rPr>
          <w:rFonts w:hint="eastAsia" w:ascii="宋体" w:hAnsi="宋体" w:cs="宋体"/>
          <w:bCs/>
          <w:sz w:val="24"/>
          <w:u w:val="single"/>
        </w:rPr>
        <w:t xml:space="preserve"> </w:t>
      </w:r>
      <w:r>
        <w:rPr>
          <w:rFonts w:hint="eastAsia" w:ascii="宋体" w:hAnsi="宋体" w:cs="宋体"/>
          <w:bCs/>
          <w:color w:val="0000FF"/>
          <w:sz w:val="24"/>
          <w:u w:val="single"/>
          <w:lang w:eastAsia="zh-CN"/>
        </w:rPr>
        <w:t>详见招标文件</w:t>
      </w:r>
    </w:p>
    <w:tbl>
      <w:tblPr>
        <w:tblStyle w:val="11"/>
        <w:tblpPr w:leftFromText="180" w:rightFromText="180" w:vertAnchor="text" w:horzAnchor="page" w:tblpX="837" w:tblpY="623"/>
        <w:tblOverlap w:val="never"/>
        <w:tblW w:w="102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763"/>
        <w:gridCol w:w="1018"/>
        <w:gridCol w:w="1018"/>
        <w:gridCol w:w="1152"/>
        <w:gridCol w:w="1068"/>
        <w:gridCol w:w="1068"/>
        <w:gridCol w:w="1072"/>
        <w:gridCol w:w="1603"/>
      </w:tblGrid>
      <w:tr w14:paraId="24FA5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E3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B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052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3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3D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BE6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</w:t>
            </w:r>
          </w:p>
        </w:tc>
      </w:tr>
      <w:tr w14:paraId="12AD1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B4D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费用名称</w:t>
            </w: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A40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现场安全文明施工费</w:t>
            </w:r>
          </w:p>
        </w:tc>
        <w:tc>
          <w:tcPr>
            <w:tcW w:w="11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6425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按质论价费</w:t>
            </w:r>
          </w:p>
          <w:p w14:paraId="7C1BBA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EA1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规费</w:t>
            </w:r>
          </w:p>
        </w:tc>
        <w:tc>
          <w:tcPr>
            <w:tcW w:w="16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66A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税金</w:t>
            </w:r>
          </w:p>
        </w:tc>
      </w:tr>
      <w:tr w14:paraId="13BE1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884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16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基本费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BC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省级标化增加费:一星级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F4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扬尘污染防治增加费</w:t>
            </w:r>
          </w:p>
        </w:tc>
        <w:tc>
          <w:tcPr>
            <w:tcW w:w="11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8468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9C3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社会保险费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11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7F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环境保护税</w:t>
            </w:r>
          </w:p>
        </w:tc>
        <w:tc>
          <w:tcPr>
            <w:tcW w:w="16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6CB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C353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03C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计算基础</w:t>
            </w: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036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分部分项工程+单价措施项目费-除税工程设备费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C39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分部分项工程+单价措施项目费-除税工程设备费</w:t>
            </w:r>
          </w:p>
        </w:tc>
        <w:tc>
          <w:tcPr>
            <w:tcW w:w="3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E95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分部分项工程费+措施项目费+其他项目费-除税工程设备费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AE0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分部分项工程费+措施项目费+其他项目费+规费-除税甲供材和甲供设备费/1.01</w:t>
            </w:r>
          </w:p>
        </w:tc>
      </w:tr>
      <w:tr w14:paraId="6E948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AFE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市政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A1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E57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9E9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.31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AC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056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7CE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0.34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19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2A4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9%</w:t>
            </w:r>
          </w:p>
        </w:tc>
      </w:tr>
      <w:tr w14:paraId="48F66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815AE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园林绿化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CE8D9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1%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408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0EF5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0.21%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925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7DDF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3.3%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CE0F9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0.55%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B1A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E8BB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9%</w:t>
            </w:r>
          </w:p>
        </w:tc>
      </w:tr>
    </w:tbl>
    <w:p w14:paraId="63283684">
      <w:pPr>
        <w:snapToGrid w:val="0"/>
        <w:spacing w:line="440" w:lineRule="atLeast"/>
        <w:rPr>
          <w:rFonts w:ascii="宋体" w:hAnsi="宋体" w:cs="宋体"/>
          <w:b/>
          <w:sz w:val="24"/>
          <w:lang w:val="zh-CN"/>
        </w:rPr>
      </w:pPr>
      <w:r>
        <w:rPr>
          <w:rFonts w:hint="eastAsia" w:ascii="宋体" w:hAnsi="宋体" w:cs="宋体"/>
          <w:b/>
          <w:sz w:val="24"/>
          <w:lang w:val="zh-CN"/>
        </w:rPr>
        <w:t>七、不可竞争费：现场安全文明施工费、规费、税金为不可竞争费，取费标准如下表：</w:t>
      </w:r>
    </w:p>
    <w:p w14:paraId="1458DCEB">
      <w:pPr>
        <w:autoSpaceDE w:val="0"/>
        <w:autoSpaceDN w:val="0"/>
        <w:adjustRightInd w:val="0"/>
        <w:snapToGrid w:val="0"/>
        <w:spacing w:line="440" w:lineRule="atLeast"/>
        <w:ind w:left="447"/>
        <w:rPr>
          <w:rFonts w:ascii="宋体" w:hAnsi="宋体" w:cs="宋体"/>
          <w:sz w:val="24"/>
          <w:lang w:val="zh-CN"/>
        </w:rPr>
      </w:pPr>
    </w:p>
    <w:p w14:paraId="64B30859">
      <w:pPr>
        <w:snapToGrid w:val="0"/>
        <w:spacing w:line="360" w:lineRule="auto"/>
        <w:ind w:firstLine="421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注：从2019年1月1日起， “环境保护税”由各类建设工程的建设方（含代建方）向税务机关缴纳。据此规定，建设工程计价中不再计列“环境保护税”。</w:t>
      </w:r>
    </w:p>
    <w:p w14:paraId="0D4C370C">
      <w:pPr>
        <w:numPr>
          <w:ilvl w:val="0"/>
          <w:numId w:val="0"/>
        </w:numPr>
        <w:snapToGrid w:val="0"/>
        <w:spacing w:line="440" w:lineRule="atLeas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八、</w:t>
      </w:r>
      <w:r>
        <w:rPr>
          <w:rFonts w:hint="eastAsia" w:ascii="宋体" w:hAnsi="宋体" w:cs="宋体"/>
          <w:b/>
          <w:sz w:val="24"/>
          <w:lang w:val="zh-CN"/>
        </w:rPr>
        <w:t>其他说明：</w:t>
      </w:r>
      <w:r>
        <w:rPr>
          <w:rFonts w:hint="eastAsia" w:ascii="宋体" w:hAnsi="宋体" w:cs="宋体"/>
          <w:bCs/>
          <w:sz w:val="24"/>
        </w:rPr>
        <w:t xml:space="preserve">  </w:t>
      </w:r>
    </w:p>
    <w:p w14:paraId="15ABC523">
      <w:pPr>
        <w:pStyle w:val="7"/>
        <w:spacing w:line="360" w:lineRule="auto"/>
        <w:ind w:firstLine="554" w:firstLineChars="231"/>
        <w:outlineLvl w:val="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eastAsia="zh-CN"/>
        </w:rPr>
        <w:t>本工程所采用的砼均为商品砼，泵送与非泵送由投标人自行考虑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eastAsia="zh-CN"/>
        </w:rPr>
        <w:t>砂浆采用成品砂浆</w:t>
      </w:r>
    </w:p>
    <w:p w14:paraId="06D10B6D">
      <w:pPr>
        <w:numPr>
          <w:ilvl w:val="0"/>
          <w:numId w:val="0"/>
        </w:numPr>
        <w:snapToGrid w:val="0"/>
        <w:spacing w:line="44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本次改造为非封闭施工，本工程施工时需保证居民及人员车辆的安全通行，保证临近建筑、地下各类非改造项目管线等设施不受破坏。所有施工干扰情况所增加的费用、施工现场安全围护费以及可能发生的材料二次搬运费及交叉、衔接施工增加的费用，由投标人在报价中综合考虑，产生的相关费用计入相关措施清单项目投标报价内，结算时费率不调整。</w:t>
      </w:r>
    </w:p>
    <w:p w14:paraId="1B0F447A">
      <w:pPr>
        <w:pStyle w:val="7"/>
        <w:spacing w:line="360" w:lineRule="auto"/>
        <w:ind w:firstLine="554" w:firstLineChars="231"/>
        <w:outlineLvl w:val="0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、对招标人所列的措施项目，投标人可根据工程实际与施工组织设计进行增补，但不应更改招标人已列措施项目。结算时，除工程变更引起的施工方案改变外，承包人不得以招标工程措施项目清单缺项为由要求新增措施项目</w:t>
      </w:r>
      <w:r>
        <w:rPr>
          <w:rFonts w:hint="eastAsia" w:ascii="宋体" w:hAnsi="宋体"/>
          <w:b/>
          <w:bCs/>
          <w:sz w:val="24"/>
          <w:lang w:eastAsia="zh-CN"/>
        </w:rPr>
        <w:t>。</w:t>
      </w:r>
    </w:p>
    <w:p w14:paraId="3A5E947E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、本工程量清单凡未能注明做法或项目特征无法描述详细的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清单项目按现行施工及验收规范、施工图纸及常规施工工艺施工并由投标单位自主报价</w:t>
      </w:r>
      <w:r>
        <w:rPr>
          <w:rFonts w:ascii="宋体" w:hAnsi="宋体"/>
          <w:sz w:val="24"/>
          <w:szCs w:val="24"/>
        </w:rPr>
        <w:t>。本工程量清单应与投标须知、合同条件、合同协议条款、工程范围和</w:t>
      </w:r>
      <w:r>
        <w:rPr>
          <w:rFonts w:hint="eastAsia" w:ascii="宋体" w:hAnsi="宋体"/>
          <w:sz w:val="24"/>
          <w:szCs w:val="24"/>
        </w:rPr>
        <w:t>施工</w:t>
      </w:r>
      <w:r>
        <w:rPr>
          <w:rFonts w:ascii="宋体" w:hAnsi="宋体"/>
          <w:sz w:val="24"/>
          <w:szCs w:val="24"/>
        </w:rPr>
        <w:t>图纸一起使用。</w:t>
      </w:r>
    </w:p>
    <w:p w14:paraId="6E33A319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现场施工需符合环保部门的相关要求，任何因环保部门要求所需增加的相关费用，投标单位综合考虑到投标报价中，中标后此部分费用不予增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加。</w:t>
      </w:r>
    </w:p>
    <w:p w14:paraId="7C87D7BD"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6、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投标人应充分考虑机械施工进出场（安拆）费、施工便道等技术措施由投标方根据施工实施方案进行报价，并充分考虑报价风险，今后结算不再调整</w:t>
      </w:r>
    </w:p>
    <w:p w14:paraId="68A890CD">
      <w:pPr>
        <w:numPr>
          <w:ilvl w:val="0"/>
          <w:numId w:val="0"/>
        </w:numPr>
        <w:snapToGrid w:val="0"/>
        <w:spacing w:line="440" w:lineRule="atLeast"/>
        <w:ind w:firstLine="480" w:firstLineChars="200"/>
        <w:rPr>
          <w:rFonts w:hint="eastAsia" w:ascii="宋体" w:hAnsi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施工区域苗木的清除由投标人自行考虑，包含在相关清单中，投标人自行踏勘现场后报价，结算综合单价不再调整。</w:t>
      </w:r>
    </w:p>
    <w:p w14:paraId="4CC7BF07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公共及协调费用（如交通、路政、市容、环保、噪音、排污、治安等费用以及因施工原因引起的相关部门应交纳费用）由投标人自行调研作为单项费用计入相关措施项目费中，结算时费率不作调整。</w:t>
      </w:r>
    </w:p>
    <w:p w14:paraId="4A2B03D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投标人应考虑在实施过程中对原设施的保护，因投标人原因所造成的损坏由投标人自行负责修复，建设方不承担任何费用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。</w:t>
      </w:r>
    </w:p>
    <w:p w14:paraId="7F0F303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10、老围墙出新项目清单工程量按现场查看后以估算量列入，结算时以实际发生工程量为准。</w:t>
      </w:r>
    </w:p>
    <w:p w14:paraId="09406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480"/>
        <w:textAlignment w:val="auto"/>
        <w:rPr>
          <w:rFonts w:hint="eastAsia" w:ascii="宋体" w:hAnsi="宋体" w:cs="宋体"/>
          <w:bCs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lang w:val="en-US" w:eastAsia="zh-CN"/>
        </w:rPr>
        <w:t>11、新建围墙原钢筋砼基础顶标高以负0.9考虑计算清单工程量，若实际标高不同时相应工程量结算时按实调整。墙面原设计真石漆改为外墙弹性涂料一底二面列入清单。构造柱钢筋和植筋按新做工程量列入清单，若可利用时以实际发生工程量结算。</w:t>
      </w:r>
    </w:p>
    <w:p w14:paraId="276F7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480"/>
        <w:textAlignment w:val="auto"/>
        <w:rPr>
          <w:rFonts w:hint="default" w:ascii="宋体" w:hAnsi="宋体" w:cs="宋体"/>
          <w:bCs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lang w:val="en-US" w:eastAsia="zh-CN"/>
        </w:rPr>
        <w:t>12、砼模块井以井径900列入清单。</w:t>
      </w:r>
    </w:p>
    <w:p w14:paraId="35962354">
      <w:pPr>
        <w:snapToGrid w:val="0"/>
        <w:spacing w:line="440" w:lineRule="atLeast"/>
        <w:ind w:left="482" w:hanging="482" w:hangingChars="200"/>
        <w:rPr>
          <w:rFonts w:hint="eastAsia" w:ascii="宋体" w:hAnsi="宋体" w:cs="宋体"/>
          <w:b/>
          <w:sz w:val="24"/>
          <w:lang w:val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九、</w:t>
      </w:r>
      <w:r>
        <w:rPr>
          <w:rFonts w:hint="eastAsia" w:ascii="宋体" w:hAnsi="宋体" w:cs="宋体"/>
          <w:b/>
          <w:sz w:val="24"/>
          <w:lang w:val="zh-CN"/>
        </w:rPr>
        <w:t>凡是没有明确说明但可以推断而又是整个工程施工</w:t>
      </w:r>
      <w:r>
        <w:rPr>
          <w:rFonts w:hint="eastAsia" w:ascii="宋体" w:hAnsi="宋体" w:cs="宋体"/>
          <w:b/>
          <w:sz w:val="24"/>
          <w:lang w:val="en-US" w:eastAsia="zh-CN"/>
        </w:rPr>
        <w:t>时</w:t>
      </w:r>
      <w:r>
        <w:rPr>
          <w:rFonts w:hint="eastAsia" w:ascii="宋体" w:hAnsi="宋体" w:cs="宋体"/>
          <w:b/>
          <w:sz w:val="24"/>
          <w:lang w:val="zh-CN"/>
        </w:rPr>
        <w:t>不可缺少或必需的配套施工程序，应包括在施工合同中，</w:t>
      </w:r>
      <w:r>
        <w:rPr>
          <w:rFonts w:hint="eastAsia" w:ascii="宋体" w:hAnsi="宋体" w:cs="宋体"/>
          <w:b/>
          <w:sz w:val="24"/>
          <w:lang w:val="en-US" w:eastAsia="zh-CN"/>
        </w:rPr>
        <w:t>报价时充分考虑</w:t>
      </w:r>
      <w:r>
        <w:rPr>
          <w:rFonts w:hint="eastAsia" w:ascii="宋体" w:hAnsi="宋体" w:cs="宋体"/>
          <w:b/>
          <w:sz w:val="24"/>
          <w:lang w:val="zh-CN"/>
        </w:rPr>
        <w:t>，由中标单位完成并承担费用。</w:t>
      </w:r>
    </w:p>
    <w:p w14:paraId="6257981C">
      <w:pPr>
        <w:snapToGrid w:val="0"/>
        <w:spacing w:line="440" w:lineRule="atLeast"/>
        <w:rPr>
          <w:rFonts w:ascii="宋体" w:hAnsi="宋体" w:cs="宋体"/>
          <w:b/>
          <w:sz w:val="24"/>
          <w:lang w:val="zh-CN"/>
        </w:rPr>
      </w:pPr>
      <w:r>
        <w:rPr>
          <w:rFonts w:hint="eastAsia" w:ascii="宋体" w:hAnsi="宋体" w:cs="宋体"/>
          <w:b/>
          <w:sz w:val="24"/>
          <w:lang w:val="zh-CN"/>
        </w:rPr>
        <w:t>十、暂估价明细表（投标单位报价时不得变动让利）：</w:t>
      </w:r>
    </w:p>
    <w:p w14:paraId="54235236">
      <w:pPr>
        <w:snapToGrid w:val="0"/>
        <w:spacing w:line="440" w:lineRule="atLeast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1、暂列金额明细表：执法办案中心三期项目(涉案车辆集中保管区项目)-市政工程</w:t>
      </w:r>
    </w:p>
    <w:p w14:paraId="63B7ECC2">
      <w:pPr>
        <w:snapToGrid w:val="0"/>
        <w:spacing w:line="440" w:lineRule="atLeast"/>
        <w:ind w:firstLine="241" w:firstLineChars="100"/>
        <w:rPr>
          <w:rFonts w:ascii="宋体" w:hAnsi="宋体" w:cs="宋体"/>
          <w:b/>
          <w:sz w:val="24"/>
        </w:rPr>
      </w:pPr>
    </w:p>
    <w:tbl>
      <w:tblPr>
        <w:tblStyle w:val="11"/>
        <w:tblW w:w="9560" w:type="dxa"/>
        <w:tblInd w:w="3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076"/>
        <w:gridCol w:w="1200"/>
        <w:gridCol w:w="1717"/>
        <w:gridCol w:w="1862"/>
      </w:tblGrid>
      <w:tr w14:paraId="02D7A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5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843CD0">
            <w:pPr>
              <w:snapToGrid w:val="0"/>
              <w:spacing w:line="4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工程名称：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执法办案中心三期项目（涉案车辆集中保管区项目）</w:t>
            </w:r>
          </w:p>
        </w:tc>
      </w:tr>
      <w:tr w14:paraId="1F291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286D9D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4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55DC2D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3064A8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计量单位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5A1998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暂定金额（元）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5F73B7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 w14:paraId="3DEBE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0AE4AB">
            <w:pPr>
              <w:autoSpaceDE w:val="0"/>
              <w:autoSpaceDN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4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137D65">
            <w:pPr>
              <w:autoSpaceDE w:val="0"/>
              <w:autoSpaceDN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工程量清单中工程量偏差和设计变更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BBE316">
            <w:pPr>
              <w:autoSpaceDE w:val="0"/>
              <w:autoSpaceDN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3B73BB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101076">
            <w:pPr>
              <w:autoSpaceDE w:val="0"/>
              <w:autoSpaceDN w:val="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52129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4D424F">
            <w:pPr>
              <w:autoSpaceDE w:val="0"/>
              <w:autoSpaceDN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4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5038EC">
            <w:pPr>
              <w:autoSpaceDE w:val="0"/>
              <w:autoSpaceDN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政策性调整和材料价格风险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C60AEE">
            <w:pPr>
              <w:autoSpaceDE w:val="0"/>
              <w:autoSpaceDN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9BFC84">
            <w:pPr>
              <w:autoSpaceDE w:val="0"/>
              <w:autoSpaceDN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8BD5CA">
            <w:pPr>
              <w:autoSpaceDE w:val="0"/>
              <w:autoSpaceDN w:val="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39E8F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07213E">
            <w:pPr>
              <w:autoSpaceDE w:val="0"/>
              <w:autoSpaceDN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4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CC00AA">
            <w:pPr>
              <w:autoSpaceDE w:val="0"/>
              <w:autoSpaceDN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预留金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1FF961">
            <w:pPr>
              <w:autoSpaceDE w:val="0"/>
              <w:autoSpaceDN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元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3A636CC5">
            <w:pPr>
              <w:autoSpaceDE w:val="0"/>
              <w:autoSpaceDN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50000</w:t>
            </w:r>
          </w:p>
        </w:tc>
        <w:tc>
          <w:tcPr>
            <w:tcW w:w="186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662739">
            <w:pPr>
              <w:autoSpaceDE w:val="0"/>
              <w:autoSpaceDN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市政工程</w:t>
            </w:r>
          </w:p>
        </w:tc>
      </w:tr>
      <w:tr w14:paraId="01F60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40B32A">
            <w:pPr>
              <w:autoSpaceDE w:val="0"/>
              <w:autoSpaceDN w:val="0"/>
              <w:ind w:firstLine="240" w:firstLineChars="100"/>
              <w:jc w:val="left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4</w:t>
            </w:r>
          </w:p>
        </w:tc>
        <w:tc>
          <w:tcPr>
            <w:tcW w:w="4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A38BB7">
            <w:pPr>
              <w:autoSpaceDE w:val="0"/>
              <w:autoSpaceDN w:val="0"/>
              <w:jc w:val="left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预留金（含规范税金）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D33CE4">
            <w:pPr>
              <w:autoSpaceDE w:val="0"/>
              <w:autoSpaceDN w:val="0"/>
              <w:ind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元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3A1ACB">
            <w:pPr>
              <w:autoSpaceDE w:val="0"/>
              <w:autoSpaceDN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55775.3</w:t>
            </w:r>
          </w:p>
        </w:tc>
        <w:tc>
          <w:tcPr>
            <w:tcW w:w="186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F27AE8">
            <w:pPr>
              <w:autoSpaceDE w:val="0"/>
              <w:autoSpaceDN w:val="0"/>
              <w:jc w:val="left"/>
              <w:rPr>
                <w:rFonts w:ascii="宋体" w:hAnsi="宋体" w:cs="宋体"/>
                <w:b w:val="0"/>
                <w:bCs w:val="0"/>
                <w:sz w:val="24"/>
              </w:rPr>
            </w:pPr>
          </w:p>
        </w:tc>
      </w:tr>
      <w:tr w14:paraId="01A07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0C1EB2">
            <w:pPr>
              <w:autoSpaceDE w:val="0"/>
              <w:autoSpaceDN w:val="0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4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7C5F60">
            <w:pPr>
              <w:autoSpaceDE w:val="0"/>
              <w:autoSpaceDN w:val="0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合计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C7553D">
            <w:pPr>
              <w:autoSpaceDE w:val="0"/>
              <w:autoSpaceDN w:val="0"/>
              <w:ind w:firstLine="241" w:firstLineChars="100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元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62DD86">
            <w:pPr>
              <w:autoSpaceDE w:val="0"/>
              <w:autoSpaceDN w:val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55775.3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078CE0">
            <w:pPr>
              <w:autoSpaceDE w:val="0"/>
              <w:autoSpaceDN w:val="0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 w14:paraId="10111216">
      <w:pPr>
        <w:snapToGrid w:val="0"/>
        <w:spacing w:line="440" w:lineRule="atLeast"/>
        <w:ind w:firstLine="482" w:firstLineChars="200"/>
        <w:rPr>
          <w:rFonts w:hint="eastAsia" w:ascii="宋体" w:hAnsi="宋体" w:cs="宋体"/>
          <w:b/>
          <w:sz w:val="24"/>
        </w:rPr>
      </w:pPr>
    </w:p>
    <w:p w14:paraId="4921A4B2">
      <w:pPr>
        <w:rPr>
          <w:rFonts w:hint="eastAsia" w:ascii="宋体" w:hAnsi="宋体" w:cs="宋体"/>
          <w:b/>
          <w:sz w:val="24"/>
          <w:lang w:val="zh-CN"/>
        </w:rPr>
      </w:pPr>
      <w:r>
        <w:rPr>
          <w:rFonts w:hint="eastAsia" w:ascii="宋体" w:hAnsi="宋体" w:cs="宋体"/>
          <w:b/>
          <w:sz w:val="24"/>
          <w:lang w:val="zh-CN"/>
        </w:rPr>
        <w:br w:type="page"/>
      </w:r>
    </w:p>
    <w:p w14:paraId="0231D1A4">
      <w:pPr>
        <w:snapToGrid w:val="0"/>
        <w:spacing w:line="440" w:lineRule="atLeast"/>
        <w:rPr>
          <w:rFonts w:hint="eastAsia" w:ascii="宋体" w:hAnsi="宋体" w:cs="宋体"/>
          <w:b/>
          <w:sz w:val="24"/>
          <w:lang w:val="zh-CN"/>
        </w:rPr>
      </w:pPr>
    </w:p>
    <w:p w14:paraId="291DCF9E">
      <w:pPr>
        <w:snapToGrid w:val="0"/>
        <w:spacing w:line="440" w:lineRule="atLeast"/>
        <w:rPr>
          <w:rFonts w:hint="eastAsia" w:ascii="宋体" w:hAnsi="宋体" w:cs="宋体"/>
          <w:b/>
          <w:sz w:val="24"/>
          <w:lang w:val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十一、</w:t>
      </w:r>
      <w:r>
        <w:rPr>
          <w:rFonts w:hint="eastAsia" w:ascii="宋体" w:hAnsi="宋体" w:cs="宋体"/>
          <w:b/>
          <w:sz w:val="24"/>
          <w:lang w:val="zh-CN"/>
        </w:rPr>
        <w:t>工程信息明细：</w:t>
      </w:r>
    </w:p>
    <w:tbl>
      <w:tblPr>
        <w:tblStyle w:val="11"/>
        <w:tblpPr w:leftFromText="180" w:rightFromText="180" w:vertAnchor="text" w:horzAnchor="page" w:tblpX="1423" w:tblpY="338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4972"/>
        <w:gridCol w:w="3392"/>
      </w:tblGrid>
      <w:tr w14:paraId="379D4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878B4">
            <w:pPr>
              <w:autoSpaceDE w:val="0"/>
              <w:autoSpaceDN w:val="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项目编号：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001</w:t>
            </w:r>
          </w:p>
        </w:tc>
      </w:tr>
      <w:tr w14:paraId="75F42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168D0">
            <w:pPr>
              <w:autoSpaceDE w:val="0"/>
              <w:autoSpaceDN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工程名称：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执法办案中心三期项目（涉案车辆集中保管区项目）</w:t>
            </w:r>
          </w:p>
        </w:tc>
      </w:tr>
      <w:tr w14:paraId="473C2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34B68">
            <w:pPr>
              <w:autoSpaceDE w:val="0"/>
              <w:autoSpaceDN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建设单位</w:t>
            </w:r>
            <w:r>
              <w:rPr>
                <w:rFonts w:hint="eastAsia" w:ascii="宋体" w:hAnsi="宋体" w:cs="宋体"/>
                <w:sz w:val="24"/>
                <w:lang w:val="zh-CN"/>
              </w:rPr>
              <w:t>：江阴市公安局、江阴市城市重点建设项目管理中心</w:t>
            </w:r>
          </w:p>
        </w:tc>
      </w:tr>
      <w:tr w14:paraId="54D47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A03A0">
            <w:pPr>
              <w:autoSpaceDE w:val="0"/>
              <w:autoSpaceDN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单位工程明细：</w:t>
            </w:r>
          </w:p>
        </w:tc>
      </w:tr>
      <w:tr w14:paraId="09CB9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D8861">
            <w:pPr>
              <w:autoSpaceDE w:val="0"/>
              <w:autoSpaceDN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编号</w:t>
            </w: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C516D">
            <w:pPr>
              <w:autoSpaceDE w:val="0"/>
              <w:autoSpaceDN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单位工程名称</w:t>
            </w:r>
          </w:p>
        </w:tc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8EC5E">
            <w:pPr>
              <w:autoSpaceDE w:val="0"/>
              <w:autoSpaceDN w:val="0"/>
              <w:rPr>
                <w:rFonts w:ascii="宋体" w:hAnsi="宋体" w:cs="宋体"/>
                <w:sz w:val="24"/>
              </w:rPr>
            </w:pPr>
          </w:p>
        </w:tc>
      </w:tr>
      <w:tr w14:paraId="6B046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386DF">
            <w:pPr>
              <w:autoSpaceDE w:val="0"/>
              <w:autoSpaceDN w:val="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001</w:t>
            </w: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C97B9">
            <w:pPr>
              <w:autoSpaceDE w:val="0"/>
              <w:autoSpaceDN w:val="0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执法办案中心三期项目(涉案车辆集中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保管区项目)-市政工程</w:t>
            </w:r>
          </w:p>
        </w:tc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D7971">
            <w:pPr>
              <w:autoSpaceDE w:val="0"/>
              <w:autoSpaceDN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按【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市政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  <w:t>工程</w:t>
            </w:r>
            <w:r>
              <w:rPr>
                <w:rFonts w:hint="eastAsia" w:ascii="宋体" w:hAnsi="宋体" w:cs="宋体"/>
                <w:sz w:val="24"/>
              </w:rPr>
              <w:t>】</w:t>
            </w:r>
          </w:p>
        </w:tc>
      </w:tr>
      <w:tr w14:paraId="66235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5AB08">
            <w:pPr>
              <w:autoSpaceDE w:val="0"/>
              <w:autoSpaceDN w:val="0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002</w:t>
            </w: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21E27">
            <w:pPr>
              <w:autoSpaceDE w:val="0"/>
              <w:autoSpaceDN w:val="0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执法办案中心三期项目(涉案车辆集中保管区项目)-绿化工程</w:t>
            </w:r>
          </w:p>
        </w:tc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65FAE">
            <w:pPr>
              <w:autoSpaceDE w:val="0"/>
              <w:autoSpaceDN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按【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绿化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  <w:t>工程</w:t>
            </w:r>
            <w:r>
              <w:rPr>
                <w:rFonts w:hint="eastAsia" w:ascii="宋体" w:hAnsi="宋体" w:cs="宋体"/>
                <w:sz w:val="24"/>
              </w:rPr>
              <w:t>】</w:t>
            </w:r>
          </w:p>
        </w:tc>
      </w:tr>
    </w:tbl>
    <w:p w14:paraId="05D31D52">
      <w:pPr>
        <w:keepNext w:val="0"/>
        <w:keepLines w:val="0"/>
        <w:pageBreakBefore w:val="0"/>
        <w:widowControl w:val="0"/>
        <w:tabs>
          <w:tab w:val="left" w:pos="594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jc w:val="right"/>
        <w:textAlignment w:val="auto"/>
        <w:rPr>
          <w:rFonts w:hint="eastAsia" w:ascii="宋体" w:hAnsi="宋体" w:cs="宋体"/>
          <w:kern w:val="0"/>
          <w:sz w:val="24"/>
        </w:rPr>
      </w:pPr>
    </w:p>
    <w:p w14:paraId="032BA7AE">
      <w:pPr>
        <w:keepNext w:val="0"/>
        <w:keepLines w:val="0"/>
        <w:pageBreakBefore w:val="0"/>
        <w:widowControl w:val="0"/>
        <w:tabs>
          <w:tab w:val="left" w:pos="594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jc w:val="right"/>
        <w:textAlignment w:val="auto"/>
        <w:rPr>
          <w:rFonts w:hint="eastAsia" w:ascii="宋体" w:hAnsi="宋体" w:cs="宋体"/>
          <w:kern w:val="0"/>
          <w:sz w:val="24"/>
        </w:rPr>
      </w:pPr>
    </w:p>
    <w:p w14:paraId="4238E463">
      <w:pPr>
        <w:keepNext w:val="0"/>
        <w:keepLines w:val="0"/>
        <w:pageBreakBefore w:val="0"/>
        <w:widowControl w:val="0"/>
        <w:tabs>
          <w:tab w:val="left" w:pos="594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jc w:val="righ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中嘉工程管理咨询（江苏）有限公司</w:t>
      </w:r>
    </w:p>
    <w:p w14:paraId="548492C5">
      <w:pPr>
        <w:snapToGrid w:val="0"/>
        <w:spacing w:line="440" w:lineRule="atLeast"/>
        <w:ind w:firstLine="6480" w:firstLineChars="2700"/>
        <w:jc w:val="center"/>
        <w:rPr>
          <w:rFonts w:hint="default"/>
          <w:lang w:val="en-US" w:eastAsia="zh-CN"/>
        </w:r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918" w:right="829" w:bottom="680" w:left="9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FB6BD"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2</w:t>
    </w:r>
    <w:r>
      <w:fldChar w:fldCharType="end"/>
    </w:r>
  </w:p>
  <w:p w14:paraId="36874291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C589C"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0D8088D3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BA7A6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C9CD6B"/>
    <w:multiLevelType w:val="singleLevel"/>
    <w:tmpl w:val="C5C9CD6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1221534"/>
    <w:multiLevelType w:val="singleLevel"/>
    <w:tmpl w:val="F122153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ZDVkMmQ1NWJmMTA5NTNlMDc3OTI1ZDRlNzZhOTkifQ=="/>
  </w:docVars>
  <w:rsids>
    <w:rsidRoot w:val="00172A27"/>
    <w:rsid w:val="000118A2"/>
    <w:rsid w:val="00033918"/>
    <w:rsid w:val="00055546"/>
    <w:rsid w:val="00143FFB"/>
    <w:rsid w:val="00172A27"/>
    <w:rsid w:val="001A6AF9"/>
    <w:rsid w:val="001E7F76"/>
    <w:rsid w:val="00211A02"/>
    <w:rsid w:val="00275DDF"/>
    <w:rsid w:val="002D7A2C"/>
    <w:rsid w:val="00324123"/>
    <w:rsid w:val="003268E5"/>
    <w:rsid w:val="0036701D"/>
    <w:rsid w:val="00395147"/>
    <w:rsid w:val="003C3447"/>
    <w:rsid w:val="003D119A"/>
    <w:rsid w:val="003F23D8"/>
    <w:rsid w:val="004163B2"/>
    <w:rsid w:val="004A540E"/>
    <w:rsid w:val="004D51BC"/>
    <w:rsid w:val="00587CD5"/>
    <w:rsid w:val="0065097B"/>
    <w:rsid w:val="00696ABA"/>
    <w:rsid w:val="006A71A9"/>
    <w:rsid w:val="007A6290"/>
    <w:rsid w:val="00857459"/>
    <w:rsid w:val="00872CFB"/>
    <w:rsid w:val="008D6365"/>
    <w:rsid w:val="009136E0"/>
    <w:rsid w:val="009374D0"/>
    <w:rsid w:val="00951F6C"/>
    <w:rsid w:val="00953516"/>
    <w:rsid w:val="009E7094"/>
    <w:rsid w:val="00A54E37"/>
    <w:rsid w:val="00AE6F5B"/>
    <w:rsid w:val="00AE7BF5"/>
    <w:rsid w:val="00B13E5A"/>
    <w:rsid w:val="00B439D0"/>
    <w:rsid w:val="00BA6DB4"/>
    <w:rsid w:val="00BB27C9"/>
    <w:rsid w:val="00C456F9"/>
    <w:rsid w:val="00C510E9"/>
    <w:rsid w:val="00D91292"/>
    <w:rsid w:val="00E23770"/>
    <w:rsid w:val="00E61ED8"/>
    <w:rsid w:val="00EB6356"/>
    <w:rsid w:val="00F53578"/>
    <w:rsid w:val="00F70143"/>
    <w:rsid w:val="00FF2C70"/>
    <w:rsid w:val="012305CE"/>
    <w:rsid w:val="01281EE5"/>
    <w:rsid w:val="018F0A8E"/>
    <w:rsid w:val="01DC5624"/>
    <w:rsid w:val="01E10336"/>
    <w:rsid w:val="023D34F8"/>
    <w:rsid w:val="03411EDC"/>
    <w:rsid w:val="04186B93"/>
    <w:rsid w:val="043C5FAE"/>
    <w:rsid w:val="048E3795"/>
    <w:rsid w:val="04B50DAE"/>
    <w:rsid w:val="067F223D"/>
    <w:rsid w:val="06B1727A"/>
    <w:rsid w:val="06C510AB"/>
    <w:rsid w:val="07261320"/>
    <w:rsid w:val="07600DB1"/>
    <w:rsid w:val="08503B02"/>
    <w:rsid w:val="08930F12"/>
    <w:rsid w:val="08B05BA6"/>
    <w:rsid w:val="08B33250"/>
    <w:rsid w:val="09880982"/>
    <w:rsid w:val="0A2228BE"/>
    <w:rsid w:val="0A6E7768"/>
    <w:rsid w:val="0A8D49FB"/>
    <w:rsid w:val="0AEC39F9"/>
    <w:rsid w:val="0BD4544E"/>
    <w:rsid w:val="0C397098"/>
    <w:rsid w:val="0D387615"/>
    <w:rsid w:val="0D3F09CA"/>
    <w:rsid w:val="0E0C489A"/>
    <w:rsid w:val="10014294"/>
    <w:rsid w:val="10E7656E"/>
    <w:rsid w:val="11A16A45"/>
    <w:rsid w:val="11D706B9"/>
    <w:rsid w:val="11F56F16"/>
    <w:rsid w:val="126F08F1"/>
    <w:rsid w:val="13802100"/>
    <w:rsid w:val="13A12C42"/>
    <w:rsid w:val="13A206C4"/>
    <w:rsid w:val="13AE7D5A"/>
    <w:rsid w:val="13C96A30"/>
    <w:rsid w:val="14193B86"/>
    <w:rsid w:val="14645CF1"/>
    <w:rsid w:val="14B11683"/>
    <w:rsid w:val="152B0D22"/>
    <w:rsid w:val="15AE6845"/>
    <w:rsid w:val="15C50828"/>
    <w:rsid w:val="15E6010D"/>
    <w:rsid w:val="161940C9"/>
    <w:rsid w:val="161B3CE2"/>
    <w:rsid w:val="163C5AEE"/>
    <w:rsid w:val="165D0FD5"/>
    <w:rsid w:val="16756285"/>
    <w:rsid w:val="17070465"/>
    <w:rsid w:val="17373603"/>
    <w:rsid w:val="1777407A"/>
    <w:rsid w:val="17B976EE"/>
    <w:rsid w:val="184446E7"/>
    <w:rsid w:val="19CC6C6E"/>
    <w:rsid w:val="1A3C2BEC"/>
    <w:rsid w:val="1A76158E"/>
    <w:rsid w:val="1A832B05"/>
    <w:rsid w:val="1AB05F99"/>
    <w:rsid w:val="1AEB2ADF"/>
    <w:rsid w:val="1B120F41"/>
    <w:rsid w:val="1C022402"/>
    <w:rsid w:val="1CB727DF"/>
    <w:rsid w:val="1D4121D8"/>
    <w:rsid w:val="1D857BFA"/>
    <w:rsid w:val="1D9C596C"/>
    <w:rsid w:val="1DC26573"/>
    <w:rsid w:val="1E0616E7"/>
    <w:rsid w:val="20F12AC3"/>
    <w:rsid w:val="22056993"/>
    <w:rsid w:val="22162740"/>
    <w:rsid w:val="221D7F2E"/>
    <w:rsid w:val="22221625"/>
    <w:rsid w:val="2341356C"/>
    <w:rsid w:val="23663830"/>
    <w:rsid w:val="24407A49"/>
    <w:rsid w:val="24D54036"/>
    <w:rsid w:val="253B4C32"/>
    <w:rsid w:val="26842652"/>
    <w:rsid w:val="26FD5932"/>
    <w:rsid w:val="270057C7"/>
    <w:rsid w:val="27125E10"/>
    <w:rsid w:val="27603BE9"/>
    <w:rsid w:val="28984A9C"/>
    <w:rsid w:val="28CF26D8"/>
    <w:rsid w:val="293811B0"/>
    <w:rsid w:val="2B19167E"/>
    <w:rsid w:val="2B22643D"/>
    <w:rsid w:val="2BDE6CFC"/>
    <w:rsid w:val="2CB94FE4"/>
    <w:rsid w:val="2CF40298"/>
    <w:rsid w:val="2D106B5B"/>
    <w:rsid w:val="2DD300BC"/>
    <w:rsid w:val="2F6B6844"/>
    <w:rsid w:val="2F727CE6"/>
    <w:rsid w:val="2F9D401D"/>
    <w:rsid w:val="2FC3156F"/>
    <w:rsid w:val="2FD7017E"/>
    <w:rsid w:val="30CE7C2B"/>
    <w:rsid w:val="30EF2597"/>
    <w:rsid w:val="30F55890"/>
    <w:rsid w:val="313047C4"/>
    <w:rsid w:val="31533EC8"/>
    <w:rsid w:val="316E7B6E"/>
    <w:rsid w:val="317639CB"/>
    <w:rsid w:val="31D7248B"/>
    <w:rsid w:val="32344C40"/>
    <w:rsid w:val="323D0F05"/>
    <w:rsid w:val="32547EBA"/>
    <w:rsid w:val="33F626B2"/>
    <w:rsid w:val="34391BEF"/>
    <w:rsid w:val="34E31A07"/>
    <w:rsid w:val="350B4052"/>
    <w:rsid w:val="359A38F8"/>
    <w:rsid w:val="360755E5"/>
    <w:rsid w:val="362810E2"/>
    <w:rsid w:val="36C3270A"/>
    <w:rsid w:val="37195F39"/>
    <w:rsid w:val="37692746"/>
    <w:rsid w:val="37A11805"/>
    <w:rsid w:val="37E97093"/>
    <w:rsid w:val="380D264C"/>
    <w:rsid w:val="38204480"/>
    <w:rsid w:val="382B0EB3"/>
    <w:rsid w:val="38A5428E"/>
    <w:rsid w:val="38C5310B"/>
    <w:rsid w:val="38FB4C32"/>
    <w:rsid w:val="39186D3D"/>
    <w:rsid w:val="392B56C5"/>
    <w:rsid w:val="39742369"/>
    <w:rsid w:val="39861023"/>
    <w:rsid w:val="3ACC222B"/>
    <w:rsid w:val="3B170879"/>
    <w:rsid w:val="3B4E5CF1"/>
    <w:rsid w:val="3B5103DC"/>
    <w:rsid w:val="3B8624CF"/>
    <w:rsid w:val="3BBF0430"/>
    <w:rsid w:val="3C3F731B"/>
    <w:rsid w:val="3C686BA6"/>
    <w:rsid w:val="3CE475E2"/>
    <w:rsid w:val="3D366146"/>
    <w:rsid w:val="3D626ECE"/>
    <w:rsid w:val="400A32A5"/>
    <w:rsid w:val="401C1DD2"/>
    <w:rsid w:val="408E571F"/>
    <w:rsid w:val="409E2E55"/>
    <w:rsid w:val="40B07EE5"/>
    <w:rsid w:val="40B72E70"/>
    <w:rsid w:val="411D5225"/>
    <w:rsid w:val="414B47A8"/>
    <w:rsid w:val="4152413E"/>
    <w:rsid w:val="415E1A4D"/>
    <w:rsid w:val="418D16C6"/>
    <w:rsid w:val="41E94145"/>
    <w:rsid w:val="422E75D1"/>
    <w:rsid w:val="430D6CAE"/>
    <w:rsid w:val="436C75F0"/>
    <w:rsid w:val="437E616A"/>
    <w:rsid w:val="43A129B9"/>
    <w:rsid w:val="442413EC"/>
    <w:rsid w:val="444E0B7D"/>
    <w:rsid w:val="44CE07C6"/>
    <w:rsid w:val="452644FF"/>
    <w:rsid w:val="45F42FCF"/>
    <w:rsid w:val="46C961E7"/>
    <w:rsid w:val="47142777"/>
    <w:rsid w:val="47272598"/>
    <w:rsid w:val="472F30D2"/>
    <w:rsid w:val="474A01A8"/>
    <w:rsid w:val="47671046"/>
    <w:rsid w:val="47D72FCD"/>
    <w:rsid w:val="47F67EA2"/>
    <w:rsid w:val="4812552C"/>
    <w:rsid w:val="48CF521D"/>
    <w:rsid w:val="490716B0"/>
    <w:rsid w:val="4A900B67"/>
    <w:rsid w:val="4A911B39"/>
    <w:rsid w:val="4B0056E5"/>
    <w:rsid w:val="4C501148"/>
    <w:rsid w:val="4C750CD1"/>
    <w:rsid w:val="4C8501FA"/>
    <w:rsid w:val="4D603A69"/>
    <w:rsid w:val="4D6E4C5A"/>
    <w:rsid w:val="4DAC3FBB"/>
    <w:rsid w:val="4E8F1962"/>
    <w:rsid w:val="4F155E63"/>
    <w:rsid w:val="4FDC7852"/>
    <w:rsid w:val="50300555"/>
    <w:rsid w:val="50603F05"/>
    <w:rsid w:val="50B87750"/>
    <w:rsid w:val="514603CB"/>
    <w:rsid w:val="519E2E63"/>
    <w:rsid w:val="520533FB"/>
    <w:rsid w:val="521051B6"/>
    <w:rsid w:val="530529E4"/>
    <w:rsid w:val="54894DEE"/>
    <w:rsid w:val="55186629"/>
    <w:rsid w:val="55BE2CCC"/>
    <w:rsid w:val="570D1A16"/>
    <w:rsid w:val="577053BD"/>
    <w:rsid w:val="57931EA9"/>
    <w:rsid w:val="57A6582E"/>
    <w:rsid w:val="57D56DE4"/>
    <w:rsid w:val="58554CB7"/>
    <w:rsid w:val="589C176E"/>
    <w:rsid w:val="596B4060"/>
    <w:rsid w:val="59DE383D"/>
    <w:rsid w:val="5A311693"/>
    <w:rsid w:val="5A712E86"/>
    <w:rsid w:val="5B8D43F0"/>
    <w:rsid w:val="5BEE3F7C"/>
    <w:rsid w:val="5CA96F2F"/>
    <w:rsid w:val="5D14403F"/>
    <w:rsid w:val="5DFA5F70"/>
    <w:rsid w:val="5E1E66DC"/>
    <w:rsid w:val="5E742AD8"/>
    <w:rsid w:val="5EF265EB"/>
    <w:rsid w:val="5F901888"/>
    <w:rsid w:val="5FD15884"/>
    <w:rsid w:val="60462F5E"/>
    <w:rsid w:val="60595D3A"/>
    <w:rsid w:val="60863B5C"/>
    <w:rsid w:val="60880698"/>
    <w:rsid w:val="609F702C"/>
    <w:rsid w:val="61730992"/>
    <w:rsid w:val="61AB47F2"/>
    <w:rsid w:val="61FC4E28"/>
    <w:rsid w:val="62121814"/>
    <w:rsid w:val="62791D4B"/>
    <w:rsid w:val="62D96000"/>
    <w:rsid w:val="63E23618"/>
    <w:rsid w:val="63E975F8"/>
    <w:rsid w:val="648F1CFA"/>
    <w:rsid w:val="656D07F8"/>
    <w:rsid w:val="65840B4F"/>
    <w:rsid w:val="65C73B99"/>
    <w:rsid w:val="6642746F"/>
    <w:rsid w:val="66E8475E"/>
    <w:rsid w:val="68CD2DF1"/>
    <w:rsid w:val="68ED4D1C"/>
    <w:rsid w:val="69F44880"/>
    <w:rsid w:val="6AD44D57"/>
    <w:rsid w:val="6B460B8C"/>
    <w:rsid w:val="6D5D6493"/>
    <w:rsid w:val="6D975F80"/>
    <w:rsid w:val="6E0D7A9C"/>
    <w:rsid w:val="6E373BED"/>
    <w:rsid w:val="6E8E7242"/>
    <w:rsid w:val="6F0304B5"/>
    <w:rsid w:val="6F2D3D6B"/>
    <w:rsid w:val="6F3E4930"/>
    <w:rsid w:val="6F8419C6"/>
    <w:rsid w:val="6FD01098"/>
    <w:rsid w:val="701D6617"/>
    <w:rsid w:val="70F44DB6"/>
    <w:rsid w:val="71514CEC"/>
    <w:rsid w:val="71C011DC"/>
    <w:rsid w:val="71EC1C25"/>
    <w:rsid w:val="7308721C"/>
    <w:rsid w:val="7324525B"/>
    <w:rsid w:val="739772EE"/>
    <w:rsid w:val="73DB080D"/>
    <w:rsid w:val="741E5AB1"/>
    <w:rsid w:val="742D5A90"/>
    <w:rsid w:val="749C2CC3"/>
    <w:rsid w:val="75C96439"/>
    <w:rsid w:val="764A7FEE"/>
    <w:rsid w:val="766E17DB"/>
    <w:rsid w:val="76924763"/>
    <w:rsid w:val="7696711C"/>
    <w:rsid w:val="76E40E5C"/>
    <w:rsid w:val="77177EC8"/>
    <w:rsid w:val="775A2CD1"/>
    <w:rsid w:val="783B3685"/>
    <w:rsid w:val="78812509"/>
    <w:rsid w:val="794E5C13"/>
    <w:rsid w:val="79800315"/>
    <w:rsid w:val="79C55D56"/>
    <w:rsid w:val="7A1F0C9C"/>
    <w:rsid w:val="7A4E4189"/>
    <w:rsid w:val="7B3C7D63"/>
    <w:rsid w:val="7B9120F6"/>
    <w:rsid w:val="7BA50BFC"/>
    <w:rsid w:val="7BD17279"/>
    <w:rsid w:val="7BF12762"/>
    <w:rsid w:val="7C405DB4"/>
    <w:rsid w:val="7D053C40"/>
    <w:rsid w:val="7D492462"/>
    <w:rsid w:val="7D9903CF"/>
    <w:rsid w:val="7EB048EF"/>
    <w:rsid w:val="7F091241"/>
    <w:rsid w:val="7F37578D"/>
    <w:rsid w:val="7F51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autoRedefine/>
    <w:qFormat/>
    <w:uiPriority w:val="0"/>
    <w:pPr>
      <w:spacing w:after="120"/>
    </w:pPr>
  </w:style>
  <w:style w:type="paragraph" w:styleId="6">
    <w:name w:val="toc 2"/>
    <w:basedOn w:val="1"/>
    <w:next w:val="1"/>
    <w:autoRedefine/>
    <w:qFormat/>
    <w:uiPriority w:val="0"/>
    <w:pPr>
      <w:ind w:left="210"/>
    </w:pPr>
    <w:rPr>
      <w:rFonts w:ascii="Calibri" w:hAnsi="Calibri"/>
      <w:smallCaps/>
    </w:rPr>
  </w:style>
  <w:style w:type="paragraph" w:styleId="7">
    <w:name w:val="Body Text Indent"/>
    <w:basedOn w:val="1"/>
    <w:autoRedefine/>
    <w:qFormat/>
    <w:uiPriority w:val="0"/>
    <w:pPr>
      <w:ind w:firstLine="178" w:firstLineChars="178"/>
    </w:pPr>
    <w:rPr>
      <w:sz w:val="2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eastAsia="新宋体"/>
      <w:color w:val="000000"/>
      <w:kern w:val="0"/>
      <w:sz w:val="24"/>
    </w:rPr>
  </w:style>
  <w:style w:type="table" w:styleId="12">
    <w:name w:val="Table Grid"/>
    <w:basedOn w:val="11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qFormat/>
    <w:uiPriority w:val="0"/>
  </w:style>
  <w:style w:type="character" w:styleId="15">
    <w:name w:val="Hyperlink"/>
    <w:basedOn w:val="13"/>
    <w:autoRedefine/>
    <w:qFormat/>
    <w:uiPriority w:val="0"/>
    <w:rPr>
      <w:color w:val="0000FF"/>
      <w:u w:val="single"/>
    </w:rPr>
  </w:style>
  <w:style w:type="paragraph" w:customStyle="1" w:styleId="16">
    <w:name w:val="标题3"/>
    <w:basedOn w:val="1"/>
    <w:next w:val="3"/>
    <w:autoRedefine/>
    <w:qFormat/>
    <w:uiPriority w:val="0"/>
    <w:pPr>
      <w:adjustRightInd w:val="0"/>
      <w:spacing w:line="360" w:lineRule="auto"/>
    </w:pPr>
    <w:rPr>
      <w:rFonts w:ascii="Arial" w:hAnsi="Arial" w:eastAsia="黑体"/>
      <w:sz w:val="28"/>
      <w:szCs w:val="28"/>
    </w:r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2491</Words>
  <Characters>2668</Characters>
  <Lines>23</Lines>
  <Paragraphs>6</Paragraphs>
  <TotalTime>63</TotalTime>
  <ScaleCrop>false</ScaleCrop>
  <LinksUpToDate>false</LinksUpToDate>
  <CharactersWithSpaces>2692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2013-12-13T14:08:00Z</dcterms:created>
  <dc:creator>oppo</dc:creator>
  <cp:lastModifiedBy>青云城</cp:lastModifiedBy>
  <cp:lastPrinted>2021-08-21T08:29:00Z</cp:lastPrinted>
  <dcterms:modified xsi:type="dcterms:W3CDTF">2025-07-09T01:29:29Z</dcterms:modified>
  <dc:title>江阴市实验小学北校区景观工程--清单编制总说明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BFEFD7A1459C4E058DCC1238A5AB2A61</vt:lpwstr>
  </property>
  <property fmtid="{D5CDD505-2E9C-101B-9397-08002B2CF9AE}" pid="4" name="KSOTemplateDocerSaveRecord">
    <vt:lpwstr>eyJoZGlkIjoiMzg0Y2FjNmUyMTU3OGI5MjZlZmIzZDRhYzEyYzE2YWMiLCJ1c2VySWQiOiI3NDY0OTcwNDIifQ==</vt:lpwstr>
  </property>
</Properties>
</file>