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03780">
      <w:pPr>
        <w:snapToGrid w:val="0"/>
        <w:spacing w:line="440" w:lineRule="atLeast"/>
        <w:ind w:firstLine="465"/>
        <w:jc w:val="center"/>
        <w:rPr>
          <w:rFonts w:ascii="宋体" w:hAnsi="宋体"/>
          <w:b/>
          <w:color w:val="auto"/>
          <w:sz w:val="36"/>
          <w:szCs w:val="36"/>
          <w:highlight w:val="none"/>
          <w:lang w:val="zh-CN"/>
        </w:rPr>
      </w:pPr>
      <w:r>
        <w:rPr>
          <w:rFonts w:hint="eastAsia" w:ascii="宋体" w:hAnsi="宋体"/>
          <w:b/>
          <w:color w:val="auto"/>
          <w:sz w:val="36"/>
          <w:szCs w:val="36"/>
          <w:highlight w:val="none"/>
          <w:lang w:val="zh-CN"/>
        </w:rPr>
        <w:t>江阴市第一初级中学教室、办公室改造工程</w:t>
      </w:r>
    </w:p>
    <w:p w14:paraId="2EE62C71">
      <w:pPr>
        <w:snapToGrid w:val="0"/>
        <w:spacing w:line="440" w:lineRule="atLeast"/>
        <w:ind w:firstLine="465"/>
        <w:jc w:val="center"/>
        <w:rPr>
          <w:rFonts w:ascii="宋体" w:hAnsi="宋体"/>
          <w:b/>
          <w:color w:val="auto"/>
          <w:sz w:val="36"/>
          <w:szCs w:val="36"/>
          <w:highlight w:val="none"/>
          <w:lang w:val="zh-CN"/>
        </w:rPr>
      </w:pPr>
      <w:r>
        <w:rPr>
          <w:rFonts w:hint="eastAsia" w:ascii="宋体" w:hAnsi="宋体"/>
          <w:b/>
          <w:color w:val="auto"/>
          <w:sz w:val="36"/>
          <w:szCs w:val="36"/>
          <w:highlight w:val="none"/>
          <w:lang w:val="zh-CN"/>
        </w:rPr>
        <w:t>工程</w:t>
      </w:r>
      <w:r>
        <w:rPr>
          <w:rFonts w:hint="eastAsia" w:ascii="宋体" w:hAnsi="宋体"/>
          <w:b/>
          <w:color w:val="auto"/>
          <w:sz w:val="36"/>
          <w:szCs w:val="36"/>
          <w:highlight w:val="none"/>
          <w:lang w:val="en-US" w:eastAsia="zh-CN"/>
        </w:rPr>
        <w:t>清单</w:t>
      </w:r>
      <w:r>
        <w:rPr>
          <w:rFonts w:hint="eastAsia" w:ascii="宋体" w:hAnsi="宋体"/>
          <w:b/>
          <w:color w:val="auto"/>
          <w:sz w:val="36"/>
          <w:szCs w:val="36"/>
          <w:highlight w:val="none"/>
          <w:lang w:val="zh-CN"/>
        </w:rPr>
        <w:t>编制说明</w:t>
      </w:r>
    </w:p>
    <w:p w14:paraId="5E8DD88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工程概况：</w:t>
      </w:r>
    </w:p>
    <w:p w14:paraId="411A7560">
      <w:pPr>
        <w:snapToGrid w:val="0"/>
        <w:spacing w:line="440" w:lineRule="atLeast"/>
        <w:ind w:left="479" w:leftChars="228"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zh-CN" w:eastAsia="zh-CN"/>
        </w:rPr>
        <w:t>江阴市第一初级中学教室、办公室改造工程</w:t>
      </w:r>
      <w:r>
        <w:rPr>
          <w:rFonts w:hint="eastAsia" w:ascii="宋体" w:hAnsi="宋体" w:cs="宋体"/>
          <w:bCs/>
          <w:color w:val="auto"/>
          <w:sz w:val="24"/>
          <w:highlight w:val="none"/>
          <w:lang w:val="en-US" w:eastAsia="zh-CN"/>
        </w:rPr>
        <w:t>，位于</w:t>
      </w:r>
      <w:r>
        <w:rPr>
          <w:rFonts w:hint="default" w:ascii="宋体" w:hAnsi="宋体" w:cs="宋体"/>
          <w:bCs/>
          <w:color w:val="auto"/>
          <w:sz w:val="24"/>
          <w:highlight w:val="none"/>
          <w:lang w:val="zh-CN" w:eastAsia="zh-CN"/>
        </w:rPr>
        <w:t>江阴市黄山路199号</w:t>
      </w:r>
      <w:r>
        <w:rPr>
          <w:rFonts w:hint="eastAsia" w:ascii="宋体" w:hAnsi="宋体" w:cs="宋体"/>
          <w:bCs/>
          <w:color w:val="auto"/>
          <w:sz w:val="24"/>
          <w:highlight w:val="none"/>
          <w:lang w:val="en-US" w:eastAsia="zh-CN"/>
        </w:rPr>
        <w:t>范围内。</w:t>
      </w:r>
      <w:r>
        <w:rPr>
          <w:rFonts w:hint="eastAsia" w:ascii="宋体" w:hAnsi="宋体" w:cs="宋体"/>
          <w:bCs/>
          <w:color w:val="auto"/>
          <w:sz w:val="24"/>
          <w:highlight w:val="none"/>
          <w:lang w:val="zh-CN" w:eastAsia="zh-CN"/>
        </w:rPr>
        <w:t>本项目包括</w:t>
      </w:r>
      <w:r>
        <w:rPr>
          <w:rFonts w:hint="eastAsia" w:ascii="宋体" w:hAnsi="宋体" w:cs="宋体"/>
          <w:bCs/>
          <w:color w:val="auto"/>
          <w:sz w:val="24"/>
          <w:highlight w:val="none"/>
          <w:lang w:val="en-US" w:eastAsia="zh-CN"/>
        </w:rPr>
        <w:t>土建、拆除、装饰、安装等工程</w:t>
      </w:r>
      <w:r>
        <w:rPr>
          <w:rFonts w:hint="eastAsia" w:ascii="宋体" w:hAnsi="宋体" w:cs="宋体"/>
          <w:bCs/>
          <w:color w:val="auto"/>
          <w:sz w:val="24"/>
          <w:highlight w:val="none"/>
          <w:lang w:val="zh-CN" w:eastAsia="zh-CN"/>
        </w:rPr>
        <w:t>，</w:t>
      </w:r>
      <w:r>
        <w:rPr>
          <w:rFonts w:hint="eastAsia" w:ascii="宋体" w:hAnsi="宋体" w:cs="宋体"/>
          <w:bCs/>
          <w:color w:val="auto"/>
          <w:sz w:val="24"/>
          <w:highlight w:val="none"/>
          <w:lang w:val="en-US" w:eastAsia="zh-CN"/>
        </w:rPr>
        <w:t>主要情况如下：</w:t>
      </w:r>
    </w:p>
    <w:p w14:paraId="3E5A2939">
      <w:pPr>
        <w:snapToGrid w:val="0"/>
        <w:spacing w:line="440" w:lineRule="atLeast"/>
        <w:ind w:left="479" w:leftChars="228"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江阴市第一初级中学教室、办公室改造，为初一、初三楼架空区域及教师办公室改造，包括：</w:t>
      </w:r>
    </w:p>
    <w:p w14:paraId="21950FB0">
      <w:pPr>
        <w:numPr>
          <w:ilvl w:val="0"/>
          <w:numId w:val="2"/>
        </w:numPr>
        <w:snapToGrid w:val="0"/>
        <w:spacing w:line="440" w:lineRule="atLeast"/>
        <w:ind w:left="479" w:leftChars="228"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架空区域新建钢结构架空层约120m2、配套的楼顶地面装饰、门窗隔断、水电、空调设备安装以及以上内容配套的土建加固、拆除、垃圾清运的一切内容；</w:t>
      </w:r>
    </w:p>
    <w:p w14:paraId="3CF858F4">
      <w:pPr>
        <w:numPr>
          <w:ilvl w:val="0"/>
          <w:numId w:val="2"/>
        </w:numPr>
        <w:snapToGrid w:val="0"/>
        <w:spacing w:line="440" w:lineRule="atLeast"/>
        <w:ind w:left="479" w:leftChars="228" w:firstLine="480" w:firstLineChars="200"/>
        <w:rPr>
          <w:rFonts w:hint="eastAsia"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教室办公室扩班改造共三间，包括内部墙面出新、讲台改造、附墙矮柜安装、电路改造等一切内容。</w:t>
      </w:r>
    </w:p>
    <w:p w14:paraId="16FF11C1">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招标范围：</w:t>
      </w:r>
    </w:p>
    <w:p w14:paraId="112A3676">
      <w:pPr>
        <w:numPr>
          <w:ilvl w:val="0"/>
          <w:numId w:val="3"/>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拟建《江阴市第一初级中学教室、办公室改造工程》</w:t>
      </w:r>
      <w:r>
        <w:rPr>
          <w:rFonts w:hint="eastAsia" w:ascii="宋体" w:hAnsi="宋体" w:cs="宋体"/>
          <w:bCs/>
          <w:color w:val="auto"/>
          <w:sz w:val="24"/>
          <w:highlight w:val="none"/>
        </w:rPr>
        <w:t>工程量清单</w:t>
      </w:r>
      <w:r>
        <w:rPr>
          <w:rFonts w:hint="eastAsia" w:ascii="宋体" w:hAnsi="宋体" w:cs="宋体"/>
          <w:bCs/>
          <w:color w:val="auto"/>
          <w:sz w:val="24"/>
          <w:highlight w:val="none"/>
          <w:lang w:val="zh-CN"/>
        </w:rPr>
        <w:t>中的所有工程，</w:t>
      </w:r>
      <w:r>
        <w:rPr>
          <w:rFonts w:hint="eastAsia" w:ascii="宋体" w:hAnsi="宋体" w:cs="宋体"/>
          <w:bCs/>
          <w:color w:val="auto"/>
          <w:sz w:val="24"/>
          <w:highlight w:val="none"/>
        </w:rPr>
        <w:t>包括</w:t>
      </w:r>
      <w:r>
        <w:rPr>
          <w:rFonts w:hint="eastAsia" w:ascii="宋体" w:hAnsi="宋体" w:cs="宋体"/>
          <w:bCs/>
          <w:color w:val="auto"/>
          <w:sz w:val="24"/>
          <w:highlight w:val="none"/>
          <w:lang w:val="en-US" w:eastAsia="zh-CN"/>
        </w:rPr>
        <w:t>土建、拆除、</w:t>
      </w:r>
      <w:r>
        <w:rPr>
          <w:rFonts w:hint="eastAsia" w:ascii="宋体" w:hAnsi="宋体" w:cs="宋体"/>
          <w:bCs/>
          <w:color w:val="auto"/>
          <w:sz w:val="24"/>
          <w:highlight w:val="none"/>
        </w:rPr>
        <w:t>装饰</w:t>
      </w:r>
      <w:r>
        <w:rPr>
          <w:rFonts w:hint="eastAsia" w:ascii="宋体" w:hAnsi="宋体" w:cs="宋体"/>
          <w:bCs/>
          <w:color w:val="auto"/>
          <w:sz w:val="24"/>
          <w:highlight w:val="none"/>
          <w:lang w:val="en-US" w:eastAsia="zh-CN"/>
        </w:rPr>
        <w:t>、水电、暖通</w:t>
      </w:r>
      <w:r>
        <w:rPr>
          <w:rFonts w:hint="eastAsia" w:ascii="宋体" w:hAnsi="宋体" w:cs="宋体"/>
          <w:bCs/>
          <w:color w:val="auto"/>
          <w:sz w:val="24"/>
          <w:highlight w:val="none"/>
        </w:rPr>
        <w:t>等</w:t>
      </w:r>
      <w:r>
        <w:rPr>
          <w:rFonts w:hint="eastAsia" w:ascii="宋体" w:hAnsi="宋体" w:cs="宋体"/>
          <w:bCs/>
          <w:color w:val="auto"/>
          <w:sz w:val="24"/>
          <w:highlight w:val="none"/>
          <w:lang w:val="zh-CN"/>
        </w:rPr>
        <w:t>。</w:t>
      </w:r>
    </w:p>
    <w:p w14:paraId="47AAFC53">
      <w:pPr>
        <w:numPr>
          <w:ilvl w:val="0"/>
          <w:numId w:val="3"/>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以下工程不包括在本次工程量清单范围内：清单及改造</w:t>
      </w:r>
      <w:r>
        <w:rPr>
          <w:rFonts w:hint="eastAsia" w:ascii="宋体" w:hAnsi="宋体" w:cs="宋体"/>
          <w:bCs/>
          <w:color w:val="auto"/>
          <w:sz w:val="24"/>
          <w:highlight w:val="none"/>
        </w:rPr>
        <w:t>图纸</w:t>
      </w:r>
      <w:r>
        <w:rPr>
          <w:rFonts w:hint="eastAsia" w:ascii="宋体" w:hAnsi="宋体" w:cs="宋体"/>
          <w:bCs/>
          <w:color w:val="auto"/>
          <w:sz w:val="24"/>
          <w:highlight w:val="none"/>
          <w:lang w:val="zh-CN"/>
        </w:rPr>
        <w:t>方案上没有的内容，</w:t>
      </w:r>
      <w:r>
        <w:rPr>
          <w:rFonts w:hint="eastAsia" w:ascii="宋体" w:hAnsi="宋体" w:cs="宋体"/>
          <w:bCs/>
          <w:color w:val="auto"/>
          <w:sz w:val="24"/>
          <w:highlight w:val="none"/>
          <w:lang w:val="en-US" w:eastAsia="zh-CN"/>
        </w:rPr>
        <w:t>包括老旧家具搬运、智慧教学设备安装、护眼灯安装、校园文化建设等</w:t>
      </w:r>
      <w:r>
        <w:rPr>
          <w:rFonts w:hint="eastAsia" w:ascii="宋体" w:hAnsi="宋体" w:cs="宋体"/>
          <w:bCs/>
          <w:color w:val="auto"/>
          <w:sz w:val="24"/>
          <w:highlight w:val="none"/>
          <w:lang w:val="zh-CN"/>
        </w:rPr>
        <w:t>。</w:t>
      </w:r>
    </w:p>
    <w:p w14:paraId="3348F407">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编制依据：</w:t>
      </w:r>
    </w:p>
    <w:p w14:paraId="7331E510">
      <w:pPr>
        <w:numPr>
          <w:ilvl w:val="0"/>
          <w:numId w:val="4"/>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cs="宋体"/>
          <w:bCs/>
          <w:color w:val="auto"/>
          <w:kern w:val="2"/>
          <w:sz w:val="24"/>
          <w:szCs w:val="24"/>
          <w:highlight w:val="none"/>
          <w:lang w:val="zh-CN" w:eastAsia="zh-CN" w:bidi="ar-SA"/>
        </w:rPr>
        <w:t>江阴市第一初级中学教室、办公室改造工程</w:t>
      </w:r>
      <w:r>
        <w:rPr>
          <w:rFonts w:hint="eastAsia" w:ascii="宋体" w:hAnsi="宋体" w:eastAsia="宋体" w:cs="宋体"/>
          <w:bCs/>
          <w:color w:val="auto"/>
          <w:kern w:val="2"/>
          <w:sz w:val="24"/>
          <w:szCs w:val="24"/>
          <w:highlight w:val="none"/>
          <w:lang w:val="zh-CN" w:eastAsia="zh-CN" w:bidi="ar-SA"/>
        </w:rPr>
        <w:t>招标文件；</w:t>
      </w:r>
    </w:p>
    <w:p w14:paraId="387C45E4">
      <w:pPr>
        <w:numPr>
          <w:ilvl w:val="0"/>
          <w:numId w:val="4"/>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eastAsia="宋体" w:cs="宋体"/>
          <w:bCs/>
          <w:color w:val="auto"/>
          <w:kern w:val="2"/>
          <w:sz w:val="24"/>
          <w:szCs w:val="24"/>
          <w:highlight w:val="none"/>
          <w:lang w:val="zh-CN" w:eastAsia="zh-CN" w:bidi="ar-SA"/>
        </w:rPr>
        <w:t>由建设单位提供的</w:t>
      </w:r>
      <w:r>
        <w:rPr>
          <w:rFonts w:hint="eastAsia" w:ascii="宋体" w:hAnsi="宋体" w:cs="宋体"/>
          <w:bCs/>
          <w:color w:val="auto"/>
          <w:kern w:val="2"/>
          <w:sz w:val="24"/>
          <w:szCs w:val="24"/>
          <w:highlight w:val="none"/>
          <w:lang w:val="en-US" w:eastAsia="zh-CN" w:bidi="ar-SA"/>
        </w:rPr>
        <w:t>由江苏迪森建筑设计有限公司设计的</w:t>
      </w:r>
      <w:r>
        <w:rPr>
          <w:rFonts w:hint="eastAsia" w:ascii="宋体" w:hAnsi="宋体" w:eastAsia="宋体" w:cs="宋体"/>
          <w:bCs/>
          <w:color w:val="auto"/>
          <w:kern w:val="2"/>
          <w:sz w:val="24"/>
          <w:szCs w:val="24"/>
          <w:highlight w:val="none"/>
          <w:lang w:val="zh-CN" w:eastAsia="zh-CN" w:bidi="ar-SA"/>
        </w:rPr>
        <w:t>改造</w:t>
      </w:r>
      <w:r>
        <w:rPr>
          <w:rFonts w:hint="eastAsia" w:ascii="宋体" w:hAnsi="宋体" w:eastAsia="宋体" w:cs="宋体"/>
          <w:bCs/>
          <w:color w:val="auto"/>
          <w:kern w:val="2"/>
          <w:sz w:val="24"/>
          <w:szCs w:val="24"/>
          <w:highlight w:val="none"/>
          <w:lang w:val="en-US" w:eastAsia="zh-CN" w:bidi="ar-SA"/>
        </w:rPr>
        <w:t>图纸</w:t>
      </w:r>
      <w:r>
        <w:rPr>
          <w:rFonts w:hint="eastAsia" w:ascii="宋体" w:hAnsi="宋体" w:eastAsia="宋体" w:cs="宋体"/>
          <w:bCs/>
          <w:color w:val="auto"/>
          <w:kern w:val="2"/>
          <w:sz w:val="24"/>
          <w:szCs w:val="24"/>
          <w:highlight w:val="none"/>
          <w:lang w:val="zh-CN" w:eastAsia="zh-CN" w:bidi="ar-SA"/>
        </w:rPr>
        <w:t>方案结合现场踏勘情况；</w:t>
      </w:r>
    </w:p>
    <w:p w14:paraId="56B3B7A5">
      <w:pPr>
        <w:numPr>
          <w:ilvl w:val="0"/>
          <w:numId w:val="4"/>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清单依据：</w:t>
      </w:r>
    </w:p>
    <w:p w14:paraId="1CAA367C">
      <w:pPr>
        <w:tabs>
          <w:tab w:val="left" w:pos="425"/>
        </w:tabs>
        <w:spacing w:line="440" w:lineRule="exact"/>
        <w:ind w:left="420" w:right="25" w:rightChars="12" w:firstLine="240" w:firstLineChars="100"/>
        <w:rPr>
          <w:rFonts w:ascii="宋体" w:hAnsi="宋体" w:cs="宋体"/>
          <w:bCs/>
          <w:color w:val="auto"/>
          <w:sz w:val="24"/>
          <w:highlight w:val="none"/>
        </w:rPr>
      </w:pPr>
      <w:r>
        <w:rPr>
          <w:rFonts w:hint="eastAsia" w:ascii="宋体" w:hAnsi="宋体" w:cs="宋体"/>
          <w:bCs/>
          <w:color w:val="auto"/>
          <w:sz w:val="24"/>
          <w:highlight w:val="none"/>
        </w:rPr>
        <w:t>（1）《建设工程工程量清单计价规范》（GB50500-2013）；</w:t>
      </w:r>
    </w:p>
    <w:p w14:paraId="49485A62">
      <w:pPr>
        <w:tabs>
          <w:tab w:val="left" w:pos="425"/>
        </w:tabs>
        <w:spacing w:line="440" w:lineRule="exact"/>
        <w:ind w:left="420" w:right="25" w:rightChars="12" w:firstLine="240" w:firstLineChars="100"/>
        <w:rPr>
          <w:rFonts w:ascii="宋体" w:hAnsi="宋体"/>
          <w:color w:val="auto"/>
          <w:sz w:val="24"/>
          <w:highlight w:val="none"/>
        </w:rPr>
      </w:pPr>
      <w:r>
        <w:rPr>
          <w:rFonts w:hint="eastAsia" w:ascii="宋体" w:hAnsi="宋体" w:cs="宋体"/>
          <w:bCs/>
          <w:color w:val="auto"/>
          <w:sz w:val="24"/>
          <w:highlight w:val="none"/>
        </w:rPr>
        <w:t>（2）</w:t>
      </w:r>
      <w:r>
        <w:rPr>
          <w:rFonts w:hint="eastAsia" w:ascii="宋体" w:hAnsi="宋体"/>
          <w:color w:val="auto"/>
          <w:sz w:val="24"/>
          <w:highlight w:val="none"/>
        </w:rPr>
        <w:t>《房屋建筑与装饰工程工程量计算规范》（GB50854-2013）</w:t>
      </w:r>
      <w:r>
        <w:rPr>
          <w:rFonts w:hint="eastAsia" w:ascii="宋体" w:hAnsi="宋体" w:cs="宋体"/>
          <w:color w:val="auto"/>
          <w:sz w:val="24"/>
          <w:highlight w:val="none"/>
        </w:rPr>
        <w:t>；</w:t>
      </w:r>
    </w:p>
    <w:p w14:paraId="7DA9F7E3">
      <w:pPr>
        <w:tabs>
          <w:tab w:val="left" w:pos="425"/>
        </w:tabs>
        <w:spacing w:line="440" w:lineRule="exact"/>
        <w:ind w:left="420" w:right="25" w:rightChars="12" w:firstLine="240" w:firstLineChars="100"/>
        <w:rPr>
          <w:rFonts w:hint="eastAsia" w:ascii="宋体" w:hAnsi="宋体" w:eastAsia="宋体" w:cs="宋体"/>
          <w:color w:val="auto"/>
          <w:kern w:val="0"/>
          <w:sz w:val="24"/>
          <w:highlight w:val="none"/>
          <w:lang w:val="en-US" w:eastAsia="zh-CN"/>
        </w:rPr>
      </w:pPr>
      <w:r>
        <w:rPr>
          <w:rFonts w:hint="eastAsia" w:ascii="宋体" w:hAnsi="宋体"/>
          <w:color w:val="auto"/>
          <w:sz w:val="24"/>
          <w:highlight w:val="none"/>
        </w:rPr>
        <w:t>（3）</w:t>
      </w:r>
      <w:r>
        <w:rPr>
          <w:rFonts w:hint="eastAsia" w:ascii="宋体" w:hAnsi="宋体" w:cs="宋体"/>
          <w:color w:val="auto"/>
          <w:kern w:val="0"/>
          <w:sz w:val="24"/>
          <w:highlight w:val="none"/>
        </w:rPr>
        <w:t>《通用安装工程工程量计算规范》（GB50856-2013）</w:t>
      </w:r>
      <w:r>
        <w:rPr>
          <w:rFonts w:hint="eastAsia" w:ascii="宋体" w:hAnsi="宋体" w:cs="宋体"/>
          <w:color w:val="auto"/>
          <w:kern w:val="0"/>
          <w:sz w:val="24"/>
          <w:highlight w:val="none"/>
          <w:lang w:eastAsia="zh-CN"/>
        </w:rPr>
        <w:t>。</w:t>
      </w:r>
    </w:p>
    <w:p w14:paraId="42229367">
      <w:pPr>
        <w:numPr>
          <w:ilvl w:val="0"/>
          <w:numId w:val="4"/>
        </w:numPr>
        <w:tabs>
          <w:tab w:val="left" w:pos="425"/>
          <w:tab w:val="clear" w:pos="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rPr>
        <w:t>政策性文件：</w:t>
      </w:r>
    </w:p>
    <w:p w14:paraId="0444C6C7">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（1）</w:t>
      </w:r>
      <w:r>
        <w:rPr>
          <w:rFonts w:hint="eastAsia" w:ascii="宋体" w:hAnsi="宋体" w:cs="宋体"/>
          <w:bCs/>
          <w:color w:val="auto"/>
          <w:sz w:val="24"/>
          <w:highlight w:val="none"/>
          <w:lang w:val="zh-CN"/>
        </w:rPr>
        <w:t>本工程按锡建建市【2019】7号文有关增值税计价政策进行调整；</w:t>
      </w:r>
    </w:p>
    <w:p w14:paraId="400A2506">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（2）</w:t>
      </w:r>
      <w:r>
        <w:rPr>
          <w:rFonts w:hint="eastAsia" w:ascii="宋体" w:hAnsi="宋体" w:cs="宋体"/>
          <w:bCs/>
          <w:color w:val="auto"/>
          <w:sz w:val="24"/>
          <w:highlight w:val="none"/>
          <w:lang w:val="zh-CN"/>
        </w:rPr>
        <w:t>本工程按锡建建市【2018】17号文计算扬尘污染防治增加费。</w:t>
      </w:r>
    </w:p>
    <w:p w14:paraId="0D080C7A">
      <w:pPr>
        <w:numPr>
          <w:ilvl w:val="0"/>
          <w:numId w:val="4"/>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施工规范按照现行的施工规范和操作规程；</w:t>
      </w:r>
    </w:p>
    <w:p w14:paraId="0CF92248">
      <w:pPr>
        <w:numPr>
          <w:ilvl w:val="0"/>
          <w:numId w:val="4"/>
        </w:numPr>
        <w:tabs>
          <w:tab w:val="left" w:pos="42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本工程量清单应与招标文件、投标须知、工程规范、清单计价规范及相关文件等一起使用。</w:t>
      </w:r>
    </w:p>
    <w:p w14:paraId="2EEF825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工程类别：</w:t>
      </w:r>
      <w:r>
        <w:rPr>
          <w:rFonts w:hint="eastAsia" w:ascii="宋体" w:hAnsi="宋体" w:cs="宋体"/>
          <w:b w:val="0"/>
          <w:bCs/>
          <w:color w:val="auto"/>
          <w:sz w:val="24"/>
          <w:highlight w:val="none"/>
          <w:lang w:val="en-US" w:eastAsia="zh-CN"/>
        </w:rPr>
        <w:t>建筑工程</w:t>
      </w:r>
    </w:p>
    <w:p w14:paraId="04CB8FC5">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工程质量要求：</w:t>
      </w:r>
      <w:r>
        <w:rPr>
          <w:rFonts w:hint="eastAsia" w:asciiTheme="minorEastAsia" w:hAnsiTheme="minorEastAsia" w:eastAsiaTheme="minorEastAsia" w:cstheme="minorEastAsia"/>
          <w:b/>
          <w:bCs/>
          <w:color w:val="auto"/>
          <w:sz w:val="24"/>
          <w:szCs w:val="24"/>
          <w:highlight w:val="none"/>
        </w:rPr>
        <w:t>按招标文件</w:t>
      </w:r>
    </w:p>
    <w:p w14:paraId="63606A14">
      <w:pPr>
        <w:numPr>
          <w:ilvl w:val="0"/>
          <w:numId w:val="1"/>
        </w:numPr>
        <w:snapToGrid w:val="0"/>
        <w:spacing w:line="440" w:lineRule="atLeast"/>
        <w:rPr>
          <w:rFonts w:hint="eastAsia" w:ascii="宋体" w:hAnsi="宋体" w:cs="宋体"/>
          <w:bCs/>
          <w:color w:val="auto"/>
          <w:sz w:val="24"/>
          <w:highlight w:val="none"/>
          <w:lang w:val="zh-CN"/>
        </w:rPr>
      </w:pPr>
      <w:r>
        <w:rPr>
          <w:rFonts w:hint="eastAsia" w:ascii="宋体" w:hAnsi="宋体" w:cs="宋体"/>
          <w:b/>
          <w:color w:val="auto"/>
          <w:sz w:val="24"/>
          <w:highlight w:val="none"/>
          <w:lang w:val="zh-CN"/>
        </w:rPr>
        <w:t>工期要求</w:t>
      </w:r>
      <w:r>
        <w:rPr>
          <w:rFonts w:hint="eastAsia" w:ascii="宋体" w:hAnsi="宋体" w:cs="宋体"/>
          <w:b/>
          <w:color w:val="auto"/>
          <w:sz w:val="28"/>
          <w:szCs w:val="28"/>
          <w:highlight w:val="none"/>
          <w:lang w:val="zh-CN"/>
        </w:rPr>
        <w:t>：</w:t>
      </w:r>
      <w:r>
        <w:rPr>
          <w:rFonts w:hint="eastAsia" w:asciiTheme="minorEastAsia" w:hAnsiTheme="minorEastAsia" w:eastAsiaTheme="minorEastAsia" w:cstheme="minorEastAsia"/>
          <w:b/>
          <w:bCs/>
          <w:color w:val="auto"/>
          <w:sz w:val="24"/>
          <w:szCs w:val="24"/>
          <w:highlight w:val="none"/>
        </w:rPr>
        <w:t>按招标文件</w:t>
      </w:r>
    </w:p>
    <w:tbl>
      <w:tblPr>
        <w:tblStyle w:val="10"/>
        <w:tblpPr w:leftFromText="180" w:rightFromText="180" w:vertAnchor="text" w:horzAnchor="page" w:tblpX="1062" w:tblpY="651"/>
        <w:tblOverlap w:val="never"/>
        <w:tblW w:w="0" w:type="auto"/>
        <w:tblInd w:w="0" w:type="dxa"/>
        <w:tblLayout w:type="fixed"/>
        <w:tblCellMar>
          <w:top w:w="0" w:type="dxa"/>
          <w:left w:w="108" w:type="dxa"/>
          <w:bottom w:w="0" w:type="dxa"/>
          <w:right w:w="108" w:type="dxa"/>
        </w:tblCellMar>
      </w:tblPr>
      <w:tblGrid>
        <w:gridCol w:w="1701"/>
        <w:gridCol w:w="993"/>
        <w:gridCol w:w="1134"/>
        <w:gridCol w:w="1134"/>
        <w:gridCol w:w="1134"/>
        <w:gridCol w:w="850"/>
        <w:gridCol w:w="851"/>
        <w:gridCol w:w="850"/>
        <w:gridCol w:w="1512"/>
      </w:tblGrid>
      <w:tr w14:paraId="2BA35F37">
        <w:tblPrEx>
          <w:tblCellMar>
            <w:top w:w="0" w:type="dxa"/>
            <w:left w:w="108" w:type="dxa"/>
            <w:bottom w:w="0" w:type="dxa"/>
            <w:right w:w="108" w:type="dxa"/>
          </w:tblCellMar>
        </w:tblPrEx>
        <w:trPr>
          <w:trHeight w:val="495" w:hRule="atLeast"/>
        </w:trPr>
        <w:tc>
          <w:tcPr>
            <w:tcW w:w="1701" w:type="dxa"/>
            <w:tcBorders>
              <w:top w:val="single" w:color="auto" w:sz="8" w:space="0"/>
              <w:left w:val="single" w:color="auto" w:sz="8" w:space="0"/>
              <w:bottom w:val="single" w:color="auto" w:sz="8" w:space="0"/>
              <w:right w:val="single" w:color="auto" w:sz="4" w:space="0"/>
            </w:tcBorders>
            <w:shd w:val="clear" w:color="auto" w:fill="E6E6E6"/>
            <w:noWrap/>
            <w:vAlign w:val="center"/>
          </w:tcPr>
          <w:p w14:paraId="30C27708">
            <w:pPr>
              <w:widowControl/>
              <w:jc w:val="center"/>
              <w:rPr>
                <w:rFonts w:ascii="宋体" w:cs="宋体"/>
                <w:color w:val="auto"/>
                <w:kern w:val="0"/>
                <w:szCs w:val="21"/>
                <w:highlight w:val="none"/>
              </w:rPr>
            </w:pPr>
            <w:r>
              <w:rPr>
                <w:rFonts w:hint="eastAsia" w:ascii="宋体" w:hAnsi="宋体" w:cs="宋体"/>
                <w:color w:val="auto"/>
                <w:kern w:val="0"/>
                <w:szCs w:val="21"/>
                <w:highlight w:val="none"/>
              </w:rPr>
              <w:t>序号</w:t>
            </w:r>
          </w:p>
        </w:tc>
        <w:tc>
          <w:tcPr>
            <w:tcW w:w="3261" w:type="dxa"/>
            <w:gridSpan w:val="3"/>
            <w:tcBorders>
              <w:top w:val="single" w:color="auto" w:sz="8" w:space="0"/>
              <w:left w:val="nil"/>
              <w:bottom w:val="single" w:color="auto" w:sz="8" w:space="0"/>
              <w:right w:val="single" w:color="auto" w:sz="4" w:space="0"/>
            </w:tcBorders>
            <w:shd w:val="clear" w:color="auto" w:fill="E6E6E6"/>
            <w:noWrap/>
            <w:vAlign w:val="center"/>
          </w:tcPr>
          <w:p w14:paraId="52CB19DA">
            <w:pPr>
              <w:widowControl/>
              <w:jc w:val="center"/>
              <w:rPr>
                <w:rFonts w:ascii="宋体" w:cs="宋体"/>
                <w:color w:val="auto"/>
                <w:kern w:val="0"/>
                <w:szCs w:val="21"/>
                <w:highlight w:val="none"/>
              </w:rPr>
            </w:pPr>
            <w:r>
              <w:rPr>
                <w:rFonts w:hint="eastAsia" w:ascii="宋体" w:hAnsi="宋体" w:cs="宋体"/>
                <w:color w:val="auto"/>
                <w:kern w:val="0"/>
                <w:szCs w:val="21"/>
                <w:highlight w:val="none"/>
              </w:rPr>
              <w:t>一</w:t>
            </w:r>
          </w:p>
        </w:tc>
        <w:tc>
          <w:tcPr>
            <w:tcW w:w="1134" w:type="dxa"/>
            <w:tcBorders>
              <w:top w:val="single" w:color="auto" w:sz="8" w:space="0"/>
              <w:left w:val="nil"/>
              <w:bottom w:val="single" w:color="auto" w:sz="8" w:space="0"/>
              <w:right w:val="single" w:color="auto" w:sz="4" w:space="0"/>
            </w:tcBorders>
            <w:shd w:val="clear" w:color="auto" w:fill="E6E6E6"/>
            <w:noWrap/>
            <w:vAlign w:val="center"/>
          </w:tcPr>
          <w:p w14:paraId="370D3433">
            <w:pPr>
              <w:widowControl/>
              <w:jc w:val="center"/>
              <w:rPr>
                <w:rFonts w:ascii="宋体" w:cs="宋体"/>
                <w:color w:val="auto"/>
                <w:kern w:val="0"/>
                <w:szCs w:val="21"/>
                <w:highlight w:val="none"/>
              </w:rPr>
            </w:pPr>
            <w:r>
              <w:rPr>
                <w:rFonts w:hint="eastAsia" w:ascii="宋体" w:hAnsi="宋体" w:cs="宋体"/>
                <w:color w:val="auto"/>
                <w:kern w:val="0"/>
                <w:szCs w:val="21"/>
                <w:highlight w:val="none"/>
              </w:rPr>
              <w:t>二</w:t>
            </w:r>
          </w:p>
        </w:tc>
        <w:tc>
          <w:tcPr>
            <w:tcW w:w="2551" w:type="dxa"/>
            <w:gridSpan w:val="3"/>
            <w:tcBorders>
              <w:top w:val="single" w:color="auto" w:sz="8" w:space="0"/>
              <w:left w:val="nil"/>
              <w:bottom w:val="single" w:color="auto" w:sz="8" w:space="0"/>
              <w:right w:val="single" w:color="auto" w:sz="4" w:space="0"/>
            </w:tcBorders>
            <w:shd w:val="clear" w:color="auto" w:fill="E6E6E6"/>
            <w:noWrap/>
            <w:vAlign w:val="center"/>
          </w:tcPr>
          <w:p w14:paraId="34732C5A">
            <w:pPr>
              <w:widowControl/>
              <w:jc w:val="center"/>
              <w:rPr>
                <w:rFonts w:ascii="宋体" w:cs="宋体"/>
                <w:color w:val="auto"/>
                <w:kern w:val="0"/>
                <w:szCs w:val="21"/>
                <w:highlight w:val="none"/>
              </w:rPr>
            </w:pPr>
            <w:r>
              <w:rPr>
                <w:rFonts w:ascii="宋体" w:cs="宋体"/>
                <w:color w:val="auto"/>
                <w:kern w:val="0"/>
                <w:szCs w:val="21"/>
                <w:highlight w:val="none"/>
              </w:rPr>
              <w:t>三</w:t>
            </w:r>
          </w:p>
        </w:tc>
        <w:tc>
          <w:tcPr>
            <w:tcW w:w="1512" w:type="dxa"/>
            <w:tcBorders>
              <w:top w:val="single" w:color="auto" w:sz="8" w:space="0"/>
              <w:left w:val="nil"/>
              <w:bottom w:val="single" w:color="auto" w:sz="8" w:space="0"/>
              <w:right w:val="single" w:color="auto" w:sz="8" w:space="0"/>
            </w:tcBorders>
            <w:shd w:val="clear" w:color="auto" w:fill="E6E6E6"/>
            <w:noWrap/>
            <w:vAlign w:val="center"/>
          </w:tcPr>
          <w:p w14:paraId="3E126EBC">
            <w:pPr>
              <w:widowControl/>
              <w:jc w:val="center"/>
              <w:rPr>
                <w:rFonts w:ascii="宋体" w:cs="宋体"/>
                <w:color w:val="auto"/>
                <w:kern w:val="0"/>
                <w:szCs w:val="21"/>
                <w:highlight w:val="none"/>
              </w:rPr>
            </w:pPr>
            <w:r>
              <w:rPr>
                <w:rFonts w:hint="eastAsia" w:ascii="宋体" w:hAnsi="宋体" w:cs="宋体"/>
                <w:color w:val="auto"/>
                <w:kern w:val="0"/>
                <w:szCs w:val="21"/>
                <w:highlight w:val="none"/>
              </w:rPr>
              <w:t>四</w:t>
            </w:r>
          </w:p>
        </w:tc>
      </w:tr>
      <w:tr w14:paraId="1B1D6B2C">
        <w:tblPrEx>
          <w:tblCellMar>
            <w:top w:w="0" w:type="dxa"/>
            <w:left w:w="108" w:type="dxa"/>
            <w:bottom w:w="0" w:type="dxa"/>
            <w:right w:w="108" w:type="dxa"/>
          </w:tblCellMar>
        </w:tblPrEx>
        <w:trPr>
          <w:trHeight w:val="355" w:hRule="atLeast"/>
        </w:trPr>
        <w:tc>
          <w:tcPr>
            <w:tcW w:w="1701" w:type="dxa"/>
            <w:vMerge w:val="restart"/>
            <w:tcBorders>
              <w:top w:val="single" w:color="auto" w:sz="8" w:space="0"/>
              <w:left w:val="single" w:color="auto" w:sz="8" w:space="0"/>
              <w:bottom w:val="single" w:color="auto" w:sz="8" w:space="0"/>
              <w:right w:val="single" w:color="auto" w:sz="8" w:space="0"/>
            </w:tcBorders>
            <w:noWrap/>
            <w:vAlign w:val="center"/>
          </w:tcPr>
          <w:p w14:paraId="225ED2B4">
            <w:pPr>
              <w:widowControl/>
              <w:jc w:val="center"/>
              <w:rPr>
                <w:rFonts w:ascii="宋体" w:cs="宋体"/>
                <w:color w:val="auto"/>
                <w:kern w:val="0"/>
                <w:szCs w:val="21"/>
                <w:highlight w:val="none"/>
              </w:rPr>
            </w:pPr>
            <w:r>
              <w:rPr>
                <w:rFonts w:hint="eastAsia" w:ascii="宋体" w:hAnsi="宋体" w:cs="宋体"/>
                <w:color w:val="auto"/>
                <w:kern w:val="0"/>
                <w:szCs w:val="21"/>
                <w:highlight w:val="none"/>
              </w:rPr>
              <w:t>费用名称</w:t>
            </w:r>
          </w:p>
        </w:tc>
        <w:tc>
          <w:tcPr>
            <w:tcW w:w="3261" w:type="dxa"/>
            <w:gridSpan w:val="3"/>
            <w:tcBorders>
              <w:top w:val="single" w:color="auto" w:sz="8" w:space="0"/>
              <w:left w:val="single" w:color="auto" w:sz="8" w:space="0"/>
              <w:bottom w:val="single" w:color="auto" w:sz="8" w:space="0"/>
              <w:right w:val="single" w:color="auto" w:sz="8" w:space="0"/>
            </w:tcBorders>
            <w:noWrap/>
            <w:vAlign w:val="center"/>
          </w:tcPr>
          <w:p w14:paraId="3AE7AD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现场安全文明施工费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BF49564">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35628403">
            <w:pPr>
              <w:widowControl/>
              <w:jc w:val="center"/>
              <w:rPr>
                <w:rFonts w:ascii="宋体" w:cs="宋体"/>
                <w:color w:val="auto"/>
                <w:kern w:val="0"/>
                <w:sz w:val="18"/>
                <w:szCs w:val="18"/>
                <w:highlight w:val="none"/>
              </w:rPr>
            </w:pPr>
            <w:r>
              <w:rPr>
                <w:rFonts w:ascii="宋体" w:cs="宋体"/>
                <w:color w:val="auto"/>
                <w:kern w:val="0"/>
                <w:sz w:val="18"/>
                <w:szCs w:val="18"/>
                <w:highlight w:val="none"/>
              </w:rPr>
              <w:t>规费</w:t>
            </w:r>
          </w:p>
        </w:tc>
        <w:tc>
          <w:tcPr>
            <w:tcW w:w="1512" w:type="dxa"/>
            <w:vMerge w:val="restart"/>
            <w:tcBorders>
              <w:top w:val="single" w:color="auto" w:sz="8" w:space="0"/>
              <w:left w:val="single" w:color="auto" w:sz="8" w:space="0"/>
              <w:bottom w:val="single" w:color="auto" w:sz="8" w:space="0"/>
              <w:right w:val="single" w:color="auto" w:sz="8" w:space="0"/>
            </w:tcBorders>
            <w:noWrap/>
            <w:vAlign w:val="center"/>
          </w:tcPr>
          <w:p w14:paraId="3F67257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税金</w:t>
            </w:r>
          </w:p>
        </w:tc>
      </w:tr>
      <w:tr w14:paraId="5622F5F4">
        <w:tblPrEx>
          <w:tblCellMar>
            <w:top w:w="0" w:type="dxa"/>
            <w:left w:w="108" w:type="dxa"/>
            <w:bottom w:w="0" w:type="dxa"/>
            <w:right w:w="108" w:type="dxa"/>
          </w:tblCellMar>
        </w:tblPrEx>
        <w:trPr>
          <w:trHeight w:val="540" w:hRule="atLeast"/>
        </w:trPr>
        <w:tc>
          <w:tcPr>
            <w:tcW w:w="1701" w:type="dxa"/>
            <w:vMerge w:val="continue"/>
            <w:tcBorders>
              <w:top w:val="single" w:color="auto" w:sz="8" w:space="0"/>
              <w:left w:val="single" w:color="auto" w:sz="8" w:space="0"/>
              <w:bottom w:val="single" w:color="auto" w:sz="8" w:space="0"/>
              <w:right w:val="single" w:color="auto" w:sz="8" w:space="0"/>
            </w:tcBorders>
            <w:noWrap/>
            <w:vAlign w:val="center"/>
          </w:tcPr>
          <w:p w14:paraId="273987D5">
            <w:pPr>
              <w:widowControl/>
              <w:jc w:val="left"/>
              <w:rPr>
                <w:rFonts w:ascii="宋体" w:cs="宋体"/>
                <w:color w:val="auto"/>
                <w:kern w:val="0"/>
                <w:szCs w:val="21"/>
                <w:highlight w:val="none"/>
              </w:rPr>
            </w:pPr>
          </w:p>
        </w:tc>
        <w:tc>
          <w:tcPr>
            <w:tcW w:w="993" w:type="dxa"/>
            <w:tcBorders>
              <w:top w:val="single" w:color="auto" w:sz="8" w:space="0"/>
              <w:left w:val="single" w:color="auto" w:sz="8" w:space="0"/>
              <w:bottom w:val="single" w:color="auto" w:sz="8" w:space="0"/>
              <w:right w:val="single" w:color="auto" w:sz="8" w:space="0"/>
            </w:tcBorders>
            <w:noWrap/>
            <w:vAlign w:val="center"/>
          </w:tcPr>
          <w:p w14:paraId="6372C83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基本费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C260F2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省级标化增加费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14D5445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扬尘污染防治增加费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3E1102B2">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850" w:type="dxa"/>
            <w:tcBorders>
              <w:top w:val="single" w:color="auto" w:sz="8" w:space="0"/>
              <w:left w:val="single" w:color="auto" w:sz="8" w:space="0"/>
              <w:bottom w:val="single" w:color="auto" w:sz="8" w:space="0"/>
              <w:right w:val="single" w:color="auto" w:sz="8" w:space="0"/>
            </w:tcBorders>
            <w:noWrap/>
            <w:vAlign w:val="center"/>
          </w:tcPr>
          <w:p w14:paraId="7237CAC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社会保险费</w:t>
            </w:r>
          </w:p>
        </w:tc>
        <w:tc>
          <w:tcPr>
            <w:tcW w:w="851" w:type="dxa"/>
            <w:tcBorders>
              <w:top w:val="single" w:color="auto" w:sz="8" w:space="0"/>
              <w:left w:val="single" w:color="auto" w:sz="8" w:space="0"/>
              <w:bottom w:val="single" w:color="auto" w:sz="8" w:space="0"/>
              <w:right w:val="single" w:color="auto" w:sz="8" w:space="0"/>
            </w:tcBorders>
            <w:noWrap/>
            <w:vAlign w:val="center"/>
          </w:tcPr>
          <w:p w14:paraId="250FA05C">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住房公积金</w:t>
            </w:r>
          </w:p>
        </w:tc>
        <w:tc>
          <w:tcPr>
            <w:tcW w:w="850" w:type="dxa"/>
            <w:tcBorders>
              <w:top w:val="single" w:color="auto" w:sz="8" w:space="0"/>
              <w:left w:val="single" w:color="auto" w:sz="8" w:space="0"/>
              <w:bottom w:val="single" w:color="auto" w:sz="8" w:space="0"/>
              <w:right w:val="single" w:color="auto" w:sz="8" w:space="0"/>
            </w:tcBorders>
            <w:noWrap/>
            <w:vAlign w:val="center"/>
          </w:tcPr>
          <w:p w14:paraId="57A27B0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环境保护税</w:t>
            </w: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0B920115">
            <w:pPr>
              <w:widowControl/>
              <w:jc w:val="left"/>
              <w:rPr>
                <w:rFonts w:ascii="宋体" w:cs="宋体"/>
                <w:color w:val="auto"/>
                <w:kern w:val="0"/>
                <w:sz w:val="18"/>
                <w:szCs w:val="18"/>
                <w:highlight w:val="none"/>
              </w:rPr>
            </w:pPr>
          </w:p>
        </w:tc>
      </w:tr>
      <w:tr w14:paraId="514551B4">
        <w:tblPrEx>
          <w:tblCellMar>
            <w:top w:w="0" w:type="dxa"/>
            <w:left w:w="108" w:type="dxa"/>
            <w:bottom w:w="0" w:type="dxa"/>
            <w:right w:w="108" w:type="dxa"/>
          </w:tblCellMar>
        </w:tblPrEx>
        <w:trPr>
          <w:trHeight w:val="1395"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0DF94FB4">
            <w:pPr>
              <w:widowControl/>
              <w:jc w:val="center"/>
              <w:rPr>
                <w:rFonts w:ascii="宋体" w:cs="宋体"/>
                <w:color w:val="auto"/>
                <w:kern w:val="0"/>
                <w:szCs w:val="21"/>
                <w:highlight w:val="none"/>
              </w:rPr>
            </w:pPr>
            <w:r>
              <w:rPr>
                <w:rFonts w:hint="eastAsia" w:ascii="宋体" w:hAnsi="宋体" w:cs="宋体"/>
                <w:color w:val="auto"/>
                <w:kern w:val="0"/>
                <w:szCs w:val="21"/>
                <w:highlight w:val="none"/>
              </w:rPr>
              <w:t>计算基础</w:t>
            </w:r>
          </w:p>
        </w:tc>
        <w:tc>
          <w:tcPr>
            <w:tcW w:w="4395" w:type="dxa"/>
            <w:gridSpan w:val="4"/>
            <w:tcBorders>
              <w:top w:val="single" w:color="auto" w:sz="8" w:space="0"/>
              <w:left w:val="single" w:color="auto" w:sz="8" w:space="0"/>
              <w:bottom w:val="single" w:color="auto" w:sz="8" w:space="0"/>
              <w:right w:val="single" w:color="auto" w:sz="8" w:space="0"/>
            </w:tcBorders>
            <w:noWrap/>
            <w:vAlign w:val="center"/>
          </w:tcPr>
          <w:p w14:paraId="72E53B7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分部分项合计+单价措施项目合计</w:t>
            </w:r>
            <w:r>
              <w:rPr>
                <w:rFonts w:hint="eastAsia" w:ascii="宋体" w:hAnsi="宋体" w:cs="宋体"/>
                <w:color w:val="auto"/>
                <w:kern w:val="0"/>
                <w:sz w:val="18"/>
                <w:szCs w:val="18"/>
                <w:highlight w:val="none"/>
              </w:rPr>
              <w:t>-除税工程设备费</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61231C3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w:t>
            </w:r>
            <w:r>
              <w:rPr>
                <w:rFonts w:hint="eastAsia" w:ascii="宋体" w:hAnsi="宋体" w:cs="宋体"/>
                <w:color w:val="auto"/>
                <w:kern w:val="0"/>
                <w:sz w:val="18"/>
                <w:szCs w:val="18"/>
                <w:highlight w:val="none"/>
              </w:rPr>
              <w:t>-除税工程设备费</w:t>
            </w:r>
          </w:p>
        </w:tc>
        <w:tc>
          <w:tcPr>
            <w:tcW w:w="1512" w:type="dxa"/>
            <w:tcBorders>
              <w:top w:val="single" w:color="auto" w:sz="8" w:space="0"/>
              <w:left w:val="single" w:color="auto" w:sz="8" w:space="0"/>
              <w:bottom w:val="single" w:color="auto" w:sz="8" w:space="0"/>
              <w:right w:val="single" w:color="auto" w:sz="8" w:space="0"/>
            </w:tcBorders>
            <w:noWrap/>
            <w:vAlign w:val="center"/>
          </w:tcPr>
          <w:p w14:paraId="1214B4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分部分项工程费+措施项目费+其他项目费+规费+税金</w:t>
            </w:r>
            <w:r>
              <w:rPr>
                <w:rFonts w:hint="eastAsia" w:ascii="宋体" w:hAnsi="宋体" w:cs="宋体"/>
                <w:color w:val="auto"/>
                <w:kern w:val="0"/>
                <w:sz w:val="18"/>
                <w:szCs w:val="18"/>
                <w:highlight w:val="none"/>
              </w:rPr>
              <w:t>-除税甲供材料和甲供设备费/1.01</w:t>
            </w:r>
          </w:p>
        </w:tc>
      </w:tr>
      <w:tr w14:paraId="4B590C68">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3F985AE0">
            <w:pPr>
              <w:widowControl/>
              <w:spacing w:line="360" w:lineRule="auto"/>
              <w:jc w:val="center"/>
              <w:rPr>
                <w:rFonts w:hint="default" w:ascii="宋体" w:cs="宋体"/>
                <w:color w:val="auto"/>
                <w:kern w:val="0"/>
                <w:szCs w:val="21"/>
                <w:highlight w:val="none"/>
                <w:lang w:val="en-US" w:eastAsia="zh-CN"/>
              </w:rPr>
            </w:pPr>
            <w:r>
              <w:rPr>
                <w:rFonts w:hint="eastAsia" w:ascii="宋体" w:cs="宋体"/>
                <w:color w:val="auto"/>
                <w:kern w:val="0"/>
                <w:szCs w:val="21"/>
                <w:highlight w:val="none"/>
                <w:lang w:val="en-US" w:eastAsia="zh-CN"/>
              </w:rPr>
              <w:t>建筑工程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24B8AD65">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3.1</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bottom w:val="single" w:color="auto" w:sz="8" w:space="0"/>
              <w:right w:val="single" w:color="auto" w:sz="8" w:space="0"/>
            </w:tcBorders>
            <w:noWrap/>
            <w:vAlign w:val="center"/>
          </w:tcPr>
          <w:p w14:paraId="399D18CB">
            <w:pPr>
              <w:widowControl/>
              <w:spacing w:line="360" w:lineRule="auto"/>
              <w:jc w:val="center"/>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134" w:type="dxa"/>
            <w:tcBorders>
              <w:top w:val="single" w:color="auto" w:sz="8" w:space="0"/>
              <w:left w:val="single" w:color="auto" w:sz="8" w:space="0"/>
              <w:bottom w:val="single" w:color="auto" w:sz="8" w:space="0"/>
              <w:right w:val="single" w:color="auto" w:sz="8" w:space="0"/>
            </w:tcBorders>
            <w:noWrap/>
            <w:vAlign w:val="center"/>
          </w:tcPr>
          <w:p w14:paraId="64675F4C">
            <w:pPr>
              <w:widowControl/>
              <w:spacing w:line="360" w:lineRule="auto"/>
              <w:jc w:val="center"/>
              <w:rPr>
                <w:rFonts w:hint="default"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31</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bottom w:val="single" w:color="auto" w:sz="8" w:space="0"/>
              <w:right w:val="single" w:color="auto" w:sz="8" w:space="0"/>
            </w:tcBorders>
            <w:noWrap/>
            <w:vAlign w:val="center"/>
          </w:tcPr>
          <w:p w14:paraId="02A55E13">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850" w:type="dxa"/>
            <w:tcBorders>
              <w:top w:val="single" w:color="auto" w:sz="8" w:space="0"/>
              <w:left w:val="single" w:color="auto" w:sz="8" w:space="0"/>
              <w:bottom w:val="single" w:color="auto" w:sz="8" w:space="0"/>
              <w:right w:val="single" w:color="auto" w:sz="8" w:space="0"/>
            </w:tcBorders>
            <w:noWrap/>
            <w:vAlign w:val="center"/>
          </w:tcPr>
          <w:p w14:paraId="25262B00">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3.2</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30FBB8DB">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53</w:t>
            </w:r>
            <w:r>
              <w:rPr>
                <w:rFonts w:hint="eastAsia" w:ascii="宋体" w:cs="宋体"/>
                <w:color w:val="auto"/>
                <w:kern w:val="0"/>
                <w:sz w:val="18"/>
                <w:szCs w:val="18"/>
                <w:highlight w:val="none"/>
              </w:rPr>
              <w:t>%</w:t>
            </w:r>
          </w:p>
        </w:tc>
        <w:tc>
          <w:tcPr>
            <w:tcW w:w="850" w:type="dxa"/>
            <w:vMerge w:val="restart"/>
            <w:tcBorders>
              <w:top w:val="single" w:color="auto" w:sz="8" w:space="0"/>
              <w:left w:val="single" w:color="auto" w:sz="8" w:space="0"/>
              <w:bottom w:val="single" w:color="auto" w:sz="8" w:space="0"/>
              <w:right w:val="single" w:color="auto" w:sz="8" w:space="0"/>
            </w:tcBorders>
            <w:noWrap/>
            <w:vAlign w:val="center"/>
          </w:tcPr>
          <w:p w14:paraId="6B1E6E56">
            <w:pPr>
              <w:widowControl/>
              <w:spacing w:line="360" w:lineRule="auto"/>
              <w:jc w:val="center"/>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512" w:type="dxa"/>
            <w:vMerge w:val="restart"/>
            <w:tcBorders>
              <w:top w:val="single" w:color="auto" w:sz="8" w:space="0"/>
              <w:left w:val="single" w:color="auto" w:sz="8" w:space="0"/>
              <w:bottom w:val="single" w:color="auto" w:sz="8" w:space="0"/>
              <w:right w:val="single" w:color="auto" w:sz="8" w:space="0"/>
            </w:tcBorders>
            <w:noWrap/>
            <w:vAlign w:val="center"/>
          </w:tcPr>
          <w:p w14:paraId="19460DD5">
            <w:pPr>
              <w:widowControl/>
              <w:spacing w:line="360" w:lineRule="auto"/>
              <w:jc w:val="center"/>
              <w:rPr>
                <w:rFonts w:hint="default"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9%</w:t>
            </w:r>
          </w:p>
        </w:tc>
      </w:tr>
      <w:tr w14:paraId="12BA0802">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5246E854">
            <w:pPr>
              <w:widowControl/>
              <w:spacing w:line="360" w:lineRule="auto"/>
              <w:jc w:val="center"/>
              <w:rPr>
                <w:rFonts w:hint="default" w:ascii="宋体" w:cs="宋体"/>
                <w:color w:val="auto"/>
                <w:kern w:val="0"/>
                <w:szCs w:val="21"/>
                <w:highlight w:val="none"/>
                <w:lang w:val="en-US" w:eastAsia="zh-CN"/>
              </w:rPr>
            </w:pPr>
            <w:r>
              <w:rPr>
                <w:rFonts w:hint="eastAsia" w:ascii="宋体" w:cs="宋体"/>
                <w:color w:val="auto"/>
                <w:kern w:val="0"/>
                <w:szCs w:val="21"/>
                <w:highlight w:val="none"/>
              </w:rPr>
              <w:t>安装工程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3D3E400B">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1.5%</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6F54E0D1">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50DDB72B">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0.21%</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557E1E6F">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4B8072CE">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2.4%</w:t>
            </w:r>
          </w:p>
        </w:tc>
        <w:tc>
          <w:tcPr>
            <w:tcW w:w="851" w:type="dxa"/>
            <w:tcBorders>
              <w:top w:val="single" w:color="auto" w:sz="8" w:space="0"/>
              <w:left w:val="single" w:color="auto" w:sz="8" w:space="0"/>
              <w:bottom w:val="single" w:color="auto" w:sz="8" w:space="0"/>
              <w:right w:val="single" w:color="auto" w:sz="8" w:space="0"/>
            </w:tcBorders>
            <w:noWrap/>
            <w:vAlign w:val="center"/>
          </w:tcPr>
          <w:p w14:paraId="4C4EFD2E">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0.42%</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3B46510B">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2D7C4003">
            <w:pPr>
              <w:widowControl/>
              <w:spacing w:line="360" w:lineRule="auto"/>
              <w:jc w:val="center"/>
              <w:rPr>
                <w:rFonts w:hint="eastAsia" w:ascii="宋体" w:cs="宋体"/>
                <w:color w:val="auto"/>
                <w:kern w:val="0"/>
                <w:sz w:val="18"/>
                <w:szCs w:val="18"/>
                <w:highlight w:val="none"/>
                <w:lang w:val="en-US" w:eastAsia="zh-CN"/>
              </w:rPr>
            </w:pPr>
          </w:p>
        </w:tc>
      </w:tr>
    </w:tbl>
    <w:p w14:paraId="5EDEA454">
      <w:pPr>
        <w:numPr>
          <w:ilvl w:val="0"/>
          <w:numId w:val="1"/>
        </w:numPr>
        <w:snapToGrid w:val="0"/>
        <w:spacing w:line="440" w:lineRule="atLeast"/>
        <w:rPr>
          <w:rFonts w:ascii="宋体" w:hAnsi="宋体" w:cs="宋体"/>
          <w:b/>
          <w:color w:val="auto"/>
          <w:sz w:val="28"/>
          <w:szCs w:val="28"/>
          <w:highlight w:val="none"/>
          <w:lang w:val="zh-CN"/>
        </w:rPr>
      </w:pPr>
      <w:r>
        <w:rPr>
          <w:rFonts w:hint="eastAsia" w:ascii="宋体" w:hAnsi="宋体" w:cs="宋体"/>
          <w:b/>
          <w:color w:val="auto"/>
          <w:sz w:val="24"/>
          <w:highlight w:val="none"/>
          <w:lang w:val="zh-CN"/>
        </w:rPr>
        <w:t>不可竞争费：现场安全文明施工费、规费、税金为不可竞争费，取费标准如下表：</w:t>
      </w:r>
    </w:p>
    <w:p w14:paraId="12AD97BD">
      <w:pPr>
        <w:pStyle w:val="5"/>
        <w:spacing w:line="360" w:lineRule="auto"/>
        <w:ind w:firstLine="422" w:firstLineChars="200"/>
        <w:rPr>
          <w:rFonts w:ascii="宋体" w:hAnsi="宋体" w:cs="宋体"/>
          <w:b/>
          <w:color w:val="auto"/>
          <w:szCs w:val="21"/>
          <w:highlight w:val="none"/>
          <w:lang w:val="zh-CN"/>
        </w:rPr>
      </w:pPr>
      <w:r>
        <w:rPr>
          <w:rFonts w:hint="eastAsia" w:ascii="宋体" w:hAnsi="宋体" w:cs="Courier New"/>
          <w:b/>
          <w:color w:val="auto"/>
          <w:szCs w:val="21"/>
          <w:highlight w:val="none"/>
        </w:rPr>
        <w:t>注1：安全文明施工费的标化工地增加费和扬尘污染防治增加费、按质论价费按有关文件考评后给予结算，</w:t>
      </w:r>
      <w:bookmarkStart w:id="0" w:name="_GoBack"/>
      <w:bookmarkEnd w:id="0"/>
      <w:r>
        <w:rPr>
          <w:rFonts w:hint="eastAsia" w:ascii="宋体" w:hAnsi="宋体" w:cs="Courier New"/>
          <w:b/>
          <w:color w:val="auto"/>
          <w:szCs w:val="21"/>
          <w:highlight w:val="none"/>
        </w:rPr>
        <w:t>招标时作为不可竞争费计入报价。注2：本工程按一般计税法计算。</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本次招标不计取省级标化增加费，即不考虑创建省市级建筑安全文明施工标准化示范项目的成本增加费用。</w:t>
      </w:r>
      <w:r>
        <w:rPr>
          <w:rFonts w:hint="eastAsia" w:ascii="宋体" w:hAnsi="宋体" w:cs="宋体"/>
          <w:b/>
          <w:bCs/>
          <w:color w:val="auto"/>
          <w:sz w:val="24"/>
          <w:szCs w:val="24"/>
          <w:highlight w:val="none"/>
          <w:lang w:eastAsia="zh-CN"/>
        </w:rPr>
        <w:t>）</w:t>
      </w:r>
    </w:p>
    <w:p w14:paraId="7106BE89">
      <w:pPr>
        <w:numPr>
          <w:ilvl w:val="0"/>
          <w:numId w:val="1"/>
        </w:numPr>
        <w:snapToGrid w:val="0"/>
        <w:spacing w:line="440" w:lineRule="atLeast"/>
        <w:rPr>
          <w:rFonts w:ascii="宋体" w:hAnsi="宋体" w:cs="宋体"/>
          <w:b/>
          <w:color w:val="auto"/>
          <w:sz w:val="24"/>
          <w:highlight w:val="none"/>
        </w:rPr>
      </w:pPr>
      <w:r>
        <w:rPr>
          <w:rFonts w:hint="eastAsia" w:ascii="宋体" w:hAnsi="宋体" w:cs="宋体"/>
          <w:b/>
          <w:color w:val="auto"/>
          <w:sz w:val="24"/>
          <w:highlight w:val="none"/>
          <w:lang w:val="zh-CN"/>
        </w:rPr>
        <w:t>其他说明：</w:t>
      </w:r>
    </w:p>
    <w:p w14:paraId="308E106B">
      <w:pPr>
        <w:numPr>
          <w:ilvl w:val="0"/>
          <w:numId w:val="0"/>
        </w:numPr>
        <w:snapToGrid w:val="0"/>
        <w:spacing w:line="440" w:lineRule="atLeast"/>
        <w:ind w:leftChars="0"/>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 xml:space="preserve"> </w:t>
      </w:r>
      <w:r>
        <w:rPr>
          <w:rFonts w:hint="eastAsia" w:ascii="宋体" w:hAnsi="宋体" w:cs="宋体"/>
          <w:b w:val="0"/>
          <w:bCs/>
          <w:color w:val="auto"/>
          <w:sz w:val="24"/>
          <w:highlight w:val="none"/>
          <w:lang w:val="en-US" w:eastAsia="zh-CN"/>
        </w:rPr>
        <w:t xml:space="preserve"> ①土建部分：</w:t>
      </w:r>
    </w:p>
    <w:p w14:paraId="58C56444">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土方工程：土方全线综合平衡，多余土方及不可利用土方均外运弃置。运输车辆、堆土等应符合江阴市建筑渣土运输处置等要求。起始开挖标高按实际室外标高考虑。挖土工程量包括但不限于桩间土、搅拌桩和高压旋喷桩施工时产生的固结土，应充分考虑开挖难度综合报价，土方工程的运距、运输方式、堆场、特种垃圾处置费、土源外购等由投标人自行考虑，进行综合报价，不因投标人的运距、运输方式、堆场、土源外购等变化而增加任何费用，结算单价不予调整。土方回填标高及界面范围在室外工程施工单位进场前须与建设单位、监理单位、跟踪审计单位验收确认</w:t>
      </w:r>
      <w:r>
        <w:rPr>
          <w:rFonts w:hint="eastAsia" w:ascii="宋体" w:hAnsi="宋体" w:eastAsia="宋体" w:cs="Times New Roman"/>
          <w:color w:val="auto"/>
          <w:sz w:val="24"/>
          <w:highlight w:val="none"/>
          <w:lang w:eastAsia="zh-CN"/>
        </w:rPr>
        <w:t>；</w:t>
      </w:r>
    </w:p>
    <w:p w14:paraId="15EB70F8">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由于该项目未提供地勘报告，</w:t>
      </w:r>
      <w:r>
        <w:rPr>
          <w:rFonts w:hint="default" w:ascii="宋体" w:hAnsi="宋体" w:eastAsia="宋体" w:cs="Times New Roman"/>
          <w:color w:val="auto"/>
          <w:sz w:val="24"/>
          <w:highlight w:val="none"/>
          <w:lang w:val="en-US" w:eastAsia="zh-CN"/>
        </w:rPr>
        <w:t>结构基础部位土方开挖(含地面排水沟土方),综合土方类别,由投标人根据</w:t>
      </w:r>
      <w:r>
        <w:rPr>
          <w:rFonts w:hint="eastAsia" w:ascii="宋体" w:hAnsi="宋体" w:eastAsia="宋体" w:cs="Times New Roman"/>
          <w:color w:val="auto"/>
          <w:sz w:val="24"/>
          <w:highlight w:val="none"/>
          <w:lang w:val="en-US" w:eastAsia="zh-CN"/>
        </w:rPr>
        <w:t>图纸设计</w:t>
      </w:r>
      <w:r>
        <w:rPr>
          <w:rFonts w:hint="default" w:ascii="宋体" w:hAnsi="宋体" w:eastAsia="宋体" w:cs="Times New Roman"/>
          <w:color w:val="auto"/>
          <w:sz w:val="24"/>
          <w:highlight w:val="none"/>
          <w:lang w:val="en-US" w:eastAsia="zh-CN"/>
        </w:rPr>
        <w:t>及施工现场实际情况决定报价,综合</w:t>
      </w:r>
      <w:r>
        <w:rPr>
          <w:rFonts w:hint="eastAsia" w:ascii="宋体" w:hAnsi="宋体" w:eastAsia="宋体" w:cs="Times New Roman"/>
          <w:color w:val="auto"/>
          <w:sz w:val="24"/>
          <w:highlight w:val="none"/>
          <w:lang w:val="en-US" w:eastAsia="zh-CN"/>
        </w:rPr>
        <w:t>屋基构筑物、</w:t>
      </w:r>
      <w:r>
        <w:rPr>
          <w:rFonts w:hint="default" w:ascii="宋体" w:hAnsi="宋体" w:eastAsia="宋体" w:cs="Times New Roman"/>
          <w:color w:val="auto"/>
          <w:sz w:val="24"/>
          <w:highlight w:val="none"/>
          <w:lang w:val="en-US" w:eastAsia="zh-CN"/>
        </w:rPr>
        <w:t>干土、湿土、淤泥、垃圾土、暗塘、杂草等挖除,综合考虑机械、人工挖土</w:t>
      </w:r>
      <w:r>
        <w:rPr>
          <w:rFonts w:hint="eastAsia" w:ascii="宋体" w:hAnsi="宋体" w:eastAsia="宋体" w:cs="Times New Roman"/>
          <w:color w:val="auto"/>
          <w:sz w:val="24"/>
          <w:highlight w:val="none"/>
          <w:lang w:val="en-US" w:eastAsia="zh-CN"/>
        </w:rPr>
        <w:t>，综合考虑内部堆场、场内短驳、运距等费用；</w:t>
      </w:r>
    </w:p>
    <w:p w14:paraId="20CB7B4E">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水电费（包括柴油发电机的使用费用）、因投标人导致的施工降效费、安全文明施工费、临时设施费、夜间施工费、赶工措施、冬雨季施工、二次搬运费、施工措施费、材料垂直及水平运输所需人工费机械费等费用计入总价中，为本工程的施工过程和维护而发生的全过程所有费用，并考虑了明示或暗示的所有责任、义务、风险因素涉及的费用。招标人不再另行支付其他费用。综合单价合同有效期内不予调整，结算时工程量按实结算。</w:t>
      </w:r>
    </w:p>
    <w:p w14:paraId="1F783CAC">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投标人应充分考虑各项不利因素的干扰，包括软土区域打桩、周边居民投诉、政府政策变动、材料短缺、劳动力短缺、夏季高温停电（应考虑应急用电的措施）、挤土效应、地下不明物等事宜，此类原因不作为工期延误、质量缺陷、增加合同价款的理由。</w:t>
      </w:r>
    </w:p>
    <w:p w14:paraId="00FB3ABC">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施工场地及弃土区必须采取扬尘污染防治措施及抛洒滴漏防治措施，必须符合当地的有关规定，由此产生的费用各投标单位综合考虑计入相应的投标报价；</w:t>
      </w:r>
    </w:p>
    <w:p w14:paraId="30D4FD21">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投标单位应充分考虑招标时及施工过程中措施项目相关国家政策变化的风险，模板支架、脚手架等措施项应符合国家江苏省及无锡江阴的政策要求，结算时综合单价不予调整</w:t>
      </w:r>
      <w:r>
        <w:rPr>
          <w:rFonts w:hint="eastAsia" w:ascii="宋体" w:hAnsi="宋体" w:eastAsia="宋体" w:cs="Times New Roman"/>
          <w:color w:val="auto"/>
          <w:sz w:val="24"/>
          <w:highlight w:val="none"/>
          <w:lang w:eastAsia="zh-CN"/>
        </w:rPr>
        <w:t>；</w:t>
      </w:r>
    </w:p>
    <w:p w14:paraId="4D9DC670">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建筑做法均按照建筑设计做法表计算，有部分需精装饰部分在装饰工程中考虑</w:t>
      </w:r>
      <w:r>
        <w:rPr>
          <w:rFonts w:hint="eastAsia" w:ascii="宋体" w:hAnsi="宋体" w:eastAsia="宋体" w:cs="Times New Roman"/>
          <w:color w:val="auto"/>
          <w:sz w:val="24"/>
          <w:highlight w:val="none"/>
          <w:lang w:eastAsia="zh-CN"/>
        </w:rPr>
        <w:t>；</w:t>
      </w:r>
    </w:p>
    <w:p w14:paraId="67CC6ABC">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外墙涂料按图纸设计及建设单位要求，报价中</w:t>
      </w:r>
      <w:r>
        <w:rPr>
          <w:rFonts w:hint="eastAsia" w:ascii="宋体" w:hAnsi="宋体" w:eastAsia="宋体" w:cs="Times New Roman"/>
          <w:color w:val="auto"/>
          <w:sz w:val="24"/>
          <w:highlight w:val="none"/>
          <w:lang w:val="en-US" w:eastAsia="zh-CN"/>
        </w:rPr>
        <w:t>综合</w:t>
      </w:r>
      <w:r>
        <w:rPr>
          <w:rFonts w:hint="eastAsia" w:ascii="宋体" w:hAnsi="宋体" w:eastAsia="宋体" w:cs="Times New Roman"/>
          <w:color w:val="auto"/>
          <w:sz w:val="24"/>
          <w:highlight w:val="none"/>
        </w:rPr>
        <w:t>考虑；施工前应该向建设单位提供样品或样板，经建设单位</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设计单位等书面签字确认后</w:t>
      </w:r>
      <w:r>
        <w:rPr>
          <w:rFonts w:hint="eastAsia" w:ascii="宋体" w:hAnsi="宋体" w:eastAsia="宋体" w:cs="Times New Roman"/>
          <w:color w:val="auto"/>
          <w:sz w:val="24"/>
          <w:highlight w:val="none"/>
        </w:rPr>
        <w:t>方可施工，投标方应综合考虑以上各种因素，计入综合单价报价中，结算时综合单价不予调整</w:t>
      </w:r>
      <w:r>
        <w:rPr>
          <w:rFonts w:hint="eastAsia" w:ascii="宋体" w:hAnsi="宋体" w:eastAsia="宋体" w:cs="Times New Roman"/>
          <w:color w:val="auto"/>
          <w:sz w:val="24"/>
          <w:highlight w:val="none"/>
          <w:lang w:eastAsia="zh-CN"/>
        </w:rPr>
        <w:t>；</w:t>
      </w:r>
    </w:p>
    <w:p w14:paraId="7BA66D00">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eastAsia="zh-CN"/>
        </w:rPr>
      </w:pPr>
      <w:r>
        <w:rPr>
          <w:rFonts w:hint="eastAsia" w:ascii="宋体" w:hAnsi="宋体" w:eastAsia="宋体" w:cs="Times New Roman"/>
          <w:color w:val="auto"/>
          <w:sz w:val="24"/>
          <w:highlight w:val="none"/>
          <w:lang w:val="en-US" w:eastAsia="zh-CN"/>
        </w:rPr>
        <w:t>清单内</w:t>
      </w:r>
      <w:r>
        <w:rPr>
          <w:rFonts w:hint="eastAsia" w:ascii="宋体" w:hAnsi="宋体" w:eastAsia="宋体" w:cs="Times New Roman"/>
          <w:color w:val="auto"/>
          <w:sz w:val="24"/>
          <w:highlight w:val="none"/>
        </w:rPr>
        <w:t>钢筋按实翻样计算</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结算时按实调整</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砌体加固筋综合考虑植筋或预埋，结算时综合单价不予调整</w:t>
      </w:r>
      <w:r>
        <w:rPr>
          <w:rFonts w:hint="eastAsia" w:ascii="宋体" w:hAnsi="宋体" w:eastAsia="宋体" w:cs="Times New Roman"/>
          <w:color w:val="auto"/>
          <w:sz w:val="24"/>
          <w:highlight w:val="none"/>
          <w:lang w:eastAsia="zh-CN"/>
        </w:rPr>
        <w:t>；</w:t>
      </w:r>
    </w:p>
    <w:p w14:paraId="448FC85D">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对于成品构件的运输（如钢构件等）需综合考虑在投标报价中，结算清单报价单价不作调整</w:t>
      </w:r>
      <w:r>
        <w:rPr>
          <w:rFonts w:hint="eastAsia" w:ascii="宋体" w:hAnsi="宋体" w:eastAsia="宋体" w:cs="Times New Roman"/>
          <w:color w:val="auto"/>
          <w:sz w:val="24"/>
          <w:highlight w:val="none"/>
          <w:lang w:eastAsia="zh-CN"/>
        </w:rPr>
        <w:t>；</w:t>
      </w:r>
    </w:p>
    <w:p w14:paraId="4FF40280">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未明确的做法，标底内已按照常规做法计入，投标单位自行考虑报价</w:t>
      </w:r>
      <w:r>
        <w:rPr>
          <w:rFonts w:hint="eastAsia" w:ascii="宋体" w:hAnsi="宋体" w:eastAsia="宋体" w:cs="Times New Roman"/>
          <w:color w:val="auto"/>
          <w:sz w:val="24"/>
          <w:highlight w:val="none"/>
          <w:lang w:val="en-US" w:eastAsia="zh-CN"/>
        </w:rPr>
        <w:t>；</w:t>
      </w:r>
    </w:p>
    <w:p w14:paraId="772D8589">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本工程混凝土采用商品混凝土，混凝土中需要的添加剂、泵送费、布管费、二次搬运费由施工单位自行考虑，且根据规范要求对混凝土的性能要求进行报价，计入投标报价中，结算不予调整，砂浆考虑预拌砂浆；</w:t>
      </w:r>
    </w:p>
    <w:p w14:paraId="7700FFC3">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本工程可能发生的材料二次搬运费及交叉、垃圾处置、衔接施工等增加的费用，投标人自行踏勘现场并在报价中考虑，结算时综合单价不予调整；</w:t>
      </w:r>
    </w:p>
    <w:p w14:paraId="098D107A">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措施项目费投标人根据施工组织设计投标时自行报价，结算时不调整；</w:t>
      </w:r>
    </w:p>
    <w:p w14:paraId="5313474B">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本工程工程量清单是根据改造意向结合现场勘察计算；</w:t>
      </w:r>
    </w:p>
    <w:p w14:paraId="15C2EF20">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栏杆、栏杆及扶手清单中描述不论有无预埋件内容，报价中均包含预埋件内容，结算时综合单价不予调整。凡外露铁件一律刷防锈漆两遍，调和漆罩面。除不锈钢及铝合金扶手外，栏杆扶手刷防锈漆及底漆各一道，金属漆两道</w:t>
      </w:r>
      <w:r>
        <w:rPr>
          <w:rFonts w:hint="eastAsia" w:ascii="宋体" w:hAnsi="宋体" w:eastAsia="宋体" w:cs="Times New Roman"/>
          <w:color w:val="auto"/>
          <w:sz w:val="24"/>
          <w:highlight w:val="none"/>
          <w:lang w:eastAsia="zh-CN"/>
        </w:rPr>
        <w:t>；</w:t>
      </w:r>
    </w:p>
    <w:p w14:paraId="34F48F09">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模板工程量按接触面积计算</w:t>
      </w:r>
      <w:r>
        <w:rPr>
          <w:rFonts w:hint="eastAsia" w:ascii="宋体" w:hAnsi="宋体" w:eastAsia="宋体" w:cs="Times New Roman"/>
          <w:color w:val="auto"/>
          <w:sz w:val="24"/>
          <w:highlight w:val="none"/>
          <w:lang w:eastAsia="zh-CN"/>
        </w:rPr>
        <w:t>；</w:t>
      </w:r>
    </w:p>
    <w:p w14:paraId="1DEAFB5F">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施工临时护栏的搭建、维护及拆除，需符合锡建质安（2020）24号文《关于落实建筑工地围挡提升工作的通知》的规定</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综合考虑土建、装饰、安装等专业施工期间必要的施工围护费用，满足建设单位正常办公、教学需由为准，投标单位综合考虑报价，后续不另行增加、不做调整</w:t>
      </w:r>
      <w:r>
        <w:rPr>
          <w:rFonts w:hint="eastAsia" w:ascii="宋体" w:hAnsi="宋体" w:eastAsia="宋体" w:cs="Times New Roman"/>
          <w:color w:val="auto"/>
          <w:sz w:val="24"/>
          <w:highlight w:val="none"/>
        </w:rPr>
        <w:t>；</w:t>
      </w:r>
    </w:p>
    <w:p w14:paraId="1035AE1A">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工程施工期间，施工区域内道路或场地占用及保持交通通畅等费用，投标人需踏勘现场，对各种影响施工的条件进行综合考虑，并计入投标报价中，结算时综合单价不予调整</w:t>
      </w:r>
      <w:r>
        <w:rPr>
          <w:rFonts w:hint="eastAsia" w:ascii="宋体" w:hAnsi="宋体" w:eastAsia="宋体" w:cs="Times New Roman"/>
          <w:color w:val="auto"/>
          <w:sz w:val="24"/>
          <w:highlight w:val="none"/>
          <w:lang w:eastAsia="zh-CN"/>
        </w:rPr>
        <w:t>；</w:t>
      </w:r>
    </w:p>
    <w:p w14:paraId="7E1A8571">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单位应充分考虑招投标期间及施工过程中措施项目（包括且不限于模板支架、脚手架等措施）相关国家地方等政策变化的风险，严格执行国家江苏省及无锡江阴的政策要求，相关风险及费用要求综合考虑计入投标报价，结算时综合单价不予调整</w:t>
      </w:r>
      <w:r>
        <w:rPr>
          <w:rFonts w:hint="eastAsia" w:ascii="宋体" w:hAnsi="宋体" w:eastAsia="宋体" w:cs="Times New Roman"/>
          <w:color w:val="auto"/>
          <w:sz w:val="24"/>
          <w:highlight w:val="none"/>
          <w:lang w:eastAsia="zh-CN"/>
        </w:rPr>
        <w:t>；</w:t>
      </w:r>
    </w:p>
    <w:p w14:paraId="13CD18A7">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所有的模板支撑及脚手架，不论清单中是否描述，均按盘扣脚手架考虑，结算时综合单价不予调整</w:t>
      </w:r>
      <w:r>
        <w:rPr>
          <w:rFonts w:hint="eastAsia" w:ascii="宋体" w:hAnsi="宋体" w:eastAsia="宋体" w:cs="Times New Roman"/>
          <w:color w:val="auto"/>
          <w:sz w:val="24"/>
          <w:highlight w:val="none"/>
          <w:lang w:eastAsia="zh-CN"/>
        </w:rPr>
        <w:t>；</w:t>
      </w:r>
    </w:p>
    <w:p w14:paraId="370F67CD">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工程在改造施工时，注意保护改造范围外结构，注意不得破坏现有建、构筑物，不得扰动其基础等，并将相应费用考虑在投标报价中，如施工破坏现有建、构筑物，施工方应自行将其恢复原状，费用不另行计算；</w:t>
      </w:r>
    </w:p>
    <w:p w14:paraId="7AA06CDC">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人在报价时应结合自身单位的具体情况，充分考虑各自实际的施工组织设计、施工方案及技术措施，据实报价，一旦中标，结算不予另计。若设计图纸发生重大变更导致施工方案变化，结算时仅增加实际方案与投标方案不一致引起的费用差额；</w:t>
      </w:r>
    </w:p>
    <w:p w14:paraId="0CEC1A4E">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本工程单价措施项目费中脚手架工程</w:t>
      </w:r>
      <w:r>
        <w:rPr>
          <w:rFonts w:hint="eastAsia" w:ascii="宋体" w:hAnsi="宋体" w:eastAsia="宋体" w:cs="Times New Roman"/>
          <w:color w:val="auto"/>
          <w:sz w:val="24"/>
          <w:highlight w:val="none"/>
          <w:lang w:val="en-US" w:eastAsia="zh-CN"/>
        </w:rPr>
        <w:t>如有</w:t>
      </w:r>
      <w:r>
        <w:rPr>
          <w:rFonts w:hint="eastAsia" w:ascii="宋体" w:hAnsi="宋体" w:eastAsia="宋体" w:cs="Times New Roman"/>
          <w:color w:val="auto"/>
          <w:sz w:val="24"/>
          <w:highlight w:val="none"/>
        </w:rPr>
        <w:t>以</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lang w:val="en-US" w:eastAsia="zh-CN"/>
        </w:rPr>
        <w:t>项</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计算，包含本工程所有类型的脚手架费用，投标单位投标时应结合图纸及现场实际情况，自行考虑，结算不另行增加</w:t>
      </w:r>
      <w:r>
        <w:rPr>
          <w:rFonts w:hint="eastAsia" w:ascii="宋体" w:hAnsi="宋体" w:eastAsia="宋体" w:cs="Times New Roman"/>
          <w:color w:val="auto"/>
          <w:sz w:val="24"/>
          <w:highlight w:val="none"/>
          <w:lang w:eastAsia="zh-CN"/>
        </w:rPr>
        <w:t>；</w:t>
      </w:r>
    </w:p>
    <w:p w14:paraId="12BAF649">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zh-CN"/>
        </w:rPr>
      </w:pPr>
      <w:r>
        <w:rPr>
          <w:rFonts w:hint="eastAsia" w:ascii="宋体" w:hAnsi="宋体" w:eastAsia="宋体" w:cs="Times New Roman"/>
          <w:color w:val="auto"/>
          <w:sz w:val="24"/>
          <w:highlight w:val="none"/>
        </w:rPr>
        <w:t>施工现场因施工增加的建筑垃圾由投标单位清理出场，费用综合在报价中，结算不予调整；</w:t>
      </w:r>
    </w:p>
    <w:p w14:paraId="2D094320">
      <w:pPr>
        <w:numPr>
          <w:ilvl w:val="0"/>
          <w:numId w:val="5"/>
        </w:numPr>
        <w:autoSpaceDE w:val="0"/>
        <w:autoSpaceDN w:val="0"/>
        <w:adjustRightInd w:val="0"/>
        <w:spacing w:line="420" w:lineRule="exact"/>
        <w:ind w:right="170"/>
        <w:jc w:val="left"/>
        <w:rPr>
          <w:rFonts w:hint="eastAsia" w:ascii="宋体" w:hAnsi="宋体" w:eastAsia="宋体" w:cs="Times New Roman"/>
          <w:color w:val="auto"/>
          <w:sz w:val="24"/>
          <w:highlight w:val="none"/>
          <w:lang w:val="zh-CN"/>
        </w:rPr>
      </w:pPr>
      <w:r>
        <w:rPr>
          <w:rFonts w:hint="eastAsia" w:ascii="宋体" w:hAnsi="宋体" w:eastAsia="宋体" w:cs="Times New Roman"/>
          <w:color w:val="auto"/>
          <w:sz w:val="24"/>
          <w:highlight w:val="none"/>
        </w:rPr>
        <w:t>关于现场建筑垃圾的清运和处理费用：现场不设置建筑垃圾堆场，需要及时清运各单位垃圾。因环保政策因素影响造成的目前该项费用的成本增加请施工单位充分考虑，无论政策如何调整，该项内容涉及到的费用均不再做调整增加，并服从发包人管理</w:t>
      </w:r>
      <w:r>
        <w:rPr>
          <w:rFonts w:hint="eastAsia" w:ascii="宋体" w:hAnsi="宋体" w:eastAsia="宋体" w:cs="Times New Roman"/>
          <w:color w:val="auto"/>
          <w:sz w:val="24"/>
          <w:highlight w:val="none"/>
          <w:lang w:eastAsia="zh-CN"/>
        </w:rPr>
        <w:t>；</w:t>
      </w:r>
    </w:p>
    <w:p w14:paraId="73B88426">
      <w:pPr>
        <w:numPr>
          <w:ilvl w:val="0"/>
          <w:numId w:val="0"/>
        </w:numPr>
        <w:autoSpaceDE w:val="0"/>
        <w:autoSpaceDN w:val="0"/>
        <w:adjustRightInd w:val="0"/>
        <w:spacing w:line="420" w:lineRule="exact"/>
        <w:ind w:left="483" w:leftChars="0" w:right="170" w:rightChars="0"/>
        <w:jc w:val="left"/>
        <w:rPr>
          <w:rFonts w:hint="eastAsia" w:ascii="宋体" w:hAnsi="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②安装部分：</w:t>
      </w:r>
    </w:p>
    <w:p w14:paraId="161557C3">
      <w:pPr>
        <w:numPr>
          <w:ilvl w:val="0"/>
          <w:numId w:val="6"/>
        </w:numPr>
        <w:autoSpaceDE w:val="0"/>
        <w:autoSpaceDN w:val="0"/>
        <w:adjustRightInd w:val="0"/>
        <w:spacing w:line="420" w:lineRule="exact"/>
        <w:ind w:left="483" w:leftChars="0" w:right="170" w:rightChars="0"/>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电气工程按图纸全部计算到位；</w:t>
      </w:r>
    </w:p>
    <w:p w14:paraId="7C2CFD36">
      <w:pPr>
        <w:numPr>
          <w:ilvl w:val="0"/>
          <w:numId w:val="0"/>
        </w:numPr>
        <w:autoSpaceDE w:val="0"/>
        <w:autoSpaceDN w:val="0"/>
        <w:adjustRightInd w:val="0"/>
        <w:spacing w:line="420" w:lineRule="exact"/>
        <w:ind w:left="483" w:leftChars="0" w:right="170" w:rightChars="0"/>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2、给排水工程，包括洁具全部计算到位；</w:t>
      </w:r>
    </w:p>
    <w:p w14:paraId="545CAAF3">
      <w:pPr>
        <w:numPr>
          <w:ilvl w:val="0"/>
          <w:numId w:val="0"/>
        </w:numPr>
        <w:autoSpaceDE w:val="0"/>
        <w:autoSpaceDN w:val="0"/>
        <w:adjustRightInd w:val="0"/>
        <w:spacing w:line="420" w:lineRule="exact"/>
        <w:ind w:left="483" w:leftChars="0" w:right="170" w:rightChars="0"/>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3、暖通工程，按图纸全部计算到位；</w:t>
      </w:r>
    </w:p>
    <w:p w14:paraId="3EEBB60A">
      <w:pPr>
        <w:numPr>
          <w:ilvl w:val="0"/>
          <w:numId w:val="0"/>
        </w:numPr>
        <w:autoSpaceDE w:val="0"/>
        <w:autoSpaceDN w:val="0"/>
        <w:adjustRightInd w:val="0"/>
        <w:spacing w:line="420" w:lineRule="exact"/>
        <w:ind w:left="483" w:leftChars="0" w:right="170" w:rightChars="0"/>
        <w:jc w:val="left"/>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4、改造工程中开槽、粉槽工程量已综合考虑计入。</w:t>
      </w:r>
    </w:p>
    <w:p w14:paraId="3B199ACA">
      <w:pPr>
        <w:numPr>
          <w:ilvl w:val="0"/>
          <w:numId w:val="0"/>
        </w:numPr>
        <w:autoSpaceDE w:val="0"/>
        <w:autoSpaceDN w:val="0"/>
        <w:adjustRightInd w:val="0"/>
        <w:spacing w:line="420" w:lineRule="exact"/>
        <w:ind w:left="483" w:leftChars="0" w:right="170" w:rightChars="0"/>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③装饰部分：</w:t>
      </w:r>
    </w:p>
    <w:p w14:paraId="0DAA7ADF">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en-US" w:eastAsia="zh-CN"/>
        </w:rPr>
        <w:t>土建及装饰工程配套的拆除工程已计入拆除及清运工程；</w:t>
      </w:r>
    </w:p>
    <w:p w14:paraId="3BB11B47">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en-US" w:eastAsia="zh-CN"/>
        </w:rPr>
        <w:t>经建设单位确认，家具图中标明的家具及吧台等，不在此次装饰编制范围内；</w:t>
      </w:r>
    </w:p>
    <w:p w14:paraId="647B13D4">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en-US" w:eastAsia="zh-CN"/>
        </w:rPr>
        <w:t>地面结合层以上为装饰单位工程，其余为土建单位工程考虑；</w:t>
      </w:r>
    </w:p>
    <w:p w14:paraId="359DAD67">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eastAsia="宋体" w:cs="宋体"/>
          <w:color w:val="auto"/>
          <w:kern w:val="0"/>
          <w:sz w:val="24"/>
          <w:szCs w:val="24"/>
          <w:highlight w:val="none"/>
        </w:rPr>
        <w:t>所有装饰材料的磨边、倒角、打胶、清洁、勾缝、切割，各类材料损耗及超常规的切割损耗等工作内容均应包括投标报价中，结算时不作调整。墙地砖石材开孔洞、天棚吊顶阳角收口条费用，阴阳角处所有打胶、勾缝费用等均考虑在相应清单综合单价中，结算不做调整</w:t>
      </w:r>
      <w:r>
        <w:rPr>
          <w:rFonts w:hint="eastAsia" w:ascii="宋体" w:hAnsi="宋体" w:eastAsia="宋体" w:cs="宋体"/>
          <w:color w:val="auto"/>
          <w:kern w:val="0"/>
          <w:sz w:val="24"/>
          <w:szCs w:val="24"/>
          <w:highlight w:val="none"/>
          <w:lang w:eastAsia="zh-CN"/>
        </w:rPr>
        <w:t>；</w:t>
      </w:r>
    </w:p>
    <w:p w14:paraId="3B0FDE7A">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eastAsia="宋体" w:cs="宋体"/>
          <w:color w:val="auto"/>
          <w:sz w:val="24"/>
          <w:szCs w:val="24"/>
          <w:highlight w:val="none"/>
        </w:rPr>
        <w:t>本工程所有不锈钢材质均为优质304及</w:t>
      </w:r>
      <w:r>
        <w:rPr>
          <w:rFonts w:hint="eastAsia" w:ascii="宋体" w:hAnsi="宋体" w:cs="宋体"/>
          <w:color w:val="auto"/>
          <w:kern w:val="0"/>
          <w:sz w:val="24"/>
          <w:highlight w:val="none"/>
          <w:lang w:val="en-US" w:eastAsia="zh-CN"/>
        </w:rPr>
        <w:t>316(安装不锈钢管材质)不锈钢；栏杆及扶手清单中描述不论有无预埋件内容，报价中均包含预埋件内容，结算时综合单价不予调整；</w:t>
      </w:r>
    </w:p>
    <w:p w14:paraId="78EF7A51">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eastAsia="宋体" w:cs="宋体"/>
          <w:color w:val="auto"/>
          <w:kern w:val="0"/>
          <w:sz w:val="24"/>
          <w:szCs w:val="24"/>
          <w:highlight w:val="none"/>
        </w:rPr>
        <w:t>本工程如由于强电、弱电、智能化等现场管线铺设，影响到装饰(水电安装)的吊筋、龙骨等安装，投标单位投标时应结合图纸及现场实际情况，自行考虑相应措施，相关费用含在投标报价中，结算不另行增加</w:t>
      </w:r>
      <w:r>
        <w:rPr>
          <w:rFonts w:hint="eastAsia" w:ascii="宋体" w:hAnsi="宋体" w:eastAsia="宋体" w:cs="宋体"/>
          <w:color w:val="auto"/>
          <w:kern w:val="0"/>
          <w:sz w:val="24"/>
          <w:szCs w:val="24"/>
          <w:highlight w:val="none"/>
          <w:lang w:eastAsia="zh-CN"/>
        </w:rPr>
        <w:t>；</w:t>
      </w:r>
    </w:p>
    <w:p w14:paraId="3D15D818">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eastAsia="宋体" w:cs="宋体"/>
          <w:color w:val="auto"/>
          <w:sz w:val="24"/>
          <w:szCs w:val="24"/>
          <w:highlight w:val="none"/>
        </w:rPr>
        <w:t>项目各相关专业需要在装饰材料覆盖的顶面、墙面、地面设置检修口、开孔、消火栓装饰门、灯具、开关、空调风口等，由承包人施工，费用由投标人在报价中考虑。位置由相关专业单位配合指定，监理单位参与核准</w:t>
      </w:r>
      <w:r>
        <w:rPr>
          <w:rFonts w:hint="eastAsia" w:ascii="宋体" w:hAnsi="宋体" w:cs="宋体"/>
          <w:color w:val="auto"/>
          <w:sz w:val="24"/>
          <w:szCs w:val="24"/>
          <w:highlight w:val="none"/>
          <w:lang w:eastAsia="zh-CN"/>
        </w:rPr>
        <w:t>；</w:t>
      </w:r>
    </w:p>
    <w:p w14:paraId="0B8EE605">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szCs w:val="24"/>
          <w:highlight w:val="none"/>
          <w:lang w:val="en-US" w:eastAsia="zh-CN"/>
        </w:rPr>
        <w:t>所</w:t>
      </w:r>
      <w:r>
        <w:rPr>
          <w:rFonts w:hint="eastAsia" w:ascii="宋体" w:hAnsi="宋体"/>
          <w:color w:val="auto"/>
          <w:sz w:val="24"/>
          <w:szCs w:val="24"/>
          <w:highlight w:val="none"/>
        </w:rPr>
        <w:t>有钢骨架采用镀锌处理，应满足消防规范及施工工艺要求</w:t>
      </w:r>
      <w:r>
        <w:rPr>
          <w:rFonts w:hint="eastAsia" w:ascii="宋体" w:hAnsi="宋体"/>
          <w:color w:val="auto"/>
          <w:sz w:val="24"/>
          <w:szCs w:val="24"/>
          <w:highlight w:val="none"/>
          <w:lang w:eastAsia="zh-CN"/>
        </w:rPr>
        <w:t>；</w:t>
      </w:r>
    </w:p>
    <w:p w14:paraId="181F29C4">
      <w:pPr>
        <w:numPr>
          <w:ilvl w:val="0"/>
          <w:numId w:val="7"/>
        </w:numPr>
        <w:autoSpaceDE w:val="0"/>
        <w:autoSpaceDN w:val="0"/>
        <w:adjustRightInd w:val="0"/>
        <w:spacing w:line="420" w:lineRule="exact"/>
        <w:ind w:right="170"/>
        <w:jc w:val="left"/>
        <w:rPr>
          <w:rFonts w:hint="eastAsia" w:ascii="宋体" w:hAnsi="宋体" w:eastAsia="宋体" w:cs="宋体"/>
          <w:color w:val="auto"/>
          <w:kern w:val="0"/>
          <w:sz w:val="24"/>
          <w:highlight w:val="none"/>
          <w:lang w:val="zh-CN" w:eastAsia="zh-CN"/>
        </w:rPr>
      </w:pPr>
      <w:r>
        <w:rPr>
          <w:rFonts w:hint="eastAsia" w:ascii="宋体" w:hAnsi="宋体" w:cs="宋体"/>
          <w:color w:val="auto"/>
          <w:kern w:val="0"/>
          <w:sz w:val="24"/>
          <w:highlight w:val="none"/>
          <w:lang w:val="en-US" w:eastAsia="zh-CN"/>
        </w:rPr>
        <w:t>施工过程中及施工完成后的开荒、精细保洁、成品保护由投标单位综合考虑报价计入报价中，不另行单列清单。</w:t>
      </w:r>
    </w:p>
    <w:p w14:paraId="26FBEDAA">
      <w:pPr>
        <w:numPr>
          <w:ilvl w:val="0"/>
          <w:numId w:val="8"/>
        </w:numPr>
        <w:autoSpaceDE w:val="0"/>
        <w:autoSpaceDN w:val="0"/>
        <w:adjustRightInd w:val="0"/>
        <w:spacing w:line="420" w:lineRule="exact"/>
        <w:ind w:right="170"/>
        <w:jc w:val="left"/>
        <w:rPr>
          <w:rFonts w:ascii="宋体" w:hAnsi="宋体" w:cs="宋体"/>
          <w:color w:val="auto"/>
          <w:sz w:val="24"/>
          <w:highlight w:val="none"/>
        </w:rPr>
      </w:pPr>
      <w:r>
        <w:rPr>
          <w:rFonts w:hint="eastAsia" w:ascii="宋体" w:hAnsi="宋体" w:cs="宋体"/>
          <w:color w:val="auto"/>
          <w:sz w:val="24"/>
          <w:highlight w:val="none"/>
        </w:rPr>
        <w:t>出现特征描述不全面的情况的补充说明：</w:t>
      </w:r>
    </w:p>
    <w:p w14:paraId="11C3E160">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1）招标人的本意是完成该子目项工作内容的全部，当特征描述与施工图纸中相对应的内容、节点或详图、技术参数表出现表达不一致未能描述清楚和全面，或出现文字瑕疵错误的情况时，或出现特征描述中前后表达不一致时，本特征项的综合标底价是按照图纸内容、节点或详图及技术参数表编制的。投标人应在投标规定的提疑时间内提出疑问，招标人确认后及时修正，不管投标人是否提疑、招标人是否修正，这并不代表投标人可以以此申请该子目的补充签证及增加费用；</w:t>
      </w:r>
    </w:p>
    <w:p w14:paraId="2F706EBB">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2）如招标人在子目中编制的应完成该项子目工作的综合单价（招标控制价）明显低于成本价的，投标人应在投标规定的提疑时间内提出疑问，招标人应确认后及时修正。若投标人未按时提出视为投标人的让利，不得作为投标人提出索赔或要求调价的理由，并不可以以此签证及增加费用；</w:t>
      </w:r>
    </w:p>
    <w:p w14:paraId="284FABDC">
      <w:pPr>
        <w:autoSpaceDE w:val="0"/>
        <w:autoSpaceDN w:val="0"/>
        <w:adjustRightInd w:val="0"/>
        <w:spacing w:line="420" w:lineRule="exact"/>
        <w:ind w:left="483" w:right="170"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3）投标人不得因上述原因，拒绝此项子目工作的施工内容，因拒绝造成该子目内容未施工，而由其它单位施工完成而发生的费用，将由投标人承担，并在结算中予以扣除。</w:t>
      </w:r>
    </w:p>
    <w:p w14:paraId="2BED9A35">
      <w:pPr>
        <w:numPr>
          <w:ilvl w:val="0"/>
          <w:numId w:val="1"/>
        </w:numPr>
        <w:snapToGrid w:val="0"/>
        <w:spacing w:line="440" w:lineRule="atLeast"/>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zh-CN"/>
        </w:rPr>
        <w:t>主要材料品牌参考表：</w:t>
      </w:r>
    </w:p>
    <w:tbl>
      <w:tblPr>
        <w:tblStyle w:val="10"/>
        <w:tblW w:w="9300" w:type="dxa"/>
        <w:tblInd w:w="297" w:type="dxa"/>
        <w:tblLayout w:type="fixed"/>
        <w:tblCellMar>
          <w:top w:w="0" w:type="dxa"/>
          <w:left w:w="0" w:type="dxa"/>
          <w:bottom w:w="0" w:type="dxa"/>
          <w:right w:w="0" w:type="dxa"/>
        </w:tblCellMar>
      </w:tblPr>
      <w:tblGrid>
        <w:gridCol w:w="780"/>
        <w:gridCol w:w="4068"/>
        <w:gridCol w:w="1500"/>
        <w:gridCol w:w="1428"/>
        <w:gridCol w:w="1524"/>
      </w:tblGrid>
      <w:tr w14:paraId="5766D9F5">
        <w:tblPrEx>
          <w:tblCellMar>
            <w:top w:w="0" w:type="dxa"/>
            <w:left w:w="0" w:type="dxa"/>
            <w:bottom w:w="0" w:type="dxa"/>
            <w:right w:w="0" w:type="dxa"/>
          </w:tblCellMar>
        </w:tblPrEx>
        <w:trPr>
          <w:trHeight w:val="561"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9C597">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序号</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70826">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材料名称</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90969">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品牌</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ACBD2">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品牌</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8D53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品牌</w:t>
            </w:r>
          </w:p>
        </w:tc>
      </w:tr>
      <w:tr w14:paraId="27190BD1">
        <w:tblPrEx>
          <w:tblCellMar>
            <w:top w:w="0" w:type="dxa"/>
            <w:left w:w="0" w:type="dxa"/>
            <w:bottom w:w="0" w:type="dxa"/>
            <w:right w:w="0" w:type="dxa"/>
          </w:tblCellMar>
        </w:tblPrEx>
        <w:trPr>
          <w:trHeight w:val="4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4E8BA">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C23DB">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装饰改造</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9051F">
            <w:pPr>
              <w:widowControl/>
              <w:jc w:val="center"/>
              <w:textAlignment w:val="center"/>
              <w:rPr>
                <w:rFonts w:ascii="宋体" w:hAnsi="宋体" w:eastAsia="宋体" w:cs="宋体"/>
                <w:color w:val="auto"/>
                <w:kern w:val="0"/>
                <w:sz w:val="18"/>
                <w:szCs w:val="18"/>
                <w:highlight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90921">
            <w:pPr>
              <w:widowControl/>
              <w:jc w:val="center"/>
              <w:textAlignment w:val="center"/>
              <w:rPr>
                <w:rFonts w:ascii="宋体" w:hAnsi="宋体" w:eastAsia="宋体" w:cs="宋体"/>
                <w:color w:val="auto"/>
                <w:kern w:val="0"/>
                <w:sz w:val="18"/>
                <w:szCs w:val="18"/>
                <w:highlight w:val="none"/>
              </w:rPr>
            </w:pP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2CBD9">
            <w:pPr>
              <w:widowControl/>
              <w:jc w:val="center"/>
              <w:textAlignment w:val="center"/>
              <w:rPr>
                <w:rFonts w:ascii="宋体" w:hAnsi="宋体" w:eastAsia="宋体" w:cs="宋体"/>
                <w:color w:val="auto"/>
                <w:kern w:val="0"/>
                <w:sz w:val="18"/>
                <w:szCs w:val="18"/>
                <w:highlight w:val="none"/>
              </w:rPr>
            </w:pPr>
          </w:p>
        </w:tc>
      </w:tr>
      <w:tr w14:paraId="168FDF01">
        <w:tblPrEx>
          <w:tblCellMar>
            <w:top w:w="0" w:type="dxa"/>
            <w:left w:w="0" w:type="dxa"/>
            <w:bottom w:w="0" w:type="dxa"/>
            <w:right w:w="0" w:type="dxa"/>
          </w:tblCellMar>
        </w:tblPrEx>
        <w:trPr>
          <w:trHeight w:val="4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3E7F5">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D8D3">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石膏板（9.5mm）</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2BBF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龙牌</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2343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可耐福</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7FD5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拉法基</w:t>
            </w:r>
          </w:p>
        </w:tc>
      </w:tr>
      <w:tr w14:paraId="745B6CA1">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77A1D">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8E82E">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内墙乳胶漆（国标）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FE24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立邦美得丽</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0ADD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三棵树康家净味二合一</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76893">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多乐士家丽安</w:t>
            </w:r>
          </w:p>
        </w:tc>
      </w:tr>
      <w:tr w14:paraId="6CF7F81F">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2F7F4">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390B">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细木工板</w:t>
            </w:r>
            <w:r>
              <w:rPr>
                <w:rFonts w:hint="eastAsia" w:ascii="宋体" w:hAnsi="宋体" w:cs="宋体"/>
                <w:color w:val="auto"/>
                <w:kern w:val="0"/>
                <w:sz w:val="18"/>
                <w:szCs w:val="18"/>
                <w:highlight w:val="none"/>
                <w:lang w:val="en-US" w:eastAsia="zh-CN"/>
              </w:rPr>
              <w:t>/家具板</w:t>
            </w:r>
            <w:r>
              <w:rPr>
                <w:rFonts w:hint="eastAsia" w:ascii="宋体" w:hAnsi="宋体" w:eastAsia="宋体" w:cs="宋体"/>
                <w:color w:val="auto"/>
                <w:kern w:val="0"/>
                <w:sz w:val="18"/>
                <w:szCs w:val="18"/>
                <w:highlight w:val="none"/>
              </w:rPr>
              <w:t>（18mm，E0级）</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8199">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兔宝宝</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B1270">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千年舟</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B0B94">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莫干山</w:t>
            </w:r>
          </w:p>
        </w:tc>
      </w:tr>
      <w:tr w14:paraId="24C885F5">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AB7C3">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8B120">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墙地砖（国标）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5C25F">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东鹏</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2CE5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冠珠</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26556">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马可波罗</w:t>
            </w:r>
          </w:p>
        </w:tc>
      </w:tr>
      <w:tr w14:paraId="4E76E91E">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6D256">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68F78">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轻钢龙骨（国标）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CF837">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龙牌</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698B5">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可耐福</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873AF">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杰科</w:t>
            </w:r>
          </w:p>
        </w:tc>
      </w:tr>
      <w:tr w14:paraId="478BAB46">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10530">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8ED10">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实木复合地板</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50E9C">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圣象</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48FF6">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兔宝宝</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E81D3">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奥地雅</w:t>
            </w:r>
          </w:p>
        </w:tc>
      </w:tr>
      <w:tr w14:paraId="4F95A6AC">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F95A">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F6312">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实木复合门（国标）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4A3E7">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欧派</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2E18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美心</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75E55">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TATA</w:t>
            </w:r>
          </w:p>
        </w:tc>
      </w:tr>
      <w:tr w14:paraId="0DF59783">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462E3">
            <w:pPr>
              <w:widowControl/>
              <w:jc w:val="center"/>
              <w:textAlignment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8</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5E3AF">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竹木纤维板/吸音板</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A8231">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奥普</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7D293">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友邦</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11C67">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格林春天</w:t>
            </w:r>
          </w:p>
        </w:tc>
      </w:tr>
      <w:tr w14:paraId="17EB0DC0">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86EAE">
            <w:pPr>
              <w:widowControl/>
              <w:jc w:val="center"/>
              <w:textAlignment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9</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1462C">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门锁五金件</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24693">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顶固</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6A78E">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雅洁</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36E68">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固友</w:t>
            </w:r>
          </w:p>
        </w:tc>
      </w:tr>
      <w:tr w14:paraId="4A2F93C1">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476A2">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9090B">
            <w:pPr>
              <w:widowControl/>
              <w:jc w:val="left"/>
              <w:textAlignment w:val="center"/>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管道</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06DDF">
            <w:pPr>
              <w:widowControl/>
              <w:jc w:val="center"/>
              <w:textAlignment w:val="center"/>
              <w:rPr>
                <w:rFonts w:ascii="宋体" w:hAnsi="宋体" w:eastAsia="宋体" w:cs="宋体"/>
                <w:color w:val="auto"/>
                <w:kern w:val="0"/>
                <w:sz w:val="18"/>
                <w:szCs w:val="18"/>
                <w:highlight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0A81A">
            <w:pPr>
              <w:widowControl/>
              <w:jc w:val="center"/>
              <w:textAlignment w:val="center"/>
              <w:rPr>
                <w:rFonts w:ascii="宋体" w:hAnsi="宋体" w:eastAsia="宋体" w:cs="宋体"/>
                <w:color w:val="auto"/>
                <w:kern w:val="0"/>
                <w:sz w:val="18"/>
                <w:szCs w:val="18"/>
                <w:highlight w:val="none"/>
              </w:rPr>
            </w:pP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2E18C">
            <w:pPr>
              <w:widowControl/>
              <w:jc w:val="center"/>
              <w:textAlignment w:val="center"/>
              <w:rPr>
                <w:rFonts w:ascii="宋体" w:hAnsi="宋体" w:eastAsia="宋体" w:cs="宋体"/>
                <w:color w:val="auto"/>
                <w:kern w:val="0"/>
                <w:sz w:val="18"/>
                <w:szCs w:val="18"/>
                <w:highlight w:val="none"/>
              </w:rPr>
            </w:pPr>
          </w:p>
        </w:tc>
      </w:tr>
      <w:tr w14:paraId="177FB14D">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E159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66E3D">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UPVC/PE排水管</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92EF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日丰</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F3DA0">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公元</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E2BA9">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中财</w:t>
            </w:r>
          </w:p>
        </w:tc>
      </w:tr>
      <w:tr w14:paraId="1550879B">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217A4">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176B5">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土建</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23CD2">
            <w:pPr>
              <w:widowControl/>
              <w:jc w:val="center"/>
              <w:textAlignment w:val="center"/>
              <w:rPr>
                <w:rFonts w:ascii="宋体" w:hAnsi="宋体" w:eastAsia="宋体" w:cs="宋体"/>
                <w:color w:val="auto"/>
                <w:kern w:val="0"/>
                <w:sz w:val="18"/>
                <w:szCs w:val="18"/>
                <w:highlight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2667A">
            <w:pPr>
              <w:widowControl/>
              <w:jc w:val="center"/>
              <w:textAlignment w:val="center"/>
              <w:rPr>
                <w:rFonts w:ascii="宋体" w:hAnsi="宋体" w:eastAsia="宋体" w:cs="宋体"/>
                <w:color w:val="auto"/>
                <w:kern w:val="0"/>
                <w:sz w:val="18"/>
                <w:szCs w:val="18"/>
                <w:highlight w:val="none"/>
              </w:rPr>
            </w:pP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9A122">
            <w:pPr>
              <w:widowControl/>
              <w:jc w:val="center"/>
              <w:textAlignment w:val="center"/>
              <w:rPr>
                <w:rFonts w:ascii="宋体" w:hAnsi="宋体" w:eastAsia="宋体" w:cs="宋体"/>
                <w:color w:val="auto"/>
                <w:kern w:val="0"/>
                <w:sz w:val="18"/>
                <w:szCs w:val="18"/>
                <w:highlight w:val="none"/>
              </w:rPr>
            </w:pPr>
          </w:p>
        </w:tc>
      </w:tr>
      <w:tr w14:paraId="29A24AF3">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5432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C5B7C">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钢筋</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488D3">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沙钢</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32B4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宝钢</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AC08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首钢</w:t>
            </w:r>
          </w:p>
        </w:tc>
      </w:tr>
      <w:tr w14:paraId="0FDA4231">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4F580">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1B748">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铝型材</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E90EB">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鑫裕</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34BE">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协铝</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32B4D">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凤铝</w:t>
            </w:r>
          </w:p>
        </w:tc>
      </w:tr>
      <w:tr w14:paraId="71E4CB2C">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75E5">
            <w:pPr>
              <w:widowControl/>
              <w:jc w:val="center"/>
              <w:textAlignment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3</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3E55C">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外墙涂料、真石漆</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49C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三棵树</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3897D">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亚士</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98147">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立邦</w:t>
            </w:r>
          </w:p>
        </w:tc>
      </w:tr>
      <w:tr w14:paraId="61337376">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99FC6">
            <w:pPr>
              <w:widowControl/>
              <w:jc w:val="center"/>
              <w:textAlignment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lang w:val="en-US" w:eastAsia="zh-CN"/>
              </w:rPr>
              <w:t>4</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59F58">
            <w:pPr>
              <w:widowControl/>
              <w:jc w:val="left"/>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内墙腻子</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1AADA">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杰科</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24FE3">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三棵树</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B63A8">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嘉宝莉</w:t>
            </w:r>
          </w:p>
        </w:tc>
      </w:tr>
      <w:tr w14:paraId="21485B1C">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B2BA4">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四</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D2318">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安装</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DB0B4">
            <w:pPr>
              <w:widowControl/>
              <w:jc w:val="center"/>
              <w:textAlignment w:val="center"/>
              <w:rPr>
                <w:rFonts w:ascii="宋体" w:hAnsi="宋体" w:eastAsia="宋体" w:cs="宋体"/>
                <w:color w:val="auto"/>
                <w:kern w:val="0"/>
                <w:sz w:val="18"/>
                <w:szCs w:val="18"/>
                <w:highlight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5C7B0">
            <w:pPr>
              <w:widowControl/>
              <w:jc w:val="center"/>
              <w:textAlignment w:val="center"/>
              <w:rPr>
                <w:rFonts w:ascii="宋体" w:hAnsi="宋体" w:eastAsia="宋体" w:cs="宋体"/>
                <w:color w:val="auto"/>
                <w:kern w:val="0"/>
                <w:sz w:val="18"/>
                <w:szCs w:val="18"/>
                <w:highlight w:val="none"/>
              </w:rPr>
            </w:pP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5FCF0">
            <w:pPr>
              <w:widowControl/>
              <w:jc w:val="center"/>
              <w:textAlignment w:val="center"/>
              <w:rPr>
                <w:rFonts w:ascii="宋体" w:hAnsi="宋体" w:eastAsia="宋体" w:cs="宋体"/>
                <w:color w:val="auto"/>
                <w:kern w:val="0"/>
                <w:sz w:val="18"/>
                <w:szCs w:val="18"/>
                <w:highlight w:val="none"/>
              </w:rPr>
            </w:pPr>
          </w:p>
        </w:tc>
      </w:tr>
      <w:tr w14:paraId="022B2310">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43918">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6D42D">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热镀锌导线钢管（JDG管）</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C4CF1">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优耐特</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CEFE4">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新星</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CE8E9">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利制</w:t>
            </w:r>
          </w:p>
        </w:tc>
      </w:tr>
      <w:tr w14:paraId="26720537">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B37CF">
            <w:pPr>
              <w:widowControl/>
              <w:jc w:val="center"/>
              <w:textAlignment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2</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BEA1D">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洁具</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01F3B">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九牧</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D546B">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箭牌</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8801E">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恒洁</w:t>
            </w:r>
          </w:p>
        </w:tc>
      </w:tr>
      <w:tr w14:paraId="2CB4A833">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C0672">
            <w:pPr>
              <w:widowControl/>
              <w:jc w:val="center"/>
              <w:textAlignment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3</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4F358">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开关、插座</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E2F5">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西门子</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44B6">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ABB</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D03C9">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施耐德</w:t>
            </w:r>
          </w:p>
        </w:tc>
      </w:tr>
      <w:tr w14:paraId="72625B58">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9A009">
            <w:pPr>
              <w:widowControl/>
              <w:jc w:val="center"/>
              <w:textAlignment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4</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0F3B9">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灯具</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78DB0">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雷士</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4471">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欧普</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71AC4">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飞利浦</w:t>
            </w:r>
          </w:p>
        </w:tc>
      </w:tr>
      <w:tr w14:paraId="7C3C2F9D">
        <w:tblPrEx>
          <w:tblCellMar>
            <w:top w:w="0" w:type="dxa"/>
            <w:left w:w="0" w:type="dxa"/>
            <w:bottom w:w="0" w:type="dxa"/>
            <w:right w:w="0" w:type="dxa"/>
          </w:tblCellMar>
        </w:tblPrEx>
        <w:trPr>
          <w:trHeight w:val="554"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B7A00">
            <w:pPr>
              <w:widowControl/>
              <w:jc w:val="center"/>
              <w:textAlignment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5</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5AD9D">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电线、电缆</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F7076">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远东</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38136">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江南</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CC6EB">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上上</w:t>
            </w:r>
          </w:p>
        </w:tc>
      </w:tr>
      <w:tr w14:paraId="40ABDFD3">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42A41">
            <w:pPr>
              <w:widowControl/>
              <w:jc w:val="center"/>
              <w:textAlignment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6</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3B569">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配电箱电气元件</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49E8E">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ABB</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B1426">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施耐德</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EF8F1">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西门子</w:t>
            </w:r>
          </w:p>
        </w:tc>
      </w:tr>
      <w:tr w14:paraId="0FB3701D">
        <w:tblPrEx>
          <w:tblCellMar>
            <w:top w:w="0" w:type="dxa"/>
            <w:left w:w="0" w:type="dxa"/>
            <w:bottom w:w="0" w:type="dxa"/>
            <w:right w:w="0" w:type="dxa"/>
          </w:tblCellMar>
        </w:tblPrEx>
        <w:trPr>
          <w:trHeight w:val="560" w:hRule="atLeast"/>
        </w:trPr>
        <w:tc>
          <w:tcPr>
            <w:tcW w:w="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3472B">
            <w:pPr>
              <w:widowControl/>
              <w:jc w:val="center"/>
              <w:textAlignment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w:t>
            </w:r>
          </w:p>
        </w:tc>
        <w:tc>
          <w:tcPr>
            <w:tcW w:w="40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2EA41">
            <w:pPr>
              <w:widowControl/>
              <w:jc w:val="left"/>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空调</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B981D">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美的</w:t>
            </w:r>
          </w:p>
        </w:tc>
        <w:tc>
          <w:tcPr>
            <w:tcW w:w="1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BF65A">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海尔</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90B66">
            <w:pPr>
              <w:widowControl/>
              <w:jc w:val="center"/>
              <w:textAlignment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格力</w:t>
            </w:r>
          </w:p>
        </w:tc>
      </w:tr>
    </w:tbl>
    <w:p w14:paraId="3B0C67B6">
      <w:pPr>
        <w:widowControl/>
        <w:jc w:val="left"/>
        <w:rPr>
          <w:rFonts w:hint="eastAsia" w:ascii="宋体" w:hAnsi="宋体" w:eastAsia="宋体" w:cs="Courier New"/>
          <w:b/>
          <w:color w:val="auto"/>
          <w:kern w:val="2"/>
          <w:sz w:val="21"/>
          <w:szCs w:val="21"/>
          <w:highlight w:val="none"/>
          <w:lang w:val="en-US" w:eastAsia="zh-CN" w:bidi="ar-SA"/>
        </w:rPr>
      </w:pPr>
      <w:r>
        <w:rPr>
          <w:rFonts w:hint="eastAsia" w:ascii="宋体" w:hAnsi="宋体" w:eastAsia="宋体" w:cs="Courier New"/>
          <w:b/>
          <w:color w:val="auto"/>
          <w:kern w:val="2"/>
          <w:sz w:val="21"/>
          <w:szCs w:val="21"/>
          <w:highlight w:val="none"/>
          <w:lang w:val="en-US" w:eastAsia="zh-CN" w:bidi="ar-SA"/>
        </w:rPr>
        <w:t>注：1、所有投标人必须承诺施工时使用招标人提供的《主要材料品牌参考表》中明确的材料品牌型号，并合同履行过程中进行选择确定。投标人应按招标文件要求的格式提供《施工时使用材料品牌型号承诺书》，否则视为未能实质性响应招标文件，作为无效投标文件处理。2、中标单位采购的所有材料必须符合设计图纸、技术规格书及相关规定的要求，如发现中标单位所采购材料不符合要求，甲方可要求中标单位更换直至符合要求为止，最终采购品牌需经业主确认同意后方可进行采购。3、其它未标明的品牌按中等以上品牌考虑。4、如果此品牌表为建议首选材料品牌范围，采购时遇到特殊情况，经业主方同意，可以采用同档次品牌替代。</w:t>
      </w:r>
    </w:p>
    <w:p w14:paraId="5DDAE1DA">
      <w:pPr>
        <w:numPr>
          <w:ilvl w:val="0"/>
          <w:numId w:val="1"/>
        </w:numPr>
        <w:snapToGrid w:val="0"/>
        <w:spacing w:line="440" w:lineRule="atLeast"/>
        <w:rPr>
          <w:rFonts w:hint="eastAsia" w:ascii="宋体" w:hAnsi="宋体" w:cs="宋体"/>
          <w:b/>
          <w:color w:val="auto"/>
          <w:sz w:val="24"/>
          <w:highlight w:val="none"/>
          <w:lang w:val="zh-CN"/>
        </w:rPr>
      </w:pPr>
      <w:r>
        <w:rPr>
          <w:rFonts w:hint="eastAsia" w:ascii="宋体" w:hAnsi="宋体" w:cs="宋体"/>
          <w:b/>
          <w:color w:val="auto"/>
          <w:sz w:val="24"/>
          <w:highlight w:val="none"/>
          <w:lang w:val="zh-CN"/>
        </w:rPr>
        <w:t>暂估价明细表（投标单位报价时不得变动让利）：</w:t>
      </w:r>
    </w:p>
    <w:p w14:paraId="131305F3">
      <w:pPr>
        <w:pStyle w:val="16"/>
        <w:snapToGrid w:val="0"/>
        <w:spacing w:line="440" w:lineRule="atLeast"/>
        <w:ind w:left="425"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1、暂列金额明细表：</w:t>
      </w:r>
    </w:p>
    <w:tbl>
      <w:tblPr>
        <w:tblStyle w:val="10"/>
        <w:tblW w:w="9300" w:type="dxa"/>
        <w:tblInd w:w="380" w:type="dxa"/>
        <w:tblLayout w:type="fixed"/>
        <w:tblCellMar>
          <w:top w:w="0" w:type="dxa"/>
          <w:left w:w="108" w:type="dxa"/>
          <w:bottom w:w="0" w:type="dxa"/>
          <w:right w:w="108" w:type="dxa"/>
        </w:tblCellMar>
      </w:tblPr>
      <w:tblGrid>
        <w:gridCol w:w="795"/>
        <w:gridCol w:w="3988"/>
        <w:gridCol w:w="1235"/>
        <w:gridCol w:w="1945"/>
        <w:gridCol w:w="1337"/>
      </w:tblGrid>
      <w:tr w14:paraId="200AC36B">
        <w:tblPrEx>
          <w:tblCellMar>
            <w:top w:w="0" w:type="dxa"/>
            <w:left w:w="108" w:type="dxa"/>
            <w:bottom w:w="0" w:type="dxa"/>
            <w:right w:w="108" w:type="dxa"/>
          </w:tblCellMar>
        </w:tblPrEx>
        <w:trPr>
          <w:trHeight w:val="390" w:hRule="atLeast"/>
        </w:trPr>
        <w:tc>
          <w:tcPr>
            <w:tcW w:w="795" w:type="dxa"/>
            <w:tcBorders>
              <w:top w:val="single" w:color="auto" w:sz="6" w:space="0"/>
              <w:left w:val="single" w:color="auto" w:sz="6" w:space="0"/>
              <w:bottom w:val="single" w:color="auto" w:sz="6" w:space="0"/>
              <w:right w:val="single" w:color="auto" w:sz="6" w:space="0"/>
            </w:tcBorders>
            <w:vAlign w:val="center"/>
          </w:tcPr>
          <w:p w14:paraId="66FB83D9">
            <w:pPr>
              <w:autoSpaceDE w:val="0"/>
              <w:autoSpaceDN w:val="0"/>
              <w:jc w:val="center"/>
              <w:rPr>
                <w:rFonts w:ascii="宋体" w:hAnsi="宋体" w:cs="宋体"/>
                <w:color w:val="auto"/>
                <w:highlight w:val="none"/>
              </w:rPr>
            </w:pPr>
            <w:r>
              <w:rPr>
                <w:rFonts w:hint="eastAsia" w:ascii="宋体" w:hAnsi="宋体" w:cs="宋体"/>
                <w:color w:val="auto"/>
                <w:highlight w:val="none"/>
              </w:rPr>
              <w:t>序号</w:t>
            </w:r>
          </w:p>
        </w:tc>
        <w:tc>
          <w:tcPr>
            <w:tcW w:w="3988" w:type="dxa"/>
            <w:tcBorders>
              <w:top w:val="single" w:color="auto" w:sz="6" w:space="0"/>
              <w:left w:val="single" w:color="auto" w:sz="6" w:space="0"/>
              <w:bottom w:val="single" w:color="auto" w:sz="6" w:space="0"/>
              <w:right w:val="single" w:color="auto" w:sz="6" w:space="0"/>
            </w:tcBorders>
            <w:vAlign w:val="center"/>
          </w:tcPr>
          <w:p w14:paraId="42E2DCD8">
            <w:pPr>
              <w:autoSpaceDE w:val="0"/>
              <w:autoSpaceDN w:val="0"/>
              <w:jc w:val="center"/>
              <w:rPr>
                <w:rFonts w:ascii="宋体" w:hAnsi="宋体" w:cs="宋体"/>
                <w:color w:val="auto"/>
                <w:highlight w:val="none"/>
              </w:rPr>
            </w:pPr>
            <w:r>
              <w:rPr>
                <w:rFonts w:hint="eastAsia" w:ascii="宋体" w:hAnsi="宋体" w:cs="宋体"/>
                <w:color w:val="auto"/>
                <w:highlight w:val="none"/>
              </w:rPr>
              <w:t>项目名称</w:t>
            </w:r>
          </w:p>
        </w:tc>
        <w:tc>
          <w:tcPr>
            <w:tcW w:w="1235" w:type="dxa"/>
            <w:tcBorders>
              <w:top w:val="single" w:color="auto" w:sz="6" w:space="0"/>
              <w:left w:val="single" w:color="auto" w:sz="6" w:space="0"/>
              <w:bottom w:val="single" w:color="auto" w:sz="6" w:space="0"/>
              <w:right w:val="single" w:color="auto" w:sz="6" w:space="0"/>
            </w:tcBorders>
            <w:vAlign w:val="center"/>
          </w:tcPr>
          <w:p w14:paraId="733E951C">
            <w:pPr>
              <w:autoSpaceDE w:val="0"/>
              <w:autoSpaceDN w:val="0"/>
              <w:jc w:val="center"/>
              <w:rPr>
                <w:rFonts w:ascii="宋体" w:hAnsi="宋体" w:cs="宋体"/>
                <w:color w:val="auto"/>
                <w:highlight w:val="none"/>
              </w:rPr>
            </w:pPr>
            <w:r>
              <w:rPr>
                <w:rFonts w:hint="eastAsia" w:ascii="宋体" w:hAnsi="宋体" w:cs="宋体"/>
                <w:color w:val="auto"/>
                <w:highlight w:val="none"/>
              </w:rPr>
              <w:t>计量单位</w:t>
            </w:r>
          </w:p>
        </w:tc>
        <w:tc>
          <w:tcPr>
            <w:tcW w:w="1945" w:type="dxa"/>
            <w:tcBorders>
              <w:top w:val="single" w:color="auto" w:sz="6" w:space="0"/>
              <w:left w:val="single" w:color="auto" w:sz="6" w:space="0"/>
              <w:bottom w:val="single" w:color="auto" w:sz="6" w:space="0"/>
              <w:right w:val="single" w:color="auto" w:sz="6" w:space="0"/>
            </w:tcBorders>
            <w:vAlign w:val="center"/>
          </w:tcPr>
          <w:p w14:paraId="5C2D33B0">
            <w:pPr>
              <w:autoSpaceDE w:val="0"/>
              <w:autoSpaceDN w:val="0"/>
              <w:jc w:val="center"/>
              <w:rPr>
                <w:rFonts w:ascii="宋体" w:hAnsi="宋体" w:cs="宋体"/>
                <w:color w:val="auto"/>
                <w:highlight w:val="none"/>
              </w:rPr>
            </w:pPr>
            <w:r>
              <w:rPr>
                <w:rFonts w:hint="eastAsia" w:ascii="宋体" w:hAnsi="宋体" w:cs="宋体"/>
                <w:color w:val="auto"/>
                <w:highlight w:val="none"/>
              </w:rPr>
              <w:t>暂定金额（元）</w:t>
            </w:r>
          </w:p>
        </w:tc>
        <w:tc>
          <w:tcPr>
            <w:tcW w:w="1337" w:type="dxa"/>
            <w:tcBorders>
              <w:top w:val="single" w:color="auto" w:sz="6" w:space="0"/>
              <w:left w:val="single" w:color="auto" w:sz="6" w:space="0"/>
              <w:bottom w:val="single" w:color="auto" w:sz="6" w:space="0"/>
              <w:right w:val="single" w:color="auto" w:sz="6" w:space="0"/>
            </w:tcBorders>
            <w:vAlign w:val="center"/>
          </w:tcPr>
          <w:p w14:paraId="71064535">
            <w:pPr>
              <w:autoSpaceDE w:val="0"/>
              <w:autoSpaceDN w:val="0"/>
              <w:jc w:val="center"/>
              <w:rPr>
                <w:rFonts w:ascii="宋体" w:hAnsi="宋体" w:cs="宋体"/>
                <w:color w:val="auto"/>
                <w:highlight w:val="none"/>
              </w:rPr>
            </w:pPr>
            <w:r>
              <w:rPr>
                <w:rFonts w:hint="eastAsia" w:ascii="宋体" w:hAnsi="宋体" w:cs="宋体"/>
                <w:color w:val="auto"/>
                <w:highlight w:val="none"/>
              </w:rPr>
              <w:t>备注</w:t>
            </w:r>
          </w:p>
        </w:tc>
      </w:tr>
      <w:tr w14:paraId="2C220D4D">
        <w:tblPrEx>
          <w:tblCellMar>
            <w:top w:w="0" w:type="dxa"/>
            <w:left w:w="108" w:type="dxa"/>
            <w:bottom w:w="0" w:type="dxa"/>
            <w:right w:w="108" w:type="dxa"/>
          </w:tblCellMar>
        </w:tblPrEx>
        <w:trPr>
          <w:trHeight w:val="454" w:hRule="atLeast"/>
        </w:trPr>
        <w:tc>
          <w:tcPr>
            <w:tcW w:w="795" w:type="dxa"/>
            <w:tcBorders>
              <w:top w:val="single" w:color="auto" w:sz="6" w:space="0"/>
              <w:left w:val="single" w:color="auto" w:sz="6" w:space="0"/>
              <w:bottom w:val="single" w:color="auto" w:sz="6" w:space="0"/>
              <w:right w:val="single" w:color="auto" w:sz="6" w:space="0"/>
            </w:tcBorders>
            <w:vAlign w:val="center"/>
          </w:tcPr>
          <w:p w14:paraId="656E04F7">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1</w:t>
            </w:r>
          </w:p>
        </w:tc>
        <w:tc>
          <w:tcPr>
            <w:tcW w:w="3988" w:type="dxa"/>
            <w:tcBorders>
              <w:top w:val="single" w:color="auto" w:sz="6" w:space="0"/>
              <w:left w:val="single" w:color="auto" w:sz="6" w:space="0"/>
              <w:bottom w:val="single" w:color="auto" w:sz="6" w:space="0"/>
              <w:right w:val="single" w:color="auto" w:sz="6" w:space="0"/>
            </w:tcBorders>
            <w:vAlign w:val="center"/>
          </w:tcPr>
          <w:p w14:paraId="5B778A4A">
            <w:pPr>
              <w:autoSpaceDE w:val="0"/>
              <w:autoSpaceDN w:val="0"/>
              <w:jc w:val="left"/>
              <w:rPr>
                <w:rFonts w:ascii="宋体" w:hAnsi="宋体" w:cs="宋体"/>
                <w:color w:val="auto"/>
                <w:highlight w:val="none"/>
              </w:rPr>
            </w:pPr>
            <w:r>
              <w:rPr>
                <w:rFonts w:hint="eastAsia" w:ascii="宋体" w:hAnsi="宋体" w:cs="宋体"/>
                <w:color w:val="auto"/>
                <w:highlight w:val="none"/>
              </w:rPr>
              <w:t>工程量清单中工程量偏差和设计变更</w:t>
            </w:r>
          </w:p>
        </w:tc>
        <w:tc>
          <w:tcPr>
            <w:tcW w:w="1235" w:type="dxa"/>
            <w:tcBorders>
              <w:top w:val="single" w:color="auto" w:sz="6" w:space="0"/>
              <w:left w:val="single" w:color="auto" w:sz="6" w:space="0"/>
              <w:bottom w:val="single" w:color="auto" w:sz="6" w:space="0"/>
              <w:right w:val="single" w:color="auto" w:sz="6" w:space="0"/>
            </w:tcBorders>
            <w:vAlign w:val="center"/>
          </w:tcPr>
          <w:p w14:paraId="0A631EE4">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op w:val="single" w:color="auto" w:sz="6" w:space="0"/>
              <w:left w:val="single" w:color="auto" w:sz="6" w:space="0"/>
              <w:bottom w:val="single" w:color="auto" w:sz="6" w:space="0"/>
              <w:right w:val="single" w:color="auto" w:sz="6" w:space="0"/>
            </w:tcBorders>
            <w:vAlign w:val="center"/>
          </w:tcPr>
          <w:p w14:paraId="053EDDDD">
            <w:pPr>
              <w:autoSpaceDE w:val="0"/>
              <w:autoSpaceDN w:val="0"/>
              <w:jc w:val="center"/>
              <w:rPr>
                <w:rFonts w:ascii="宋体" w:hAnsi="宋体" w:cs="宋体"/>
                <w:color w:val="auto"/>
                <w:highlight w:val="none"/>
              </w:rPr>
            </w:pPr>
          </w:p>
        </w:tc>
        <w:tc>
          <w:tcPr>
            <w:tcW w:w="1337" w:type="dxa"/>
            <w:tcBorders>
              <w:top w:val="single" w:color="auto" w:sz="6" w:space="0"/>
              <w:left w:val="single" w:color="auto" w:sz="6" w:space="0"/>
              <w:bottom w:val="single" w:color="auto" w:sz="6" w:space="0"/>
              <w:right w:val="single" w:color="auto" w:sz="6" w:space="0"/>
            </w:tcBorders>
            <w:vAlign w:val="center"/>
          </w:tcPr>
          <w:p w14:paraId="45FBD1FA">
            <w:pPr>
              <w:autoSpaceDE w:val="0"/>
              <w:autoSpaceDN w:val="0"/>
              <w:jc w:val="center"/>
              <w:rPr>
                <w:rFonts w:ascii="宋体" w:hAnsi="宋体" w:cs="宋体"/>
                <w:color w:val="auto"/>
                <w:highlight w:val="none"/>
              </w:rPr>
            </w:pPr>
          </w:p>
        </w:tc>
      </w:tr>
      <w:tr w14:paraId="31D5814A">
        <w:trPr>
          <w:trHeight w:val="454" w:hRule="atLeast"/>
        </w:trPr>
        <w:tc>
          <w:tcPr>
            <w:tcW w:w="795" w:type="dxa"/>
            <w:tcBorders>
              <w:top w:val="single" w:color="auto" w:sz="6" w:space="0"/>
              <w:left w:val="single" w:color="auto" w:sz="6" w:space="0"/>
              <w:bottom w:val="single" w:color="auto" w:sz="6" w:space="0"/>
              <w:right w:val="single" w:color="auto" w:sz="6" w:space="0"/>
            </w:tcBorders>
            <w:vAlign w:val="center"/>
          </w:tcPr>
          <w:p w14:paraId="6568FE80">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2</w:t>
            </w:r>
          </w:p>
        </w:tc>
        <w:tc>
          <w:tcPr>
            <w:tcW w:w="3988" w:type="dxa"/>
            <w:tcBorders>
              <w:top w:val="single" w:color="auto" w:sz="6" w:space="0"/>
              <w:left w:val="single" w:color="auto" w:sz="6" w:space="0"/>
              <w:bottom w:val="single" w:color="auto" w:sz="6" w:space="0"/>
              <w:right w:val="single" w:color="auto" w:sz="6" w:space="0"/>
            </w:tcBorders>
            <w:vAlign w:val="center"/>
          </w:tcPr>
          <w:p w14:paraId="557C33D9">
            <w:pPr>
              <w:autoSpaceDE w:val="0"/>
              <w:autoSpaceDN w:val="0"/>
              <w:jc w:val="left"/>
              <w:rPr>
                <w:rFonts w:ascii="宋体" w:hAnsi="宋体" w:cs="宋体"/>
                <w:color w:val="auto"/>
                <w:highlight w:val="none"/>
              </w:rPr>
            </w:pPr>
            <w:r>
              <w:rPr>
                <w:rFonts w:hint="eastAsia" w:ascii="宋体" w:hAnsi="宋体" w:cs="宋体"/>
                <w:color w:val="auto"/>
                <w:highlight w:val="none"/>
              </w:rPr>
              <w:t>政策性调整和材料价格风险</w:t>
            </w:r>
          </w:p>
        </w:tc>
        <w:tc>
          <w:tcPr>
            <w:tcW w:w="1235" w:type="dxa"/>
            <w:tcBorders>
              <w:top w:val="single" w:color="auto" w:sz="6" w:space="0"/>
              <w:left w:val="single" w:color="auto" w:sz="6" w:space="0"/>
              <w:bottom w:val="single" w:color="auto" w:sz="6" w:space="0"/>
              <w:right w:val="single" w:color="auto" w:sz="6" w:space="0"/>
            </w:tcBorders>
            <w:vAlign w:val="center"/>
          </w:tcPr>
          <w:p w14:paraId="380C4391">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op w:val="single" w:color="auto" w:sz="6" w:space="0"/>
              <w:left w:val="single" w:color="auto" w:sz="6" w:space="0"/>
              <w:bottom w:val="single" w:color="auto" w:sz="6" w:space="0"/>
              <w:right w:val="single" w:color="auto" w:sz="6" w:space="0"/>
            </w:tcBorders>
            <w:vAlign w:val="center"/>
          </w:tcPr>
          <w:p w14:paraId="7CAE35EF">
            <w:pPr>
              <w:autoSpaceDE w:val="0"/>
              <w:autoSpaceDN w:val="0"/>
              <w:jc w:val="center"/>
              <w:rPr>
                <w:rFonts w:ascii="宋体" w:hAnsi="宋体" w:cs="宋体"/>
                <w:color w:val="auto"/>
                <w:highlight w:val="none"/>
              </w:rPr>
            </w:pPr>
          </w:p>
        </w:tc>
        <w:tc>
          <w:tcPr>
            <w:tcW w:w="1337" w:type="dxa"/>
            <w:tcBorders>
              <w:top w:val="single" w:color="auto" w:sz="6" w:space="0"/>
              <w:left w:val="single" w:color="auto" w:sz="6" w:space="0"/>
              <w:bottom w:val="single" w:color="auto" w:sz="6" w:space="0"/>
              <w:right w:val="single" w:color="auto" w:sz="6" w:space="0"/>
            </w:tcBorders>
            <w:vAlign w:val="center"/>
          </w:tcPr>
          <w:p w14:paraId="1F19BA7F">
            <w:pPr>
              <w:autoSpaceDE w:val="0"/>
              <w:autoSpaceDN w:val="0"/>
              <w:jc w:val="center"/>
              <w:rPr>
                <w:rFonts w:ascii="宋体" w:hAnsi="宋体" w:cs="宋体"/>
                <w:color w:val="auto"/>
                <w:highlight w:val="none"/>
              </w:rPr>
            </w:pPr>
          </w:p>
        </w:tc>
      </w:tr>
      <w:tr w14:paraId="72C78E6A">
        <w:tblPrEx>
          <w:tblCellMar>
            <w:top w:w="0" w:type="dxa"/>
            <w:left w:w="108" w:type="dxa"/>
            <w:bottom w:w="0" w:type="dxa"/>
            <w:right w:w="108" w:type="dxa"/>
          </w:tblCellMar>
        </w:tblPrEx>
        <w:trPr>
          <w:trHeight w:val="454" w:hRule="atLeast"/>
        </w:trPr>
        <w:tc>
          <w:tcPr>
            <w:tcW w:w="795" w:type="dxa"/>
            <w:tcBorders>
              <w:top w:val="single" w:color="auto" w:sz="6" w:space="0"/>
              <w:left w:val="single" w:color="auto" w:sz="6" w:space="0"/>
              <w:bottom w:val="single" w:color="auto" w:sz="6" w:space="0"/>
              <w:right w:val="single" w:color="auto" w:sz="6" w:space="0"/>
            </w:tcBorders>
            <w:vAlign w:val="center"/>
          </w:tcPr>
          <w:p w14:paraId="64AD19CC">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3</w:t>
            </w:r>
          </w:p>
        </w:tc>
        <w:tc>
          <w:tcPr>
            <w:tcW w:w="3988" w:type="dxa"/>
            <w:tcBorders>
              <w:top w:val="single" w:color="auto" w:sz="6" w:space="0"/>
              <w:left w:val="single" w:color="auto" w:sz="6" w:space="0"/>
              <w:bottom w:val="single" w:color="auto" w:sz="6" w:space="0"/>
              <w:right w:val="single" w:color="auto" w:sz="6" w:space="0"/>
            </w:tcBorders>
            <w:vAlign w:val="center"/>
          </w:tcPr>
          <w:p w14:paraId="43172E05">
            <w:pPr>
              <w:autoSpaceDE w:val="0"/>
              <w:autoSpaceDN w:val="0"/>
              <w:jc w:val="left"/>
              <w:rPr>
                <w:rFonts w:ascii="宋体" w:hAnsi="宋体" w:cs="宋体"/>
                <w:color w:val="auto"/>
                <w:highlight w:val="none"/>
              </w:rPr>
            </w:pPr>
            <w:r>
              <w:rPr>
                <w:rFonts w:hint="eastAsia" w:ascii="宋体" w:hAnsi="宋体" w:cs="宋体"/>
                <w:color w:val="auto"/>
                <w:highlight w:val="none"/>
              </w:rPr>
              <w:t>预留金</w:t>
            </w:r>
          </w:p>
        </w:tc>
        <w:tc>
          <w:tcPr>
            <w:tcW w:w="1235" w:type="dxa"/>
            <w:tcBorders>
              <w:top w:val="single" w:color="auto" w:sz="6" w:space="0"/>
              <w:left w:val="single" w:color="auto" w:sz="6" w:space="0"/>
              <w:bottom w:val="single" w:color="auto" w:sz="6" w:space="0"/>
              <w:right w:val="single" w:color="auto" w:sz="6" w:space="0"/>
            </w:tcBorders>
            <w:vAlign w:val="center"/>
          </w:tcPr>
          <w:p w14:paraId="77C3AE97">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op w:val="single" w:color="auto" w:sz="6" w:space="0"/>
              <w:left w:val="single" w:color="auto" w:sz="6" w:space="0"/>
              <w:bottom w:val="single" w:color="auto" w:sz="6" w:space="0"/>
              <w:right w:val="single" w:color="auto" w:sz="6" w:space="0"/>
            </w:tcBorders>
            <w:vAlign w:val="center"/>
          </w:tcPr>
          <w:p w14:paraId="7631489F">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op w:val="single" w:color="auto" w:sz="6" w:space="0"/>
              <w:left w:val="single" w:color="auto" w:sz="6" w:space="0"/>
              <w:bottom w:val="single" w:color="auto" w:sz="6" w:space="0"/>
              <w:right w:val="single" w:color="auto" w:sz="6" w:space="0"/>
            </w:tcBorders>
            <w:vAlign w:val="center"/>
          </w:tcPr>
          <w:p w14:paraId="55B3C84C">
            <w:pPr>
              <w:autoSpaceDE w:val="0"/>
              <w:autoSpaceDN w:val="0"/>
              <w:jc w:val="center"/>
              <w:rPr>
                <w:rFonts w:ascii="宋体" w:hAnsi="宋体" w:cs="宋体"/>
                <w:color w:val="auto"/>
                <w:highlight w:val="none"/>
              </w:rPr>
            </w:pPr>
          </w:p>
        </w:tc>
      </w:tr>
      <w:tr w14:paraId="0919D3F6">
        <w:tblPrEx>
          <w:tblCellMar>
            <w:top w:w="0" w:type="dxa"/>
            <w:left w:w="108" w:type="dxa"/>
            <w:bottom w:w="0" w:type="dxa"/>
            <w:right w:w="108" w:type="dxa"/>
          </w:tblCellMar>
        </w:tblPrEx>
        <w:trPr>
          <w:trHeight w:val="454" w:hRule="atLeast"/>
        </w:trPr>
        <w:tc>
          <w:tcPr>
            <w:tcW w:w="795" w:type="dxa"/>
            <w:tcBorders>
              <w:top w:val="single" w:color="auto" w:sz="6" w:space="0"/>
              <w:left w:val="single" w:color="auto" w:sz="6" w:space="0"/>
              <w:bottom w:val="single" w:color="auto" w:sz="6" w:space="0"/>
              <w:right w:val="single" w:color="auto" w:sz="6" w:space="0"/>
            </w:tcBorders>
            <w:vAlign w:val="center"/>
          </w:tcPr>
          <w:p w14:paraId="63CCC06C">
            <w:pPr>
              <w:autoSpaceDE w:val="0"/>
              <w:autoSpaceDN w:val="0"/>
              <w:jc w:val="center"/>
              <w:rPr>
                <w:rFonts w:ascii="宋体" w:hAnsi="宋体" w:cs="宋体"/>
                <w:color w:val="auto"/>
                <w:highlight w:val="none"/>
              </w:rPr>
            </w:pPr>
          </w:p>
        </w:tc>
        <w:tc>
          <w:tcPr>
            <w:tcW w:w="3988" w:type="dxa"/>
            <w:tcBorders>
              <w:top w:val="single" w:color="auto" w:sz="6" w:space="0"/>
              <w:left w:val="single" w:color="auto" w:sz="6" w:space="0"/>
              <w:bottom w:val="single" w:color="auto" w:sz="6" w:space="0"/>
              <w:right w:val="single" w:color="auto" w:sz="6" w:space="0"/>
            </w:tcBorders>
            <w:vAlign w:val="center"/>
          </w:tcPr>
          <w:p w14:paraId="3986DF92">
            <w:pPr>
              <w:autoSpaceDE w:val="0"/>
              <w:autoSpaceDN w:val="0"/>
              <w:jc w:val="center"/>
              <w:rPr>
                <w:rFonts w:ascii="宋体" w:hAnsi="宋体" w:cs="宋体"/>
                <w:color w:val="auto"/>
                <w:highlight w:val="none"/>
              </w:rPr>
            </w:pPr>
            <w:r>
              <w:rPr>
                <w:rFonts w:hint="eastAsia" w:ascii="宋体" w:hAnsi="宋体" w:cs="宋体"/>
                <w:color w:val="auto"/>
                <w:highlight w:val="none"/>
              </w:rPr>
              <w:t>合计</w:t>
            </w:r>
          </w:p>
        </w:tc>
        <w:tc>
          <w:tcPr>
            <w:tcW w:w="1235" w:type="dxa"/>
            <w:tcBorders>
              <w:top w:val="single" w:color="auto" w:sz="6" w:space="0"/>
              <w:left w:val="single" w:color="auto" w:sz="6" w:space="0"/>
              <w:bottom w:val="single" w:color="auto" w:sz="6" w:space="0"/>
              <w:right w:val="single" w:color="auto" w:sz="6" w:space="0"/>
            </w:tcBorders>
            <w:vAlign w:val="center"/>
          </w:tcPr>
          <w:p w14:paraId="7D30CD07">
            <w:pPr>
              <w:autoSpaceDE w:val="0"/>
              <w:autoSpaceDN w:val="0"/>
              <w:jc w:val="center"/>
              <w:rPr>
                <w:rFonts w:ascii="宋体" w:hAnsi="宋体" w:cs="宋体"/>
                <w:color w:val="auto"/>
                <w:highlight w:val="none"/>
              </w:rPr>
            </w:pPr>
          </w:p>
        </w:tc>
        <w:tc>
          <w:tcPr>
            <w:tcW w:w="1945" w:type="dxa"/>
            <w:tcBorders>
              <w:top w:val="single" w:color="auto" w:sz="6" w:space="0"/>
              <w:left w:val="single" w:color="auto" w:sz="6" w:space="0"/>
              <w:bottom w:val="single" w:color="auto" w:sz="6" w:space="0"/>
              <w:right w:val="single" w:color="auto" w:sz="6" w:space="0"/>
            </w:tcBorders>
            <w:vAlign w:val="center"/>
          </w:tcPr>
          <w:p w14:paraId="001F904E">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op w:val="single" w:color="auto" w:sz="6" w:space="0"/>
              <w:left w:val="single" w:color="auto" w:sz="6" w:space="0"/>
              <w:bottom w:val="single" w:color="auto" w:sz="6" w:space="0"/>
              <w:right w:val="single" w:color="auto" w:sz="6" w:space="0"/>
            </w:tcBorders>
            <w:vAlign w:val="center"/>
          </w:tcPr>
          <w:p w14:paraId="37BCDB26">
            <w:pPr>
              <w:autoSpaceDE w:val="0"/>
              <w:autoSpaceDN w:val="0"/>
              <w:jc w:val="center"/>
              <w:rPr>
                <w:rFonts w:ascii="宋体" w:hAnsi="宋体" w:cs="宋体"/>
                <w:color w:val="auto"/>
                <w:highlight w:val="none"/>
              </w:rPr>
            </w:pPr>
          </w:p>
        </w:tc>
      </w:tr>
    </w:tbl>
    <w:p w14:paraId="1036A42C">
      <w:pPr>
        <w:pStyle w:val="16"/>
        <w:snapToGrid w:val="0"/>
        <w:spacing w:line="440" w:lineRule="atLeast"/>
        <w:rPr>
          <w:rFonts w:hint="eastAsia" w:ascii="宋体" w:hAnsi="宋体" w:cs="宋体"/>
          <w:b/>
          <w:color w:val="auto"/>
          <w:szCs w:val="21"/>
          <w:highlight w:val="none"/>
        </w:rPr>
      </w:pPr>
      <w:r>
        <w:rPr>
          <w:rFonts w:hint="eastAsia" w:ascii="宋体" w:hAnsi="宋体" w:cs="宋体"/>
          <w:b/>
          <w:color w:val="auto"/>
          <w:szCs w:val="21"/>
          <w:highlight w:val="none"/>
          <w:lang w:val="en-US" w:eastAsia="zh-CN"/>
        </w:rPr>
        <w:t>2、</w:t>
      </w:r>
      <w:r>
        <w:rPr>
          <w:rFonts w:hint="eastAsia" w:ascii="宋体" w:hAnsi="宋体" w:cs="宋体"/>
          <w:b/>
          <w:color w:val="auto"/>
          <w:szCs w:val="21"/>
          <w:highlight w:val="none"/>
        </w:rPr>
        <w:t>专业工程暂估价明细表：</w:t>
      </w:r>
      <w:r>
        <w:rPr>
          <w:rFonts w:hint="eastAsia" w:ascii="宋体" w:hAnsi="宋体" w:cs="宋体"/>
          <w:b/>
          <w:color w:val="auto"/>
          <w:szCs w:val="21"/>
          <w:highlight w:val="none"/>
          <w:lang w:val="en-US" w:eastAsia="zh-CN"/>
        </w:rPr>
        <w:t>无/</w:t>
      </w:r>
      <w:r>
        <w:rPr>
          <w:rFonts w:hint="eastAsia" w:ascii="宋体" w:hAnsi="宋体" w:cs="宋体"/>
          <w:b/>
          <w:color w:val="auto"/>
          <w:szCs w:val="21"/>
          <w:highlight w:val="none"/>
        </w:rPr>
        <w:t>3、材料暂估价明细表：</w:t>
      </w:r>
      <w:r>
        <w:rPr>
          <w:rFonts w:hint="eastAsia" w:ascii="宋体" w:hAnsi="宋体" w:cs="宋体"/>
          <w:b/>
          <w:color w:val="auto"/>
          <w:szCs w:val="21"/>
          <w:highlight w:val="none"/>
          <w:lang w:val="en-US" w:eastAsia="zh-CN"/>
        </w:rPr>
        <w:t>无</w:t>
      </w:r>
    </w:p>
    <w:p w14:paraId="592364C8">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 xml:space="preserve">工程信息明细： </w:t>
      </w:r>
    </w:p>
    <w:tbl>
      <w:tblPr>
        <w:tblStyle w:val="10"/>
        <w:tblW w:w="9315"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4947"/>
        <w:gridCol w:w="3385"/>
      </w:tblGrid>
      <w:tr w14:paraId="6195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8955C44">
            <w:pPr>
              <w:autoSpaceDE w:val="0"/>
              <w:autoSpaceDN w:val="0"/>
              <w:rPr>
                <w:rFonts w:ascii="宋体" w:hAnsi="宋体" w:cs="宋体"/>
                <w:color w:val="auto"/>
                <w:highlight w:val="none"/>
              </w:rPr>
            </w:pPr>
            <w:r>
              <w:rPr>
                <w:rFonts w:hint="eastAsia" w:ascii="宋体" w:hAnsi="宋体" w:cs="宋体"/>
                <w:color w:val="auto"/>
                <w:highlight w:val="none"/>
              </w:rPr>
              <w:t>项目编号：001</w:t>
            </w:r>
          </w:p>
        </w:tc>
      </w:tr>
      <w:tr w14:paraId="2D92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E3965D0">
            <w:pPr>
              <w:pStyle w:val="16"/>
              <w:ind w:left="0" w:leftChars="0" w:firstLine="0" w:firstLineChars="0"/>
              <w:rPr>
                <w:rFonts w:ascii="宋体" w:hAnsi="宋体" w:cs="宋体"/>
                <w:color w:val="auto"/>
                <w:highlight w:val="none"/>
              </w:rPr>
            </w:pPr>
            <w:r>
              <w:rPr>
                <w:rFonts w:hint="eastAsia" w:ascii="宋体" w:hAnsi="宋体" w:cs="宋体"/>
                <w:color w:val="auto"/>
                <w:highlight w:val="none"/>
                <w:lang w:val="zh-CN"/>
              </w:rPr>
              <w:t>工程名称：江阴市第一初级中学教室、办公室改造工程</w:t>
            </w:r>
          </w:p>
        </w:tc>
      </w:tr>
      <w:tr w14:paraId="3038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47D312C4">
            <w:pPr>
              <w:widowControl/>
              <w:jc w:val="left"/>
              <w:rPr>
                <w:rFonts w:ascii="宋体" w:hAnsi="宋体" w:cs="宋体"/>
                <w:color w:val="auto"/>
                <w:highlight w:val="none"/>
              </w:rPr>
            </w:pPr>
            <w:r>
              <w:rPr>
                <w:rFonts w:hint="eastAsia" w:ascii="宋体" w:hAnsi="宋体" w:cs="宋体"/>
                <w:color w:val="auto"/>
                <w:highlight w:val="none"/>
                <w:lang w:val="zh-CN"/>
              </w:rPr>
              <w:t>建设单位：</w:t>
            </w:r>
            <w:r>
              <w:rPr>
                <w:rFonts w:hint="eastAsia" w:ascii="宋体" w:hAnsi="宋体" w:cs="宋体"/>
                <w:color w:val="auto"/>
                <w:highlight w:val="none"/>
                <w:lang w:val="zh-CN"/>
              </w:rPr>
              <w:t>江阴市第一初级中学</w:t>
            </w:r>
          </w:p>
        </w:tc>
      </w:tr>
      <w:tr w14:paraId="3E74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54071CB4">
            <w:pPr>
              <w:autoSpaceDE w:val="0"/>
              <w:autoSpaceDN w:val="0"/>
              <w:rPr>
                <w:rFonts w:ascii="宋体" w:hAnsi="宋体" w:cs="宋体"/>
                <w:color w:val="auto"/>
                <w:highlight w:val="none"/>
              </w:rPr>
            </w:pPr>
            <w:r>
              <w:rPr>
                <w:rFonts w:hint="eastAsia" w:ascii="宋体" w:hAnsi="宋体" w:cs="宋体"/>
                <w:color w:val="auto"/>
                <w:highlight w:val="none"/>
              </w:rPr>
              <w:t>单位工程明细：</w:t>
            </w:r>
          </w:p>
        </w:tc>
      </w:tr>
      <w:tr w14:paraId="52F3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2969972">
            <w:pPr>
              <w:autoSpaceDE w:val="0"/>
              <w:autoSpaceDN w:val="0"/>
              <w:jc w:val="center"/>
              <w:rPr>
                <w:rFonts w:ascii="宋体" w:hAnsi="宋体" w:cs="宋体"/>
                <w:color w:val="auto"/>
                <w:highlight w:val="none"/>
              </w:rPr>
            </w:pPr>
            <w:r>
              <w:rPr>
                <w:rFonts w:hint="eastAsia" w:ascii="宋体" w:hAnsi="宋体" w:cs="宋体"/>
                <w:color w:val="auto"/>
                <w:highlight w:val="none"/>
              </w:rPr>
              <w:t>编号</w:t>
            </w:r>
          </w:p>
        </w:tc>
        <w:tc>
          <w:tcPr>
            <w:tcW w:w="4947" w:type="dxa"/>
            <w:tcBorders>
              <w:top w:val="single" w:color="auto" w:sz="8" w:space="0"/>
              <w:left w:val="single" w:color="auto" w:sz="8" w:space="0"/>
              <w:bottom w:val="single" w:color="auto" w:sz="8" w:space="0"/>
              <w:right w:val="single" w:color="auto" w:sz="8" w:space="0"/>
            </w:tcBorders>
            <w:vAlign w:val="center"/>
          </w:tcPr>
          <w:p w14:paraId="6660656A">
            <w:pPr>
              <w:autoSpaceDE w:val="0"/>
              <w:autoSpaceDN w:val="0"/>
              <w:jc w:val="center"/>
              <w:rPr>
                <w:rFonts w:ascii="宋体" w:hAnsi="宋体" w:cs="宋体"/>
                <w:color w:val="auto"/>
                <w:highlight w:val="none"/>
              </w:rPr>
            </w:pPr>
            <w:r>
              <w:rPr>
                <w:rFonts w:hint="eastAsia" w:ascii="宋体" w:hAnsi="宋体" w:cs="宋体"/>
                <w:color w:val="auto"/>
                <w:highlight w:val="none"/>
              </w:rPr>
              <w:t>单位工程名称</w:t>
            </w:r>
          </w:p>
        </w:tc>
        <w:tc>
          <w:tcPr>
            <w:tcW w:w="3385" w:type="dxa"/>
            <w:tcBorders>
              <w:top w:val="single" w:color="auto" w:sz="8" w:space="0"/>
              <w:left w:val="single" w:color="auto" w:sz="8" w:space="0"/>
              <w:bottom w:val="single" w:color="auto" w:sz="8" w:space="0"/>
              <w:right w:val="single" w:color="auto" w:sz="8" w:space="0"/>
            </w:tcBorders>
            <w:vAlign w:val="center"/>
          </w:tcPr>
          <w:p w14:paraId="7FB4E2AC">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不可竞争费</w:t>
            </w:r>
          </w:p>
        </w:tc>
      </w:tr>
      <w:tr w14:paraId="7B97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7D77D7C1">
            <w:pPr>
              <w:keepNext w:val="0"/>
              <w:keepLines w:val="0"/>
              <w:widowControl/>
              <w:suppressLineNumbers w:val="0"/>
              <w:jc w:val="center"/>
              <w:textAlignment w:val="center"/>
              <w:rPr>
                <w:rFonts w:hint="default" w:ascii="宋体" w:hAnsi="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1</w:t>
            </w:r>
          </w:p>
        </w:tc>
        <w:tc>
          <w:tcPr>
            <w:tcW w:w="4947" w:type="dxa"/>
            <w:tcBorders>
              <w:top w:val="single" w:color="auto" w:sz="8" w:space="0"/>
              <w:left w:val="single" w:color="auto" w:sz="8" w:space="0"/>
              <w:bottom w:val="single" w:color="auto" w:sz="8" w:space="0"/>
              <w:right w:val="single" w:color="auto" w:sz="8" w:space="0"/>
            </w:tcBorders>
            <w:vAlign w:val="center"/>
          </w:tcPr>
          <w:p w14:paraId="17D911D6">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办公室改造-土建</w:t>
            </w:r>
          </w:p>
        </w:tc>
        <w:tc>
          <w:tcPr>
            <w:tcW w:w="3385" w:type="dxa"/>
            <w:tcBorders>
              <w:top w:val="single" w:color="auto" w:sz="8" w:space="0"/>
              <w:left w:val="single" w:color="auto" w:sz="8" w:space="0"/>
              <w:bottom w:val="single" w:color="auto" w:sz="8" w:space="0"/>
              <w:right w:val="single" w:color="auto" w:sz="8" w:space="0"/>
            </w:tcBorders>
            <w:vAlign w:val="center"/>
          </w:tcPr>
          <w:p w14:paraId="0F8B957C">
            <w:pPr>
              <w:autoSpaceDE w:val="0"/>
              <w:autoSpaceDN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按【土建工程】执行</w:t>
            </w:r>
          </w:p>
        </w:tc>
      </w:tr>
      <w:tr w14:paraId="67E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76D07779">
            <w:pPr>
              <w:keepNext w:val="0"/>
              <w:keepLines w:val="0"/>
              <w:widowControl/>
              <w:suppressLineNumbers w:val="0"/>
              <w:jc w:val="center"/>
              <w:textAlignment w:val="center"/>
              <w:rPr>
                <w:rFonts w:hint="default" w:ascii="宋体" w:hAnsi="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w:t>
            </w:r>
          </w:p>
        </w:tc>
        <w:tc>
          <w:tcPr>
            <w:tcW w:w="4947" w:type="dxa"/>
            <w:tcBorders>
              <w:top w:val="single" w:color="auto" w:sz="8" w:space="0"/>
              <w:left w:val="single" w:color="auto" w:sz="8" w:space="0"/>
              <w:bottom w:val="single" w:color="auto" w:sz="8" w:space="0"/>
              <w:right w:val="single" w:color="auto" w:sz="8" w:space="0"/>
            </w:tcBorders>
            <w:vAlign w:val="center"/>
          </w:tcPr>
          <w:p w14:paraId="5D952807">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办公室改造-装饰</w:t>
            </w:r>
          </w:p>
        </w:tc>
        <w:tc>
          <w:tcPr>
            <w:tcW w:w="3385" w:type="dxa"/>
            <w:tcBorders>
              <w:top w:val="single" w:color="auto" w:sz="8" w:space="0"/>
              <w:left w:val="single" w:color="auto" w:sz="8" w:space="0"/>
              <w:bottom w:val="single" w:color="auto" w:sz="8" w:space="0"/>
              <w:right w:val="single" w:color="auto" w:sz="8" w:space="0"/>
            </w:tcBorders>
            <w:vAlign w:val="center"/>
          </w:tcPr>
          <w:p w14:paraId="3B3AEE10">
            <w:pPr>
              <w:autoSpaceDE w:val="0"/>
              <w:autoSpaceDN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按【土建工程】执行</w:t>
            </w:r>
          </w:p>
        </w:tc>
      </w:tr>
      <w:tr w14:paraId="22BE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6392F544">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w:t>
            </w:r>
          </w:p>
        </w:tc>
        <w:tc>
          <w:tcPr>
            <w:tcW w:w="4947" w:type="dxa"/>
            <w:tcBorders>
              <w:top w:val="single" w:color="auto" w:sz="8" w:space="0"/>
              <w:left w:val="single" w:color="auto" w:sz="8" w:space="0"/>
              <w:bottom w:val="single" w:color="auto" w:sz="8" w:space="0"/>
              <w:right w:val="single" w:color="auto" w:sz="8" w:space="0"/>
            </w:tcBorders>
            <w:vAlign w:val="center"/>
          </w:tcPr>
          <w:p w14:paraId="29298D3D">
            <w:pPr>
              <w:keepNext w:val="0"/>
              <w:keepLines w:val="0"/>
              <w:widowControl/>
              <w:suppressLineNumbers w:val="0"/>
              <w:jc w:val="left"/>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办公室改造-安装</w:t>
            </w:r>
          </w:p>
        </w:tc>
        <w:tc>
          <w:tcPr>
            <w:tcW w:w="3385" w:type="dxa"/>
            <w:tcBorders>
              <w:top w:val="single" w:color="auto" w:sz="8" w:space="0"/>
              <w:left w:val="single" w:color="auto" w:sz="8" w:space="0"/>
              <w:bottom w:val="single" w:color="auto" w:sz="8" w:space="0"/>
              <w:right w:val="single" w:color="auto" w:sz="8" w:space="0"/>
            </w:tcBorders>
            <w:vAlign w:val="center"/>
          </w:tcPr>
          <w:p w14:paraId="20CDDD96">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按【安装工程】执行</w:t>
            </w:r>
          </w:p>
        </w:tc>
      </w:tr>
    </w:tbl>
    <w:p w14:paraId="548F9BD1">
      <w:pPr>
        <w:autoSpaceDE w:val="0"/>
        <w:autoSpaceDN w:val="0"/>
        <w:rPr>
          <w:rFonts w:ascii="宋体" w:hAnsi="宋体" w:cs="宋体"/>
          <w:color w:val="auto"/>
          <w:sz w:val="24"/>
          <w:highlight w:val="none"/>
        </w:rPr>
      </w:pPr>
    </w:p>
    <w:p w14:paraId="5EFF212C">
      <w:pPr>
        <w:autoSpaceDE w:val="0"/>
        <w:autoSpaceDN w:val="0"/>
        <w:jc w:val="right"/>
        <w:rPr>
          <w:rFonts w:ascii="宋体" w:hAnsi="宋体" w:cs="宋体"/>
          <w:color w:val="auto"/>
          <w:sz w:val="24"/>
          <w:highlight w:val="none"/>
          <w:lang w:val="zh-CN"/>
        </w:rPr>
      </w:pPr>
      <w:r>
        <w:rPr>
          <w:rFonts w:hint="eastAsia" w:ascii="宋体" w:hAnsi="宋体" w:cs="宋体"/>
          <w:color w:val="auto"/>
          <w:sz w:val="24"/>
          <w:highlight w:val="none"/>
        </w:rPr>
        <w:t>苏世建设管理集团</w:t>
      </w:r>
      <w:r>
        <w:rPr>
          <w:rFonts w:hint="eastAsia" w:ascii="宋体" w:hAnsi="宋体" w:cs="宋体"/>
          <w:color w:val="auto"/>
          <w:sz w:val="24"/>
          <w:highlight w:val="none"/>
          <w:lang w:val="zh-CN"/>
        </w:rPr>
        <w:t>有限公司</w:t>
      </w:r>
    </w:p>
    <w:p w14:paraId="3B01DD4C">
      <w:pPr>
        <w:snapToGrid w:val="0"/>
        <w:spacing w:line="440" w:lineRule="atLeast"/>
        <w:ind w:firstLine="465"/>
        <w:jc w:val="right"/>
        <w:rPr>
          <w:rFonts w:ascii="宋体" w:hAnsi="宋体" w:cs="宋体"/>
          <w:color w:val="auto"/>
          <w:highlight w:val="none"/>
          <w:lang w:val="zh-CN"/>
        </w:rPr>
      </w:pPr>
      <w:r>
        <w:rPr>
          <w:rFonts w:hint="eastAsia" w:ascii="宋体" w:hAnsi="宋体" w:cs="宋体"/>
          <w:color w:val="auto"/>
          <w:sz w:val="24"/>
          <w:highlight w:val="none"/>
          <w:lang w:val="zh-CN"/>
        </w:rPr>
        <w:t>20</w:t>
      </w:r>
      <w:r>
        <w:rPr>
          <w:rFonts w:hint="eastAsia" w:ascii="宋体" w:hAnsi="宋体" w:cs="宋体"/>
          <w:color w:val="auto"/>
          <w:sz w:val="24"/>
          <w:highlight w:val="none"/>
        </w:rPr>
        <w:t>2</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lang w:val="zh-CN"/>
        </w:rPr>
        <w:t>月</w:t>
      </w:r>
      <w:r>
        <w:rPr>
          <w:rFonts w:hint="eastAsia" w:ascii="宋体" w:hAnsi="宋体" w:cs="宋体"/>
          <w:color w:val="auto"/>
          <w:sz w:val="24"/>
          <w:highlight w:val="none"/>
          <w:lang w:val="en-US" w:eastAsia="zh-CN"/>
        </w:rPr>
        <w:t>11</w:t>
      </w:r>
      <w:r>
        <w:rPr>
          <w:rFonts w:hint="eastAsia" w:ascii="宋体" w:hAnsi="宋体" w:cs="宋体"/>
          <w:color w:val="auto"/>
          <w:sz w:val="24"/>
          <w:highlight w:val="none"/>
          <w:lang w:val="zh-CN"/>
        </w:rPr>
        <w:t>日</w:t>
      </w:r>
    </w:p>
    <w:p w14:paraId="14FBFB2E">
      <w:pPr>
        <w:snapToGrid w:val="0"/>
        <w:spacing w:line="440" w:lineRule="atLeast"/>
        <w:ind w:firstLine="465"/>
        <w:jc w:val="right"/>
        <w:rPr>
          <w:rFonts w:ascii="宋体" w:hAnsi="宋体" w:cs="宋体"/>
          <w:color w:val="auto"/>
          <w:highlight w:val="none"/>
          <w:lang w:val="zh-CN"/>
        </w:rPr>
      </w:pPr>
    </w:p>
    <w:sectPr>
      <w:headerReference r:id="rId3" w:type="default"/>
      <w:footerReference r:id="rId4" w:type="default"/>
      <w:footerReference r:id="rId5" w:type="even"/>
      <w:pgSz w:w="11906" w:h="16838"/>
      <w:pgMar w:top="1091" w:right="829" w:bottom="779" w:left="99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EA1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7AC476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4785">
    <w:pPr>
      <w:pStyle w:val="7"/>
      <w:framePr w:wrap="around" w:vAnchor="text" w:hAnchor="margin" w:xAlign="center" w:y="1"/>
      <w:rPr>
        <w:rStyle w:val="13"/>
      </w:rPr>
    </w:pPr>
    <w:r>
      <w:fldChar w:fldCharType="begin"/>
    </w:r>
    <w:r>
      <w:rPr>
        <w:rStyle w:val="13"/>
      </w:rPr>
      <w:instrText xml:space="preserve">PAGE  </w:instrText>
    </w:r>
    <w:r>
      <w:fldChar w:fldCharType="end"/>
    </w:r>
  </w:p>
  <w:p w14:paraId="38FE4B2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B069F">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CBED1"/>
    <w:multiLevelType w:val="singleLevel"/>
    <w:tmpl w:val="AE7CBED1"/>
    <w:lvl w:ilvl="0" w:tentative="0">
      <w:start w:val="1"/>
      <w:numFmt w:val="decimal"/>
      <w:suff w:val="nothing"/>
      <w:lvlText w:val="%1、"/>
      <w:lvlJc w:val="left"/>
    </w:lvl>
  </w:abstractNum>
  <w:abstractNum w:abstractNumId="1">
    <w:nsid w:val="F05A1A51"/>
    <w:multiLevelType w:val="singleLevel"/>
    <w:tmpl w:val="F05A1A51"/>
    <w:lvl w:ilvl="0" w:tentative="0">
      <w:start w:val="1"/>
      <w:numFmt w:val="decimal"/>
      <w:suff w:val="nothing"/>
      <w:lvlText w:val="%1、"/>
      <w:lvlJc w:val="left"/>
    </w:lvl>
  </w:abstractNum>
  <w:abstractNum w:abstractNumId="2">
    <w:nsid w:val="55B99465"/>
    <w:multiLevelType w:val="singleLevel"/>
    <w:tmpl w:val="55B99465"/>
    <w:lvl w:ilvl="0" w:tentative="0">
      <w:start w:val="1"/>
      <w:numFmt w:val="decimal"/>
      <w:lvlText w:val="%1."/>
      <w:lvlJc w:val="left"/>
      <w:pPr>
        <w:tabs>
          <w:tab w:val="left" w:pos="5"/>
        </w:tabs>
        <w:ind w:left="5" w:hanging="425"/>
      </w:pPr>
      <w:rPr>
        <w:rFonts w:hint="default"/>
      </w:rPr>
    </w:lvl>
  </w:abstractNum>
  <w:abstractNum w:abstractNumId="3">
    <w:nsid w:val="55D3F4C5"/>
    <w:multiLevelType w:val="singleLevel"/>
    <w:tmpl w:val="55D3F4C5"/>
    <w:lvl w:ilvl="0" w:tentative="0">
      <w:start w:val="1"/>
      <w:numFmt w:val="chineseCounting"/>
      <w:lvlText w:val="%1."/>
      <w:lvlJc w:val="left"/>
      <w:pPr>
        <w:tabs>
          <w:tab w:val="left" w:pos="425"/>
        </w:tabs>
        <w:ind w:left="425" w:hanging="425"/>
      </w:pPr>
      <w:rPr>
        <w:rFonts w:hint="eastAsia"/>
        <w:b/>
        <w:bCs/>
      </w:rPr>
    </w:lvl>
  </w:abstractNum>
  <w:abstractNum w:abstractNumId="4">
    <w:nsid w:val="577728D2"/>
    <w:multiLevelType w:val="singleLevel"/>
    <w:tmpl w:val="577728D2"/>
    <w:lvl w:ilvl="0" w:tentative="0">
      <w:start w:val="1"/>
      <w:numFmt w:val="decimal"/>
      <w:suff w:val="nothing"/>
      <w:lvlText w:val="%1、"/>
      <w:lvlJc w:val="left"/>
      <w:pPr>
        <w:ind w:left="483" w:firstLine="0"/>
      </w:pPr>
    </w:lvl>
  </w:abstractNum>
  <w:abstractNum w:abstractNumId="5">
    <w:nsid w:val="652C0AFA"/>
    <w:multiLevelType w:val="singleLevel"/>
    <w:tmpl w:val="652C0AFA"/>
    <w:lvl w:ilvl="0" w:tentative="0">
      <w:start w:val="1"/>
      <w:numFmt w:val="decimal"/>
      <w:lvlText w:val="%1."/>
      <w:lvlJc w:val="left"/>
      <w:pPr>
        <w:tabs>
          <w:tab w:val="left" w:pos="5"/>
        </w:tabs>
        <w:ind w:left="5" w:hanging="425"/>
      </w:pPr>
      <w:rPr>
        <w:rFonts w:hint="default"/>
      </w:rPr>
    </w:lvl>
  </w:abstractNum>
  <w:abstractNum w:abstractNumId="6">
    <w:nsid w:val="6F7810CC"/>
    <w:multiLevelType w:val="singleLevel"/>
    <w:tmpl w:val="6F7810CC"/>
    <w:lvl w:ilvl="0" w:tentative="0">
      <w:start w:val="1"/>
      <w:numFmt w:val="decimal"/>
      <w:suff w:val="nothing"/>
      <w:lvlText w:val="%1、"/>
      <w:lvlJc w:val="left"/>
      <w:pPr>
        <w:ind w:left="483" w:firstLine="0"/>
      </w:pPr>
    </w:lvl>
  </w:abstractNum>
  <w:abstractNum w:abstractNumId="7">
    <w:nsid w:val="71F59A73"/>
    <w:multiLevelType w:val="singleLevel"/>
    <w:tmpl w:val="71F59A73"/>
    <w:lvl w:ilvl="0" w:tentative="0">
      <w:start w:val="1"/>
      <w:numFmt w:val="decimal"/>
      <w:suff w:val="nothing"/>
      <w:lvlText w:val="%1、"/>
      <w:lvlJc w:val="left"/>
      <w:pPr>
        <w:ind w:left="483" w:firstLine="0"/>
      </w:pPr>
    </w:lvl>
  </w:abstractNum>
  <w:num w:numId="1">
    <w:abstractNumId w:val="3"/>
    <w:lvlOverride w:ilvl="0">
      <w:startOverride w:val="1"/>
    </w:lvlOverride>
  </w:num>
  <w:num w:numId="2">
    <w:abstractNumId w:val="0"/>
  </w:num>
  <w:num w:numId="3">
    <w:abstractNumId w:val="2"/>
    <w:lvlOverride w:ilvl="0">
      <w:startOverride w:val="1"/>
    </w:lvlOverride>
  </w:num>
  <w:num w:numId="4">
    <w:abstractNumId w:val="5"/>
  </w:num>
  <w:num w:numId="5">
    <w:abstractNumId w:val="6"/>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3MThkNDYyOGVkM2RmNmFmYTYyZjExZTFjMTBlNzkifQ=="/>
  </w:docVars>
  <w:rsids>
    <w:rsidRoot w:val="00172A27"/>
    <w:rsid w:val="00033918"/>
    <w:rsid w:val="00055546"/>
    <w:rsid w:val="000A5DAA"/>
    <w:rsid w:val="00143FFB"/>
    <w:rsid w:val="00172A27"/>
    <w:rsid w:val="001A6AF9"/>
    <w:rsid w:val="001E7F76"/>
    <w:rsid w:val="00275DDF"/>
    <w:rsid w:val="002D7A2C"/>
    <w:rsid w:val="00324123"/>
    <w:rsid w:val="003268E5"/>
    <w:rsid w:val="0036701D"/>
    <w:rsid w:val="003C3447"/>
    <w:rsid w:val="003D119A"/>
    <w:rsid w:val="004163B2"/>
    <w:rsid w:val="004A540E"/>
    <w:rsid w:val="004D51BC"/>
    <w:rsid w:val="00587CD5"/>
    <w:rsid w:val="0065097B"/>
    <w:rsid w:val="00696ABA"/>
    <w:rsid w:val="007A6290"/>
    <w:rsid w:val="00857459"/>
    <w:rsid w:val="00872CFB"/>
    <w:rsid w:val="009136E0"/>
    <w:rsid w:val="00951F6C"/>
    <w:rsid w:val="009E7094"/>
    <w:rsid w:val="00AE6F5B"/>
    <w:rsid w:val="00AE7BF5"/>
    <w:rsid w:val="00B439D0"/>
    <w:rsid w:val="00B512B2"/>
    <w:rsid w:val="00BB27C9"/>
    <w:rsid w:val="00C510E9"/>
    <w:rsid w:val="00D91292"/>
    <w:rsid w:val="00D92D4A"/>
    <w:rsid w:val="00E23770"/>
    <w:rsid w:val="012305CE"/>
    <w:rsid w:val="015B73FB"/>
    <w:rsid w:val="01DC5624"/>
    <w:rsid w:val="023D34F8"/>
    <w:rsid w:val="029E6B70"/>
    <w:rsid w:val="02C941D1"/>
    <w:rsid w:val="02DD4B80"/>
    <w:rsid w:val="046519CC"/>
    <w:rsid w:val="048E3795"/>
    <w:rsid w:val="04B50DAE"/>
    <w:rsid w:val="0607593C"/>
    <w:rsid w:val="06B1727A"/>
    <w:rsid w:val="06C510AB"/>
    <w:rsid w:val="07600DB1"/>
    <w:rsid w:val="07F7533D"/>
    <w:rsid w:val="08245768"/>
    <w:rsid w:val="08503B02"/>
    <w:rsid w:val="08930F12"/>
    <w:rsid w:val="08B05BA6"/>
    <w:rsid w:val="08F611EA"/>
    <w:rsid w:val="095E300D"/>
    <w:rsid w:val="09B6759B"/>
    <w:rsid w:val="0AEC39F9"/>
    <w:rsid w:val="0B903B7E"/>
    <w:rsid w:val="0BD4544E"/>
    <w:rsid w:val="0C61670A"/>
    <w:rsid w:val="0CF12CEE"/>
    <w:rsid w:val="0D3F09CA"/>
    <w:rsid w:val="0DEA074D"/>
    <w:rsid w:val="0E0C489A"/>
    <w:rsid w:val="0E342E47"/>
    <w:rsid w:val="0E75680A"/>
    <w:rsid w:val="0E8511D0"/>
    <w:rsid w:val="0EE1718B"/>
    <w:rsid w:val="0F7246AE"/>
    <w:rsid w:val="104A3DAC"/>
    <w:rsid w:val="11497E90"/>
    <w:rsid w:val="11F56F16"/>
    <w:rsid w:val="12265F4D"/>
    <w:rsid w:val="12BF6D64"/>
    <w:rsid w:val="13A12C42"/>
    <w:rsid w:val="13A206C4"/>
    <w:rsid w:val="13AE7D5A"/>
    <w:rsid w:val="13C96A30"/>
    <w:rsid w:val="14193B86"/>
    <w:rsid w:val="146E1270"/>
    <w:rsid w:val="15E6010D"/>
    <w:rsid w:val="163C5AEE"/>
    <w:rsid w:val="16756285"/>
    <w:rsid w:val="17070465"/>
    <w:rsid w:val="17373603"/>
    <w:rsid w:val="17404D49"/>
    <w:rsid w:val="17950FEA"/>
    <w:rsid w:val="17B976EE"/>
    <w:rsid w:val="18433E31"/>
    <w:rsid w:val="189270E7"/>
    <w:rsid w:val="1A76158E"/>
    <w:rsid w:val="1B423AAD"/>
    <w:rsid w:val="1C022402"/>
    <w:rsid w:val="1CB727DF"/>
    <w:rsid w:val="1D857BFA"/>
    <w:rsid w:val="1D9C596C"/>
    <w:rsid w:val="1E0616E7"/>
    <w:rsid w:val="1E74624E"/>
    <w:rsid w:val="1EDA55EC"/>
    <w:rsid w:val="210452FD"/>
    <w:rsid w:val="216A129A"/>
    <w:rsid w:val="22056993"/>
    <w:rsid w:val="221C47C9"/>
    <w:rsid w:val="221D7F2E"/>
    <w:rsid w:val="22221625"/>
    <w:rsid w:val="233D46D3"/>
    <w:rsid w:val="24407A49"/>
    <w:rsid w:val="25331C52"/>
    <w:rsid w:val="2595153D"/>
    <w:rsid w:val="25B54415"/>
    <w:rsid w:val="26310946"/>
    <w:rsid w:val="26FD5932"/>
    <w:rsid w:val="27125E10"/>
    <w:rsid w:val="28CB5CFA"/>
    <w:rsid w:val="293811B0"/>
    <w:rsid w:val="29F821AA"/>
    <w:rsid w:val="2ADF3CE2"/>
    <w:rsid w:val="2B19167E"/>
    <w:rsid w:val="2BB50348"/>
    <w:rsid w:val="2CB94FE4"/>
    <w:rsid w:val="2CF40298"/>
    <w:rsid w:val="2D106B5B"/>
    <w:rsid w:val="2DC773DC"/>
    <w:rsid w:val="2DD300BC"/>
    <w:rsid w:val="2F727CE6"/>
    <w:rsid w:val="2FD7017E"/>
    <w:rsid w:val="30CF0ED1"/>
    <w:rsid w:val="3116717A"/>
    <w:rsid w:val="31185F0A"/>
    <w:rsid w:val="313047C4"/>
    <w:rsid w:val="32344C40"/>
    <w:rsid w:val="32547EBA"/>
    <w:rsid w:val="33F626B2"/>
    <w:rsid w:val="34391BEF"/>
    <w:rsid w:val="34E31A07"/>
    <w:rsid w:val="35652274"/>
    <w:rsid w:val="360755E5"/>
    <w:rsid w:val="36E557CA"/>
    <w:rsid w:val="380D264C"/>
    <w:rsid w:val="382B0EB3"/>
    <w:rsid w:val="383D5BB4"/>
    <w:rsid w:val="38A5428E"/>
    <w:rsid w:val="38FB4C32"/>
    <w:rsid w:val="39861023"/>
    <w:rsid w:val="3A0A519C"/>
    <w:rsid w:val="3A4259D7"/>
    <w:rsid w:val="3B170879"/>
    <w:rsid w:val="3BA33020"/>
    <w:rsid w:val="3BF91729"/>
    <w:rsid w:val="3C686BA6"/>
    <w:rsid w:val="3E200862"/>
    <w:rsid w:val="3F2A5A1C"/>
    <w:rsid w:val="3F2E46C0"/>
    <w:rsid w:val="40945B4B"/>
    <w:rsid w:val="411D5225"/>
    <w:rsid w:val="4152413E"/>
    <w:rsid w:val="415E1A4D"/>
    <w:rsid w:val="421826FC"/>
    <w:rsid w:val="425431BB"/>
    <w:rsid w:val="430D6CAE"/>
    <w:rsid w:val="437E616A"/>
    <w:rsid w:val="44305A47"/>
    <w:rsid w:val="446829A7"/>
    <w:rsid w:val="447535DD"/>
    <w:rsid w:val="44B109AF"/>
    <w:rsid w:val="452644FF"/>
    <w:rsid w:val="45D6555B"/>
    <w:rsid w:val="45F42FCF"/>
    <w:rsid w:val="48CF521D"/>
    <w:rsid w:val="491F3390"/>
    <w:rsid w:val="492547F9"/>
    <w:rsid w:val="4AFA0FD4"/>
    <w:rsid w:val="4BA95F1B"/>
    <w:rsid w:val="4D6E4C5A"/>
    <w:rsid w:val="4D7D5F96"/>
    <w:rsid w:val="4DAC3FBB"/>
    <w:rsid w:val="4DF06B51"/>
    <w:rsid w:val="4E5B3840"/>
    <w:rsid w:val="4FDC7852"/>
    <w:rsid w:val="50B87750"/>
    <w:rsid w:val="519E2E63"/>
    <w:rsid w:val="52D2191F"/>
    <w:rsid w:val="53E26178"/>
    <w:rsid w:val="545466D7"/>
    <w:rsid w:val="54FE0CA8"/>
    <w:rsid w:val="55186629"/>
    <w:rsid w:val="55C93441"/>
    <w:rsid w:val="55E64A28"/>
    <w:rsid w:val="56D06A51"/>
    <w:rsid w:val="56D25B35"/>
    <w:rsid w:val="577053BD"/>
    <w:rsid w:val="5895450A"/>
    <w:rsid w:val="589C176E"/>
    <w:rsid w:val="59DE383D"/>
    <w:rsid w:val="5AFD1836"/>
    <w:rsid w:val="5B066847"/>
    <w:rsid w:val="5D14403F"/>
    <w:rsid w:val="5DC44AC2"/>
    <w:rsid w:val="5E03770C"/>
    <w:rsid w:val="5E742AD8"/>
    <w:rsid w:val="5FD15884"/>
    <w:rsid w:val="60462F5E"/>
    <w:rsid w:val="60863B5C"/>
    <w:rsid w:val="609F702C"/>
    <w:rsid w:val="61AB47F2"/>
    <w:rsid w:val="62121814"/>
    <w:rsid w:val="63E23618"/>
    <w:rsid w:val="63E975F8"/>
    <w:rsid w:val="64310921"/>
    <w:rsid w:val="64441F50"/>
    <w:rsid w:val="656938DB"/>
    <w:rsid w:val="656D07F8"/>
    <w:rsid w:val="65840B4F"/>
    <w:rsid w:val="65AB4911"/>
    <w:rsid w:val="65C73B99"/>
    <w:rsid w:val="6642746F"/>
    <w:rsid w:val="67092CB3"/>
    <w:rsid w:val="67147642"/>
    <w:rsid w:val="67656D42"/>
    <w:rsid w:val="67AA13B4"/>
    <w:rsid w:val="68EA41CF"/>
    <w:rsid w:val="693742A5"/>
    <w:rsid w:val="6AC634A7"/>
    <w:rsid w:val="6AD44D57"/>
    <w:rsid w:val="6B460B8C"/>
    <w:rsid w:val="6BD30D17"/>
    <w:rsid w:val="6C9B68B0"/>
    <w:rsid w:val="6D1B3CE3"/>
    <w:rsid w:val="6D975F80"/>
    <w:rsid w:val="6E0D7A9C"/>
    <w:rsid w:val="6E373BED"/>
    <w:rsid w:val="6ECF0C36"/>
    <w:rsid w:val="6F260E44"/>
    <w:rsid w:val="6F2D3D6B"/>
    <w:rsid w:val="6FD01098"/>
    <w:rsid w:val="704D2132"/>
    <w:rsid w:val="70F44DB6"/>
    <w:rsid w:val="717A39B4"/>
    <w:rsid w:val="72B14395"/>
    <w:rsid w:val="7324525B"/>
    <w:rsid w:val="73817AF3"/>
    <w:rsid w:val="73B75AAA"/>
    <w:rsid w:val="73DB080D"/>
    <w:rsid w:val="741E5AB1"/>
    <w:rsid w:val="749C2CC3"/>
    <w:rsid w:val="766E17DB"/>
    <w:rsid w:val="767B541E"/>
    <w:rsid w:val="7696711C"/>
    <w:rsid w:val="76E40E5C"/>
    <w:rsid w:val="77177EC8"/>
    <w:rsid w:val="78132E72"/>
    <w:rsid w:val="78812509"/>
    <w:rsid w:val="78895092"/>
    <w:rsid w:val="78D7630C"/>
    <w:rsid w:val="78E416ED"/>
    <w:rsid w:val="794E5C13"/>
    <w:rsid w:val="79800315"/>
    <w:rsid w:val="79C350D7"/>
    <w:rsid w:val="79C55D56"/>
    <w:rsid w:val="7AE96523"/>
    <w:rsid w:val="7B5B25DA"/>
    <w:rsid w:val="7B9120F6"/>
    <w:rsid w:val="7BD17279"/>
    <w:rsid w:val="7C3B183D"/>
    <w:rsid w:val="7C405DB4"/>
    <w:rsid w:val="7C494A62"/>
    <w:rsid w:val="7D0E0AB3"/>
    <w:rsid w:val="7D492462"/>
    <w:rsid w:val="7E8539BE"/>
    <w:rsid w:val="7F375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ind w:firstLine="178" w:firstLineChars="178"/>
    </w:pPr>
    <w:rPr>
      <w:sz w:val="2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标题3"/>
    <w:basedOn w:val="1"/>
    <w:next w:val="3"/>
    <w:qFormat/>
    <w:uiPriority w:val="0"/>
    <w:pPr>
      <w:adjustRightInd w:val="0"/>
      <w:spacing w:line="360" w:lineRule="auto"/>
    </w:pPr>
    <w:rPr>
      <w:rFonts w:ascii="Arial" w:hAnsi="Arial" w:eastAsia="黑体"/>
      <w:sz w:val="28"/>
      <w:szCs w:val="28"/>
    </w:rPr>
  </w:style>
  <w:style w:type="paragraph" w:styleId="16">
    <w:name w:val="List Paragraph"/>
    <w:basedOn w:val="1"/>
    <w:qFormat/>
    <w:uiPriority w:val="34"/>
    <w:pPr>
      <w:ind w:firstLine="420" w:firstLineChars="200"/>
    </w:pPr>
    <w:rPr>
      <w:rFonts w:ascii="Calibri" w:hAnsi="Calibri"/>
    </w:rPr>
  </w:style>
  <w:style w:type="character" w:customStyle="1" w:styleId="17">
    <w:name w:val="标题 1 Char"/>
    <w:basedOn w:val="12"/>
    <w:link w:val="2"/>
    <w:qFormat/>
    <w:uiPriority w:val="0"/>
    <w:rPr>
      <w:b/>
      <w:bCs/>
    </w:rPr>
  </w:style>
  <w:style w:type="character" w:customStyle="1" w:styleId="18">
    <w:name w:val="样式1 Char"/>
    <w:basedOn w:val="12"/>
    <w:qFormat/>
    <w:uiPriority w:val="0"/>
    <w:rPr>
      <w:b/>
      <w:bCs/>
    </w:rPr>
  </w:style>
  <w:style w:type="character" w:customStyle="1" w:styleId="19">
    <w:name w:val="页脚 Char"/>
    <w:basedOn w:val="12"/>
    <w:link w:val="7"/>
    <w:qFormat/>
    <w:uiPriority w:val="0"/>
  </w:style>
  <w:style w:type="character" w:customStyle="1" w:styleId="20">
    <w:name w:val="页眉 Char"/>
    <w:basedOn w:val="12"/>
    <w:link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5161</Words>
  <Characters>5287</Characters>
  <Lines>27</Lines>
  <Paragraphs>7</Paragraphs>
  <TotalTime>3</TotalTime>
  <ScaleCrop>false</ScaleCrop>
  <LinksUpToDate>false</LinksUpToDate>
  <CharactersWithSpaces>5290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四斤呀</cp:lastModifiedBy>
  <cp:lastPrinted>2019-06-19T04:19:00Z</cp:lastPrinted>
  <dcterms:modified xsi:type="dcterms:W3CDTF">2025-07-11T07:30:14Z</dcterms:modified>
  <dc:title>江阴市实验小学北校区景观工程--清单编制总说明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8AC7A4E964BE4D47918D367FC02FB1CF_13</vt:lpwstr>
  </property>
  <property fmtid="{D5CDD505-2E9C-101B-9397-08002B2CF9AE}" pid="4" name="commondata">
    <vt:lpwstr>eyJoZGlkIjoiZjNkMmI0NWEzZDJlOTdiZWY3MWE5YmZiZDJhM2U1ZWYifQ==</vt:lpwstr>
  </property>
  <property fmtid="{D5CDD505-2E9C-101B-9397-08002B2CF9AE}" pid="5" name="KSOTemplateDocerSaveRecord">
    <vt:lpwstr>eyJoZGlkIjoiZmViM2M1ZjI0ZGJmN2U5N2ZkNWEwOTRlODE4MTI3NDgiLCJ1c2VySWQiOiI2NzQ3ODIxMjYifQ==</vt:lpwstr>
  </property>
</Properties>
</file>