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096D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</w:t>
      </w:r>
    </w:p>
    <w:p w14:paraId="46A9F88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320" w:afterLines="100" w:line="640" w:lineRule="exact"/>
        <w:jc w:val="center"/>
        <w:textAlignment w:val="auto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江苏省基金会评估指标</w:t>
      </w:r>
    </w:p>
    <w:tbl>
      <w:tblPr>
        <w:tblStyle w:val="2"/>
        <w:tblW w:w="398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718"/>
        <w:gridCol w:w="1194"/>
        <w:gridCol w:w="8700"/>
      </w:tblGrid>
      <w:tr w14:paraId="0355E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  <w:tblHeader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38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8F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B8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指标说明</w:t>
            </w:r>
          </w:p>
        </w:tc>
      </w:tr>
      <w:tr w14:paraId="1AC48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4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175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党建工作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8D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党的组织</w:t>
            </w:r>
          </w:p>
          <w:p w14:paraId="1BFC6F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62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设立党组织（单建、联建；实体型、功能型）（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7AD1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注：未设立党组织，但通过选派党建工作指导员、联络员，建立工青妇组织等途径，做好联系服务群众、推荐入党积极分子等工作，为建立党组织创造条件得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  <w:bookmarkStart w:id="0" w:name="_GoBack"/>
            <w:bookmarkEnd w:id="0"/>
          </w:p>
          <w:p w14:paraId="614FDF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党组织班子成员和社会组织党员管理层人员双向进入、交叉任职（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5801B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党组织书记由社会组织负责人担任得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分，其他人员担任得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4054D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注：党组织应建未建的，不予评为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7CF26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3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D12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6B6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F4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党的工作</w:t>
            </w:r>
          </w:p>
          <w:p w14:paraId="21F8C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D1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加强党员教育管理，落实党的基本组织生活制度，各项活动记录内容完整、格式规范（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8BCC4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注：包括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三会一课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、主题党日和谈心谈话等制度。实体型党支部还需要落实组织生活会、民主评议党员等制度。</w:t>
            </w:r>
          </w:p>
          <w:p w14:paraId="5CE8F8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落实意识形态责任制并建立相关制度（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97F81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落实党风廉政建设制度，党组织对社会组织重大事项决策、重要业务活动等提出意见（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81459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党组织引导和支持社会组织有序参与社会治理、提供公共服务、承担社会责任，党员积极参与教育培训以及社会组织工作，模范带头作用明显（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CE048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注：党组织负责人有违规违纪行为的，不予评为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（含）以上等级；未开展党的工作和活动的，不予评为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17ED5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7E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579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基础条件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DCA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登记备案</w:t>
            </w:r>
          </w:p>
          <w:p w14:paraId="567129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32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按规定办理登记和备案（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B02B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登记事项：名称、业务范围、住所、原始基金、法定代表人、业务主管单位。</w:t>
            </w:r>
          </w:p>
          <w:p w14:paraId="531369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备案事项：负责人、理事、监事，印章（单位、财务、法定代表人）、银行账户、分支机构、代表机构、公开募捐活动、慈善信托。</w:t>
            </w:r>
          </w:p>
          <w:p w14:paraId="63CC4E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注：以上各项，有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项未按规定办理扣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01B1E2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按民政部门及章程示范文本要求，将党的建设及社会主义核心价值观相关内容规范完整写入章程（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F8927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登记或认定为慈善组织（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999EA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注：组织需提供理事、监事名单以及公开募捐活动、慈善信托备案事项材料。</w:t>
            </w:r>
          </w:p>
        </w:tc>
      </w:tr>
      <w:tr w14:paraId="42F40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A2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FC9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FB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年检年报</w:t>
            </w:r>
          </w:p>
          <w:p w14:paraId="030007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55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按规定年检年报（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490FC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年检合格或年报符合要求（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B2B90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ascii="Times New Roman" w:hAnsi="Times New Roman" w:eastAsia="方正仿宋_GB2312" w:cs="方正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2312" w:cs="方正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注：申报评估年度前两年存在未按规定参加年检年报，或年检结论基本合格、不合格或年报不符合要求情况的，不予评为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ascii="Times New Roman" w:hAnsi="Times New Roman" w:eastAsia="方正仿宋_GB2312" w:cs="方正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  <w:p w14:paraId="60023B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年末净资产不低于注册资金，且逐年增加（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F3E75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低于注册资金或未逐年增加得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</w:tr>
      <w:tr w14:paraId="515FC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AF0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0D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B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机构建设</w:t>
            </w:r>
          </w:p>
          <w:p w14:paraId="028F7C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04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理事会设立、制度建设及履职情况（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D917A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会人员构成符合规定；理事无违规取酬情况；建立完善理事会议事决策等相关制度；理事会按时换届，按章程规定召开理事会；理事会履职情况，决定重大业务活动、制定内部管理制度、年度收支预算及决算审定等。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7C0CE2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监事（会）设立及履职情况（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E762A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监事设立符合规定（按规定需要设立监事会的应设立监事会）；监事不在基金会领取报酬；监事（会）制度健全并按规定履职，列席理事会、对基金会财务等进行监督。有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3F4490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内设机构设立运转情况（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4E8FE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设立秘书处、办公室等内设机构，且职责明确、运转协调。</w:t>
            </w:r>
          </w:p>
        </w:tc>
      </w:tr>
      <w:tr w14:paraId="19855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89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F0A9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A1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制度建设</w:t>
            </w:r>
          </w:p>
          <w:p w14:paraId="7C1FAE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8C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建立健全各项制度且能够规范执行，包括：财务、项目、资产、投资、人事、志愿者、档案印章管理以及信息公开等制度。</w:t>
            </w:r>
          </w:p>
          <w:p w14:paraId="4C507C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注：以上各项，缺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项扣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</w:tc>
      </w:tr>
      <w:tr w14:paraId="3160C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5C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5D0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F0C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人力资源管理</w:t>
            </w:r>
          </w:p>
          <w:p w14:paraId="7B36A5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F0E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负责人管理（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6C7E8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负责人届次、年龄符合规定；秘书长专职；退（离）休领导干部兼职符合规定，并按规定履行报批手续。有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418A2F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专职工作人员管理（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A4F25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专职工作人员满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分，每少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分；人员结构合理，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﹪以上、本科以上学历者占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50% 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分，扣完为止；积极参加法律法规、业务培训得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分，申报评估年度前两年有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年未参加扣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1222ED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专业人才队伍建设（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D502E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专职工作人员中，有社工师、会计师等与本基金会业务相关的专业持证人才。</w:t>
            </w:r>
          </w:p>
          <w:p w14:paraId="2B4E54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志愿者队伍建设（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AA15C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建有志愿者队伍，人员稳定、管理规范、作用发挥明显。</w:t>
            </w:r>
          </w:p>
          <w:p w14:paraId="123BFB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注：专职工作人员指建立劳动关系并购买社保的工作人员。返聘、劳动关系在其他单位的工作人员，按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得分。</w:t>
            </w:r>
          </w:p>
        </w:tc>
      </w:tr>
      <w:tr w14:paraId="2A6DC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48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87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49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合法运营</w:t>
            </w:r>
          </w:p>
          <w:p w14:paraId="6E5D4A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B8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经费来源和资金使用符合国家政策法规和章程规定（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A4005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注：经费来源和资金使用不符合国家政策法规和章程规定的，不予评为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  <w:p w14:paraId="57EB3E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资金列入符合规定的单位账簿（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2E2C5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按规定办理税务登记和申报（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5C785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规范使用票据（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FFB3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3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C74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19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会计工作</w:t>
            </w:r>
          </w:p>
          <w:p w14:paraId="35890D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6A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严格执行《民间非营利组织会计制度》（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7FEDB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规范设置会计科目、账册、凭单、内外部报表；记账、会计核算规范；会计报表真实、完整。</w:t>
            </w:r>
          </w:p>
          <w:p w14:paraId="522083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会计基础（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DCF47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会计人员配备合理、专业化；会计核算实行电算化；会计档案管理规范。有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项不符合扣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</w:tc>
      </w:tr>
      <w:tr w14:paraId="2894F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4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47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B1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B83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财务管理</w:t>
            </w:r>
          </w:p>
          <w:p w14:paraId="638E6E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7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编制年度预算且执行情况良好（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80225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捐赠收入管理（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C5885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接受捐赠按规定签订捐赠协议；接受非货币捐赠，按规定确定公允价值。</w:t>
            </w:r>
          </w:p>
          <w:p w14:paraId="16114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投资管理（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C01F5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投资符合《慈善组织保值增值投资活动管理暂行办法》规定且经必要决策程序，得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分；年投资回报率（综合年化收益率）达到一年期银行存款利率得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分，超过一个百分点加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分，加满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分为止。</w:t>
            </w:r>
          </w:p>
          <w:p w14:paraId="3652C3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注：亏损不得分；无投资行为不得分。</w:t>
            </w:r>
          </w:p>
          <w:p w14:paraId="35DD31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资产管理（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89248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资产使用符合规定；固定资产标准和折旧年限确定合理，折旧计提准确。</w:t>
            </w:r>
          </w:p>
          <w:p w14:paraId="3C066A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关联方（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9BA6A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与关联方无违规交易且无有失公平交易行为；关联交易及时披露。</w:t>
            </w:r>
          </w:p>
        </w:tc>
      </w:tr>
      <w:tr w14:paraId="43014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513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6A0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5E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监督审计</w:t>
            </w:r>
          </w:p>
          <w:p w14:paraId="61E87B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BBE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年度、换届、离任、重大项目专项审计完整、合规（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98F51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注：未发生换届、法定代表人离任，不扣分。</w:t>
            </w:r>
          </w:p>
          <w:p w14:paraId="45067C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对审计发现的问题整改落实到位（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832CB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重大事项向业务主管单位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行业管理部门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党建工作机构报告（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AC05D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重大事项包括开展评比达标表彰、举办节庆展会论坛、开展重大投资活动等。</w:t>
            </w:r>
          </w:p>
        </w:tc>
      </w:tr>
      <w:tr w14:paraId="40EB5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B0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D65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工作绩效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DE4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捐赠收入规模</w:t>
            </w:r>
          </w:p>
          <w:p w14:paraId="529CB7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3B2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以全省相关领域基金会平均水平为参照数，对基金会申报评估年度前两年的捐赠收入情况进行测算得分（具有公开募捐资格、不具有公开募捐资格分别计算）。</w:t>
            </w:r>
          </w:p>
          <w:p w14:paraId="4FA9ED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标准分值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×1.2×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本基金会前两年平均捐赠收入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（本基金会前两年平均捐赠收入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全省平均水平），最高不超过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 w14:paraId="508EE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C99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05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0D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公益支出规模</w:t>
            </w:r>
          </w:p>
          <w:p w14:paraId="3538FA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8E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以全省相关领域基金会平均水平为参照数，对基金会申报评估年度前两年的公益支出情况进行测算得分（具有公开募捐资格、不具有公开募捐资格分别计算）。</w:t>
            </w:r>
          </w:p>
          <w:p w14:paraId="522C0F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标准分值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×1.2×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本基金会前两年平均支出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（本基金会前两年平均支出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全省平均水平），最高不超过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 w14:paraId="4D3A7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80B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B0F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A21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公益项目</w:t>
            </w:r>
          </w:p>
          <w:p w14:paraId="4F5D45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57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项目符合宗旨和业务范围（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643E7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建立项目管理制度（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4D85A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项目受益对象选择公开公正，有确认且信息齐全（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FFEBE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项目立项、实施、监督、反馈、评价、总结、归档等程序完备、材料齐全（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B4C37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项目长期执行、形成品牌、社会知名度高，被媒体宣传报道（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BE05D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参与乡村振兴、对口支援协作、长江经济带发展、长三角一体化发展等国家战略及重大决策部署（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74B89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申报评估年度前两年开展相关项目得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分；相关项目支出达到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万元（含）得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分，每增加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分，加满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分为止。</w:t>
            </w:r>
          </w:p>
        </w:tc>
      </w:tr>
      <w:tr w14:paraId="652A7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586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3B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D2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信息公开</w:t>
            </w:r>
          </w:p>
          <w:p w14:paraId="47C4A6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12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按照《基金会信息公布办法》《慈善组织信息公开办法》履行信息公开义务（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F2829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公开内容包括：基本信息、年度工作报告、接受捐赠信息、资金使用情况、公益项目信息等，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项未公开扣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5B3677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建立信息公开平台，信息公开渠道多样（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BCC9A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设立新闻发言人（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5A4FA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4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注：慈善组织未按照《慈善组织信息公开办法》履行信息公开义务的，不予评为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4816B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2F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A9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社会评价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70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理事监事评价</w:t>
            </w:r>
          </w:p>
          <w:p w14:paraId="667638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F3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对管理状况、综合影响力的评价，评价内容包括对基金会民主决策、领导班子履行职责、财务管理、资金使用、信息公开、社会影响力等方面。</w:t>
            </w:r>
          </w:p>
          <w:p w14:paraId="27B5D8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注：所有理事、监事参与评价。</w:t>
            </w:r>
          </w:p>
        </w:tc>
      </w:tr>
      <w:tr w14:paraId="43CFF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C1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005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F1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捐赠人评价</w:t>
            </w:r>
          </w:p>
          <w:p w14:paraId="2A715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46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对管理状况、综合影响力的评价，选择评估申报年度前两年主要捐赠人开展评价，评价内容包括对基金会公益性、项目效果满意度、社会影响力等方面。</w:t>
            </w:r>
          </w:p>
          <w:p w14:paraId="4471F2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注：主要捐赠人是指年度累计捐赠超过基金会当年捐赠收入</w:t>
            </w:r>
            <w:r>
              <w:rPr>
                <w:rStyle w:val="4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5%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以上或者</w:t>
            </w:r>
            <w:r>
              <w:rPr>
                <w:rStyle w:val="4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万元以上的捐赠单位或个人。</w:t>
            </w:r>
          </w:p>
        </w:tc>
      </w:tr>
      <w:tr w14:paraId="5DD58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96B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DE8A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46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受助人评价</w:t>
            </w:r>
          </w:p>
          <w:p w14:paraId="690F97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1B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对项目管理、效果的评价，评价内容包括对基金会公正公开选定受助人、履行协议等方面。</w:t>
            </w:r>
          </w:p>
          <w:p w14:paraId="261CC8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注：抽取申报评估年度前两年开展的所有重大项目受助人参与评价，满足以下情形之一的属于重大项目：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该项目的捐赠收入占基金会当年捐赠总收入的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1/5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且金额超过人民币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万元的；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该项目的支出占基金会当年总支出的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1/5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且金额超过人民币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万元的；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项目持续时间在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年以上的（包括</w:t>
            </w:r>
            <w:r>
              <w:rPr>
                <w:rStyle w:val="4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年）。</w:t>
            </w:r>
          </w:p>
        </w:tc>
      </w:tr>
      <w:tr w14:paraId="1EFB8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15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AA70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988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pacing w:val="-1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pacing w:val="-1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pacing w:val="-1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业务主管单位评价</w:t>
            </w:r>
          </w:p>
          <w:p w14:paraId="0FE238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82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由业务主管单位对基金会工作进行总体评价。</w:t>
            </w:r>
          </w:p>
          <w:p w14:paraId="730485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注：直接登记的基金会，由党建工作机构（或其授权的行业党委、属地党组织）进行评价。</w:t>
            </w:r>
          </w:p>
        </w:tc>
      </w:tr>
      <w:tr w14:paraId="17045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E75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C7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C7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表彰奖励情况</w:t>
            </w:r>
          </w:p>
          <w:p w14:paraId="2DDA04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BF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政府部门对基金会和公益项目的表彰奖励情况。</w:t>
            </w:r>
          </w:p>
        </w:tc>
      </w:tr>
      <w:tr w14:paraId="16609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B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_GBK" w:cs="方正楷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ascii="Times New Roman" w:hAnsi="Times New Roman" w:eastAsia="方正楷体_GBK" w:cs="方正楷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项指标无需社会组织提供材料。</w:t>
            </w:r>
          </w:p>
        </w:tc>
      </w:tr>
    </w:tbl>
    <w:p w14:paraId="410D54C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B9A583A-2487-453C-9DB9-86A1E5FBBF08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2" w:fontKey="{050CEA6E-8764-44F2-A763-374ACA2350E6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F4881BF-06CF-4BCD-990A-D1C974EFFD7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010A0EC9-5C7C-408E-9D93-867604D74F38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9C032D30-F701-4D74-950B-154F8F546024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6" w:fontKey="{0AB7567E-25B2-4D17-A559-E6707F5E17A3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7" w:fontKey="{DB194DBF-B6A3-4720-9E90-99122856C0D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822DB4"/>
    <w:rsid w:val="5C7259AE"/>
    <w:rsid w:val="770F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3457</Words>
  <Characters>3571</Characters>
  <Lines>0</Lines>
  <Paragraphs>0</Paragraphs>
  <TotalTime>1</TotalTime>
  <ScaleCrop>false</ScaleCrop>
  <LinksUpToDate>false</LinksUpToDate>
  <CharactersWithSpaces>3573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2025-04-10T06:34:00Z</dcterms:created>
  <dc:creator>donot</dc:creator>
  <cp:lastModifiedBy>陈静赟</cp:lastModifiedBy>
  <dcterms:modified xsi:type="dcterms:W3CDTF">2025-04-14T03:41:16Z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eyJoZGlkIjoiMGVjNWQxMjRhNWEzZjg0MTI2ZDg3OWI4YjhjOWY3ZTUiLCJ1c2VySWQiOiI2OTI5OTM1ODMifQ==</vt:lpwstr>
  </property>
  <property fmtid="{D5CDD505-2E9C-101B-9397-08002B2CF9AE}" pid="4" name="ICV">
    <vt:lpwstr>41C80230B39841A4999C11D849CA48C4_12</vt:lpwstr>
  </property>
</Properties>
</file>