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28" w:rsidRPr="0048670F" w:rsidRDefault="00FC3430">
      <w:pPr>
        <w:spacing w:before="9" w:line="574" w:lineRule="exact"/>
        <w:ind w:left="12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48670F">
        <w:rPr>
          <w:rFonts w:ascii="Times New Roman" w:eastAsia="仿宋_GB2312" w:hAnsi="Times New Roman" w:cs="Times New Roman"/>
          <w:sz w:val="32"/>
          <w:szCs w:val="32"/>
          <w:lang w:eastAsia="zh-CN"/>
        </w:rPr>
        <w:t>附件</w:t>
      </w:r>
      <w:r w:rsidRPr="0048670F">
        <w:rPr>
          <w:rFonts w:ascii="Times New Roman" w:eastAsia="仿宋_GB2312" w:hAnsi="Times New Roman" w:cs="Times New Roman"/>
          <w:sz w:val="32"/>
          <w:szCs w:val="32"/>
          <w:lang w:eastAsia="zh-CN"/>
        </w:rPr>
        <w:t>7</w:t>
      </w:r>
    </w:p>
    <w:p w:rsidR="002A7D28" w:rsidRPr="0048670F" w:rsidRDefault="002A7D28">
      <w:pPr>
        <w:spacing w:before="2" w:line="574" w:lineRule="exact"/>
        <w:rPr>
          <w:rFonts w:ascii="Times New Roman" w:eastAsia="仿宋_GB2312" w:hAnsi="Times New Roman" w:cs="Times New Roman"/>
          <w:sz w:val="27"/>
          <w:szCs w:val="27"/>
          <w:lang w:eastAsia="zh-CN"/>
        </w:rPr>
      </w:pPr>
    </w:p>
    <w:p w:rsidR="002A7D28" w:rsidRPr="0048670F" w:rsidRDefault="00FD7C1F">
      <w:pPr>
        <w:spacing w:line="574" w:lineRule="exact"/>
        <w:jc w:val="center"/>
        <w:rPr>
          <w:rFonts w:ascii="Times New Roman" w:eastAsia="仿宋_GB2312" w:hAnsi="Times New Roman" w:cs="Times New Roman"/>
          <w:sz w:val="44"/>
          <w:szCs w:val="44"/>
          <w:lang w:eastAsia="zh-CN"/>
        </w:rPr>
      </w:pPr>
      <w:r w:rsidRPr="0048670F">
        <w:rPr>
          <w:rFonts w:ascii="Times New Roman" w:eastAsia="仿宋_GB2312" w:hAnsi="Times New Roman" w:cs="Times New Roman"/>
          <w:sz w:val="44"/>
          <w:szCs w:val="44"/>
          <w:lang w:eastAsia="zh-CN"/>
        </w:rPr>
        <w:t>江阴化工园区基础设施提质增效工程项目</w:t>
      </w:r>
    </w:p>
    <w:p w:rsidR="002A7D28" w:rsidRPr="0048670F" w:rsidRDefault="00FC3430">
      <w:pPr>
        <w:spacing w:line="574" w:lineRule="exact"/>
        <w:jc w:val="center"/>
        <w:rPr>
          <w:rFonts w:ascii="Times New Roman" w:eastAsia="仿宋_GB2312" w:hAnsi="Times New Roman" w:cs="Times New Roman"/>
          <w:sz w:val="44"/>
          <w:szCs w:val="44"/>
          <w:lang w:eastAsia="zh-CN"/>
        </w:rPr>
      </w:pPr>
      <w:r w:rsidRPr="0048670F">
        <w:rPr>
          <w:rFonts w:ascii="Times New Roman" w:eastAsia="仿宋_GB2312" w:hAnsi="Times New Roman" w:cs="Times New Roman"/>
          <w:sz w:val="44"/>
          <w:szCs w:val="44"/>
          <w:lang w:eastAsia="zh-CN"/>
        </w:rPr>
        <w:t>绩效评价报告</w:t>
      </w:r>
    </w:p>
    <w:p w:rsidR="002A7D28" w:rsidRPr="0048670F" w:rsidRDefault="002A7D28">
      <w:pPr>
        <w:spacing w:line="574" w:lineRule="exact"/>
        <w:jc w:val="center"/>
        <w:rPr>
          <w:rFonts w:ascii="Times New Roman" w:eastAsia="仿宋_GB2312" w:hAnsi="Times New Roman" w:cs="Times New Roman"/>
          <w:sz w:val="30"/>
          <w:szCs w:val="30"/>
          <w:lang w:eastAsia="zh-CN"/>
        </w:rPr>
      </w:pPr>
    </w:p>
    <w:p w:rsidR="002A7D28" w:rsidRPr="0048670F" w:rsidRDefault="00FC3430" w:rsidP="0035598D">
      <w:pPr>
        <w:spacing w:line="574" w:lineRule="exact"/>
        <w:rPr>
          <w:rFonts w:ascii="Times New Roman" w:eastAsia="仿宋_GB2312" w:hAnsi="Times New Roman" w:cs="Times New Roman"/>
          <w:color w:val="C00000"/>
          <w:sz w:val="28"/>
          <w:szCs w:val="28"/>
          <w:lang w:eastAsia="zh-CN"/>
        </w:rPr>
      </w:pP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一、项目情况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（一）项目概况。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、项目背景</w:t>
      </w:r>
    </w:p>
    <w:p w:rsidR="002E4299" w:rsidRPr="0048670F" w:rsidRDefault="008025B0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随着我国经济社会的快速发展，化工企业不断向化工园区集中，园区化已经成为石化化工行业发展的主要趋势。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2019 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年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 4 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月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 27 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日，为深刻汲取响水天嘉宜化工有限公司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“3·21” 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特别重大爆炸事故教训，牢固树立以人民为中心的发展思想，坚持安全第一、生态优先、绿色发展，加快推动化工产业转型升级和高质量发展，省委、省政府决定立即在全省开展化工产业安全环保整治提升行动。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2020 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年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 2 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月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 26 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日，中共中央办公厅、国务院办公厅印发了《关于全面加强危险化学品安全生产工作的意见》提出：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“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推进化工园区安全生产信息化智能化平台建设，实现对园区内企业、重点场所、重大危险源、基础设施实时风险监控预警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”</w:t>
      </w:r>
      <w:r w:rsidR="002E429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2020 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年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 10 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月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 30 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日，江苏省人民政府办公厅发布了《省政府关于加强全省化工园区化工集中区规范化管理的通知》（苏政发〔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2020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〕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94 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号），提出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“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整合园区信息化资源，鼓励建立网上交易、仓储、物流、检验检测等公共服务平台，完善安全、环保、应急救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lastRenderedPageBreak/>
        <w:t>援和公共服务一体化信息管理平台，提升园区服务管理水平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”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。</w:t>
      </w:r>
    </w:p>
    <w:p w:rsidR="008025B0" w:rsidRPr="0048670F" w:rsidRDefault="008025B0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化工园区内危化企业众多，生产、储存的危险化学品种类多、数量大、密集度高，能量高度积聚，加之园区发展的不协调，重招商轻安全的现象仍时有存在，安全容量难以得到有效控制，一旦发生安全生产事故，如未能得到及时、有效应急处置，极易引发多米诺骨牌效应，造成极大的人员财产损失和不良的经济社会效益，后果不堪设想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园区现状背景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: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、园区环境管理有待进一步提升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园区内现有大气环境质量在线监测不能完全满足《江苏省工业园区（集中区）污染物排放限值管理工作方案（试行）》等要求，需新建园区周界和内部空气微站监测设施，移动空气自动站位置，填平补齐水站、空气微站相关监测因子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、园区基础配套设施有待进一步改善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）供电设施改造需求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根据《化工园区安全风险排查治理导致（试行）》要求，化工园区应保障双电源供电，目前，园区部分线路还不能实现双电源供电，因此需对园区内变电站进行改造。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）供水体系提升需求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根据《化工园区安全风险排查治理导致（试行）》要求，化工园区应建设统一集中的供水设施和管网，满足企业和化工园区配套设施生产、生活、消防用水的需求。目前，园区部分道路供水管网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lastRenderedPageBreak/>
        <w:t>缺失、漏损，需对园区内供水管网进行完善。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3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）市政工程改善需求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因园区内重型车辆来往频繁，致使福太路道路不堪重负，路面出现严重破损，如大面积的断板、唧泥、错台、麻面等现象，接缝材料有所损坏，亟需改造道路以提升通行能力、改善通行质量。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4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）水利工程改善需求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目前，化工园区中心河河道淤积，加上垃圾、水生植物侵占河道严重，造成排水不畅，亟需进行河道疏浚。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5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）应急配套设施扩建需求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化工园区内企业以仓储、码头居多，每天进出园区作业的危险品运输车达到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 xml:space="preserve"> 500-600 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辆，运输车辆有毒有害气体检测设备设施配备还不完善，同时园区内消防安全设施配备也需要进一步完善。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6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）化工园区特勤站改善需求</w:t>
      </w:r>
    </w:p>
    <w:p w:rsidR="002E4299" w:rsidRPr="0048670F" w:rsidRDefault="002E4299" w:rsidP="002E4299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化工园区特勤站即石庄消防中队因建设时间较早，消防中队内设施较为老旧，且随着化工园区的发展，按照《全省化工园区特勤消防站建设推进方案》，需进一步完善园区特勤消防站建设，因此亟需对石庄消防中队进行升级改造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、主要内容</w:t>
      </w:r>
    </w:p>
    <w:p w:rsidR="008025B0" w:rsidRPr="0048670F" w:rsidRDefault="008025B0" w:rsidP="008025B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对基础设施提质增效，满足《江苏省工业园区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(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集中区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)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污染物排放限值管理工作方案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(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试行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)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》等要求。</w:t>
      </w:r>
    </w:p>
    <w:p w:rsidR="0035437E" w:rsidRPr="0048670F" w:rsidRDefault="008025B0" w:rsidP="008025B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完善园区应急配套设施，新增停车位满足危化品车辆需求，完善园区内消防安全设施配备</w:t>
      </w:r>
      <w:r w:rsidR="004A1AB5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，</w:t>
      </w:r>
      <w:r w:rsidR="004A1AB5" w:rsidRPr="004A1AB5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化工园区内应急配套设施优化、附属</w:t>
      </w:r>
      <w:r w:rsidR="004A1AB5" w:rsidRPr="004A1AB5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lastRenderedPageBreak/>
        <w:t>配套设施完善及智能化升级改造、园区内其他配套工程等。</w:t>
      </w:r>
    </w:p>
    <w:p w:rsidR="008025B0" w:rsidRPr="00B50A70" w:rsidRDefault="008025B0" w:rsidP="008025B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具体包括江阴临港化工园区限值限量监测监控系统建设与运维项目、限值限量监测监控（江阴临港开发区一期）建设项目、化工园区三级防控完善增补工程、江阴临港化工园区福太路、润华路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DN300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给水管道工程、江阴临港化工园区中心河清淤工程、临港化工园区特勤站石庄消防中队内装修改造工程、福太路改建工程（双良路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—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润华路）、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110kV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盘化线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11#-12#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杆线路迁改工程、临港化工园区雨水闸控系统完善工程和化工园区石庄中心河闸坝工</w:t>
      </w:r>
      <w:r w:rsidRPr="00B50A70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程</w:t>
      </w:r>
      <w:r w:rsidR="00933336" w:rsidRPr="00B50A70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、化工园区滨江西路</w:t>
      </w:r>
      <w:r w:rsidR="00933336" w:rsidRPr="00B50A70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DN500</w:t>
      </w:r>
      <w:r w:rsidR="00933336" w:rsidRPr="00B50A70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给水管道工程（锦绣路</w:t>
      </w:r>
      <w:r w:rsidR="00933336" w:rsidRPr="00B50A70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-</w:t>
      </w:r>
      <w:r w:rsidR="00933336" w:rsidRPr="00B50A70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盘龙南路）、化工园区道路维修和排水管完善工程、一园一策一图等</w:t>
      </w:r>
      <w:r w:rsidR="00933336" w:rsidRPr="00B50A70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2</w:t>
      </w:r>
      <w:r w:rsidR="00933336" w:rsidRPr="00B50A70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</w:t>
      </w:r>
      <w:r w:rsidRPr="00B50A70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项内容。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202</w:t>
      </w:r>
      <w:r w:rsidR="0035437E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年</w:t>
      </w:r>
      <w:r w:rsidR="0035437E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10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月</w:t>
      </w:r>
      <w:r w:rsidR="0035437E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</w:t>
      </w:r>
      <w:r w:rsidR="00353EE1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7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日，江苏江阴临港经济开发区管理委员会出具《关于</w:t>
      </w:r>
      <w:r w:rsidR="00FD7C1F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江阴化工园区基础设施提质增效工程项目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可行性研究报告的批复》（澄港开委投〔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202</w:t>
      </w:r>
      <w:r w:rsidR="0035437E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〕</w:t>
      </w:r>
      <w:r w:rsidR="004C453F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3</w:t>
      </w:r>
      <w:r w:rsidR="00353EE1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8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号），批复同意</w:t>
      </w:r>
      <w:r w:rsidR="00FD7C1F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江阴化工园区基础设施提质增效工程项目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可行性研究报告。具体批复如下：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根据江阴临港经济开发区的总体规划，同意该项目建设。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</w:t>
      </w:r>
      <w:r w:rsidR="004C453F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项目主要建设内容</w:t>
      </w:r>
      <w:r w:rsidR="004C453F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:</w:t>
      </w:r>
      <w:bookmarkStart w:id="0" w:name="_Hlk161669539"/>
      <w:r w:rsidR="00353EE1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对江阴临港化工园区进行基础设施提质增效，包括限值限量监测监控建设、化工园区石庄片区石化变双电源建设、供水体系建设、福太路整体维修、中心河清淤、化工园区应急配套设施二期、化工园区特勤站完善工程等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。</w:t>
      </w:r>
    </w:p>
    <w:bookmarkEnd w:id="0"/>
    <w:p w:rsidR="00205EFF" w:rsidRPr="0048670F" w:rsidRDefault="00205EFF" w:rsidP="00205EFF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3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）项目总投资匡算</w:t>
      </w:r>
      <w:r w:rsidR="00B50A7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10,000.00</w:t>
      </w:r>
      <w:r w:rsidR="004C453F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万元，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所需资金由临港经济开发区财政承担。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3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、实施</w:t>
      </w:r>
      <w:r w:rsidR="00EE5402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方式</w:t>
      </w:r>
    </w:p>
    <w:p w:rsidR="002A7D28" w:rsidRPr="0048670F" w:rsidRDefault="00EE5402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lastRenderedPageBreak/>
        <w:t>按照规定进行前期设计、咨询、公开招投标遴选工程施工方，事中监督、完工验收等方式循序渐进完成工程阶段性任务。项目处于实施阶段。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4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、资金投入</w:t>
      </w:r>
    </w:p>
    <w:p w:rsidR="002A7D28" w:rsidRPr="0048670F" w:rsidRDefault="00FD7C1F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江阴化工园区基础设施提质增效工程项目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批复计划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总投资为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</w:t>
      </w:r>
      <w:r w:rsidR="000A0C8C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0</w:t>
      </w:r>
      <w:r w:rsidR="00D53B96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,</w:t>
      </w:r>
      <w:r w:rsidR="00606B34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000</w:t>
      </w:r>
      <w:r w:rsidR="000A0C8C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.00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万元。资金来源为政府预算资金安排及申请地方政府专项债资金支持解决，其中申请专项债券资金为</w:t>
      </w:r>
      <w:r w:rsidR="000A0C8C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8,</w:t>
      </w:r>
      <w:r w:rsidR="00606B34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0</w:t>
      </w:r>
      <w:r w:rsidR="000A0C8C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00.00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万元，占比约</w:t>
      </w:r>
      <w:r w:rsidR="00606B34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80.00</w:t>
      </w:r>
      <w:r w:rsidR="000A0C8C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%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，财政预算资金</w:t>
      </w:r>
      <w:r w:rsidR="000A0C8C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2,</w:t>
      </w:r>
      <w:r w:rsidR="00606B34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000</w:t>
      </w:r>
      <w:r w:rsidR="000A0C8C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.00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万元，占比约</w:t>
      </w:r>
      <w:r w:rsidR="000A0C8C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20.</w:t>
      </w:r>
      <w:r w:rsidR="00606B34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00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%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5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、资金使用情况</w:t>
      </w:r>
    </w:p>
    <w:p w:rsidR="002A7D28" w:rsidRPr="0048670F" w:rsidRDefault="00FD7C1F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江阴化工园区基础设施提质增效工程项目</w:t>
      </w:r>
      <w:r w:rsidR="005F4BA2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已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投资金额为</w:t>
      </w:r>
      <w:r w:rsidR="00033E44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4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,</w:t>
      </w:r>
      <w:r w:rsidR="00033E44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5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00.00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万元，累计支出</w:t>
      </w:r>
      <w:r w:rsidR="00033E44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4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,</w:t>
      </w:r>
      <w:r w:rsidR="00033E44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5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00.00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万元，其中专项债资金已支出</w:t>
      </w:r>
      <w:r w:rsidR="00033E44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4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,</w:t>
      </w:r>
      <w:r w:rsidR="00033E44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5</w:t>
      </w:r>
      <w:r w:rsidR="00FE1EA9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00.00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万元，专项债资金使用率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100%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。具体资金使用明细见下表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:</w:t>
      </w:r>
    </w:p>
    <w:p w:rsidR="002A7D28" w:rsidRPr="0048670F" w:rsidRDefault="00FD7C1F">
      <w:pPr>
        <w:spacing w:line="574" w:lineRule="exact"/>
        <w:ind w:firstLineChars="200" w:firstLine="592"/>
        <w:jc w:val="center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bookmarkStart w:id="1" w:name="_Hlk161411769"/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江阴化工园区基础设施提质增效工程项目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资金明细表</w:t>
      </w:r>
    </w:p>
    <w:bookmarkEnd w:id="1"/>
    <w:p w:rsidR="002A7D28" w:rsidRPr="0048670F" w:rsidRDefault="00FC3430">
      <w:pPr>
        <w:spacing w:line="574" w:lineRule="exact"/>
        <w:ind w:firstLineChars="200" w:firstLine="592"/>
        <w:jc w:val="right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单位：万元</w:t>
      </w:r>
    </w:p>
    <w:tbl>
      <w:tblPr>
        <w:tblStyle w:val="a9"/>
        <w:tblW w:w="8897" w:type="dxa"/>
        <w:jc w:val="center"/>
        <w:tblLook w:val="04A0"/>
      </w:tblPr>
      <w:tblGrid>
        <w:gridCol w:w="817"/>
        <w:gridCol w:w="2835"/>
        <w:gridCol w:w="1842"/>
        <w:gridCol w:w="1702"/>
        <w:gridCol w:w="1701"/>
      </w:tblGrid>
      <w:tr w:rsidR="002A7D28" w:rsidRPr="0048670F" w:rsidTr="003D02CD">
        <w:trPr>
          <w:trHeight w:val="1037"/>
          <w:jc w:val="center"/>
        </w:trPr>
        <w:tc>
          <w:tcPr>
            <w:tcW w:w="817" w:type="dxa"/>
            <w:vAlign w:val="center"/>
          </w:tcPr>
          <w:p w:rsidR="002A7D28" w:rsidRPr="0048670F" w:rsidRDefault="00FC3430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835" w:type="dxa"/>
            <w:vAlign w:val="center"/>
          </w:tcPr>
          <w:p w:rsidR="002A7D28" w:rsidRPr="0048670F" w:rsidRDefault="00FC3430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2A7D28" w:rsidRPr="0048670F" w:rsidRDefault="00FC3430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概算金额</w:t>
            </w:r>
          </w:p>
        </w:tc>
        <w:tc>
          <w:tcPr>
            <w:tcW w:w="1702" w:type="dxa"/>
            <w:vAlign w:val="center"/>
          </w:tcPr>
          <w:p w:rsidR="002A7D28" w:rsidRPr="0048670F" w:rsidRDefault="00ED67B7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已</w:t>
            </w:r>
            <w:r w:rsidR="00FC3430"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投资金额</w:t>
            </w:r>
          </w:p>
        </w:tc>
        <w:tc>
          <w:tcPr>
            <w:tcW w:w="1701" w:type="dxa"/>
            <w:vAlign w:val="center"/>
          </w:tcPr>
          <w:p w:rsidR="002A7D28" w:rsidRPr="0048670F" w:rsidRDefault="00FC3430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累计支付</w:t>
            </w:r>
          </w:p>
        </w:tc>
      </w:tr>
      <w:tr w:rsidR="00D53B96" w:rsidRPr="0048670F" w:rsidTr="00D53B96">
        <w:trPr>
          <w:jc w:val="center"/>
        </w:trPr>
        <w:tc>
          <w:tcPr>
            <w:tcW w:w="817" w:type="dxa"/>
            <w:vAlign w:val="center"/>
          </w:tcPr>
          <w:p w:rsidR="00D53B96" w:rsidRPr="0048670F" w:rsidRDefault="00D53B96" w:rsidP="00D53B96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:rsidR="00D53B96" w:rsidRPr="0048670F" w:rsidRDefault="00FD7C1F" w:rsidP="00D53B96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江阴化工园区基础设施提质增效工程项目</w:t>
            </w:r>
          </w:p>
        </w:tc>
        <w:tc>
          <w:tcPr>
            <w:tcW w:w="1842" w:type="dxa"/>
            <w:vAlign w:val="center"/>
          </w:tcPr>
          <w:p w:rsidR="00D53B96" w:rsidRPr="0048670F" w:rsidRDefault="00D53B96" w:rsidP="00D53B96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10,</w:t>
            </w:r>
            <w:r w:rsidR="00C179F5"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000</w:t>
            </w: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702" w:type="dxa"/>
            <w:vAlign w:val="center"/>
          </w:tcPr>
          <w:p w:rsidR="00D53B96" w:rsidRPr="0048670F" w:rsidRDefault="00033E44" w:rsidP="00D53B96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4</w:t>
            </w:r>
            <w:r w:rsidRPr="0048670F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,</w:t>
            </w: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5</w:t>
            </w:r>
            <w:r w:rsidRPr="0048670F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00.00</w:t>
            </w:r>
          </w:p>
        </w:tc>
        <w:tc>
          <w:tcPr>
            <w:tcW w:w="1701" w:type="dxa"/>
            <w:vAlign w:val="center"/>
          </w:tcPr>
          <w:p w:rsidR="00D53B96" w:rsidRPr="0048670F" w:rsidRDefault="00033E44" w:rsidP="00D53B96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4</w:t>
            </w:r>
            <w:r w:rsidRPr="0048670F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,</w:t>
            </w: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5</w:t>
            </w:r>
            <w:r w:rsidRPr="0048670F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00.00</w:t>
            </w:r>
          </w:p>
        </w:tc>
      </w:tr>
      <w:tr w:rsidR="00FE1EA9" w:rsidRPr="0048670F" w:rsidTr="003D02CD">
        <w:trPr>
          <w:trHeight w:val="849"/>
          <w:jc w:val="center"/>
        </w:trPr>
        <w:tc>
          <w:tcPr>
            <w:tcW w:w="3652" w:type="dxa"/>
            <w:gridSpan w:val="2"/>
            <w:vAlign w:val="center"/>
          </w:tcPr>
          <w:p w:rsidR="00FE1EA9" w:rsidRPr="0048670F" w:rsidRDefault="00FE1EA9" w:rsidP="00FE1EA9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842" w:type="dxa"/>
            <w:vAlign w:val="center"/>
          </w:tcPr>
          <w:p w:rsidR="00FE1EA9" w:rsidRPr="0048670F" w:rsidRDefault="00D53B96" w:rsidP="00FE1EA9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10,</w:t>
            </w:r>
            <w:r w:rsidR="00C179F5"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000</w:t>
            </w:r>
            <w:r w:rsidRPr="0048670F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702" w:type="dxa"/>
            <w:vAlign w:val="center"/>
          </w:tcPr>
          <w:p w:rsidR="00FE1EA9" w:rsidRPr="0048670F" w:rsidRDefault="00033E44" w:rsidP="00FE1EA9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4</w:t>
            </w:r>
            <w:r w:rsidRPr="0048670F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,</w:t>
            </w: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5</w:t>
            </w:r>
            <w:r w:rsidRPr="0048670F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00.00</w:t>
            </w:r>
          </w:p>
        </w:tc>
        <w:tc>
          <w:tcPr>
            <w:tcW w:w="1701" w:type="dxa"/>
            <w:vAlign w:val="center"/>
          </w:tcPr>
          <w:p w:rsidR="00FE1EA9" w:rsidRPr="0048670F" w:rsidRDefault="00033E44" w:rsidP="00FE1EA9">
            <w:pPr>
              <w:spacing w:line="574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4</w:t>
            </w:r>
            <w:r w:rsidRPr="0048670F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,</w:t>
            </w: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5</w:t>
            </w:r>
            <w:r w:rsidRPr="0048670F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  <w:lang w:eastAsia="zh-CN"/>
              </w:rPr>
              <w:t>00.00</w:t>
            </w:r>
          </w:p>
        </w:tc>
      </w:tr>
    </w:tbl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注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: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项目</w:t>
      </w:r>
      <w:r w:rsidR="00ED67B7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处于施工阶段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，累计支出为截至</w:t>
      </w:r>
      <w:r w:rsidR="00ED67B7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202</w:t>
      </w:r>
      <w:r w:rsidR="00D43231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4</w:t>
      </w:r>
      <w:r w:rsidR="00ED67B7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年</w:t>
      </w:r>
      <w:r w:rsidR="00ED67B7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12</w:t>
      </w:r>
      <w:r w:rsidR="00ED67B7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月</w:t>
      </w:r>
      <w:r w:rsidR="00ED67B7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31</w:t>
      </w:r>
      <w:r w:rsidR="00ED67B7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日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支出金额。</w:t>
      </w:r>
    </w:p>
    <w:p w:rsidR="00617C04" w:rsidRPr="0048670F" w:rsidRDefault="00617C04" w:rsidP="00617C04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lastRenderedPageBreak/>
        <w:t>6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</w:t>
      </w:r>
      <w:r w:rsidR="00CE551D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改造</w:t>
      </w:r>
      <w:r w:rsidR="005D5EF4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完成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情况</w:t>
      </w:r>
    </w:p>
    <w:p w:rsidR="00617C04" w:rsidRPr="00BB6B86" w:rsidRDefault="00FD7C1F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BB6B86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江阴化工园区基础设施提质增效工程项目</w:t>
      </w:r>
      <w:r w:rsidR="00A562E0" w:rsidRPr="00BB6B86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改造完成情况</w:t>
      </w:r>
      <w:r w:rsidR="00617C04" w:rsidRPr="00BB6B86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表</w:t>
      </w:r>
    </w:p>
    <w:tbl>
      <w:tblPr>
        <w:tblStyle w:val="a9"/>
        <w:tblW w:w="9533" w:type="dxa"/>
        <w:jc w:val="center"/>
        <w:tblLook w:val="04A0"/>
      </w:tblPr>
      <w:tblGrid>
        <w:gridCol w:w="905"/>
        <w:gridCol w:w="4247"/>
        <w:gridCol w:w="2341"/>
        <w:gridCol w:w="2040"/>
      </w:tblGrid>
      <w:tr w:rsidR="00A562E0" w:rsidRPr="005B0FB4" w:rsidTr="005B0FB4">
        <w:trPr>
          <w:trHeight w:val="543"/>
          <w:jc w:val="center"/>
        </w:trPr>
        <w:tc>
          <w:tcPr>
            <w:tcW w:w="905" w:type="dxa"/>
            <w:vAlign w:val="center"/>
          </w:tcPr>
          <w:p w:rsidR="00A562E0" w:rsidRPr="005B0FB4" w:rsidRDefault="00A562E0" w:rsidP="00617C0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247" w:type="dxa"/>
            <w:vAlign w:val="center"/>
          </w:tcPr>
          <w:p w:rsidR="00A562E0" w:rsidRPr="005B0FB4" w:rsidRDefault="00A562E0" w:rsidP="00617C0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341" w:type="dxa"/>
            <w:vAlign w:val="center"/>
          </w:tcPr>
          <w:p w:rsidR="00A562E0" w:rsidRPr="005B0FB4" w:rsidRDefault="00A562E0" w:rsidP="00617C0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目标完成</w:t>
            </w:r>
          </w:p>
        </w:tc>
        <w:tc>
          <w:tcPr>
            <w:tcW w:w="2040" w:type="dxa"/>
            <w:vAlign w:val="center"/>
          </w:tcPr>
          <w:p w:rsidR="00A562E0" w:rsidRPr="005B0FB4" w:rsidRDefault="00A562E0" w:rsidP="00617C0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实际完成</w:t>
            </w:r>
          </w:p>
        </w:tc>
      </w:tr>
      <w:tr w:rsidR="005B0FB4" w:rsidRPr="005B0FB4" w:rsidTr="00704D4B">
        <w:trPr>
          <w:trHeight w:val="862"/>
          <w:jc w:val="center"/>
        </w:trPr>
        <w:tc>
          <w:tcPr>
            <w:tcW w:w="905" w:type="dxa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完成</w:t>
            </w:r>
            <w:r w:rsidRPr="005B0F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“</w:t>
            </w:r>
            <w:r w:rsidRPr="005B0F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一园一策一图</w:t>
            </w:r>
            <w:r w:rsidRPr="005B0F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”</w:t>
            </w:r>
            <w:r w:rsidRPr="005B0F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系统、特勤站装修改造等配套设施建设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部分未完成</w:t>
            </w:r>
          </w:p>
        </w:tc>
      </w:tr>
      <w:tr w:rsidR="005B0FB4" w:rsidRPr="005B0FB4" w:rsidTr="00704D4B">
        <w:trPr>
          <w:trHeight w:val="862"/>
          <w:jc w:val="center"/>
        </w:trPr>
        <w:tc>
          <w:tcPr>
            <w:tcW w:w="905" w:type="dxa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安全施工，确保全年无安全施工事故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无安全事故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无安全事故</w:t>
            </w:r>
          </w:p>
        </w:tc>
      </w:tr>
      <w:tr w:rsidR="005B0FB4" w:rsidRPr="005B0FB4" w:rsidTr="00704D4B">
        <w:trPr>
          <w:trHeight w:val="862"/>
          <w:jc w:val="center"/>
        </w:trPr>
        <w:tc>
          <w:tcPr>
            <w:tcW w:w="905" w:type="dxa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项目计划完成率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B0FB4" w:rsidRPr="005B0FB4" w:rsidTr="00704D4B">
        <w:trPr>
          <w:trHeight w:val="568"/>
          <w:jc w:val="center"/>
        </w:trPr>
        <w:tc>
          <w:tcPr>
            <w:tcW w:w="905" w:type="dxa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成本控制额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≤1</w:t>
            </w: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亿元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6B2852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6B2852">
              <w:rPr>
                <w:rFonts w:ascii="Times New Roman" w:hAnsi="Times New Roman" w:cs="Times New Roman" w:hint="eastAsia"/>
                <w:sz w:val="28"/>
                <w:szCs w:val="28"/>
              </w:rPr>
              <w:t>6986.84</w:t>
            </w:r>
            <w:r w:rsidRPr="006B2852">
              <w:rPr>
                <w:rFonts w:ascii="Times New Roman" w:hAnsi="Times New Roman" w:cs="Times New Roman" w:hint="eastAsia"/>
                <w:sz w:val="28"/>
                <w:szCs w:val="28"/>
              </w:rPr>
              <w:t>万元</w:t>
            </w:r>
            <w:bookmarkStart w:id="2" w:name="_GoBack"/>
            <w:bookmarkEnd w:id="2"/>
          </w:p>
        </w:tc>
      </w:tr>
      <w:tr w:rsidR="005B0FB4" w:rsidRPr="005B0FB4" w:rsidTr="00704D4B">
        <w:trPr>
          <w:trHeight w:val="505"/>
          <w:jc w:val="center"/>
        </w:trPr>
        <w:tc>
          <w:tcPr>
            <w:tcW w:w="905" w:type="dxa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项目完成后降低园区安全风险，降低应急行政成本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有效降低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有效降低</w:t>
            </w:r>
          </w:p>
        </w:tc>
      </w:tr>
      <w:tr w:rsidR="005B0FB4" w:rsidRPr="005B0FB4" w:rsidTr="00704D4B">
        <w:trPr>
          <w:trHeight w:val="677"/>
          <w:jc w:val="center"/>
        </w:trPr>
        <w:tc>
          <w:tcPr>
            <w:tcW w:w="905" w:type="dxa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进一步完善园区环保基础设施，提高园区环境监测管控能力，有效改善环境质量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改善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改善</w:t>
            </w:r>
          </w:p>
        </w:tc>
      </w:tr>
      <w:tr w:rsidR="005B0FB4" w:rsidRPr="005B0FB4" w:rsidTr="00704D4B">
        <w:trPr>
          <w:trHeight w:val="516"/>
          <w:jc w:val="center"/>
        </w:trPr>
        <w:tc>
          <w:tcPr>
            <w:tcW w:w="905" w:type="dxa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园区内环保设施、电力设施、消防设施及监测监控设施进行提质增效，有助于环境管理水平提升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提升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提升</w:t>
            </w:r>
          </w:p>
        </w:tc>
      </w:tr>
      <w:tr w:rsidR="005B0FB4" w:rsidRPr="005B0FB4" w:rsidTr="00704D4B">
        <w:trPr>
          <w:trHeight w:val="862"/>
          <w:jc w:val="center"/>
        </w:trPr>
        <w:tc>
          <w:tcPr>
            <w:tcW w:w="905" w:type="dxa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符合化工园区整治提升政策要求，强化化工园区基础设施建设，提升安全环保治理能力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提升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不断提升</w:t>
            </w:r>
          </w:p>
        </w:tc>
      </w:tr>
      <w:tr w:rsidR="005B0FB4" w:rsidRPr="005B0FB4" w:rsidTr="00704D4B">
        <w:trPr>
          <w:trHeight w:val="862"/>
          <w:jc w:val="center"/>
        </w:trPr>
        <w:tc>
          <w:tcPr>
            <w:tcW w:w="905" w:type="dxa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园区及周边公众满意度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≥80%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B4" w:rsidRPr="005B0FB4" w:rsidRDefault="005B0FB4" w:rsidP="005B0FB4">
            <w:pPr>
              <w:spacing w:line="57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zh-CN"/>
              </w:rPr>
            </w:pPr>
            <w:r w:rsidRPr="005B0FB4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lastRenderedPageBreak/>
        <w:t>（二）绩效目标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、总目标</w:t>
      </w:r>
    </w:p>
    <w:p w:rsidR="007A446C" w:rsidRPr="0048670F" w:rsidRDefault="007A446C" w:rsidP="007A446C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通过对</w:t>
      </w:r>
      <w:r w:rsidR="00B648BA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对江阴临港化工园区进行基础设施提质增效，包括限值限量监测监控建设、化工园区石庄片区石化变双电源建设、供水体系建设、福太路整体维修、中心河清淤、化工园区应急配套设施二期、化工园区特勤站完善工程等</w:t>
      </w:r>
      <w:r w:rsidR="00AC48F8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，</w:t>
      </w:r>
      <w:r w:rsidR="00B648BA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不断提升化工园区生产安全、消防安全、运输安全、环保达标、管理到位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，促进</w:t>
      </w:r>
      <w:r w:rsidR="00B648BA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临港化工产业园区发展可持续和稳定向好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</w:t>
      </w:r>
      <w:r w:rsidR="007A446C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阶段性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绩效目标</w:t>
      </w:r>
    </w:p>
    <w:p w:rsidR="002A7D28" w:rsidRPr="00BB6B86" w:rsidRDefault="00C75626" w:rsidP="00F0075F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完成“一园一策一图”系统、特勤站装修改造等配套设施建设</w:t>
      </w:r>
      <w:r w:rsidR="008F5A2C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完成</w:t>
      </w:r>
      <w:r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、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安全施工，确保全年无安全施工事故</w:t>
      </w:r>
      <w:r w:rsidR="002F6FD8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、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项目计划完成率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1</w:t>
      </w:r>
      <w:r w:rsidR="002F6FD8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0</w:t>
      </w:r>
      <w:r w:rsidR="002F6FD8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0%</w:t>
      </w:r>
      <w:r w:rsidR="002F6FD8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、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成本控制额≤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1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亿元</w:t>
      </w:r>
      <w:r w:rsidR="002F6FD8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、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项目完成后降低园区安全风险，应急行政成本有效降低</w:t>
      </w:r>
      <w:r w:rsidR="00F0075F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、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进一步完善园区环保基础设施，提高园区环境监测管控能力，有效改善环境质量改善</w:t>
      </w:r>
      <w:r w:rsidR="00F0075F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、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主要对园区内环保设施、电力设施、消防设施及监测监控设施进行提质增效，有助于环境管理水平提升提升</w:t>
      </w:r>
      <w:r w:rsidR="00F0075F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、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符合化工园区整治提升政策要求，强化化工园区基础设施建设，提升安全环保治理能力提升</w:t>
      </w:r>
      <w:r w:rsidR="00F0075F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、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园区及周边公众满意度≥</w:t>
      </w:r>
      <w:r w:rsidRPr="00C75626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80%</w:t>
      </w:r>
      <w:r w:rsidR="00FC3430" w:rsidRPr="00BB6B86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。</w:t>
      </w:r>
    </w:p>
    <w:p w:rsidR="002A7D28" w:rsidRPr="0048670F" w:rsidRDefault="00FC3430">
      <w:pPr>
        <w:spacing w:line="574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BB6B86">
        <w:rPr>
          <w:rFonts w:ascii="Times New Roman" w:eastAsia="仿宋_GB2312" w:hAnsi="Times New Roman" w:cs="Times New Roman"/>
          <w:sz w:val="30"/>
          <w:szCs w:val="30"/>
          <w:lang w:eastAsia="zh-CN"/>
        </w:rPr>
        <w:t>二、评价情况</w:t>
      </w:r>
    </w:p>
    <w:p w:rsidR="002A2594" w:rsidRPr="0048670F" w:rsidRDefault="002A2594" w:rsidP="002A2594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（一）特点分析</w:t>
      </w:r>
    </w:p>
    <w:p w:rsidR="002A2594" w:rsidRPr="0048670F" w:rsidRDefault="002A2594">
      <w:pPr>
        <w:spacing w:line="574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通过</w:t>
      </w: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“</w:t>
      </w: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基础类、完善类、提升类</w:t>
      </w: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”</w:t>
      </w: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的改造提升，完善</w:t>
      </w:r>
      <w:r w:rsidR="00077152"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化工园区安全生产</w:t>
      </w: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功能，健全</w:t>
      </w:r>
      <w:r w:rsidR="00077152"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绿色环保</w:t>
      </w:r>
      <w:r w:rsidR="0020676C"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可持续发展</w:t>
      </w: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="002A2594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二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）评价思路方法</w:t>
      </w:r>
    </w:p>
    <w:p w:rsidR="002A7D28" w:rsidRPr="0048670F" w:rsidRDefault="00FD7C1F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lastRenderedPageBreak/>
        <w:t>江阴化工园区基础设施提质增效工程项目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主要用于</w:t>
      </w:r>
      <w:r w:rsidR="00EB2DF5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临港化工园提质增效</w:t>
      </w:r>
      <w:r w:rsidR="0053565B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建设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。本次绩效评价内容主要是</w:t>
      </w:r>
      <w:r w:rsidR="00EB2DF5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化工园</w:t>
      </w:r>
      <w:r w:rsidR="0053565B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区域内</w:t>
      </w:r>
      <w:r w:rsidR="00EB2DF5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限值限量监测监控建设、化工园区石庄片区石化变双电源建设、供水体系建设、福太路整体维修、中心河清淤、化工园区应急配套设施二期、化工园区特勤站完善等工程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建设完成情况，资金使用情况和效果等。重点关注资金的支出是否合法合规，项目是否达到了预期的效果。</w:t>
      </w:r>
      <w:r w:rsidR="00B55A76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通过对改造项目专项资金项目中决策、管理、实施和后续运行情况等方面进行分析，全面了解项目立项及管理过程是否规范、产出目标是否完成以及效果目标是否实现等方面的内容。在此基础上，重点分析项目申报决策的合理性、专项资金管理、使用、风险控制等情况，评价项目资金的使用效率和效果，为以后年度编制项目预算、遴选项目、管理专项资金等提供参考依据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="002A2594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三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）评价原则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科学规范原则。绩效评价注重专项债券资金管理的规范性，支出的经济性、效率性和有效性，融资自求平衡情况和风险控制情况，严格执行规定的程序，合理确定绩效目标和评价内容，运用简便、实用、定量与定性分析相结合的方法，规范进行评价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、公正公开原则。坚持客观、公平、公正，做到依据合法、标准统一、资料可靠、实事求是、公开透明，并接受监督。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3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、绩效相关原则。绩效评价针对具体支出及其产出绩效进行，评价结果清晰反映支出和产出绩效之间的紧密对应关系。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4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、成本效益原则。绩效评价指标应当通俗易懂、简便易行，数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lastRenderedPageBreak/>
        <w:t>据的获得应当考虑现实条件和可操作性。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="002A2594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四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）评价方法</w:t>
      </w:r>
    </w:p>
    <w:p w:rsidR="002A7D28" w:rsidRPr="0048670F" w:rsidRDefault="004309F6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、资料审阅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从项目相关方获取立项政策文件、资金拨付、项目管理和资金管理办法、项目建设资料、项目成果的佐证资料、工作总结等，进行认真审阅，准确把握项目资金的安排和使用情况、项目实施的内容、服务对象，通过查阅资料初步了解项目实施情况和整体绩效目标的实现情况，为绩效评价工作收集充分、有效的证据。</w:t>
      </w:r>
    </w:p>
    <w:p w:rsidR="002A7D28" w:rsidRPr="0048670F" w:rsidRDefault="004309F6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2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、比较分析法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通过对比项目预定目标和实际产出、效益，分析项目产出数量、质量的完成情况，分析项目成本控制情况和效益实现程度，分析项目实施产生的经济效益、社会效益、可持续性影响、满意度等效益指标，并对相关佐证资料进行逐一分析、对比，分析项目实施前后的效益，分析项目预期目标的实现情况。</w:t>
      </w:r>
    </w:p>
    <w:p w:rsidR="002A7D28" w:rsidRPr="0048670F" w:rsidRDefault="004309F6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3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、资金查验法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通过对项目实施单位账簿和原始凭据的核查，对资金的到位、拨付及使用情况进行梳理和检查，对资金未到位或未使用的原因进行追溯分析，判断资金使用的合规性、合理性。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（</w:t>
      </w:r>
      <w:r w:rsidR="002A2594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五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）绩效评价结论</w:t>
      </w:r>
    </w:p>
    <w:p w:rsidR="002A7D28" w:rsidRPr="0048670F" w:rsidRDefault="00FD7C1F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江阴化工园区基础设施提质增效工程项目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按照上级要求实行专款专用，资金全部符合该项目支出要求。年初制定了绩效目标，并全面完成。项目实施绩效基本达到预期，资金总体上</w:t>
      </w:r>
      <w:r w:rsidR="0053565B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加快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江阴化工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lastRenderedPageBreak/>
        <w:t>园区基础设施提质增效工程项目</w:t>
      </w:r>
      <w:r w:rsidR="00FC3430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的实施，取得了一定的效益。</w:t>
      </w:r>
    </w:p>
    <w:p w:rsidR="002A7D28" w:rsidRPr="0048670F" w:rsidRDefault="00FC3430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根据《</w:t>
      </w:r>
      <w:r w:rsidR="00FD7C1F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江阴化工园区基础设施提质增效工程项目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绩效综合评价表》的评分标准进行逐项评分，总分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100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分，最后得分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9</w:t>
      </w:r>
      <w:r w:rsidR="005B0D0A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8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分，评价等级为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“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优秀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”</w:t>
      </w: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。</w:t>
      </w:r>
    </w:p>
    <w:p w:rsidR="002A7D28" w:rsidRPr="0048670F" w:rsidRDefault="00FC3430">
      <w:pPr>
        <w:spacing w:line="574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三、项目绩效</w:t>
      </w:r>
    </w:p>
    <w:p w:rsidR="008F48DC" w:rsidRPr="0048670F" w:rsidRDefault="00FC3430">
      <w:pPr>
        <w:spacing w:line="574" w:lineRule="exact"/>
        <w:ind w:firstLineChars="200" w:firstLine="570"/>
        <w:jc w:val="both"/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 xml:space="preserve">　</w:t>
      </w:r>
      <w:r w:rsidR="00FD7C1F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江阴化工园区基础设施提质增效工程项目</w:t>
      </w:r>
      <w:r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，</w:t>
      </w:r>
      <w:r w:rsidR="005F04B6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项目建成后</w:t>
      </w:r>
      <w:r w:rsidR="00332CAC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可以</w:t>
      </w:r>
      <w:r w:rsidR="005F04B6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将进一步完善化工园区保基础设施，提高园区环境监测管控能力，有效改善环境质量；同时项目建设应急配套设施，将有效提高园区安全监控水平，对加快建设</w:t>
      </w:r>
      <w:r w:rsidR="005F04B6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“</w:t>
      </w:r>
      <w:r w:rsidR="005F04B6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强富美高</w:t>
      </w:r>
      <w:r w:rsidR="005F04B6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”</w:t>
      </w:r>
      <w:r w:rsidR="005F04B6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新江阴有实质性的贡献，有助于提高所在地居民生活水平和生活质量</w:t>
      </w:r>
      <w:r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。</w:t>
      </w:r>
      <w:r w:rsidR="005F04B6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项目的实施有助于提升安全生产水平、提高环境监管力度；有利于提高地区投资潜力，取得</w:t>
      </w:r>
      <w:r w:rsidR="005F04B6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“</w:t>
      </w:r>
      <w:r w:rsidR="005F04B6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多赢</w:t>
      </w:r>
      <w:r w:rsidR="005F04B6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”</w:t>
      </w:r>
      <w:r w:rsidR="005F04B6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的局面。</w:t>
      </w:r>
    </w:p>
    <w:p w:rsidR="00EC5F5E" w:rsidRPr="0048670F" w:rsidRDefault="00EC5F5E" w:rsidP="0053338E">
      <w:pPr>
        <w:spacing w:line="574" w:lineRule="exact"/>
        <w:ind w:firstLineChars="200" w:firstLine="570"/>
        <w:jc w:val="both"/>
        <w:rPr>
          <w:rFonts w:ascii="Times New Roman" w:eastAsia="仿宋_GB2312" w:hAnsi="Times New Roman" w:cs="Times New Roman"/>
          <w:b/>
          <w:bCs/>
          <w:spacing w:val="-15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b/>
          <w:bCs/>
          <w:spacing w:val="-15"/>
          <w:sz w:val="30"/>
          <w:szCs w:val="30"/>
          <w:lang w:eastAsia="zh-CN"/>
        </w:rPr>
        <w:t>（</w:t>
      </w:r>
      <w:r w:rsidR="006D7895" w:rsidRPr="0048670F">
        <w:rPr>
          <w:rFonts w:ascii="Times New Roman" w:eastAsia="仿宋_GB2312" w:hAnsi="Times New Roman" w:cs="Times New Roman"/>
          <w:b/>
          <w:bCs/>
          <w:spacing w:val="-15"/>
          <w:sz w:val="30"/>
          <w:szCs w:val="30"/>
          <w:lang w:eastAsia="zh-CN"/>
        </w:rPr>
        <w:t>一</w:t>
      </w:r>
      <w:r w:rsidRPr="0048670F">
        <w:rPr>
          <w:rFonts w:ascii="Times New Roman" w:eastAsia="仿宋_GB2312" w:hAnsi="Times New Roman" w:cs="Times New Roman"/>
          <w:b/>
          <w:bCs/>
          <w:spacing w:val="-15"/>
          <w:sz w:val="30"/>
          <w:szCs w:val="30"/>
          <w:lang w:eastAsia="zh-CN"/>
        </w:rPr>
        <w:t>）</w:t>
      </w:r>
      <w:r w:rsidR="006D7895" w:rsidRPr="0048670F">
        <w:rPr>
          <w:rFonts w:ascii="Times New Roman" w:eastAsia="仿宋_GB2312" w:hAnsi="Times New Roman" w:cs="Times New Roman"/>
          <w:b/>
          <w:bCs/>
          <w:spacing w:val="-15"/>
          <w:sz w:val="30"/>
          <w:szCs w:val="30"/>
          <w:lang w:eastAsia="zh-CN"/>
        </w:rPr>
        <w:t>完善基础设施建设保障</w:t>
      </w:r>
    </w:p>
    <w:p w:rsidR="00EC5F5E" w:rsidRPr="0048670F" w:rsidRDefault="006D7895" w:rsidP="006D7895">
      <w:pPr>
        <w:spacing w:line="574" w:lineRule="exact"/>
        <w:ind w:firstLineChars="200" w:firstLine="570"/>
        <w:jc w:val="both"/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通过制定科学合理的园区规划，并结合园区发展需求设计完善的基础设施，包括道路、供水、供电、排污、安全保障等设施。利用政府专项债和财政预算投入基础设施建设提质增效，加快基础设施建设进度。严格按照相关标准和规范进行基础设施建设，确保设施质量和安全性，提高园区整体形象和竞争力。建立健全基础设施管理机制，明确责任部门和管理人员，定期进行设施维护和检修，保障设施正常运行。建立健全应急预案和安全管理制度，应对突发事件和灾害，确保基础设施安全可靠，实现可持续发展</w:t>
      </w:r>
      <w:r w:rsidR="00EC5F5E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。</w:t>
      </w:r>
    </w:p>
    <w:p w:rsidR="006D7895" w:rsidRPr="0048670F" w:rsidRDefault="006D7895" w:rsidP="0053338E">
      <w:pPr>
        <w:spacing w:line="574" w:lineRule="exact"/>
        <w:ind w:firstLineChars="200" w:firstLine="570"/>
        <w:jc w:val="both"/>
        <w:rPr>
          <w:rFonts w:ascii="Times New Roman" w:eastAsia="仿宋_GB2312" w:hAnsi="Times New Roman" w:cs="Times New Roman"/>
          <w:b/>
          <w:bCs/>
          <w:spacing w:val="-15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b/>
          <w:bCs/>
          <w:spacing w:val="-15"/>
          <w:sz w:val="30"/>
          <w:szCs w:val="30"/>
          <w:lang w:eastAsia="zh-CN"/>
        </w:rPr>
        <w:t>（二）促进化工园区的转型升级</w:t>
      </w:r>
    </w:p>
    <w:p w:rsidR="006D7895" w:rsidRPr="0048670F" w:rsidRDefault="006D7895" w:rsidP="006D7895">
      <w:pPr>
        <w:spacing w:line="574" w:lineRule="exact"/>
        <w:ind w:firstLineChars="200" w:firstLine="570"/>
        <w:jc w:val="both"/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项目建成将提高化工园区建设的环保水平，减少污染物排放，确保</w:t>
      </w:r>
      <w:r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lastRenderedPageBreak/>
        <w:t>园区周边环境质量，保障员工和居民的生活安全。优化资源配置，提高资源利用效率，推动循环经济发展，减少资源浪费，降低生产成本，提高园区整体经济效益。调整园区内产业结构，推动产业升级和转型，</w:t>
      </w:r>
      <w:r w:rsidR="00CC2773"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对</w:t>
      </w:r>
      <w:r w:rsidRPr="0048670F">
        <w:rPr>
          <w:rFonts w:ascii="Times New Roman" w:eastAsia="仿宋_GB2312" w:hAnsi="Times New Roman" w:cs="Times New Roman"/>
          <w:spacing w:val="-15"/>
          <w:sz w:val="30"/>
          <w:szCs w:val="30"/>
          <w:lang w:eastAsia="zh-CN"/>
        </w:rPr>
        <w:t>引进高新技术产业和绿色产业，提高产业附加值，优化园区布局，提升园区整体竞争力。推动园区可持续发展，实现经济效益、社会效益和环境效益的统一，促进化工园区的转型升级。</w:t>
      </w:r>
    </w:p>
    <w:p w:rsidR="002A7D28" w:rsidRPr="0048670F" w:rsidRDefault="00FC3430">
      <w:pPr>
        <w:spacing w:line="574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四、存在问题</w:t>
      </w:r>
    </w:p>
    <w:p w:rsidR="002A7D28" w:rsidRPr="0048670F" w:rsidRDefault="00FC3430" w:rsidP="0053338E">
      <w:pPr>
        <w:spacing w:line="574" w:lineRule="exact"/>
        <w:ind w:firstLineChars="200" w:firstLine="600"/>
        <w:jc w:val="both"/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  <w:t>（一）</w:t>
      </w:r>
      <w:r w:rsidR="00BB372C" w:rsidRPr="0048670F"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  <w:t>工程建设尚未完成</w:t>
      </w:r>
    </w:p>
    <w:p w:rsidR="0007004E" w:rsidRDefault="00543CFF" w:rsidP="00543CFF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部分园区提质增效项目尚未完成</w:t>
      </w:r>
      <w:r w:rsidR="00BB372C" w:rsidRPr="0048670F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，</w:t>
      </w:r>
      <w:r w:rsidR="00BB372C" w:rsidRPr="005B0D0A"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  <w:t>如</w:t>
      </w:r>
      <w:r w:rsidR="005B0D0A" w:rsidRPr="005B0D0A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临港化工园区雨水闸控系统完善工程、化工园区石庄中心河闸坝工程等</w:t>
      </w:r>
      <w:r w:rsidR="005B0D0A" w:rsidRPr="005B0D0A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11</w:t>
      </w:r>
      <w:r w:rsidR="005B0D0A" w:rsidRPr="005B0D0A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项内容目前完成合同签约，进场施工。</w:t>
      </w:r>
    </w:p>
    <w:p w:rsidR="00333BB9" w:rsidRPr="0048670F" w:rsidRDefault="00333BB9" w:rsidP="0053338E">
      <w:pPr>
        <w:spacing w:line="574" w:lineRule="exact"/>
        <w:ind w:firstLineChars="200" w:firstLine="600"/>
        <w:jc w:val="both"/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  <w:t>（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  <w:lang w:eastAsia="zh-CN"/>
        </w:rPr>
        <w:t>二</w:t>
      </w:r>
      <w:r w:rsidRPr="0048670F"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  <w:t>）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  <w:lang w:eastAsia="zh-CN"/>
        </w:rPr>
        <w:t>可持续发展面临挑战</w:t>
      </w:r>
    </w:p>
    <w:p w:rsidR="00333BB9" w:rsidRPr="0048670F" w:rsidRDefault="00333BB9" w:rsidP="00543CFF">
      <w:pPr>
        <w:spacing w:line="574" w:lineRule="exact"/>
        <w:ind w:firstLineChars="200" w:firstLine="592"/>
        <w:jc w:val="both"/>
        <w:rPr>
          <w:rFonts w:ascii="Times New Roman" w:eastAsia="仿宋_GB2312" w:hAnsi="Times New Roman" w:cs="Times New Roman"/>
          <w:spacing w:val="-4"/>
          <w:sz w:val="30"/>
          <w:szCs w:val="30"/>
          <w:lang w:eastAsia="zh-CN"/>
        </w:rPr>
      </w:pPr>
      <w:r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临港</w:t>
      </w:r>
      <w:r w:rsidRPr="00333BB9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化工园区</w:t>
      </w:r>
      <w:r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健康可持续</w:t>
      </w:r>
      <w:r w:rsidRPr="00333BB9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发展仍面临许多挑战，存在布局不尽合理、</w:t>
      </w:r>
      <w:r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基础设施老化、</w:t>
      </w:r>
      <w:r w:rsidRPr="00333BB9">
        <w:rPr>
          <w:rFonts w:ascii="Times New Roman" w:eastAsia="仿宋_GB2312" w:hAnsi="Times New Roman" w:cs="Times New Roman" w:hint="eastAsia"/>
          <w:spacing w:val="-4"/>
          <w:sz w:val="30"/>
          <w:szCs w:val="30"/>
          <w:lang w:eastAsia="zh-CN"/>
        </w:rPr>
        <w:t>安全环保压力大等一系列矛盾和问题。</w:t>
      </w:r>
    </w:p>
    <w:p w:rsidR="002A7D28" w:rsidRPr="0048670F" w:rsidRDefault="00FC3430">
      <w:pPr>
        <w:spacing w:line="574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五、有关建议</w:t>
      </w:r>
    </w:p>
    <w:p w:rsidR="002A7D28" w:rsidRPr="0048670F" w:rsidRDefault="00FC3430" w:rsidP="0053338E">
      <w:pPr>
        <w:spacing w:line="574" w:lineRule="exact"/>
        <w:ind w:firstLineChars="200" w:firstLine="600"/>
        <w:jc w:val="both"/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  <w:t>（一）</w:t>
      </w:r>
      <w:r w:rsidR="009E66B6" w:rsidRPr="0048670F"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  <w:t>加快完成工程建设</w:t>
      </w:r>
      <w:r w:rsidR="003020B2" w:rsidRPr="0048670F"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  <w:t>，</w:t>
      </w:r>
      <w:r w:rsidR="009E66B6" w:rsidRPr="0048670F"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  <w:t>做好工程验收合格</w:t>
      </w:r>
    </w:p>
    <w:p w:rsidR="002A7D28" w:rsidRDefault="009B3024" w:rsidP="009B3024">
      <w:pPr>
        <w:spacing w:line="574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制定明确的时间表和计划，明确各项工作内容、工期和责任人，合理规划安排资源、人力和物资，确保施工进度顺利进行。建立健全的项目管理机制，统筹协调各方资源，及时解决项目中出现的问题和困难，提高项目执行效率。各相关部门和单位之间加强沟通和协调，形成合力推动工程进展，及时对项目可能面临的风险进行评估和预案制定，应对可能出现的问题，及时调整项目方案，避免因</w:t>
      </w:r>
      <w:r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lastRenderedPageBreak/>
        <w:t>为风险导致项目延误。</w:t>
      </w:r>
      <w:r w:rsidR="00390F88"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根据相关规范和要求，明确验收各项指标和要求，检查工程结构、材料等，进行测试和检测。确保工程质量达到规定的标准。</w:t>
      </w:r>
      <w:r w:rsidR="00EA5DBA" w:rsidRPr="0048670F">
        <w:rPr>
          <w:rFonts w:ascii="Times New Roman" w:eastAsia="仿宋_GB2312" w:hAnsi="Times New Roman" w:cs="Times New Roman"/>
          <w:sz w:val="30"/>
          <w:szCs w:val="30"/>
          <w:lang w:eastAsia="zh-CN"/>
        </w:rPr>
        <w:t>确认工程符合要求，出具最终验收证书。</w:t>
      </w:r>
    </w:p>
    <w:p w:rsidR="00743DFA" w:rsidRPr="0048670F" w:rsidRDefault="00743DFA" w:rsidP="0053338E">
      <w:pPr>
        <w:spacing w:line="574" w:lineRule="exact"/>
        <w:ind w:firstLineChars="200" w:firstLine="600"/>
        <w:jc w:val="both"/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</w:pPr>
      <w:r w:rsidRPr="0048670F"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  <w:t>（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  <w:lang w:eastAsia="zh-CN"/>
        </w:rPr>
        <w:t>二</w:t>
      </w:r>
      <w:r w:rsidRPr="0048670F"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  <w:t>）</w:t>
      </w:r>
      <w:r w:rsidR="00C560E6">
        <w:rPr>
          <w:rFonts w:ascii="Times New Roman" w:eastAsia="仿宋_GB2312" w:hAnsi="Times New Roman" w:cs="Times New Roman" w:hint="eastAsia"/>
          <w:b/>
          <w:bCs/>
          <w:sz w:val="30"/>
          <w:szCs w:val="30"/>
          <w:lang w:eastAsia="zh-CN"/>
        </w:rPr>
        <w:t>牢固树立“安全、绿色、可持续”等理念</w:t>
      </w:r>
    </w:p>
    <w:p w:rsidR="00743DFA" w:rsidRPr="0048670F" w:rsidRDefault="00C560E6" w:rsidP="009B3024">
      <w:pPr>
        <w:spacing w:line="574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  <w:r w:rsidRPr="00C560E6"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  <w:t>调整产业结构、优化产业布局、发展循环经济、推进清洁生产、实现规模经济</w:t>
      </w:r>
      <w:r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  <w:t>效益。临港</w:t>
      </w:r>
      <w:r w:rsidR="0053338E"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  <w:t>化工园区要以建设“绿色园区”为契机，牢固树立创新、协调、绿色、开放、共享</w:t>
      </w:r>
      <w:r w:rsidR="00743DFA" w:rsidRPr="00743DFA">
        <w:rPr>
          <w:rFonts w:ascii="Times New Roman" w:eastAsia="仿宋_GB2312" w:hAnsi="Times New Roman" w:cs="Times New Roman" w:hint="eastAsia"/>
          <w:sz w:val="30"/>
          <w:szCs w:val="30"/>
          <w:lang w:eastAsia="zh-CN"/>
        </w:rPr>
        <w:t>的新发展理念，深入实施绿色可持续发展战略，着力创新驱动，加强污染治理，提升安全环保水平，努力走出一条科技含量高、经济效益好、资源消耗低、环境污染少的新型工业化路子，走在全行业绿色发展的前列，引领行业“调结构、转方式”取得更大进展。</w:t>
      </w:r>
    </w:p>
    <w:sectPr w:rsidR="00743DFA" w:rsidRPr="0048670F" w:rsidSect="004F118E">
      <w:type w:val="continuous"/>
      <w:pgSz w:w="11910" w:h="16840"/>
      <w:pgMar w:top="2098" w:right="1474" w:bottom="1984" w:left="158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A4A" w:rsidRDefault="00187A4A" w:rsidP="00A2428C">
      <w:r>
        <w:separator/>
      </w:r>
    </w:p>
  </w:endnote>
  <w:endnote w:type="continuationSeparator" w:id="1">
    <w:p w:rsidR="00187A4A" w:rsidRDefault="00187A4A" w:rsidP="00A2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A4A" w:rsidRDefault="00187A4A" w:rsidP="00A2428C">
      <w:r>
        <w:separator/>
      </w:r>
    </w:p>
  </w:footnote>
  <w:footnote w:type="continuationSeparator" w:id="1">
    <w:p w:rsidR="00187A4A" w:rsidRDefault="00187A4A" w:rsidP="00A24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commondata" w:val="eyJoZGlkIjoiZmYzNDIzOGEzOGE4Mjk3MzJlMWJkMDExNzY0NTBhODAifQ=="/>
  </w:docVars>
  <w:rsids>
    <w:rsidRoot w:val="006A0286"/>
    <w:rsid w:val="0000186F"/>
    <w:rsid w:val="00026691"/>
    <w:rsid w:val="00027842"/>
    <w:rsid w:val="00033E44"/>
    <w:rsid w:val="000452AF"/>
    <w:rsid w:val="0007004E"/>
    <w:rsid w:val="00077152"/>
    <w:rsid w:val="000966BC"/>
    <w:rsid w:val="000A0C8C"/>
    <w:rsid w:val="000C4B82"/>
    <w:rsid w:val="000C6793"/>
    <w:rsid w:val="000D739C"/>
    <w:rsid w:val="000E123E"/>
    <w:rsid w:val="000F0010"/>
    <w:rsid w:val="000F1EEF"/>
    <w:rsid w:val="000F4E25"/>
    <w:rsid w:val="001013D7"/>
    <w:rsid w:val="001076FD"/>
    <w:rsid w:val="00112A3C"/>
    <w:rsid w:val="0012335B"/>
    <w:rsid w:val="00172155"/>
    <w:rsid w:val="00186EB0"/>
    <w:rsid w:val="00187A4A"/>
    <w:rsid w:val="001C0071"/>
    <w:rsid w:val="001D43CE"/>
    <w:rsid w:val="001E1F08"/>
    <w:rsid w:val="001F34F7"/>
    <w:rsid w:val="001F5652"/>
    <w:rsid w:val="002034C4"/>
    <w:rsid w:val="00205EFF"/>
    <w:rsid w:val="0020676C"/>
    <w:rsid w:val="00223670"/>
    <w:rsid w:val="002619B6"/>
    <w:rsid w:val="002A2594"/>
    <w:rsid w:val="002A7D28"/>
    <w:rsid w:val="002B214E"/>
    <w:rsid w:val="002D449D"/>
    <w:rsid w:val="002D48A6"/>
    <w:rsid w:val="002E4299"/>
    <w:rsid w:val="002F39B9"/>
    <w:rsid w:val="002F6FD8"/>
    <w:rsid w:val="003020B2"/>
    <w:rsid w:val="00316A20"/>
    <w:rsid w:val="00317F35"/>
    <w:rsid w:val="0032110C"/>
    <w:rsid w:val="00332CAC"/>
    <w:rsid w:val="00333BB9"/>
    <w:rsid w:val="00353EE1"/>
    <w:rsid w:val="0035437E"/>
    <w:rsid w:val="0035598D"/>
    <w:rsid w:val="00374F47"/>
    <w:rsid w:val="0038471B"/>
    <w:rsid w:val="00390F88"/>
    <w:rsid w:val="003D02CD"/>
    <w:rsid w:val="003D4D43"/>
    <w:rsid w:val="003F2804"/>
    <w:rsid w:val="00412A90"/>
    <w:rsid w:val="00427AA3"/>
    <w:rsid w:val="004302E8"/>
    <w:rsid w:val="004309F6"/>
    <w:rsid w:val="0043358B"/>
    <w:rsid w:val="00442916"/>
    <w:rsid w:val="00443579"/>
    <w:rsid w:val="00444A16"/>
    <w:rsid w:val="00453872"/>
    <w:rsid w:val="00485FCA"/>
    <w:rsid w:val="0048670F"/>
    <w:rsid w:val="00496584"/>
    <w:rsid w:val="004A1AB5"/>
    <w:rsid w:val="004B1555"/>
    <w:rsid w:val="004C453F"/>
    <w:rsid w:val="004E3E98"/>
    <w:rsid w:val="004F118E"/>
    <w:rsid w:val="004F2889"/>
    <w:rsid w:val="0053338E"/>
    <w:rsid w:val="0053565B"/>
    <w:rsid w:val="00541FD2"/>
    <w:rsid w:val="00543CFF"/>
    <w:rsid w:val="0055497B"/>
    <w:rsid w:val="0058181F"/>
    <w:rsid w:val="005B0D0A"/>
    <w:rsid w:val="005B0FB4"/>
    <w:rsid w:val="005C5968"/>
    <w:rsid w:val="005D094F"/>
    <w:rsid w:val="005D0C0F"/>
    <w:rsid w:val="005D5EF4"/>
    <w:rsid w:val="005D61F8"/>
    <w:rsid w:val="005F04B6"/>
    <w:rsid w:val="005F4BA2"/>
    <w:rsid w:val="006032DC"/>
    <w:rsid w:val="00606B34"/>
    <w:rsid w:val="00617C04"/>
    <w:rsid w:val="00626388"/>
    <w:rsid w:val="006471F7"/>
    <w:rsid w:val="00684926"/>
    <w:rsid w:val="006A0286"/>
    <w:rsid w:val="006B2852"/>
    <w:rsid w:val="006C7981"/>
    <w:rsid w:val="006D7895"/>
    <w:rsid w:val="006F1257"/>
    <w:rsid w:val="006F2AB8"/>
    <w:rsid w:val="00703820"/>
    <w:rsid w:val="00705261"/>
    <w:rsid w:val="00705B52"/>
    <w:rsid w:val="00713C0D"/>
    <w:rsid w:val="0072052A"/>
    <w:rsid w:val="0072674E"/>
    <w:rsid w:val="007416BA"/>
    <w:rsid w:val="00743DFA"/>
    <w:rsid w:val="0075529D"/>
    <w:rsid w:val="0075652D"/>
    <w:rsid w:val="00761C09"/>
    <w:rsid w:val="00763880"/>
    <w:rsid w:val="00784065"/>
    <w:rsid w:val="00784171"/>
    <w:rsid w:val="007A446C"/>
    <w:rsid w:val="007A5DA6"/>
    <w:rsid w:val="007A754E"/>
    <w:rsid w:val="007C7F57"/>
    <w:rsid w:val="007F3D5F"/>
    <w:rsid w:val="008025B0"/>
    <w:rsid w:val="00814508"/>
    <w:rsid w:val="0083057F"/>
    <w:rsid w:val="00830C91"/>
    <w:rsid w:val="00863FC1"/>
    <w:rsid w:val="008735E5"/>
    <w:rsid w:val="008861A1"/>
    <w:rsid w:val="008A57C7"/>
    <w:rsid w:val="008B17CB"/>
    <w:rsid w:val="008B72FE"/>
    <w:rsid w:val="008C735A"/>
    <w:rsid w:val="008D395B"/>
    <w:rsid w:val="008D5CD0"/>
    <w:rsid w:val="008D7527"/>
    <w:rsid w:val="008E3FD4"/>
    <w:rsid w:val="008F48DC"/>
    <w:rsid w:val="008F5A2C"/>
    <w:rsid w:val="008F6FC9"/>
    <w:rsid w:val="00926E98"/>
    <w:rsid w:val="00933336"/>
    <w:rsid w:val="00934A21"/>
    <w:rsid w:val="0095504B"/>
    <w:rsid w:val="009B2D68"/>
    <w:rsid w:val="009B3024"/>
    <w:rsid w:val="009E66B6"/>
    <w:rsid w:val="009F0591"/>
    <w:rsid w:val="00A10585"/>
    <w:rsid w:val="00A14DE2"/>
    <w:rsid w:val="00A2319F"/>
    <w:rsid w:val="00A2428C"/>
    <w:rsid w:val="00A41E81"/>
    <w:rsid w:val="00A562E0"/>
    <w:rsid w:val="00A70DB0"/>
    <w:rsid w:val="00A72387"/>
    <w:rsid w:val="00A731BB"/>
    <w:rsid w:val="00A74C15"/>
    <w:rsid w:val="00A863A2"/>
    <w:rsid w:val="00A959D4"/>
    <w:rsid w:val="00A97BCA"/>
    <w:rsid w:val="00AA24DC"/>
    <w:rsid w:val="00AB2A52"/>
    <w:rsid w:val="00AC48F8"/>
    <w:rsid w:val="00AC69E3"/>
    <w:rsid w:val="00B14C89"/>
    <w:rsid w:val="00B20A9D"/>
    <w:rsid w:val="00B33955"/>
    <w:rsid w:val="00B44608"/>
    <w:rsid w:val="00B50A70"/>
    <w:rsid w:val="00B55A76"/>
    <w:rsid w:val="00B648BA"/>
    <w:rsid w:val="00BB372C"/>
    <w:rsid w:val="00BB6B86"/>
    <w:rsid w:val="00BD1F01"/>
    <w:rsid w:val="00C179F5"/>
    <w:rsid w:val="00C26C8C"/>
    <w:rsid w:val="00C437A2"/>
    <w:rsid w:val="00C466B9"/>
    <w:rsid w:val="00C560E6"/>
    <w:rsid w:val="00C75626"/>
    <w:rsid w:val="00C80DFD"/>
    <w:rsid w:val="00CB64D3"/>
    <w:rsid w:val="00CB7128"/>
    <w:rsid w:val="00CC2773"/>
    <w:rsid w:val="00CE551D"/>
    <w:rsid w:val="00D02D47"/>
    <w:rsid w:val="00D20830"/>
    <w:rsid w:val="00D41415"/>
    <w:rsid w:val="00D43231"/>
    <w:rsid w:val="00D53B96"/>
    <w:rsid w:val="00D57C51"/>
    <w:rsid w:val="00D62615"/>
    <w:rsid w:val="00D6475C"/>
    <w:rsid w:val="00D71C46"/>
    <w:rsid w:val="00D855DD"/>
    <w:rsid w:val="00D85F96"/>
    <w:rsid w:val="00D97089"/>
    <w:rsid w:val="00DE067D"/>
    <w:rsid w:val="00DE2B02"/>
    <w:rsid w:val="00DF053C"/>
    <w:rsid w:val="00DF0EAE"/>
    <w:rsid w:val="00E1011A"/>
    <w:rsid w:val="00E5255E"/>
    <w:rsid w:val="00E70A55"/>
    <w:rsid w:val="00E779D5"/>
    <w:rsid w:val="00E82B9D"/>
    <w:rsid w:val="00E87457"/>
    <w:rsid w:val="00E91ABC"/>
    <w:rsid w:val="00EA5DBA"/>
    <w:rsid w:val="00EB03FD"/>
    <w:rsid w:val="00EB2DF5"/>
    <w:rsid w:val="00EC4B97"/>
    <w:rsid w:val="00EC5F5E"/>
    <w:rsid w:val="00EC7E86"/>
    <w:rsid w:val="00ED06B2"/>
    <w:rsid w:val="00ED67B7"/>
    <w:rsid w:val="00EE5402"/>
    <w:rsid w:val="00EF10E5"/>
    <w:rsid w:val="00EF1BDD"/>
    <w:rsid w:val="00EF40A4"/>
    <w:rsid w:val="00EF65E3"/>
    <w:rsid w:val="00EF6D73"/>
    <w:rsid w:val="00EF7827"/>
    <w:rsid w:val="00F006B7"/>
    <w:rsid w:val="00F0075F"/>
    <w:rsid w:val="00F105AA"/>
    <w:rsid w:val="00F161C4"/>
    <w:rsid w:val="00F317E1"/>
    <w:rsid w:val="00F35A70"/>
    <w:rsid w:val="00F4202D"/>
    <w:rsid w:val="00FB11DE"/>
    <w:rsid w:val="00FB5E7E"/>
    <w:rsid w:val="00FC3430"/>
    <w:rsid w:val="00FC405A"/>
    <w:rsid w:val="00FC7877"/>
    <w:rsid w:val="00FD74A3"/>
    <w:rsid w:val="00FD7C1F"/>
    <w:rsid w:val="00FE1EA9"/>
    <w:rsid w:val="331217FF"/>
    <w:rsid w:val="5C4E1BEB"/>
    <w:rsid w:val="5FEB4F5F"/>
    <w:rsid w:val="63CC1360"/>
    <w:rsid w:val="6B7C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18E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4F118E"/>
    <w:pPr>
      <w:ind w:left="100"/>
      <w:outlineLvl w:val="0"/>
    </w:pPr>
    <w:rPr>
      <w:rFonts w:ascii="宋体" w:eastAsia="宋体" w:hAnsi="宋体"/>
      <w:sz w:val="36"/>
      <w:szCs w:val="36"/>
    </w:rPr>
  </w:style>
  <w:style w:type="paragraph" w:styleId="2">
    <w:name w:val="heading 2"/>
    <w:basedOn w:val="a"/>
    <w:next w:val="a"/>
    <w:uiPriority w:val="1"/>
    <w:qFormat/>
    <w:rsid w:val="004F118E"/>
    <w:pPr>
      <w:ind w:left="-21" w:firstLine="2592"/>
      <w:outlineLvl w:val="1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F118E"/>
  </w:style>
  <w:style w:type="paragraph" w:styleId="a4">
    <w:name w:val="Body Text"/>
    <w:basedOn w:val="a"/>
    <w:uiPriority w:val="1"/>
    <w:qFormat/>
    <w:rsid w:val="004F118E"/>
    <w:pPr>
      <w:spacing w:before="207"/>
      <w:ind w:left="120"/>
    </w:pPr>
    <w:rPr>
      <w:rFonts w:ascii="宋体" w:eastAsia="宋体" w:hAnsi="宋体"/>
      <w:sz w:val="30"/>
      <w:szCs w:val="30"/>
    </w:rPr>
  </w:style>
  <w:style w:type="paragraph" w:styleId="a5">
    <w:name w:val="Balloon Text"/>
    <w:basedOn w:val="a"/>
    <w:link w:val="Char0"/>
    <w:uiPriority w:val="99"/>
    <w:semiHidden/>
    <w:unhideWhenUsed/>
    <w:qFormat/>
    <w:rsid w:val="004F118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4F11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4F1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4F118E"/>
    <w:rPr>
      <w:b/>
      <w:bCs/>
    </w:rPr>
  </w:style>
  <w:style w:type="table" w:styleId="a9">
    <w:name w:val="Table Grid"/>
    <w:basedOn w:val="a1"/>
    <w:uiPriority w:val="39"/>
    <w:qFormat/>
    <w:rsid w:val="004F1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4F118E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4F11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4F118E"/>
  </w:style>
  <w:style w:type="paragraph" w:customStyle="1" w:styleId="TableParagraph">
    <w:name w:val="Table Paragraph"/>
    <w:basedOn w:val="a"/>
    <w:uiPriority w:val="1"/>
    <w:qFormat/>
    <w:rsid w:val="004F118E"/>
  </w:style>
  <w:style w:type="paragraph" w:customStyle="1" w:styleId="Default">
    <w:name w:val="Default"/>
    <w:qFormat/>
    <w:rsid w:val="004F118E"/>
    <w:pPr>
      <w:widowControl w:val="0"/>
      <w:autoSpaceDE w:val="0"/>
      <w:autoSpaceDN w:val="0"/>
      <w:adjustRightInd w:val="0"/>
    </w:pPr>
    <w:rPr>
      <w:rFonts w:ascii="方正黑体_GBK" w:hAnsi="方正黑体_GBK" w:cs="方正黑体_GBK"/>
      <w:color w:val="000000"/>
      <w:sz w:val="24"/>
      <w:szCs w:val="24"/>
      <w:lang w:eastAsia="en-US"/>
    </w:rPr>
  </w:style>
  <w:style w:type="character" w:customStyle="1" w:styleId="Char2">
    <w:name w:val="页眉 Char"/>
    <w:basedOn w:val="a0"/>
    <w:link w:val="a7"/>
    <w:uiPriority w:val="99"/>
    <w:qFormat/>
    <w:rsid w:val="004F118E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4F118E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4F118E"/>
    <w:rPr>
      <w:sz w:val="22"/>
      <w:szCs w:val="22"/>
      <w:lang w:eastAsia="en-US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4F118E"/>
    <w:rPr>
      <w:b/>
      <w:bCs/>
      <w:sz w:val="22"/>
      <w:szCs w:val="22"/>
      <w:lang w:eastAsia="en-US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4F118E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12</Pages>
  <Words>884</Words>
  <Characters>5039</Characters>
  <Application>Microsoft Office Word</Application>
  <DocSecurity>0</DocSecurity>
  <Lines>41</Lines>
  <Paragraphs>11</Paragraphs>
  <ScaleCrop>false</ScaleCrop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张肖军(拟稿)</dc:creator>
  <cp:lastModifiedBy>USER</cp:lastModifiedBy>
  <cp:revision>179</cp:revision>
  <cp:lastPrinted>2023-03-15T06:25:00Z</cp:lastPrinted>
  <dcterms:created xsi:type="dcterms:W3CDTF">2021-08-19T09:37:00Z</dcterms:created>
  <dcterms:modified xsi:type="dcterms:W3CDTF">2025-06-23T01:15:00Z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Adobe Acrobat Pro 11.0.7</vt:lpwstr>
  </property>
  <property fmtid="{D5CDD505-2E9C-101B-9397-08002B2CF9AE}" pid="4" name="LastSaved">
    <vt:filetime>2021-08-19T00:00:00Z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6110B7415DC740C58185CD86345CBEB1</vt:lpwstr>
  </property>
</Properties>
</file>