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8D466">
      <w:pPr>
        <w:spacing w:before="9" w:line="574" w:lineRule="exact"/>
        <w:ind w:left="120"/>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附件7</w:t>
      </w:r>
    </w:p>
    <w:p w14:paraId="55C909D2">
      <w:pPr>
        <w:spacing w:before="2" w:line="574" w:lineRule="exact"/>
        <w:rPr>
          <w:rFonts w:ascii="Times New Roman" w:hAnsi="Times New Roman" w:eastAsia="宋体" w:cs="Times New Roman"/>
          <w:sz w:val="27"/>
          <w:szCs w:val="27"/>
          <w:lang w:eastAsia="zh-CN"/>
        </w:rPr>
      </w:pPr>
    </w:p>
    <w:p w14:paraId="3DAF0D9C">
      <w:pPr>
        <w:spacing w:line="574" w:lineRule="exact"/>
        <w:jc w:val="center"/>
        <w:rPr>
          <w:rFonts w:ascii="Times New Roman" w:hAnsi="Times New Roman" w:eastAsia="方正小标宋_GBK" w:cs="Times New Roman"/>
          <w:sz w:val="44"/>
          <w:szCs w:val="44"/>
          <w:lang w:eastAsia="zh-CN"/>
        </w:rPr>
      </w:pPr>
      <w:bookmarkStart w:id="0" w:name="OLE_LINK1"/>
      <w:r>
        <w:rPr>
          <w:rFonts w:ascii="Times New Roman" w:hAnsi="Times New Roman" w:eastAsia="方正小标宋_GBK" w:cs="Times New Roman"/>
          <w:sz w:val="44"/>
          <w:szCs w:val="44"/>
          <w:lang w:eastAsia="zh-CN"/>
        </w:rPr>
        <w:t>江阴临港开发区供排水提质增效一体化工程</w:t>
      </w:r>
    </w:p>
    <w:bookmarkEnd w:id="0"/>
    <w:p w14:paraId="0D9DAA1A">
      <w:pPr>
        <w:spacing w:line="574"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绩效评价报告</w:t>
      </w:r>
    </w:p>
    <w:p w14:paraId="74935766">
      <w:pPr>
        <w:spacing w:line="574" w:lineRule="exact"/>
        <w:jc w:val="center"/>
        <w:rPr>
          <w:rFonts w:ascii="Times New Roman" w:hAnsi="Times New Roman" w:eastAsia="黑体" w:cs="Times New Roman"/>
          <w:sz w:val="30"/>
          <w:szCs w:val="30"/>
          <w:lang w:eastAsia="zh-CN"/>
        </w:rPr>
      </w:pPr>
    </w:p>
    <w:p w14:paraId="538CC77C">
      <w:pPr>
        <w:spacing w:line="574" w:lineRule="exact"/>
        <w:rPr>
          <w:rFonts w:ascii="Times New Roman" w:hAnsi="Times New Roman" w:eastAsia="方正小标宋_GBK" w:cs="Times New Roman"/>
          <w:color w:val="C00000"/>
          <w:sz w:val="28"/>
          <w:szCs w:val="28"/>
          <w:lang w:eastAsia="zh-CN"/>
        </w:rPr>
      </w:pPr>
      <w:r>
        <w:rPr>
          <w:rFonts w:ascii="Times New Roman" w:hAnsi="Times New Roman" w:eastAsia="黑体" w:cs="Times New Roman"/>
          <w:sz w:val="30"/>
          <w:szCs w:val="30"/>
          <w:lang w:eastAsia="zh-CN"/>
        </w:rPr>
        <w:t>一、项目情况</w:t>
      </w:r>
    </w:p>
    <w:p w14:paraId="5ACDBB62">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（一）项目概况</w:t>
      </w:r>
    </w:p>
    <w:p w14:paraId="219A888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1、项目背景</w:t>
      </w:r>
    </w:p>
    <w:p w14:paraId="717A7916">
      <w:pPr>
        <w:spacing w:line="574" w:lineRule="exact"/>
        <w:ind w:firstLine="584" w:firstLineChars="200"/>
        <w:jc w:val="both"/>
        <w:rPr>
          <w:rFonts w:ascii="Times New Roman" w:hAnsi="Times New Roman" w:eastAsia="方正仿宋_GBK" w:cs="Times New Roman"/>
          <w:spacing w:val="-4"/>
          <w:sz w:val="30"/>
          <w:szCs w:val="30"/>
          <w:highlight w:val="yellow"/>
          <w:lang w:eastAsia="zh-CN"/>
        </w:rPr>
      </w:pPr>
      <w:r>
        <w:rPr>
          <w:rFonts w:hint="eastAsia" w:ascii="Times New Roman" w:hAnsi="Times New Roman" w:eastAsia="方正仿宋_GBK" w:cs="Times New Roman"/>
          <w:spacing w:val="-4"/>
          <w:sz w:val="30"/>
          <w:szCs w:val="30"/>
          <w:lang w:eastAsia="zh-CN"/>
        </w:rPr>
        <w:t>国家对水环境治理、水资源保护等高度重视，出台了一系列如《水污染防治行动计划》等政策文件，要求各地加强水环境综合治理，提高供排水系统的效率和质量，提升污水收集处理能力，减少污染物排放，以保护水资源、改善水环境质量。江阴临港开发区供排水提质增效一体化工程是对国家政策的积极响应，推进城乡供排水一体化，加强污水处理设施建设和运行管理，提高水资源利用效率。</w:t>
      </w:r>
    </w:p>
    <w:p w14:paraId="0284396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2、项目情况</w:t>
      </w:r>
    </w:p>
    <w:p w14:paraId="74B08AF7">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（1）可行性研究报告批复</w:t>
      </w:r>
    </w:p>
    <w:p w14:paraId="73A7113A">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2022年</w:t>
      </w:r>
      <w:r>
        <w:rPr>
          <w:rFonts w:hint="eastAsia" w:ascii="Times New Roman" w:hAnsi="Times New Roman" w:eastAsia="方正仿宋_GBK" w:cs="Times New Roman"/>
          <w:spacing w:val="-4"/>
          <w:sz w:val="30"/>
          <w:szCs w:val="30"/>
          <w:lang w:eastAsia="zh-CN"/>
        </w:rPr>
        <w:t>10</w:t>
      </w:r>
      <w:r>
        <w:rPr>
          <w:rFonts w:ascii="Times New Roman" w:hAnsi="Times New Roman" w:eastAsia="方正仿宋_GBK" w:cs="Times New Roman"/>
          <w:spacing w:val="-4"/>
          <w:sz w:val="30"/>
          <w:szCs w:val="30"/>
          <w:lang w:eastAsia="zh-CN"/>
        </w:rPr>
        <w:t>月</w:t>
      </w:r>
      <w:r>
        <w:rPr>
          <w:rFonts w:hint="eastAsia" w:ascii="Times New Roman" w:hAnsi="Times New Roman" w:eastAsia="方正仿宋_GBK" w:cs="Times New Roman"/>
          <w:spacing w:val="-4"/>
          <w:sz w:val="30"/>
          <w:szCs w:val="30"/>
          <w:lang w:eastAsia="zh-CN"/>
        </w:rPr>
        <w:t>18</w:t>
      </w:r>
      <w:r>
        <w:rPr>
          <w:rFonts w:ascii="Times New Roman" w:hAnsi="Times New Roman" w:eastAsia="方正仿宋_GBK" w:cs="Times New Roman"/>
          <w:spacing w:val="-4"/>
          <w:sz w:val="30"/>
          <w:szCs w:val="30"/>
          <w:lang w:eastAsia="zh-CN"/>
        </w:rPr>
        <w:t>日，江苏江阴临港经济开发区管理委员会出具《关于江阴临港开发区供排水提质增效一体化工程可行性研究报告的批复》（澄港开委投</w:t>
      </w:r>
      <w:r>
        <w:rPr>
          <w:rFonts w:hint="eastAsia" w:ascii="Times New Roman" w:hAnsi="Times New Roman" w:eastAsia="方正仿宋_GBK" w:cs="Times New Roman"/>
          <w:spacing w:val="-4"/>
          <w:sz w:val="30"/>
          <w:szCs w:val="30"/>
          <w:lang w:eastAsia="zh-CN"/>
        </w:rPr>
        <w:t>〔2022〕40</w:t>
      </w:r>
      <w:r>
        <w:rPr>
          <w:rFonts w:ascii="Times New Roman" w:hAnsi="Times New Roman" w:eastAsia="方正仿宋_GBK" w:cs="Times New Roman"/>
          <w:spacing w:val="-4"/>
          <w:sz w:val="30"/>
          <w:szCs w:val="30"/>
          <w:lang w:eastAsia="zh-CN"/>
        </w:rPr>
        <w:t>号），批复同意江阴临港开发区供排水提质增效一体化工程可行性研究报告。批复项目主要建设内容为</w:t>
      </w:r>
      <w:r>
        <w:rPr>
          <w:rFonts w:hint="eastAsia" w:ascii="Times New Roman" w:hAnsi="Times New Roman" w:eastAsia="方正仿宋_GBK" w:cs="Times New Roman"/>
          <w:spacing w:val="-4"/>
          <w:sz w:val="30"/>
          <w:szCs w:val="30"/>
          <w:lang w:eastAsia="zh-CN"/>
        </w:rPr>
        <w:t>:对江阴临港经济开发区全区域供排水设施进行提质增效，提升长江支流水质。包括:</w:t>
      </w:r>
      <w:bookmarkStart w:id="1" w:name="OLE_LINK3"/>
      <w:r>
        <w:rPr>
          <w:rFonts w:hint="eastAsia" w:ascii="Times New Roman" w:hAnsi="Times New Roman" w:eastAsia="方正仿宋_GBK" w:cs="Times New Roman"/>
          <w:spacing w:val="-4"/>
          <w:sz w:val="30"/>
          <w:szCs w:val="30"/>
          <w:lang w:eastAsia="zh-CN"/>
        </w:rPr>
        <w:t>给排水主管网新建及改造工程、雨污水排放口环保优化工程、户表改造以及其他配套设施优化提升等</w:t>
      </w:r>
      <w:bookmarkEnd w:id="1"/>
      <w:r>
        <w:rPr>
          <w:rFonts w:hint="eastAsia" w:ascii="Times New Roman" w:hAnsi="Times New Roman" w:eastAsia="方正仿宋_GBK" w:cs="Times New Roman"/>
          <w:spacing w:val="-4"/>
          <w:sz w:val="30"/>
          <w:szCs w:val="30"/>
          <w:lang w:eastAsia="zh-CN"/>
        </w:rPr>
        <w:t>。项目总投资60000</w:t>
      </w:r>
      <w:r>
        <w:rPr>
          <w:rFonts w:ascii="Times New Roman" w:hAnsi="Times New Roman" w:eastAsia="方正仿宋_GBK" w:cs="Times New Roman"/>
          <w:spacing w:val="-4"/>
          <w:sz w:val="30"/>
          <w:szCs w:val="30"/>
          <w:lang w:eastAsia="zh-CN"/>
        </w:rPr>
        <w:t>万元。</w:t>
      </w:r>
    </w:p>
    <w:p w14:paraId="45838260">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（2）项目建设地点</w:t>
      </w:r>
    </w:p>
    <w:p w14:paraId="612D7D62">
      <w:pPr>
        <w:spacing w:line="574" w:lineRule="exact"/>
        <w:ind w:firstLine="584" w:firstLineChars="200"/>
        <w:jc w:val="both"/>
        <w:rPr>
          <w:rFonts w:hint="eastAsia"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①提质增效排水达标区建设</w:t>
      </w:r>
      <w:r>
        <w:rPr>
          <w:rFonts w:ascii="Times New Roman" w:hAnsi="Times New Roman" w:eastAsia="方正仿宋_GBK" w:cs="Times New Roman"/>
          <w:spacing w:val="-4"/>
          <w:sz w:val="30"/>
          <w:szCs w:val="30"/>
          <w:lang w:eastAsia="zh-CN"/>
        </w:rPr>
        <w:t>：</w:t>
      </w:r>
      <w:r>
        <w:rPr>
          <w:rFonts w:hint="eastAsia" w:ascii="Times New Roman" w:hAnsi="Times New Roman" w:eastAsia="方正仿宋_GBK" w:cs="Times New Roman"/>
          <w:spacing w:val="-4"/>
          <w:sz w:val="30"/>
          <w:szCs w:val="30"/>
          <w:lang w:eastAsia="zh-CN"/>
        </w:rPr>
        <w:t>夏港街道、申港街道、</w:t>
      </w:r>
      <w:bookmarkStart w:id="2" w:name="OLE_LINK2"/>
      <w:r>
        <w:rPr>
          <w:rFonts w:hint="eastAsia" w:ascii="Times New Roman" w:hAnsi="Times New Roman" w:eastAsia="方正仿宋_GBK" w:cs="Times New Roman"/>
          <w:spacing w:val="-4"/>
          <w:sz w:val="30"/>
          <w:szCs w:val="30"/>
          <w:lang w:eastAsia="zh-CN"/>
        </w:rPr>
        <w:t>利港街道</w:t>
      </w:r>
      <w:bookmarkEnd w:id="2"/>
      <w:r>
        <w:rPr>
          <w:rFonts w:hint="eastAsia" w:ascii="Times New Roman" w:hAnsi="Times New Roman" w:eastAsia="方正仿宋_GBK" w:cs="Times New Roman"/>
          <w:spacing w:val="-4"/>
          <w:sz w:val="30"/>
          <w:szCs w:val="30"/>
          <w:lang w:eastAsia="zh-CN"/>
        </w:rPr>
        <w:t>；</w:t>
      </w:r>
    </w:p>
    <w:p w14:paraId="332FF207">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②市政排水管网 “四位一体” 和智慧管网建设项目</w:t>
      </w:r>
      <w:r>
        <w:rPr>
          <w:rFonts w:ascii="Times New Roman" w:hAnsi="Times New Roman" w:eastAsia="方正仿宋_GBK" w:cs="Times New Roman"/>
          <w:spacing w:val="-4"/>
          <w:sz w:val="30"/>
          <w:szCs w:val="30"/>
          <w:lang w:eastAsia="zh-CN"/>
        </w:rPr>
        <w:t>：</w:t>
      </w:r>
      <w:r>
        <w:rPr>
          <w:rFonts w:hint="eastAsia" w:ascii="Times New Roman" w:hAnsi="Times New Roman" w:eastAsia="方正仿宋_GBK" w:cs="Times New Roman"/>
          <w:spacing w:val="-4"/>
          <w:sz w:val="30"/>
          <w:szCs w:val="30"/>
          <w:lang w:eastAsia="zh-CN"/>
        </w:rPr>
        <w:t>夏港街道、申港街道、利港街道、璜土镇；</w:t>
      </w:r>
    </w:p>
    <w:p w14:paraId="292FF0A5">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③户表改造</w:t>
      </w:r>
      <w:r>
        <w:rPr>
          <w:rFonts w:ascii="Times New Roman" w:hAnsi="Times New Roman" w:eastAsia="方正仿宋_GBK" w:cs="Times New Roman"/>
          <w:spacing w:val="-4"/>
          <w:sz w:val="30"/>
          <w:szCs w:val="30"/>
          <w:lang w:eastAsia="zh-CN"/>
        </w:rPr>
        <w:t>：</w:t>
      </w:r>
      <w:r>
        <w:rPr>
          <w:rFonts w:hint="eastAsia" w:ascii="Times New Roman" w:hAnsi="Times New Roman" w:eastAsia="方正仿宋_GBK" w:cs="Times New Roman"/>
          <w:spacing w:val="-4"/>
          <w:sz w:val="30"/>
          <w:szCs w:val="30"/>
          <w:lang w:eastAsia="zh-CN"/>
        </w:rPr>
        <w:t>夏港街道、利港街道、璜土镇</w:t>
      </w:r>
      <w:r>
        <w:rPr>
          <w:rFonts w:ascii="Times New Roman" w:hAnsi="Times New Roman" w:eastAsia="方正仿宋_GBK" w:cs="Times New Roman"/>
          <w:spacing w:val="-4"/>
          <w:sz w:val="30"/>
          <w:szCs w:val="30"/>
          <w:lang w:eastAsia="zh-CN"/>
        </w:rPr>
        <w:t>。</w:t>
      </w:r>
    </w:p>
    <w:p w14:paraId="2F2FADD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（3）项目主要建设内容及规模：</w:t>
      </w:r>
    </w:p>
    <w:p w14:paraId="7827D36A">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①提质增效排水达标区建设：</w:t>
      </w:r>
      <w:r>
        <w:rPr>
          <w:rFonts w:ascii="Times New Roman" w:hAnsi="Times New Roman" w:eastAsia="方正仿宋_GBK" w:cs="Times New Roman"/>
          <w:spacing w:val="-4"/>
          <w:sz w:val="30"/>
          <w:szCs w:val="30"/>
          <w:lang w:eastAsia="zh-CN"/>
        </w:rPr>
        <w:t xml:space="preserve"> </w:t>
      </w:r>
      <w:r>
        <w:rPr>
          <w:rFonts w:hint="eastAsia" w:ascii="Times New Roman" w:hAnsi="Times New Roman" w:eastAsia="方正仿宋_GBK" w:cs="Times New Roman"/>
          <w:spacing w:val="-4"/>
          <w:sz w:val="30"/>
          <w:szCs w:val="30"/>
          <w:lang w:eastAsia="zh-CN"/>
        </w:rPr>
        <w:t>夏港街道、申港街道、利港街道完成18个达标区建设；</w:t>
      </w:r>
    </w:p>
    <w:p w14:paraId="1D65823E">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②市政排水管网 “四位一体” 和智慧管网建设项目</w:t>
      </w:r>
      <w:r>
        <w:rPr>
          <w:rFonts w:ascii="Times New Roman" w:hAnsi="Times New Roman" w:eastAsia="方正仿宋_GBK" w:cs="Times New Roman"/>
          <w:spacing w:val="-4"/>
          <w:sz w:val="30"/>
          <w:szCs w:val="30"/>
          <w:lang w:eastAsia="zh-CN"/>
        </w:rPr>
        <w:t>：</w:t>
      </w:r>
      <w:bookmarkStart w:id="3" w:name="OLE_LINK5"/>
      <w:r>
        <w:rPr>
          <w:rFonts w:hint="eastAsia" w:ascii="Times New Roman" w:hAnsi="Times New Roman" w:eastAsia="方正仿宋_GBK" w:cs="Times New Roman"/>
          <w:spacing w:val="-4"/>
          <w:sz w:val="30"/>
          <w:szCs w:val="30"/>
          <w:lang w:eastAsia="zh-CN"/>
        </w:rPr>
        <w:t>夏港街道、申港街道、利港街道、璜土镇</w:t>
      </w:r>
      <w:bookmarkEnd w:id="3"/>
      <w:r>
        <w:rPr>
          <w:rFonts w:hint="eastAsia" w:ascii="Times New Roman" w:hAnsi="Times New Roman" w:eastAsia="方正仿宋_GBK" w:cs="Times New Roman"/>
          <w:spacing w:val="-4"/>
          <w:sz w:val="30"/>
          <w:szCs w:val="30"/>
          <w:lang w:eastAsia="zh-CN"/>
        </w:rPr>
        <w:t>前期完成排查工作，后期完成建设项目。</w:t>
      </w:r>
    </w:p>
    <w:p w14:paraId="6B97A17A">
      <w:pPr>
        <w:spacing w:line="574" w:lineRule="exact"/>
        <w:ind w:firstLine="584" w:firstLineChars="200"/>
        <w:jc w:val="both"/>
        <w:rPr>
          <w:rFonts w:hint="eastAsia"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③户表改造：夏港街道、利港街道、璜土镇，主要针对边远地区尚未一户一表的农村住宅，由镇街自行实施。</w:t>
      </w:r>
    </w:p>
    <w:p w14:paraId="0A908319">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3、实施情况</w:t>
      </w:r>
    </w:p>
    <w:p w14:paraId="4F1EB8D3">
      <w:pPr>
        <w:spacing w:line="574" w:lineRule="exact"/>
        <w:ind w:firstLine="584" w:firstLineChars="200"/>
        <w:jc w:val="both"/>
        <w:rPr>
          <w:rFonts w:hint="eastAsia"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2024 年已完成“四位一体”排查、检测外业部分工作。</w:t>
      </w:r>
    </w:p>
    <w:p w14:paraId="1D40819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4、资金投入</w:t>
      </w:r>
    </w:p>
    <w:p w14:paraId="4EB7B985">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江阴临港开发区供排水提质增效一体化工程批复计划总投资</w:t>
      </w:r>
      <w:r>
        <w:rPr>
          <w:rFonts w:hint="eastAsia" w:ascii="Times New Roman" w:hAnsi="Times New Roman" w:eastAsia="方正仿宋_GBK" w:cs="Times New Roman"/>
          <w:spacing w:val="-4"/>
          <w:sz w:val="30"/>
          <w:szCs w:val="30"/>
          <w:lang w:eastAsia="zh-CN"/>
        </w:rPr>
        <w:t>60,</w:t>
      </w:r>
      <w:r>
        <w:rPr>
          <w:rFonts w:ascii="Times New Roman" w:hAnsi="Times New Roman" w:eastAsia="方正仿宋_GBK" w:cs="Times New Roman"/>
          <w:spacing w:val="-4"/>
          <w:sz w:val="30"/>
          <w:szCs w:val="30"/>
          <w:lang w:eastAsia="zh-CN"/>
        </w:rPr>
        <w:t>000万元，其中：专项债资金1</w:t>
      </w:r>
      <w:r>
        <w:rPr>
          <w:rFonts w:hint="eastAsia" w:ascii="Times New Roman" w:hAnsi="Times New Roman" w:eastAsia="方正仿宋_GBK" w:cs="Times New Roman"/>
          <w:spacing w:val="-4"/>
          <w:sz w:val="30"/>
          <w:szCs w:val="30"/>
          <w:lang w:eastAsia="zh-CN"/>
        </w:rPr>
        <w:t>2,0</w:t>
      </w:r>
      <w:r>
        <w:rPr>
          <w:rFonts w:ascii="Times New Roman" w:hAnsi="Times New Roman" w:eastAsia="方正仿宋_GBK" w:cs="Times New Roman"/>
          <w:spacing w:val="-4"/>
          <w:sz w:val="30"/>
          <w:szCs w:val="30"/>
          <w:lang w:eastAsia="zh-CN"/>
        </w:rPr>
        <w:t>00万元</w:t>
      </w:r>
      <w:r>
        <w:rPr>
          <w:rFonts w:hint="eastAsia" w:ascii="Times New Roman" w:hAnsi="Times New Roman" w:eastAsia="方正仿宋_GBK" w:cs="Times New Roman"/>
          <w:spacing w:val="-4"/>
          <w:sz w:val="30"/>
          <w:szCs w:val="30"/>
          <w:lang w:eastAsia="zh-CN"/>
        </w:rPr>
        <w:t>（2024年专项债资金2,000万元）</w:t>
      </w:r>
      <w:r>
        <w:rPr>
          <w:rFonts w:ascii="Times New Roman" w:hAnsi="Times New Roman" w:eastAsia="方正仿宋_GBK" w:cs="Times New Roman"/>
          <w:spacing w:val="-4"/>
          <w:sz w:val="30"/>
          <w:szCs w:val="30"/>
          <w:lang w:eastAsia="zh-CN"/>
        </w:rPr>
        <w:t>，政府预算资金安排</w:t>
      </w:r>
      <w:r>
        <w:rPr>
          <w:rFonts w:hint="eastAsia" w:ascii="Times New Roman" w:hAnsi="Times New Roman" w:eastAsia="方正仿宋_GBK" w:cs="Times New Roman"/>
          <w:spacing w:val="-4"/>
          <w:sz w:val="30"/>
          <w:szCs w:val="30"/>
          <w:lang w:eastAsia="zh-CN"/>
        </w:rPr>
        <w:t>48,0</w:t>
      </w:r>
      <w:r>
        <w:rPr>
          <w:rFonts w:ascii="Times New Roman" w:hAnsi="Times New Roman" w:eastAsia="方正仿宋_GBK" w:cs="Times New Roman"/>
          <w:spacing w:val="-4"/>
          <w:sz w:val="30"/>
          <w:szCs w:val="30"/>
          <w:lang w:eastAsia="zh-CN"/>
        </w:rPr>
        <w:t>00万元。</w:t>
      </w:r>
    </w:p>
    <w:p w14:paraId="79550A57">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5、资金使用情况</w:t>
      </w:r>
    </w:p>
    <w:p w14:paraId="4E7AA271">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江阴临港开发区供排水提质增效一体化工程投资金额为</w:t>
      </w:r>
      <w:r>
        <w:rPr>
          <w:rFonts w:hint="eastAsia" w:ascii="Times New Roman" w:hAnsi="Times New Roman" w:eastAsia="方正仿宋_GBK" w:cs="Times New Roman"/>
          <w:spacing w:val="-4"/>
          <w:sz w:val="30"/>
          <w:szCs w:val="30"/>
          <w:lang w:eastAsia="zh-CN"/>
        </w:rPr>
        <w:t>60</w:t>
      </w:r>
      <w:r>
        <w:rPr>
          <w:rFonts w:ascii="Times New Roman" w:hAnsi="Times New Roman" w:eastAsia="方正仿宋_GBK" w:cs="Times New Roman"/>
          <w:spacing w:val="-4"/>
          <w:sz w:val="30"/>
          <w:szCs w:val="30"/>
          <w:lang w:eastAsia="zh-CN"/>
        </w:rPr>
        <w:t>,0</w:t>
      </w:r>
      <w:r>
        <w:rPr>
          <w:rFonts w:hint="eastAsia" w:ascii="Times New Roman" w:hAnsi="Times New Roman" w:eastAsia="方正仿宋_GBK" w:cs="Times New Roman"/>
          <w:spacing w:val="-4"/>
          <w:sz w:val="30"/>
          <w:szCs w:val="30"/>
          <w:lang w:eastAsia="zh-CN"/>
        </w:rPr>
        <w:t>00</w:t>
      </w:r>
      <w:r>
        <w:rPr>
          <w:rFonts w:ascii="Times New Roman" w:hAnsi="Times New Roman" w:eastAsia="方正仿宋_GBK" w:cs="Times New Roman"/>
          <w:spacing w:val="-4"/>
          <w:sz w:val="30"/>
          <w:szCs w:val="30"/>
          <w:lang w:eastAsia="zh-CN"/>
        </w:rPr>
        <w:t>万元，累计支出</w:t>
      </w:r>
      <w:r>
        <w:rPr>
          <w:rFonts w:hint="eastAsia" w:ascii="Times New Roman" w:hAnsi="Times New Roman" w:eastAsia="方正仿宋_GBK" w:cs="Times New Roman"/>
          <w:spacing w:val="-4"/>
          <w:sz w:val="30"/>
          <w:szCs w:val="30"/>
          <w:lang w:eastAsia="zh-CN"/>
        </w:rPr>
        <w:t>2</w:t>
      </w:r>
      <w:r>
        <w:rPr>
          <w:rFonts w:ascii="Times New Roman" w:hAnsi="Times New Roman" w:eastAsia="方正仿宋_GBK" w:cs="Times New Roman"/>
          <w:spacing w:val="-4"/>
          <w:sz w:val="30"/>
          <w:szCs w:val="30"/>
          <w:lang w:eastAsia="zh-CN"/>
        </w:rPr>
        <w:t>,000万元，其中专项债资金已支出</w:t>
      </w:r>
      <w:r>
        <w:rPr>
          <w:rFonts w:hint="eastAsia" w:ascii="Times New Roman" w:hAnsi="Times New Roman" w:eastAsia="方正仿宋_GBK" w:cs="Times New Roman"/>
          <w:spacing w:val="-4"/>
          <w:sz w:val="30"/>
          <w:szCs w:val="30"/>
          <w:lang w:eastAsia="zh-CN"/>
        </w:rPr>
        <w:t>2</w:t>
      </w:r>
      <w:r>
        <w:rPr>
          <w:rFonts w:ascii="Times New Roman" w:hAnsi="Times New Roman" w:eastAsia="方正仿宋_GBK" w:cs="Times New Roman"/>
          <w:spacing w:val="-4"/>
          <w:sz w:val="30"/>
          <w:szCs w:val="30"/>
          <w:lang w:eastAsia="zh-CN"/>
        </w:rPr>
        <w:t>,000万元，专项债资金使用率100%。具体资金使用明细见下表:</w:t>
      </w:r>
    </w:p>
    <w:p w14:paraId="51B6A630">
      <w:pPr>
        <w:spacing w:line="574" w:lineRule="exact"/>
        <w:ind w:firstLine="584" w:firstLineChars="200"/>
        <w:jc w:val="center"/>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江阴临港开发区供排水提质增效一体化工程资金明细表</w:t>
      </w:r>
    </w:p>
    <w:p w14:paraId="671250CF">
      <w:pPr>
        <w:spacing w:line="574" w:lineRule="exact"/>
        <w:ind w:firstLine="584" w:firstLineChars="200"/>
        <w:jc w:val="right"/>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单位：万元</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1842"/>
        <w:gridCol w:w="1702"/>
        <w:gridCol w:w="1701"/>
      </w:tblGrid>
      <w:tr w14:paraId="46E1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bottom w:val="single" w:color="auto" w:sz="4" w:space="0"/>
            </w:tcBorders>
            <w:vAlign w:val="center"/>
          </w:tcPr>
          <w:p w14:paraId="44B2F91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序号</w:t>
            </w:r>
          </w:p>
        </w:tc>
        <w:tc>
          <w:tcPr>
            <w:tcW w:w="2977" w:type="dxa"/>
            <w:tcBorders>
              <w:bottom w:val="single" w:color="auto" w:sz="4" w:space="0"/>
            </w:tcBorders>
            <w:vAlign w:val="center"/>
          </w:tcPr>
          <w:p w14:paraId="210A52FA">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项目名称</w:t>
            </w:r>
          </w:p>
        </w:tc>
        <w:tc>
          <w:tcPr>
            <w:tcW w:w="1842" w:type="dxa"/>
            <w:tcBorders>
              <w:bottom w:val="single" w:color="auto" w:sz="4" w:space="0"/>
            </w:tcBorders>
            <w:vAlign w:val="center"/>
          </w:tcPr>
          <w:p w14:paraId="241E0B1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概算金额</w:t>
            </w:r>
          </w:p>
        </w:tc>
        <w:tc>
          <w:tcPr>
            <w:tcW w:w="1702" w:type="dxa"/>
            <w:tcBorders>
              <w:bottom w:val="single" w:color="auto" w:sz="4" w:space="0"/>
            </w:tcBorders>
            <w:vAlign w:val="center"/>
          </w:tcPr>
          <w:p w14:paraId="2F9BB1F8">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投资金额</w:t>
            </w:r>
          </w:p>
        </w:tc>
        <w:tc>
          <w:tcPr>
            <w:tcW w:w="1701" w:type="dxa"/>
            <w:tcBorders>
              <w:bottom w:val="single" w:color="auto" w:sz="4" w:space="0"/>
            </w:tcBorders>
            <w:vAlign w:val="center"/>
          </w:tcPr>
          <w:p w14:paraId="03073750">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累计支付</w:t>
            </w:r>
          </w:p>
        </w:tc>
      </w:tr>
      <w:tr w14:paraId="45F4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89314EC">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1</w:t>
            </w:r>
          </w:p>
        </w:tc>
        <w:tc>
          <w:tcPr>
            <w:tcW w:w="2977" w:type="dxa"/>
            <w:tcBorders>
              <w:top w:val="single" w:color="auto" w:sz="4" w:space="0"/>
              <w:left w:val="single" w:color="auto" w:sz="4" w:space="0"/>
              <w:bottom w:val="single" w:color="auto" w:sz="4" w:space="0"/>
              <w:right w:val="single" w:color="auto" w:sz="4" w:space="0"/>
            </w:tcBorders>
            <w:vAlign w:val="center"/>
          </w:tcPr>
          <w:p w14:paraId="1D9679ED">
            <w:pPr>
              <w:spacing w:line="574" w:lineRule="exact"/>
              <w:jc w:val="center"/>
              <w:rPr>
                <w:rFonts w:ascii="Times New Roman" w:hAnsi="Times New Roman" w:eastAsia="方正仿宋_GBK" w:cs="Times New Roman"/>
                <w:spacing w:val="-4"/>
                <w:sz w:val="28"/>
                <w:szCs w:val="28"/>
                <w:lang w:eastAsia="zh-CN"/>
              </w:rPr>
            </w:pPr>
            <w:r>
              <w:rPr>
                <w:rFonts w:hint="eastAsia" w:ascii="Times New Roman" w:hAnsi="Times New Roman" w:eastAsia="方正仿宋_GBK" w:cs="Times New Roman"/>
                <w:spacing w:val="-4"/>
                <w:sz w:val="28"/>
                <w:szCs w:val="28"/>
                <w:lang w:eastAsia="zh-CN"/>
              </w:rPr>
              <w:t>江阴临港开发区供排水提质增效一体化工程</w:t>
            </w:r>
          </w:p>
        </w:tc>
        <w:tc>
          <w:tcPr>
            <w:tcW w:w="1842" w:type="dxa"/>
            <w:tcBorders>
              <w:top w:val="single" w:color="auto" w:sz="4" w:space="0"/>
              <w:left w:val="single" w:color="auto" w:sz="4" w:space="0"/>
              <w:bottom w:val="single" w:color="auto" w:sz="4" w:space="0"/>
              <w:right w:val="single" w:color="auto" w:sz="4" w:space="0"/>
            </w:tcBorders>
            <w:vAlign w:val="center"/>
          </w:tcPr>
          <w:p w14:paraId="30D04AEC">
            <w:pPr>
              <w:spacing w:line="574" w:lineRule="exact"/>
              <w:jc w:val="center"/>
              <w:rPr>
                <w:rFonts w:hint="eastAsia"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60,000.00</w:t>
            </w:r>
          </w:p>
        </w:tc>
        <w:tc>
          <w:tcPr>
            <w:tcW w:w="1702" w:type="dxa"/>
            <w:tcBorders>
              <w:top w:val="single" w:color="auto" w:sz="4" w:space="0"/>
              <w:left w:val="single" w:color="auto" w:sz="4" w:space="0"/>
              <w:bottom w:val="single" w:color="auto" w:sz="4" w:space="0"/>
              <w:right w:val="single" w:color="auto" w:sz="4" w:space="0"/>
            </w:tcBorders>
            <w:vAlign w:val="center"/>
          </w:tcPr>
          <w:p w14:paraId="41D700B3">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60,000.00</w:t>
            </w:r>
          </w:p>
        </w:tc>
        <w:tc>
          <w:tcPr>
            <w:tcW w:w="1701" w:type="dxa"/>
            <w:tcBorders>
              <w:top w:val="single" w:color="auto" w:sz="4" w:space="0"/>
              <w:left w:val="single" w:color="auto" w:sz="4" w:space="0"/>
              <w:bottom w:val="single" w:color="auto" w:sz="4" w:space="0"/>
              <w:right w:val="single" w:color="auto" w:sz="4" w:space="0"/>
            </w:tcBorders>
            <w:vAlign w:val="center"/>
          </w:tcPr>
          <w:p w14:paraId="70429902">
            <w:pPr>
              <w:spacing w:line="574" w:lineRule="exact"/>
              <w:jc w:val="center"/>
              <w:rPr>
                <w:rFonts w:hint="eastAsia"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2,000.00</w:t>
            </w:r>
          </w:p>
        </w:tc>
      </w:tr>
      <w:tr w14:paraId="7B25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Borders>
              <w:top w:val="single" w:color="auto" w:sz="4" w:space="0"/>
              <w:left w:val="single" w:color="auto" w:sz="4" w:space="0"/>
              <w:bottom w:val="single" w:color="auto" w:sz="4" w:space="0"/>
              <w:right w:val="single" w:color="auto" w:sz="4" w:space="0"/>
            </w:tcBorders>
            <w:vAlign w:val="center"/>
          </w:tcPr>
          <w:p w14:paraId="07EDABC6">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合计</w:t>
            </w:r>
          </w:p>
        </w:tc>
        <w:tc>
          <w:tcPr>
            <w:tcW w:w="1842" w:type="dxa"/>
            <w:tcBorders>
              <w:top w:val="single" w:color="auto" w:sz="4" w:space="0"/>
              <w:left w:val="single" w:color="auto" w:sz="4" w:space="0"/>
              <w:bottom w:val="single" w:color="auto" w:sz="4" w:space="0"/>
              <w:right w:val="single" w:color="auto" w:sz="4" w:space="0"/>
            </w:tcBorders>
            <w:vAlign w:val="center"/>
          </w:tcPr>
          <w:p w14:paraId="43E39003">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60,000.00</w:t>
            </w:r>
          </w:p>
        </w:tc>
        <w:tc>
          <w:tcPr>
            <w:tcW w:w="1702" w:type="dxa"/>
            <w:tcBorders>
              <w:top w:val="single" w:color="auto" w:sz="4" w:space="0"/>
              <w:left w:val="single" w:color="auto" w:sz="4" w:space="0"/>
              <w:bottom w:val="single" w:color="auto" w:sz="4" w:space="0"/>
              <w:right w:val="single" w:color="auto" w:sz="4" w:space="0"/>
            </w:tcBorders>
            <w:vAlign w:val="center"/>
          </w:tcPr>
          <w:p w14:paraId="0C18AF11">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60,000.00</w:t>
            </w:r>
          </w:p>
        </w:tc>
        <w:tc>
          <w:tcPr>
            <w:tcW w:w="1701" w:type="dxa"/>
            <w:tcBorders>
              <w:top w:val="single" w:color="auto" w:sz="4" w:space="0"/>
              <w:left w:val="single" w:color="auto" w:sz="4" w:space="0"/>
              <w:bottom w:val="single" w:color="auto" w:sz="4" w:space="0"/>
              <w:right w:val="single" w:color="auto" w:sz="4" w:space="0"/>
            </w:tcBorders>
            <w:vAlign w:val="center"/>
          </w:tcPr>
          <w:p w14:paraId="2A00C8D6">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2,000.00</w:t>
            </w:r>
          </w:p>
        </w:tc>
      </w:tr>
    </w:tbl>
    <w:p w14:paraId="105BC674">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（二）绩效目标</w:t>
      </w:r>
    </w:p>
    <w:p w14:paraId="2BD9048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1、总目标</w:t>
      </w:r>
    </w:p>
    <w:p w14:paraId="59444F83">
      <w:pPr>
        <w:spacing w:line="574" w:lineRule="exact"/>
        <w:ind w:firstLine="584" w:firstLineChars="200"/>
        <w:jc w:val="both"/>
        <w:rPr>
          <w:rFonts w:ascii="Times New Roman" w:hAnsi="Times New Roman" w:eastAsia="方正仿宋_GBK" w:cs="Times New Roman"/>
          <w:spacing w:val="-4"/>
          <w:sz w:val="30"/>
          <w:szCs w:val="30"/>
          <w:highlight w:val="yellow"/>
          <w:lang w:eastAsia="zh-CN"/>
        </w:rPr>
      </w:pPr>
      <w:r>
        <w:rPr>
          <w:rFonts w:hint="eastAsia" w:ascii="Times New Roman" w:hAnsi="Times New Roman" w:eastAsia="方正仿宋_GBK" w:cs="Times New Roman"/>
          <w:spacing w:val="-4"/>
          <w:sz w:val="30"/>
          <w:szCs w:val="30"/>
          <w:lang w:eastAsia="zh-CN"/>
        </w:rPr>
        <w:t>通过对区域内供排水设施的提质增效，减少污水直排，有效控制污染物排放，降低入河污染物总量，从而改善长江支流的水环境质量，确保河流水质达到相应的水环境功能区标准。</w:t>
      </w:r>
      <w:r>
        <w:rPr>
          <w:rFonts w:ascii="Times New Roman" w:hAnsi="Times New Roman" w:eastAsia="方正仿宋_GBK" w:cs="Times New Roman"/>
          <w:spacing w:val="-4"/>
          <w:sz w:val="30"/>
          <w:szCs w:val="30"/>
          <w:lang w:eastAsia="zh-CN"/>
        </w:rPr>
        <w:t>新建工业污水处理厂及配套管网，提升污水处理能力和处理效果，使工业污水和生活污水得到有效处理，出水水质达到国家和地方规定的排放标准，减少对周边水体的污染。对约 560 公里市政排水管网进行 “四位一体” 修复，包括检测、排查、设计、修复及恢复等工作，消除管网功能性和结构性缺陷，提高管网运行效率。同时，实施给排水主管网新建及改造工程，优化供排水管网布局，提高管网的覆盖率和连通性，确保供排水系统的稳定运行</w:t>
      </w:r>
      <w:r>
        <w:rPr>
          <w:rFonts w:hint="eastAsia" w:ascii="Times New Roman" w:hAnsi="Times New Roman" w:eastAsia="方正仿宋_GBK" w:cs="Times New Roman"/>
          <w:spacing w:val="-4"/>
          <w:sz w:val="30"/>
          <w:szCs w:val="30"/>
          <w:lang w:eastAsia="zh-CN"/>
        </w:rPr>
        <w:t>。</w:t>
      </w:r>
    </w:p>
    <w:p w14:paraId="6F13009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2、年度绩效目标</w:t>
      </w:r>
    </w:p>
    <w:p w14:paraId="65821AC5">
      <w:pPr>
        <w:spacing w:line="574" w:lineRule="exact"/>
        <w:ind w:firstLine="584" w:firstLineChars="200"/>
        <w:jc w:val="both"/>
        <w:rPr>
          <w:rFonts w:hint="eastAsia"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（1）完成江阴临港经济开发区供排水提质增效一体化建设任务;</w:t>
      </w:r>
    </w:p>
    <w:p w14:paraId="67A3AA7A">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（2）完善江阴临港经济开发区辖区排水管网系统，提高排水运行效率，满足城市可持续发展，美化辖区环境，改善投资环境，增加就业机会。</w:t>
      </w:r>
    </w:p>
    <w:p w14:paraId="4C1B7928">
      <w:pPr>
        <w:spacing w:line="574" w:lineRule="exact"/>
        <w:ind w:firstLine="602"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b/>
          <w:bCs/>
          <w:sz w:val="30"/>
          <w:szCs w:val="30"/>
          <w:lang w:eastAsia="zh-CN"/>
        </w:rPr>
        <w:t>二、评价情况</w:t>
      </w:r>
    </w:p>
    <w:p w14:paraId="5503C487">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（一）评价思路方法</w:t>
      </w:r>
    </w:p>
    <w:p w14:paraId="0C975673">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江阴临港开发区供排水提质增效一体化工程主要用于</w:t>
      </w:r>
      <w:r>
        <w:rPr>
          <w:rFonts w:hint="eastAsia" w:ascii="Times New Roman" w:hAnsi="Times New Roman" w:eastAsia="方正仿宋_GBK" w:cs="Times New Roman"/>
          <w:spacing w:val="-4"/>
          <w:sz w:val="30"/>
          <w:szCs w:val="30"/>
          <w:lang w:eastAsia="zh-CN"/>
        </w:rPr>
        <w:t>夏港街道、申港街道、利港街道、璜土镇市政排水管网 “四位一体” 和智慧管网建设</w:t>
      </w:r>
      <w:r>
        <w:rPr>
          <w:rFonts w:ascii="Times New Roman" w:hAnsi="Times New Roman" w:eastAsia="方正仿宋_GBK" w:cs="Times New Roman"/>
          <w:spacing w:val="-4"/>
          <w:sz w:val="30"/>
          <w:szCs w:val="30"/>
          <w:lang w:eastAsia="zh-CN"/>
        </w:rPr>
        <w:t>。因此，本次绩效评价内容主要是江阴临港开发区供排水提质增效一体化工程</w:t>
      </w:r>
      <w:r>
        <w:rPr>
          <w:rFonts w:hint="eastAsia" w:ascii="Times New Roman" w:hAnsi="Times New Roman" w:eastAsia="方正仿宋_GBK" w:cs="Times New Roman"/>
          <w:spacing w:val="-4"/>
          <w:sz w:val="30"/>
          <w:szCs w:val="30"/>
          <w:lang w:eastAsia="zh-CN"/>
        </w:rPr>
        <w:t>实施</w:t>
      </w:r>
      <w:r>
        <w:rPr>
          <w:rFonts w:ascii="Times New Roman" w:hAnsi="Times New Roman" w:eastAsia="方正仿宋_GBK" w:cs="Times New Roman"/>
          <w:spacing w:val="-4"/>
          <w:sz w:val="30"/>
          <w:szCs w:val="30"/>
          <w:lang w:eastAsia="zh-CN"/>
        </w:rPr>
        <w:t>情况，资金使用情况和效果等。重点关注资金的支出是否合法合规，项目是否达到了预期的效果。</w:t>
      </w:r>
    </w:p>
    <w:p w14:paraId="24DC205E">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（二）评价原则</w:t>
      </w:r>
    </w:p>
    <w:p w14:paraId="2BD27E8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科学规范原则。绩效评价注重专项债券资金管理的规范性，支出的经济性、效率性和有效性，融资自求平衡情况和风险控制情况，严格执行规定的程序，合理确定绩效目标和评价内容，运用简便、实用、定量与定性分析相结合的方法，规范进行评价。</w:t>
      </w:r>
    </w:p>
    <w:p w14:paraId="454CECB7">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2、公正公开原则。坚持客观、公平、公正，做到依据合法、标准统一、资料可靠、实事求是、公开透明，并接受监督。</w:t>
      </w:r>
    </w:p>
    <w:p w14:paraId="332202F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3、绩效相关原则。绩效评价针对具体支出及其产出绩效进行，评价结果清晰反映支出和产出绩效之间的紧密对应关系。</w:t>
      </w:r>
    </w:p>
    <w:p w14:paraId="3AD9B44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4、成本效益原则。绩效评价指标应当通俗易懂、简便易行，数据的获得应当考虑现实条件和可操作性。</w:t>
      </w:r>
    </w:p>
    <w:p w14:paraId="4CE6A246">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（三）评价方法</w:t>
      </w:r>
    </w:p>
    <w:p w14:paraId="1EE0AD1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1、资料审阅</w:t>
      </w:r>
    </w:p>
    <w:p w14:paraId="2C5CA3B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从项目相关方获取立项政策文件、资金拨付、项目管理和资金管理办法、项目建设资料等，进行认真审阅，准确把握项目资金的安排和使用情况、项目实施的内容、服务对象，通过查阅资料初步了解项目实施情况和整体绩效目标的实现情况，为绩效评价工作收集充分、有效的证据。</w:t>
      </w:r>
    </w:p>
    <w:p w14:paraId="7901A04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2、比较分析法</w:t>
      </w:r>
    </w:p>
    <w:p w14:paraId="4E6FE811">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通过对比项目预定目标和实际产出、效益，分析项目产出数量、质量的完成情况，分析项目成本控制情况和效益实现程度，分析项目实施产生的经济效益、社会效益、可持续性影响、满意度等效益指标，并对相关佐证资料进行逐一分析、对比，分析项目实施前后的效益，分析项目预期目标的实现情况。</w:t>
      </w:r>
    </w:p>
    <w:p w14:paraId="3626A74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3、资金查验法</w:t>
      </w:r>
    </w:p>
    <w:p w14:paraId="03EBECC5">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通过对项目实施单位账簿和原始凭据的核查，对资金的到位、拨付及使用情况进行梳理和检查，对资金未到位或未使用的原因进行追溯分析，判断资金使用的合规性、合理性。</w:t>
      </w:r>
    </w:p>
    <w:p w14:paraId="5C39C9EA">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（四）绩效评价结论</w:t>
      </w:r>
    </w:p>
    <w:p w14:paraId="30040BC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江阴临港开发区供排水提质增效一体化工程按照上级要求实行专款专用，资金全部符合该项目支出要求。</w:t>
      </w:r>
    </w:p>
    <w:p w14:paraId="2645594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根据《江阴临港开发区供排水提质增效一体化工程绩效综合评价表》的评分标准进行逐项评分，总分100分，最后得</w:t>
      </w:r>
      <w:bookmarkStart w:id="5" w:name="_GoBack"/>
      <w:bookmarkEnd w:id="5"/>
      <w:r>
        <w:rPr>
          <w:rFonts w:ascii="Times New Roman" w:hAnsi="Times New Roman" w:eastAsia="方正仿宋_GBK" w:cs="Times New Roman"/>
          <w:spacing w:val="-4"/>
          <w:sz w:val="30"/>
          <w:szCs w:val="30"/>
          <w:lang w:eastAsia="zh-CN"/>
        </w:rPr>
        <w:t>分9</w:t>
      </w:r>
      <w:r>
        <w:rPr>
          <w:rFonts w:hint="eastAsia" w:ascii="Times New Roman" w:hAnsi="Times New Roman" w:eastAsia="方正仿宋_GBK" w:cs="Times New Roman"/>
          <w:spacing w:val="-4"/>
          <w:sz w:val="30"/>
          <w:szCs w:val="30"/>
          <w:lang w:val="en-US" w:eastAsia="zh-CN"/>
        </w:rPr>
        <w:t>8</w:t>
      </w:r>
      <w:r>
        <w:rPr>
          <w:rFonts w:ascii="Times New Roman" w:hAnsi="Times New Roman" w:eastAsia="方正仿宋_GBK" w:cs="Times New Roman"/>
          <w:spacing w:val="-4"/>
          <w:sz w:val="30"/>
          <w:szCs w:val="30"/>
          <w:lang w:eastAsia="zh-CN"/>
        </w:rPr>
        <w:t>分，评价等级为“优秀”。</w:t>
      </w:r>
    </w:p>
    <w:p w14:paraId="37C88E49">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三、项目绩效</w:t>
      </w:r>
    </w:p>
    <w:p w14:paraId="47A6E715">
      <w:pPr>
        <w:spacing w:line="574" w:lineRule="exact"/>
        <w:ind w:firstLine="540" w:firstLineChars="200"/>
        <w:jc w:val="both"/>
        <w:rPr>
          <w:rFonts w:ascii="Times New Roman" w:hAnsi="Times New Roman" w:eastAsia="方正仿宋_GBK" w:cs="Times New Roman"/>
          <w:spacing w:val="-15"/>
          <w:sz w:val="30"/>
          <w:szCs w:val="30"/>
          <w:lang w:eastAsia="zh-CN"/>
        </w:rPr>
      </w:pPr>
      <w:r>
        <w:rPr>
          <w:rFonts w:hint="eastAsia" w:ascii="Times New Roman" w:hAnsi="Times New Roman" w:eastAsia="方正仿宋_GBK" w:cs="Times New Roman"/>
          <w:spacing w:val="-15"/>
          <w:sz w:val="30"/>
          <w:szCs w:val="30"/>
          <w:lang w:eastAsia="zh-CN"/>
        </w:rPr>
        <w:t>江阴临港开发区市政排水管网 “四位一体” 和智慧管网建设项目在环境、经济、社会及管理等多方面产生显著效益。</w:t>
      </w:r>
    </w:p>
    <w:p w14:paraId="75F6CDF7">
      <w:pPr>
        <w:spacing w:line="574" w:lineRule="exact"/>
        <w:ind w:firstLine="542" w:firstLineChars="200"/>
        <w:jc w:val="both"/>
        <w:rPr>
          <w:rFonts w:hint="eastAsia" w:ascii="Times New Roman" w:hAnsi="Times New Roman" w:eastAsia="方正仿宋_GBK" w:cs="Times New Roman"/>
          <w:b/>
          <w:bCs/>
          <w:spacing w:val="-15"/>
          <w:sz w:val="30"/>
          <w:szCs w:val="30"/>
          <w:lang w:eastAsia="zh-CN"/>
        </w:rPr>
      </w:pPr>
      <w:r>
        <w:rPr>
          <w:rFonts w:hint="eastAsia" w:ascii="Times New Roman" w:hAnsi="Times New Roman" w:eastAsia="方正仿宋_GBK" w:cs="Times New Roman"/>
          <w:b/>
          <w:bCs/>
          <w:spacing w:val="-15"/>
          <w:sz w:val="30"/>
          <w:szCs w:val="30"/>
          <w:lang w:eastAsia="zh-CN"/>
        </w:rPr>
        <w:t>（一）环境效益</w:t>
      </w:r>
    </w:p>
    <w:p w14:paraId="309D069C">
      <w:pPr>
        <w:spacing w:line="574" w:lineRule="exact"/>
        <w:ind w:firstLine="540" w:firstLineChars="200"/>
        <w:jc w:val="both"/>
        <w:rPr>
          <w:rFonts w:hint="eastAsia" w:ascii="Times New Roman" w:hAnsi="Times New Roman" w:eastAsia="方正仿宋_GBK" w:cs="Times New Roman"/>
          <w:spacing w:val="-15"/>
          <w:sz w:val="30"/>
          <w:szCs w:val="30"/>
          <w:lang w:eastAsia="zh-CN"/>
        </w:rPr>
      </w:pPr>
      <w:r>
        <w:rPr>
          <w:rFonts w:hint="eastAsia" w:ascii="Times New Roman" w:hAnsi="Times New Roman" w:eastAsia="方正仿宋_GBK" w:cs="Times New Roman"/>
          <w:spacing w:val="-15"/>
          <w:sz w:val="30"/>
          <w:szCs w:val="30"/>
          <w:lang w:eastAsia="zh-CN"/>
        </w:rPr>
        <w:t>通过检测、排查可发现雨污水错接混接等问题并加以整改，减少污水直排入河，降低入河污染物总量，有助于提升长江支流水质，保护水生态环境。对排水管网进行清淤疏通，能及时解决堵塞问题，提高排水能力，确保排水畅通。</w:t>
      </w:r>
    </w:p>
    <w:p w14:paraId="131352DC">
      <w:pPr>
        <w:spacing w:line="574" w:lineRule="exact"/>
        <w:ind w:firstLine="542" w:firstLineChars="200"/>
        <w:jc w:val="both"/>
        <w:rPr>
          <w:rFonts w:hint="eastAsia" w:ascii="Times New Roman" w:hAnsi="Times New Roman" w:eastAsia="方正仿宋_GBK" w:cs="Times New Roman"/>
          <w:b/>
          <w:bCs/>
          <w:spacing w:val="-15"/>
          <w:sz w:val="30"/>
          <w:szCs w:val="30"/>
          <w:lang w:eastAsia="zh-CN"/>
        </w:rPr>
      </w:pPr>
      <w:r>
        <w:rPr>
          <w:rFonts w:hint="eastAsia" w:ascii="Times New Roman" w:hAnsi="Times New Roman" w:eastAsia="方正仿宋_GBK" w:cs="Times New Roman"/>
          <w:b/>
          <w:bCs/>
          <w:spacing w:val="-15"/>
          <w:sz w:val="30"/>
          <w:szCs w:val="30"/>
          <w:lang w:eastAsia="zh-CN"/>
        </w:rPr>
        <w:t>（二）经济效益</w:t>
      </w:r>
    </w:p>
    <w:p w14:paraId="2F79C854">
      <w:pPr>
        <w:spacing w:line="574" w:lineRule="exact"/>
        <w:ind w:firstLine="540" w:firstLineChars="200"/>
        <w:jc w:val="both"/>
        <w:rPr>
          <w:rFonts w:hint="eastAsia" w:ascii="Times New Roman" w:hAnsi="Times New Roman" w:eastAsia="方正仿宋_GBK" w:cs="Times New Roman"/>
          <w:spacing w:val="-15"/>
          <w:sz w:val="30"/>
          <w:szCs w:val="30"/>
          <w:lang w:eastAsia="zh-CN"/>
        </w:rPr>
      </w:pPr>
      <w:r>
        <w:rPr>
          <w:rFonts w:hint="eastAsia" w:ascii="Times New Roman" w:hAnsi="Times New Roman" w:eastAsia="方正仿宋_GBK" w:cs="Times New Roman"/>
          <w:spacing w:val="-15"/>
          <w:sz w:val="30"/>
          <w:szCs w:val="30"/>
          <w:lang w:eastAsia="zh-CN"/>
        </w:rPr>
        <w:t>完善的供排水系统可确保企业稳定用水和排水，减少因排水不畅等问题导致的生产中断损失，为临港开发区的工业生产提供有力保障，促进区域经济发展。智慧管网建设可实现对管网的实时监控和智能管理，精准定位故障点，提高维修效率，减少管网维护成本和水资源浪费，长期来看能为政府和企业节省大量资金。</w:t>
      </w:r>
    </w:p>
    <w:p w14:paraId="20863502">
      <w:pPr>
        <w:spacing w:line="574" w:lineRule="exact"/>
        <w:ind w:firstLine="542" w:firstLineChars="200"/>
        <w:jc w:val="both"/>
        <w:rPr>
          <w:rFonts w:hint="eastAsia" w:ascii="Times New Roman" w:hAnsi="Times New Roman" w:eastAsia="方正仿宋_GBK" w:cs="Times New Roman"/>
          <w:b/>
          <w:bCs/>
          <w:spacing w:val="-15"/>
          <w:sz w:val="30"/>
          <w:szCs w:val="30"/>
          <w:lang w:eastAsia="zh-CN"/>
        </w:rPr>
      </w:pPr>
      <w:r>
        <w:rPr>
          <w:rFonts w:hint="eastAsia" w:ascii="Times New Roman" w:hAnsi="Times New Roman" w:eastAsia="方正仿宋_GBK" w:cs="Times New Roman"/>
          <w:b/>
          <w:bCs/>
          <w:spacing w:val="-15"/>
          <w:sz w:val="30"/>
          <w:szCs w:val="30"/>
          <w:lang w:eastAsia="zh-CN"/>
        </w:rPr>
        <w:t>（三）社会效益</w:t>
      </w:r>
    </w:p>
    <w:p w14:paraId="0B4A8025">
      <w:pPr>
        <w:spacing w:line="574" w:lineRule="exact"/>
        <w:ind w:firstLine="540" w:firstLineChars="200"/>
        <w:jc w:val="both"/>
        <w:rPr>
          <w:rFonts w:hint="eastAsia" w:ascii="Times New Roman" w:hAnsi="Times New Roman" w:eastAsia="方正仿宋_GBK" w:cs="Times New Roman"/>
          <w:spacing w:val="-15"/>
          <w:sz w:val="30"/>
          <w:szCs w:val="30"/>
          <w:lang w:eastAsia="zh-CN"/>
        </w:rPr>
      </w:pPr>
      <w:r>
        <w:rPr>
          <w:rFonts w:hint="eastAsia" w:ascii="Times New Roman" w:hAnsi="Times New Roman" w:eastAsia="方正仿宋_GBK" w:cs="Times New Roman"/>
          <w:spacing w:val="-15"/>
          <w:sz w:val="30"/>
          <w:szCs w:val="30"/>
          <w:lang w:eastAsia="zh-CN"/>
        </w:rPr>
        <w:t>减少污水四溢、道路积水等问题，改善城市居住环境，为居民提供更加舒适、安全的生活空间，提升居民的幸福感和满意度。智慧管网系统能够实时监测管网运行状态，在发生排水事故或紧急情况时，快速定位问题并调度资源进行处理，提高城市的应急响应能力。</w:t>
      </w:r>
    </w:p>
    <w:p w14:paraId="4422CA28">
      <w:pPr>
        <w:spacing w:line="574" w:lineRule="exact"/>
        <w:ind w:firstLine="540" w:firstLineChars="200"/>
        <w:jc w:val="both"/>
        <w:rPr>
          <w:rFonts w:hint="eastAsia" w:ascii="Times New Roman" w:hAnsi="Times New Roman" w:eastAsia="方正仿宋_GBK" w:cs="Times New Roman"/>
          <w:spacing w:val="-15"/>
          <w:sz w:val="30"/>
          <w:szCs w:val="30"/>
          <w:lang w:eastAsia="zh-CN"/>
        </w:rPr>
      </w:pPr>
      <w:r>
        <w:rPr>
          <w:rFonts w:hint="eastAsia" w:ascii="Times New Roman" w:hAnsi="Times New Roman" w:eastAsia="方正仿宋_GBK" w:cs="Times New Roman"/>
          <w:spacing w:val="-15"/>
          <w:sz w:val="30"/>
          <w:szCs w:val="30"/>
          <w:lang w:eastAsia="zh-CN"/>
        </w:rPr>
        <w:t>项目的实施涉及到规划、设计、施工、运维等多个环节，能够创造大量的就业机会，包括专业技术人员、施工人员等，带动当地就业。</w:t>
      </w:r>
    </w:p>
    <w:p w14:paraId="1BAF8691">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四、存在问题</w:t>
      </w:r>
    </w:p>
    <w:p w14:paraId="37CA16D5">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（一）</w:t>
      </w:r>
      <w:r>
        <w:rPr>
          <w:rFonts w:hint="eastAsia" w:ascii="Times New Roman" w:hAnsi="Times New Roman" w:eastAsia="方正仿宋_GBK" w:cs="Times New Roman"/>
          <w:b/>
          <w:bCs/>
          <w:sz w:val="30"/>
          <w:szCs w:val="30"/>
          <w:lang w:eastAsia="zh-CN"/>
        </w:rPr>
        <w:t>长效维护机制不完善</w:t>
      </w:r>
    </w:p>
    <w:p w14:paraId="570773D5">
      <w:pPr>
        <w:spacing w:line="574" w:lineRule="exact"/>
        <w:ind w:firstLine="584" w:firstLineChars="200"/>
        <w:jc w:val="both"/>
        <w:rPr>
          <w:rFonts w:hint="eastAsia"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虽然项目对管网进行了检测与修复，但在后续长期维护中，缺乏完善的维护计划与监督机制。一些已修复的管网可能因日常维护不到位，再次出现堵塞、破损等问题。同时，对管网周边环境变化的监测与应对机制也不健全。</w:t>
      </w:r>
    </w:p>
    <w:p w14:paraId="676D4056">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五、有关建议</w:t>
      </w:r>
    </w:p>
    <w:p w14:paraId="654A1AC0">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（一）</w:t>
      </w:r>
      <w:r>
        <w:rPr>
          <w:rFonts w:hint="eastAsia" w:ascii="Times New Roman" w:hAnsi="Times New Roman" w:eastAsia="方正仿宋_GBK" w:cs="Times New Roman"/>
          <w:b/>
          <w:bCs/>
          <w:sz w:val="30"/>
          <w:szCs w:val="30"/>
          <w:lang w:eastAsia="zh-CN"/>
        </w:rPr>
        <w:t>完善长效维护机制</w:t>
      </w:r>
    </w:p>
    <w:p w14:paraId="66F12D16">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建议项目相关单位</w:t>
      </w:r>
      <w:r>
        <w:rPr>
          <w:rFonts w:hint="eastAsia" w:ascii="Times New Roman" w:hAnsi="Times New Roman" w:eastAsia="方正仿宋_GBK" w:cs="Times New Roman"/>
          <w:sz w:val="30"/>
          <w:szCs w:val="30"/>
          <w:lang w:eastAsia="zh-CN"/>
        </w:rPr>
        <w:t>据管网检测与修复结果，结合管网的使用年限、材质、运行状况等因素，制定科学合理的管网维护计划。建立建立智能监测与预警系统，通过数据分析与模型预测，建立智能预警机制。</w:t>
      </w:r>
    </w:p>
    <w:p w14:paraId="45E4DFDE">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w:t>
      </w:r>
      <w:r>
        <w:rPr>
          <w:rFonts w:hint="eastAsia" w:ascii="Times New Roman" w:hAnsi="Times New Roman" w:eastAsia="方正仿宋_GBK" w:cs="Times New Roman"/>
          <w:b/>
          <w:bCs/>
          <w:sz w:val="30"/>
          <w:szCs w:val="30"/>
          <w:lang w:eastAsia="zh-CN"/>
        </w:rPr>
        <w:t>二</w:t>
      </w:r>
      <w:r>
        <w:rPr>
          <w:rFonts w:ascii="Times New Roman" w:hAnsi="Times New Roman" w:eastAsia="方正仿宋_GBK" w:cs="Times New Roman"/>
          <w:b/>
          <w:bCs/>
          <w:sz w:val="30"/>
          <w:szCs w:val="30"/>
          <w:lang w:eastAsia="zh-CN"/>
        </w:rPr>
        <w:t>）</w:t>
      </w:r>
      <w:r>
        <w:rPr>
          <w:rFonts w:hint="eastAsia" w:ascii="Times New Roman" w:hAnsi="Times New Roman" w:eastAsia="方正仿宋_GBK" w:cs="Times New Roman"/>
          <w:b/>
          <w:bCs/>
          <w:sz w:val="30"/>
          <w:szCs w:val="30"/>
          <w:lang w:eastAsia="zh-CN"/>
        </w:rPr>
        <w:t>强化预算管控，提升资金利用效率</w:t>
      </w:r>
    </w:p>
    <w:p w14:paraId="786D20A9">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建议项目单位</w:t>
      </w:r>
      <w:r>
        <w:rPr>
          <w:rFonts w:hint="eastAsia" w:ascii="Times New Roman" w:hAnsi="Times New Roman" w:eastAsia="方正仿宋_GBK" w:cs="Times New Roman"/>
          <w:sz w:val="30"/>
          <w:szCs w:val="30"/>
          <w:lang w:eastAsia="zh-CN"/>
        </w:rPr>
        <w:t>深化预算管理，完善预算编制体系。预算执行阶段，加强监控分析。建立跟踪机制，严格审核支出，采取节流措施，提升资金使用效率。</w:t>
      </w:r>
    </w:p>
    <w:p w14:paraId="69DE39D0">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w:t>
      </w:r>
      <w:r>
        <w:rPr>
          <w:rFonts w:hint="eastAsia" w:ascii="Times New Roman" w:hAnsi="Times New Roman" w:eastAsia="方正仿宋_GBK" w:cs="Times New Roman"/>
          <w:b/>
          <w:bCs/>
          <w:sz w:val="30"/>
          <w:szCs w:val="30"/>
          <w:lang w:eastAsia="zh-CN"/>
        </w:rPr>
        <w:t>三</w:t>
      </w:r>
      <w:r>
        <w:rPr>
          <w:rFonts w:ascii="Times New Roman" w:hAnsi="Times New Roman" w:eastAsia="方正仿宋_GBK" w:cs="Times New Roman"/>
          <w:b/>
          <w:bCs/>
          <w:sz w:val="30"/>
          <w:szCs w:val="30"/>
          <w:lang w:eastAsia="zh-CN"/>
        </w:rPr>
        <w:t>）</w:t>
      </w:r>
      <w:r>
        <w:rPr>
          <w:rFonts w:hint="eastAsia" w:ascii="Times New Roman" w:hAnsi="Times New Roman" w:eastAsia="方正仿宋_GBK" w:cs="Times New Roman"/>
          <w:b/>
          <w:bCs/>
          <w:sz w:val="30"/>
          <w:szCs w:val="30"/>
          <w:lang w:eastAsia="zh-CN"/>
        </w:rPr>
        <w:t>搭建信息化协同平台</w:t>
      </w:r>
    </w:p>
    <w:p w14:paraId="770B4E45">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建议项目单位</w:t>
      </w:r>
      <w:r>
        <w:rPr>
          <w:rFonts w:hint="eastAsia" w:ascii="Times New Roman" w:hAnsi="Times New Roman" w:eastAsia="方正仿宋_GBK" w:cs="Times New Roman"/>
          <w:sz w:val="30"/>
          <w:szCs w:val="30"/>
          <w:lang w:eastAsia="zh-CN"/>
        </w:rPr>
        <w:t>可建立 “一站式” 施工协调中心。相关部门及施工、监理单位，通过实时共享信息、联合审批施工方案，快速协调开挖、管线交叉等问题，提升施工协调效率 。</w:t>
      </w:r>
    </w:p>
    <w:p w14:paraId="1AFB6034">
      <w:pPr>
        <w:spacing w:line="574" w:lineRule="exact"/>
        <w:ind w:firstLine="600" w:firstLineChars="200"/>
        <w:jc w:val="both"/>
        <w:rPr>
          <w:rFonts w:hint="eastAsia" w:ascii="Times New Roman" w:hAnsi="Times New Roman" w:eastAsia="方正仿宋_GBK" w:cs="Times New Roman"/>
          <w:sz w:val="30"/>
          <w:szCs w:val="30"/>
          <w:lang w:eastAsia="zh-CN"/>
        </w:rPr>
      </w:pPr>
    </w:p>
    <w:p w14:paraId="0D8AEB82">
      <w:pPr>
        <w:spacing w:line="574" w:lineRule="exact"/>
        <w:ind w:firstLine="602" w:firstLineChars="200"/>
        <w:jc w:val="both"/>
        <w:rPr>
          <w:rFonts w:ascii="Times New Roman" w:hAnsi="Times New Roman" w:eastAsia="方正仿宋_GBK" w:cs="Times New Roman"/>
          <w:b/>
          <w:bCs/>
          <w:sz w:val="30"/>
          <w:szCs w:val="30"/>
          <w:lang w:eastAsia="zh-CN"/>
        </w:rPr>
      </w:pPr>
      <w:bookmarkStart w:id="4" w:name="OLE_LINK6"/>
      <w:r>
        <w:rPr>
          <w:rFonts w:hint="eastAsia" w:ascii="Times New Roman" w:hAnsi="Times New Roman" w:eastAsia="方正仿宋_GBK" w:cs="Times New Roman"/>
          <w:b/>
          <w:bCs/>
          <w:sz w:val="30"/>
          <w:szCs w:val="30"/>
          <w:lang w:eastAsia="zh-CN"/>
        </w:rPr>
        <w:t>（四）严格落实施工期环境保护举措</w:t>
      </w:r>
    </w:p>
    <w:p w14:paraId="2579944C">
      <w:pPr>
        <w:spacing w:line="574" w:lineRule="exact"/>
        <w:ind w:firstLine="600" w:firstLineChars="200"/>
        <w:jc w:val="both"/>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构建系统的环保检查制度，明确各层级人员环保责任，层层落实环保措施。定期开展环保检查，对发现的问题及时整改，形成 “检查 - 整改 - 复查” 的闭环管理，切实将施工中的环境保护工作做到位，最大程度降低施工对环境的负面影响 。</w:t>
      </w:r>
    </w:p>
    <w:bookmarkEnd w:id="4"/>
    <w:p w14:paraId="68838F5E">
      <w:pPr>
        <w:spacing w:line="574" w:lineRule="exact"/>
        <w:ind w:firstLine="600" w:firstLineChars="200"/>
        <w:jc w:val="both"/>
        <w:rPr>
          <w:rFonts w:ascii="Times New Roman" w:hAnsi="Times New Roman" w:eastAsia="方正仿宋_GBK" w:cs="Times New Roman"/>
          <w:sz w:val="30"/>
          <w:szCs w:val="30"/>
          <w:lang w:eastAsia="zh-CN"/>
        </w:rPr>
      </w:pPr>
    </w:p>
    <w:p w14:paraId="4CB2A54E">
      <w:pPr>
        <w:spacing w:line="574" w:lineRule="exact"/>
        <w:ind w:firstLine="600" w:firstLineChars="200"/>
        <w:jc w:val="both"/>
        <w:rPr>
          <w:rFonts w:ascii="Times New Roman" w:hAnsi="Times New Roman" w:eastAsia="方正仿宋_GBK" w:cs="Times New Roman"/>
          <w:sz w:val="30"/>
          <w:szCs w:val="30"/>
          <w:lang w:eastAsia="zh-CN"/>
        </w:rPr>
      </w:pPr>
    </w:p>
    <w:sectPr>
      <w:type w:val="continuous"/>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ZmYzNDIzOGEzOGE4Mjk3MzJlMWJkMDExNzY0NTBhODAifQ=="/>
  </w:docVars>
  <w:rsids>
    <w:rsidRoot w:val="006A0286"/>
    <w:rsid w:val="000006EC"/>
    <w:rsid w:val="0000186F"/>
    <w:rsid w:val="00002EBA"/>
    <w:rsid w:val="00026691"/>
    <w:rsid w:val="00027842"/>
    <w:rsid w:val="0004443C"/>
    <w:rsid w:val="0007004E"/>
    <w:rsid w:val="000A03B8"/>
    <w:rsid w:val="000C4B82"/>
    <w:rsid w:val="000C665F"/>
    <w:rsid w:val="000F0010"/>
    <w:rsid w:val="000F1EEF"/>
    <w:rsid w:val="000F4E25"/>
    <w:rsid w:val="001076FD"/>
    <w:rsid w:val="00112A3C"/>
    <w:rsid w:val="0012335B"/>
    <w:rsid w:val="001638BC"/>
    <w:rsid w:val="001C0071"/>
    <w:rsid w:val="001D43CE"/>
    <w:rsid w:val="001E1F08"/>
    <w:rsid w:val="001F5652"/>
    <w:rsid w:val="002034C4"/>
    <w:rsid w:val="00223670"/>
    <w:rsid w:val="002519BA"/>
    <w:rsid w:val="00282BFD"/>
    <w:rsid w:val="002A7D28"/>
    <w:rsid w:val="002B59E2"/>
    <w:rsid w:val="002C51A7"/>
    <w:rsid w:val="002D449D"/>
    <w:rsid w:val="002F39B9"/>
    <w:rsid w:val="00317F35"/>
    <w:rsid w:val="0032110C"/>
    <w:rsid w:val="0034226E"/>
    <w:rsid w:val="00353D99"/>
    <w:rsid w:val="0035598D"/>
    <w:rsid w:val="003B277B"/>
    <w:rsid w:val="003D4D43"/>
    <w:rsid w:val="003F2804"/>
    <w:rsid w:val="00412A90"/>
    <w:rsid w:val="00427AA3"/>
    <w:rsid w:val="004309F6"/>
    <w:rsid w:val="00444A16"/>
    <w:rsid w:val="00453872"/>
    <w:rsid w:val="00470481"/>
    <w:rsid w:val="00485FCA"/>
    <w:rsid w:val="00496584"/>
    <w:rsid w:val="004B1555"/>
    <w:rsid w:val="004C3F31"/>
    <w:rsid w:val="004E3E98"/>
    <w:rsid w:val="004F2889"/>
    <w:rsid w:val="00516E87"/>
    <w:rsid w:val="00540E44"/>
    <w:rsid w:val="00541FD2"/>
    <w:rsid w:val="005469AF"/>
    <w:rsid w:val="0055497B"/>
    <w:rsid w:val="0058181F"/>
    <w:rsid w:val="0059704B"/>
    <w:rsid w:val="005C5968"/>
    <w:rsid w:val="005D094F"/>
    <w:rsid w:val="005D0C0F"/>
    <w:rsid w:val="005D61F8"/>
    <w:rsid w:val="006032DC"/>
    <w:rsid w:val="00603497"/>
    <w:rsid w:val="0062703C"/>
    <w:rsid w:val="006A0286"/>
    <w:rsid w:val="006F1257"/>
    <w:rsid w:val="006F2AB8"/>
    <w:rsid w:val="00703820"/>
    <w:rsid w:val="00705261"/>
    <w:rsid w:val="00705B52"/>
    <w:rsid w:val="00713C0D"/>
    <w:rsid w:val="0072674E"/>
    <w:rsid w:val="007416BA"/>
    <w:rsid w:val="0075529D"/>
    <w:rsid w:val="0075562C"/>
    <w:rsid w:val="0075652D"/>
    <w:rsid w:val="00763880"/>
    <w:rsid w:val="00765786"/>
    <w:rsid w:val="00776225"/>
    <w:rsid w:val="00784065"/>
    <w:rsid w:val="00784171"/>
    <w:rsid w:val="007A754E"/>
    <w:rsid w:val="007C7F57"/>
    <w:rsid w:val="007E2A2C"/>
    <w:rsid w:val="007F3D5F"/>
    <w:rsid w:val="0082088A"/>
    <w:rsid w:val="00823BBE"/>
    <w:rsid w:val="0083057F"/>
    <w:rsid w:val="00830C91"/>
    <w:rsid w:val="00875BAE"/>
    <w:rsid w:val="008B72FE"/>
    <w:rsid w:val="008C4F61"/>
    <w:rsid w:val="008C5D8B"/>
    <w:rsid w:val="008C735A"/>
    <w:rsid w:val="008D0A71"/>
    <w:rsid w:val="008D5CD0"/>
    <w:rsid w:val="008D7527"/>
    <w:rsid w:val="008E3FD4"/>
    <w:rsid w:val="008F6FC9"/>
    <w:rsid w:val="00926E98"/>
    <w:rsid w:val="00934A21"/>
    <w:rsid w:val="0095504B"/>
    <w:rsid w:val="00975ABA"/>
    <w:rsid w:val="009B2D68"/>
    <w:rsid w:val="009B7176"/>
    <w:rsid w:val="009E1FFB"/>
    <w:rsid w:val="00A14DE2"/>
    <w:rsid w:val="00A2428C"/>
    <w:rsid w:val="00A41E81"/>
    <w:rsid w:val="00A70DB0"/>
    <w:rsid w:val="00A72387"/>
    <w:rsid w:val="00A731BB"/>
    <w:rsid w:val="00A863A2"/>
    <w:rsid w:val="00A90326"/>
    <w:rsid w:val="00A959D4"/>
    <w:rsid w:val="00AA24DC"/>
    <w:rsid w:val="00AC1F0E"/>
    <w:rsid w:val="00AC69E3"/>
    <w:rsid w:val="00B14C89"/>
    <w:rsid w:val="00B33955"/>
    <w:rsid w:val="00B66A90"/>
    <w:rsid w:val="00BA248F"/>
    <w:rsid w:val="00BA664E"/>
    <w:rsid w:val="00BD1F01"/>
    <w:rsid w:val="00C03D60"/>
    <w:rsid w:val="00C26C8C"/>
    <w:rsid w:val="00C514A6"/>
    <w:rsid w:val="00CB64D3"/>
    <w:rsid w:val="00CB7128"/>
    <w:rsid w:val="00CD06E3"/>
    <w:rsid w:val="00D02451"/>
    <w:rsid w:val="00D02D47"/>
    <w:rsid w:val="00D20830"/>
    <w:rsid w:val="00D34E11"/>
    <w:rsid w:val="00D41415"/>
    <w:rsid w:val="00D57C51"/>
    <w:rsid w:val="00D62615"/>
    <w:rsid w:val="00D6475C"/>
    <w:rsid w:val="00D71C46"/>
    <w:rsid w:val="00D855DD"/>
    <w:rsid w:val="00D85F96"/>
    <w:rsid w:val="00D97089"/>
    <w:rsid w:val="00DE067D"/>
    <w:rsid w:val="00DE1ADF"/>
    <w:rsid w:val="00DF053C"/>
    <w:rsid w:val="00E05FDB"/>
    <w:rsid w:val="00E1011A"/>
    <w:rsid w:val="00E70A55"/>
    <w:rsid w:val="00E779D5"/>
    <w:rsid w:val="00E82B9D"/>
    <w:rsid w:val="00EB03FD"/>
    <w:rsid w:val="00EC7E86"/>
    <w:rsid w:val="00ED06B2"/>
    <w:rsid w:val="00EF10E5"/>
    <w:rsid w:val="00EF1BDD"/>
    <w:rsid w:val="00EF2347"/>
    <w:rsid w:val="00EF40A4"/>
    <w:rsid w:val="00EF65E3"/>
    <w:rsid w:val="00EF6D73"/>
    <w:rsid w:val="00F006B7"/>
    <w:rsid w:val="00F105AA"/>
    <w:rsid w:val="00F161C4"/>
    <w:rsid w:val="00F35A70"/>
    <w:rsid w:val="00F4202D"/>
    <w:rsid w:val="00F60536"/>
    <w:rsid w:val="00FA3E7B"/>
    <w:rsid w:val="00FA7E01"/>
    <w:rsid w:val="00FB5E7E"/>
    <w:rsid w:val="00FC1B34"/>
    <w:rsid w:val="00FC3430"/>
    <w:rsid w:val="00FC405A"/>
    <w:rsid w:val="00FC7877"/>
    <w:rsid w:val="00FD74A3"/>
    <w:rsid w:val="331217FF"/>
    <w:rsid w:val="5AEA5B4E"/>
    <w:rsid w:val="5C4E1BEB"/>
    <w:rsid w:val="5FEB4F5F"/>
    <w:rsid w:val="63CC1360"/>
    <w:rsid w:val="6B7C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qFormat/>
    <w:uiPriority w:val="1"/>
    <w:pPr>
      <w:ind w:left="-21" w:firstLine="2592"/>
      <w:outlineLvl w:val="1"/>
    </w:pPr>
    <w:rPr>
      <w:rFonts w:ascii="宋体" w:hAnsi="宋体" w:eastAsia="宋体"/>
      <w:sz w:val="32"/>
      <w:szCs w:val="32"/>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Body Text"/>
    <w:basedOn w:val="1"/>
    <w:qFormat/>
    <w:uiPriority w:val="1"/>
    <w:pPr>
      <w:spacing w:before="207"/>
      <w:ind w:left="120"/>
    </w:pPr>
    <w:rPr>
      <w:rFonts w:ascii="宋体" w:hAnsi="宋体" w:eastAsia="宋体"/>
      <w:sz w:val="30"/>
      <w:szCs w:val="30"/>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文字 字符"/>
    <w:basedOn w:val="12"/>
    <w:link w:val="4"/>
    <w:semiHidden/>
    <w:qFormat/>
    <w:uiPriority w:val="99"/>
    <w:rPr>
      <w:sz w:val="22"/>
      <w:szCs w:val="22"/>
      <w:lang w:eastAsia="en-US"/>
    </w:rPr>
  </w:style>
  <w:style w:type="character" w:customStyle="1" w:styleId="21">
    <w:name w:val="批注主题 字符"/>
    <w:basedOn w:val="20"/>
    <w:link w:val="9"/>
    <w:semiHidden/>
    <w:qFormat/>
    <w:uiPriority w:val="99"/>
    <w:rPr>
      <w:b/>
      <w:bCs/>
      <w:sz w:val="22"/>
      <w:szCs w:val="22"/>
      <w:lang w:eastAsia="en-US"/>
    </w:rPr>
  </w:style>
  <w:style w:type="character" w:customStyle="1" w:styleId="22">
    <w:name w:val="批注框文本 字符"/>
    <w:basedOn w:val="12"/>
    <w:link w:val="6"/>
    <w:semiHidden/>
    <w:qFormat/>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3258</Words>
  <Characters>3364</Characters>
  <Lines>24</Lines>
  <Paragraphs>6</Paragraphs>
  <TotalTime>390</TotalTime>
  <ScaleCrop>false</ScaleCrop>
  <LinksUpToDate>false</LinksUpToDate>
  <CharactersWithSpaces>3390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丁丁</cp:lastModifiedBy>
  <cp:lastPrinted>2023-03-15T06:25:00Z</cp:lastPrinted>
  <dcterms:modified xsi:type="dcterms:W3CDTF">2025-04-23T06:25:18Z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2052-12.1.0.20784</vt:lpwstr>
  </property>
  <property fmtid="{D5CDD505-2E9C-101B-9397-08002B2CF9AE}" pid="6" name="ICV">
    <vt:lpwstr>6110B7415DC740C58185CD86345CBEB1</vt:lpwstr>
  </property>
  <property fmtid="{D5CDD505-2E9C-101B-9397-08002B2CF9AE}" pid="7" name="KSOTemplateDocerSaveRecord">
    <vt:lpwstr>eyJoZGlkIjoiNjQ3NWZhMjBjNGM5MGViMWU3NWIzNTdkNDc0Y2VmMTIiLCJ1c2VySWQiOiI2MjQ2OTkzMzQifQ==</vt:lpwstr>
  </property>
</Properties>
</file>