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8D466">
      <w:pPr>
        <w:spacing w:before="9" w:line="574" w:lineRule="exact"/>
        <w:ind w:left="120"/>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附件7</w:t>
      </w:r>
    </w:p>
    <w:p w14:paraId="55C909D2">
      <w:pPr>
        <w:spacing w:before="2" w:line="574" w:lineRule="exact"/>
        <w:rPr>
          <w:rFonts w:ascii="Times New Roman" w:hAnsi="Times New Roman" w:eastAsia="宋体" w:cs="Times New Roman"/>
          <w:sz w:val="27"/>
          <w:szCs w:val="27"/>
          <w:lang w:eastAsia="zh-CN"/>
        </w:rPr>
      </w:pPr>
    </w:p>
    <w:p w14:paraId="3DAF0D9C">
      <w:pPr>
        <w:spacing w:line="574"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江阴综合保税区基础设施升级改造项目</w:t>
      </w:r>
    </w:p>
    <w:p w14:paraId="0D9DAA1A">
      <w:pPr>
        <w:spacing w:line="574"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绩效评价报告</w:t>
      </w:r>
    </w:p>
    <w:p w14:paraId="74935766">
      <w:pPr>
        <w:spacing w:line="574" w:lineRule="exact"/>
        <w:jc w:val="center"/>
        <w:rPr>
          <w:rFonts w:ascii="Times New Roman" w:hAnsi="Times New Roman" w:eastAsia="黑体" w:cs="Times New Roman"/>
          <w:sz w:val="30"/>
          <w:szCs w:val="30"/>
          <w:lang w:eastAsia="zh-CN"/>
        </w:rPr>
      </w:pPr>
    </w:p>
    <w:p w14:paraId="538CC77C">
      <w:pPr>
        <w:spacing w:line="574" w:lineRule="exact"/>
        <w:rPr>
          <w:rFonts w:ascii="Times New Roman" w:hAnsi="Times New Roman" w:eastAsia="方正小标宋_GBK" w:cs="Times New Roman"/>
          <w:color w:val="C00000"/>
          <w:sz w:val="28"/>
          <w:szCs w:val="28"/>
          <w:lang w:eastAsia="zh-CN"/>
        </w:rPr>
      </w:pPr>
      <w:r>
        <w:rPr>
          <w:rFonts w:ascii="Times New Roman" w:hAnsi="Times New Roman" w:eastAsia="黑体" w:cs="Times New Roman"/>
          <w:sz w:val="30"/>
          <w:szCs w:val="30"/>
          <w:lang w:eastAsia="zh-CN"/>
        </w:rPr>
        <w:t>一、项目情况</w:t>
      </w:r>
    </w:p>
    <w:p w14:paraId="5ACDBB62">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（一）项目概况</w:t>
      </w:r>
    </w:p>
    <w:p w14:paraId="219A888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1、项目背景</w:t>
      </w:r>
    </w:p>
    <w:p w14:paraId="22FEC5C2">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实现“以港兴产、以城促港、港城产互动”的发展格局，从而使江阴综保区成为规划科学、设施先进、功能完备、政策宽松、监管有效、服务便捷的现代化、国际化、智能化的苏南地区重要的综合保税区，成为江阴市对外开放的重要先导区，成为上海国际航运中心的重要配套功能区。江阴综保区的申报、建设和运作，是江阴市委市政府站在全市经济升级转型的关键时刻提出的重大决策</w:t>
      </w:r>
    </w:p>
    <w:p w14:paraId="717A791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经济开发区管理委员会根据《交通运输“十二五”发展规划》（交规划发〔2011〕191号）等文件精神，按照临港新城“十四五”发展建设要求，综合保税区项目的实施，能够有力的推进江阴保税物流的发展，实现质的飞跃。通过保税物流的增加，带动全市物流产业的发展，提升江阴港在苏南地区乃至长三角地区战略地位，进而带动港口物流相关产业发展，实现江阴服务业在“十四五”期间稳步扩张。</w:t>
      </w:r>
    </w:p>
    <w:p w14:paraId="77A7DCA8">
      <w:pPr>
        <w:spacing w:line="574" w:lineRule="exact"/>
        <w:ind w:firstLine="584" w:firstLineChars="200"/>
        <w:jc w:val="both"/>
        <w:rPr>
          <w:rFonts w:ascii="Times New Roman" w:hAnsi="Times New Roman" w:eastAsia="方正仿宋_GBK" w:cs="Times New Roman"/>
          <w:spacing w:val="-4"/>
          <w:sz w:val="30"/>
          <w:szCs w:val="30"/>
          <w:lang w:eastAsia="zh-CN"/>
        </w:rPr>
      </w:pPr>
    </w:p>
    <w:p w14:paraId="0284396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2、主要内容</w:t>
      </w:r>
    </w:p>
    <w:p w14:paraId="259AFA5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2022年10月13日，江苏江阴临港经济开发区管理委员会出具《关于江阴综合保税区基础设施升级改造项目可行性研究报告的批复》（澄港开委投〔2022〕37号），批复同意江阴综合保税区基础设施升级改造项目可行性研究报告。具体批复如下：</w:t>
      </w:r>
    </w:p>
    <w:p w14:paraId="45838260">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（1）项目建设地点</w:t>
      </w:r>
    </w:p>
    <w:p w14:paraId="39BCACE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江阴市海港路18号，江阴综合保税区内。</w:t>
      </w:r>
    </w:p>
    <w:p w14:paraId="2F2FADD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（2）项目主要建设内容：</w:t>
      </w:r>
    </w:p>
    <w:p w14:paraId="537D4DB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主要对江阴综合保税区基础设施及公共服务进行优化升级，包括:园区内堆场建设约30000平方米，1个停车场及2个查验库改造升级及完善其他附属设施、给水1500米、 电力1500米排水1500米电信等通讯线路1200米及其他配套工程等。</w:t>
      </w:r>
    </w:p>
    <w:p w14:paraId="6F6B083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 xml:space="preserve">年度主要建设内容：1.堆场建设30000平方米。2.新建园区停车场 1个，查验库2个及辅助设施完善。 </w:t>
      </w:r>
    </w:p>
    <w:p w14:paraId="0A908319">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3、实施情况</w:t>
      </w:r>
    </w:p>
    <w:p w14:paraId="4F1EB8D3">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江阴综合保税区基础设施升级改造项目部分项目</w:t>
      </w:r>
      <w:r>
        <w:rPr>
          <w:rFonts w:hint="eastAsia" w:ascii="Times New Roman" w:hAnsi="Times New Roman" w:eastAsia="方正仿宋_GBK" w:cs="Times New Roman"/>
          <w:spacing w:val="-4"/>
          <w:sz w:val="30"/>
          <w:szCs w:val="30"/>
          <w:lang w:eastAsia="zh-CN"/>
        </w:rPr>
        <w:t>完工进度80%</w:t>
      </w:r>
      <w:r>
        <w:rPr>
          <w:rFonts w:ascii="Times New Roman" w:hAnsi="Times New Roman" w:eastAsia="方正仿宋_GBK" w:cs="Times New Roman"/>
          <w:spacing w:val="-4"/>
          <w:sz w:val="30"/>
          <w:szCs w:val="30"/>
          <w:lang w:eastAsia="zh-CN"/>
        </w:rPr>
        <w:t>。</w:t>
      </w:r>
    </w:p>
    <w:p w14:paraId="1D40819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4、资金投入</w:t>
      </w:r>
    </w:p>
    <w:p w14:paraId="4EB7B985">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江阴综合保税区基础设施升级改造项目批复计划总投资6,000万元，其中：专项债资金4,800万元（2023年专项债资金2,000万元</w:t>
      </w:r>
      <w:r>
        <w:rPr>
          <w:rFonts w:hint="eastAsia" w:ascii="Times New Roman" w:hAnsi="Times New Roman" w:eastAsia="方正仿宋_GBK" w:cs="Times New Roman"/>
          <w:spacing w:val="-4"/>
          <w:sz w:val="30"/>
          <w:szCs w:val="30"/>
          <w:lang w:eastAsia="zh-CN"/>
        </w:rPr>
        <w:t>，2024年1,000万元</w:t>
      </w:r>
      <w:r>
        <w:rPr>
          <w:rFonts w:ascii="Times New Roman" w:hAnsi="Times New Roman" w:eastAsia="方正仿宋_GBK" w:cs="Times New Roman"/>
          <w:spacing w:val="-4"/>
          <w:sz w:val="30"/>
          <w:szCs w:val="30"/>
          <w:lang w:eastAsia="zh-CN"/>
        </w:rPr>
        <w:t>），政府预算资金安排1,200万元。</w:t>
      </w:r>
    </w:p>
    <w:p w14:paraId="79550A5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5、资金使用情况</w:t>
      </w:r>
    </w:p>
    <w:p w14:paraId="4E7AA27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江阴综合保税区基础设施升级改造项目投资金额为4,909.01万元，累计支出3,630.68万元，其中专项债资金已支出</w:t>
      </w:r>
      <w:r>
        <w:rPr>
          <w:rFonts w:hint="eastAsia" w:ascii="Times New Roman" w:hAnsi="Times New Roman" w:eastAsia="方正仿宋_GBK" w:cs="Times New Roman"/>
          <w:spacing w:val="-4"/>
          <w:sz w:val="30"/>
          <w:szCs w:val="30"/>
          <w:lang w:eastAsia="zh-CN"/>
        </w:rPr>
        <w:t>3</w:t>
      </w:r>
      <w:r>
        <w:rPr>
          <w:rFonts w:ascii="Times New Roman" w:hAnsi="Times New Roman" w:eastAsia="方正仿宋_GBK" w:cs="Times New Roman"/>
          <w:spacing w:val="-4"/>
          <w:sz w:val="30"/>
          <w:szCs w:val="30"/>
          <w:lang w:eastAsia="zh-CN"/>
        </w:rPr>
        <w:t>,000万元，专项债资金使用率100%。具体资金使用明细见下表:</w:t>
      </w:r>
    </w:p>
    <w:p w14:paraId="51B6A630">
      <w:pPr>
        <w:spacing w:line="574" w:lineRule="exact"/>
        <w:ind w:firstLine="584" w:firstLineChars="200"/>
        <w:jc w:val="center"/>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江阴综合保税区基础设施升级改造项目资金明细表</w:t>
      </w:r>
    </w:p>
    <w:p w14:paraId="671250CF">
      <w:pPr>
        <w:spacing w:line="574" w:lineRule="exact"/>
        <w:ind w:firstLine="584" w:firstLineChars="200"/>
        <w:jc w:val="right"/>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单位：万元</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1842"/>
        <w:gridCol w:w="1702"/>
        <w:gridCol w:w="1701"/>
      </w:tblGrid>
      <w:tr w14:paraId="46E1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37CFE8">
            <w:pPr>
              <w:spacing w:line="574" w:lineRule="exact"/>
              <w:jc w:val="center"/>
              <w:rPr>
                <w:rFonts w:ascii="Times New Roman" w:hAnsi="Times New Roman" w:eastAsia="方正仿宋_GBK" w:cs="Times New Roman"/>
                <w:spacing w:val="-4"/>
                <w:sz w:val="28"/>
                <w:szCs w:val="28"/>
                <w:lang w:eastAsia="zh-CN"/>
              </w:rPr>
            </w:pPr>
          </w:p>
          <w:p w14:paraId="44B2F91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序号</w:t>
            </w:r>
          </w:p>
        </w:tc>
        <w:tc>
          <w:tcPr>
            <w:tcW w:w="2977" w:type="dxa"/>
            <w:vAlign w:val="center"/>
          </w:tcPr>
          <w:p w14:paraId="210A52FA">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项目名称</w:t>
            </w:r>
          </w:p>
        </w:tc>
        <w:tc>
          <w:tcPr>
            <w:tcW w:w="1842" w:type="dxa"/>
            <w:vAlign w:val="center"/>
          </w:tcPr>
          <w:p w14:paraId="241E0B1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概算金额</w:t>
            </w:r>
          </w:p>
        </w:tc>
        <w:tc>
          <w:tcPr>
            <w:tcW w:w="1702" w:type="dxa"/>
            <w:vAlign w:val="center"/>
          </w:tcPr>
          <w:p w14:paraId="2F9BB1F8">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投资金额</w:t>
            </w:r>
          </w:p>
        </w:tc>
        <w:tc>
          <w:tcPr>
            <w:tcW w:w="1701" w:type="dxa"/>
            <w:vAlign w:val="center"/>
          </w:tcPr>
          <w:p w14:paraId="03073750">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累计支付</w:t>
            </w:r>
          </w:p>
        </w:tc>
      </w:tr>
      <w:tr w14:paraId="45F4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9314EC">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1</w:t>
            </w:r>
          </w:p>
        </w:tc>
        <w:tc>
          <w:tcPr>
            <w:tcW w:w="2977" w:type="dxa"/>
            <w:vAlign w:val="center"/>
          </w:tcPr>
          <w:p w14:paraId="1D9679ED">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江阴综合保税区基础设施升级改造项目</w:t>
            </w:r>
          </w:p>
        </w:tc>
        <w:tc>
          <w:tcPr>
            <w:tcW w:w="1842" w:type="dxa"/>
            <w:vAlign w:val="center"/>
          </w:tcPr>
          <w:p w14:paraId="30D04AEC">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5,000</w:t>
            </w:r>
          </w:p>
        </w:tc>
        <w:tc>
          <w:tcPr>
            <w:tcW w:w="1702" w:type="dxa"/>
            <w:vAlign w:val="center"/>
          </w:tcPr>
          <w:p w14:paraId="41D700B3">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4,909.01</w:t>
            </w:r>
          </w:p>
        </w:tc>
        <w:tc>
          <w:tcPr>
            <w:tcW w:w="1701" w:type="dxa"/>
            <w:vAlign w:val="center"/>
          </w:tcPr>
          <w:p w14:paraId="70429902">
            <w:pPr>
              <w:spacing w:line="574" w:lineRule="exact"/>
              <w:jc w:val="center"/>
              <w:rPr>
                <w:rFonts w:hint="eastAsia"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3,629.41</w:t>
            </w:r>
          </w:p>
        </w:tc>
      </w:tr>
      <w:tr w14:paraId="7B25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14:paraId="07EDABC6">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合计</w:t>
            </w:r>
          </w:p>
        </w:tc>
        <w:tc>
          <w:tcPr>
            <w:tcW w:w="1842" w:type="dxa"/>
            <w:vAlign w:val="center"/>
          </w:tcPr>
          <w:p w14:paraId="43E39003">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5,000</w:t>
            </w:r>
          </w:p>
        </w:tc>
        <w:tc>
          <w:tcPr>
            <w:tcW w:w="1702" w:type="dxa"/>
            <w:vAlign w:val="center"/>
          </w:tcPr>
          <w:p w14:paraId="0C18AF11">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4,909.01</w:t>
            </w:r>
          </w:p>
        </w:tc>
        <w:tc>
          <w:tcPr>
            <w:tcW w:w="1701" w:type="dxa"/>
            <w:vAlign w:val="center"/>
          </w:tcPr>
          <w:p w14:paraId="2A00C8D6">
            <w:pPr>
              <w:spacing w:line="574" w:lineRule="exact"/>
              <w:jc w:val="center"/>
              <w:rPr>
                <w:rFonts w:hint="eastAsia"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3,629.41</w:t>
            </w:r>
          </w:p>
        </w:tc>
      </w:tr>
    </w:tbl>
    <w:p w14:paraId="6B900D5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注:项目暂未进行决算审计，投资金额根据项目合同统计，累计支出为截至绩效评价日支出金额。</w:t>
      </w:r>
    </w:p>
    <w:p w14:paraId="105BC67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（二）绩效目标</w:t>
      </w:r>
    </w:p>
    <w:p w14:paraId="2BD9048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1、总目标</w:t>
      </w:r>
    </w:p>
    <w:p w14:paraId="5763322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海关智能化系统打造规划科学、设施先进、功能完备、政策宽松、监管有效、服务便捷的现代化、国际化、智能化的苏南地区重要的综合保税区。园区内基础设施改造加快推进其建设成为以保税物流功能为基础，积极拓展保税加工、口岸物流、保税服务、国际贸易功能，建立液态化工品交易市场、大宗货物交易市场两个国际化市场平台，形成“错位布局、互为补充、共同发展”的产业综合型综保区的格局。配套设施升级项目能够改善江阴综保区投资环境，为招商引资创造有利条件。</w:t>
      </w:r>
    </w:p>
    <w:p w14:paraId="4474C93A">
      <w:pPr>
        <w:spacing w:line="574" w:lineRule="exact"/>
        <w:ind w:firstLine="584" w:firstLineChars="200"/>
        <w:jc w:val="both"/>
        <w:rPr>
          <w:rFonts w:ascii="Times New Roman" w:hAnsi="Times New Roman" w:eastAsia="方正仿宋_GBK" w:cs="Times New Roman"/>
          <w:spacing w:val="-4"/>
          <w:sz w:val="30"/>
          <w:szCs w:val="30"/>
          <w:lang w:eastAsia="zh-CN"/>
        </w:rPr>
      </w:pPr>
    </w:p>
    <w:p w14:paraId="6F13009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2、年度绩效目标</w:t>
      </w:r>
    </w:p>
    <w:p w14:paraId="186A9523">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（1）海关智能化系统打造规划科学、设施先进、功能完备、政策宽松、监管有效、服务便捷的现代化、国际化、智能化的苏南地区重要的综合保税区。</w:t>
      </w:r>
    </w:p>
    <w:p w14:paraId="3678F184">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2）园区内基础设施改造加快推进其建设成为以保税物流功能为基础，积极拓展保税加工、口岸物流、保税服务、国际贸易功能，建立液态化工品交易市场、大宗货物交易市场两个国际化市场平台，形成“错位布局、互为补充、共同发展”的产业综合型综保区的格局。</w:t>
      </w:r>
    </w:p>
    <w:p w14:paraId="36B34400">
      <w:pPr>
        <w:spacing w:line="574" w:lineRule="exact"/>
        <w:ind w:firstLine="584" w:firstLineChars="200"/>
        <w:jc w:val="both"/>
        <w:rPr>
          <w:rFonts w:ascii="Times New Roman" w:hAnsi="Times New Roman" w:eastAsia="方正仿宋_GBK" w:cs="Times New Roman"/>
          <w:spacing w:val="-4"/>
          <w:sz w:val="30"/>
          <w:szCs w:val="30"/>
          <w:highlight w:val="yellow"/>
          <w:lang w:eastAsia="zh-CN"/>
        </w:rPr>
      </w:pPr>
      <w:r>
        <w:rPr>
          <w:rFonts w:hint="eastAsia" w:ascii="Times New Roman" w:hAnsi="Times New Roman" w:eastAsia="方正仿宋_GBK" w:cs="Times New Roman"/>
          <w:spacing w:val="-4"/>
          <w:sz w:val="30"/>
          <w:szCs w:val="30"/>
          <w:lang w:eastAsia="zh-CN"/>
        </w:rPr>
        <w:t>（3）配套设施升级项目能够改善江阴综保区投资环境，为招商引资创造有利条件。</w:t>
      </w:r>
    </w:p>
    <w:p w14:paraId="4C1B7928">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二、评价情况</w:t>
      </w:r>
    </w:p>
    <w:p w14:paraId="5503C487">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（一）评价思路方法</w:t>
      </w:r>
    </w:p>
    <w:p w14:paraId="0C975673">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主要。因此，本次绩效评价内容主要是江阴综合保税区基础设施升级改造项目情况，资金使用情况和效果等。重点关注资金的支出是否合法合规，项目是否达到了预期的效果。</w:t>
      </w:r>
    </w:p>
    <w:p w14:paraId="24DC205E">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（二）评价原则</w:t>
      </w:r>
    </w:p>
    <w:p w14:paraId="2BD27E8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科学规范原则。绩效评价注重专项债券资金管理的规范性，支出的经济性、效率性和有效性，融资自求平衡情况和风险控制情况，严格执行规定的程序，合理确定绩效目标和评价内容，运用简便、实用、定量与定性分析相结合的方法，规范进行评价。</w:t>
      </w:r>
    </w:p>
    <w:p w14:paraId="454CECB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2、公正公开原则。坚持客观、公平、公正，做到依据合法、标准统一、资料可靠、实事求是、公开透明，并接受监督。</w:t>
      </w:r>
    </w:p>
    <w:p w14:paraId="332202F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3、绩效相关原则。绩效评价针对具体支出及其产出绩效进行，评价结果清晰反映支出和产出绩效之间的紧密对应关系。</w:t>
      </w:r>
    </w:p>
    <w:p w14:paraId="3AD9B44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4、成本效益原则。绩效评价指标应当通俗易懂、简便易行，数据的获得应当考虑现实条件和可操作性。</w:t>
      </w:r>
    </w:p>
    <w:p w14:paraId="4CE6A246">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（三）评价方法</w:t>
      </w:r>
    </w:p>
    <w:p w14:paraId="1EE0AD1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1、资料审阅</w:t>
      </w:r>
    </w:p>
    <w:p w14:paraId="2C5CA3B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从项目相关方获取立项政策文件、资金拨付、项目管理和资金管理办法、项目建设资料、项目成果的佐证资料、工作总结等，进行认真审阅，准确把握项目资金的安排和使用情况、项目实施的内容、服务对象，通过查阅资料初步了解项目实施情况和整体绩效目标的实现情况，为绩效评价工作收集充分、有效的证据。</w:t>
      </w:r>
    </w:p>
    <w:p w14:paraId="7901A04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2、比较分析法</w:t>
      </w:r>
    </w:p>
    <w:p w14:paraId="4E6FE81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比项目预定目标和实际产出、效益，分析项目产出数量、质量的完成情况，分析项目成本控制情况和效益实现程度，分析项目实施产生的经济效益、社会效益、可持续性影响、满意度等效益指标，并对相关佐证资料进行逐一分析、对比，分析项目实施前后的效益，分析项目预期目标的实现情况。</w:t>
      </w:r>
    </w:p>
    <w:p w14:paraId="3626A74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3、资金查验法</w:t>
      </w:r>
    </w:p>
    <w:p w14:paraId="03EBECC5">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通过对项目实施单位账簿和原始凭据的核查，对资金的到位、拨付及使用情况进行梳理和检查，对资金未到位或未使用的原因进行追溯分析，判断资金使用的合规性、合理性。</w:t>
      </w:r>
    </w:p>
    <w:p w14:paraId="5C39C9EA">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（四）绩效评价结论</w:t>
      </w:r>
    </w:p>
    <w:p w14:paraId="30040BC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江阴综合保税区基础设施升级改造项目按照上级要求实行专款专用，资金全部符合该项目支出要求。</w:t>
      </w:r>
    </w:p>
    <w:p w14:paraId="2645594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根据《江阴综合保税区基础设施升级改造项目绩效综合评价表》的评分标准进行逐项评分，总分100分，最后得分</w:t>
      </w:r>
      <w:r>
        <w:rPr>
          <w:rFonts w:hint="eastAsia" w:ascii="Times New Roman" w:hAnsi="Times New Roman" w:eastAsia="方正仿宋_GBK" w:cs="Times New Roman"/>
          <w:spacing w:val="-4"/>
          <w:sz w:val="30"/>
          <w:szCs w:val="30"/>
          <w:lang w:eastAsia="zh-CN"/>
        </w:rPr>
        <w:t>9</w:t>
      </w:r>
      <w:r>
        <w:rPr>
          <w:rFonts w:hint="eastAsia" w:ascii="Times New Roman" w:hAnsi="Times New Roman" w:eastAsia="方正仿宋_GBK" w:cs="Times New Roman"/>
          <w:spacing w:val="-4"/>
          <w:sz w:val="30"/>
          <w:szCs w:val="30"/>
          <w:lang w:val="en-US" w:eastAsia="zh-CN"/>
        </w:rPr>
        <w:t>3</w:t>
      </w:r>
      <w:r>
        <w:rPr>
          <w:rFonts w:ascii="Times New Roman" w:hAnsi="Times New Roman" w:eastAsia="方正仿宋_GBK" w:cs="Times New Roman"/>
          <w:spacing w:val="-4"/>
          <w:sz w:val="30"/>
          <w:szCs w:val="30"/>
          <w:lang w:eastAsia="zh-CN"/>
        </w:rPr>
        <w:t>分，评价等级为“优秀”。</w:t>
      </w:r>
    </w:p>
    <w:p w14:paraId="4D7E5C78">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三、项目绩效</w:t>
      </w:r>
      <w:bookmarkStart w:id="0" w:name="_GoBack"/>
      <w:bookmarkEnd w:id="0"/>
    </w:p>
    <w:p w14:paraId="13341E18">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综合保税区的建设不仅能够带来自身利益，还能带来显示的社会效益和经济效益。主要表现在以下几方面：</w:t>
      </w:r>
    </w:p>
    <w:p w14:paraId="51818537">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hint="eastAsia" w:ascii="Times New Roman" w:hAnsi="Times New Roman" w:eastAsia="方正仿宋_GBK" w:cs="Times New Roman"/>
          <w:b/>
          <w:bCs/>
          <w:spacing w:val="-4"/>
          <w:sz w:val="30"/>
          <w:szCs w:val="30"/>
          <w:lang w:eastAsia="zh-CN"/>
        </w:rPr>
        <w:t>（一）促进产业发展与升级</w:t>
      </w:r>
    </w:p>
    <w:p w14:paraId="0B1F796A">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完善的基础设施可为各类产业提供更好的承载平台，有利于吸引上下游配套企业集聚，形成完整的产业链条，推动产业集群的发展，提高产业的协同效应和规模效益。</w:t>
      </w:r>
    </w:p>
    <w:p w14:paraId="436339A4">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hint="eastAsia" w:ascii="Times New Roman" w:hAnsi="Times New Roman" w:eastAsia="方正仿宋_GBK" w:cs="Times New Roman"/>
          <w:b/>
          <w:bCs/>
          <w:spacing w:val="-4"/>
          <w:sz w:val="30"/>
          <w:szCs w:val="30"/>
          <w:lang w:eastAsia="zh-CN"/>
        </w:rPr>
        <w:t>（二）提高运营效率与便利化水平</w:t>
      </w:r>
    </w:p>
    <w:p w14:paraId="1C264262">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对查验区、堆场硬化等设施的改造，使仓储空间利用更合理、仓储管理更高效，预计仓储成本也可降低。并且有助于优化物流流程，提高货物的装卸、存储和运输效率，减少物流成本和时间，保障供应链的高效畅通，使综合保税区更好地发挥物流枢纽的作用。西卡口建成后可满足超大件货物进出需求，区港一体化推进实现件杂货从码头到综保区无缝连接，预计可使区内企业物流运输成本降低，能够实现海关监管的智能化、信息化，提高货物的通关速度，提升贸易便利化水平，促进国际贸易的快速发展。</w:t>
      </w:r>
    </w:p>
    <w:p w14:paraId="30A29D08">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hint="eastAsia" w:ascii="Times New Roman" w:hAnsi="Times New Roman" w:eastAsia="方正仿宋_GBK" w:cs="Times New Roman"/>
          <w:b/>
          <w:bCs/>
          <w:spacing w:val="-4"/>
          <w:sz w:val="30"/>
          <w:szCs w:val="30"/>
          <w:lang w:eastAsia="zh-CN"/>
        </w:rPr>
        <w:t>（三）保障安全与可持续发展</w:t>
      </w:r>
    </w:p>
    <w:p w14:paraId="45ECC9B8">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Times New Roman" w:hAnsi="Times New Roman" w:eastAsia="方正仿宋_GBK" w:cs="Times New Roman"/>
          <w:spacing w:val="-4"/>
          <w:sz w:val="30"/>
          <w:szCs w:val="30"/>
          <w:lang w:eastAsia="zh-CN"/>
        </w:rPr>
        <w:t>消防水池等安全设施的升级改造，能够提高综合保税区应对火灾等安全事故的能力，保障区内的生命财产安全，为区域的稳定发展提供坚实的安全基础。在基础设施升级改造过程中，采用节能环保的技术和材料，注重生态环境保护，有助于实现综合保税区的绿色、可持续发展。</w:t>
      </w:r>
    </w:p>
    <w:p w14:paraId="1BAF8691">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四、存在问题</w:t>
      </w:r>
    </w:p>
    <w:p w14:paraId="4AA7B58D">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（一）</w:t>
      </w:r>
      <w:r>
        <w:rPr>
          <w:rFonts w:hint="eastAsia" w:ascii="Times New Roman" w:hAnsi="Times New Roman" w:eastAsia="方正仿宋_GBK" w:cs="Times New Roman"/>
          <w:spacing w:val="-4"/>
          <w:sz w:val="30"/>
          <w:szCs w:val="30"/>
          <w:lang w:eastAsia="zh-CN"/>
        </w:rPr>
        <w:t>配套设施升级改造项目尚未全部完成</w:t>
      </w:r>
    </w:p>
    <w:p w14:paraId="3D5AB96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江阴综合保税区基础设施升级改造项目</w:t>
      </w:r>
      <w:r>
        <w:rPr>
          <w:rFonts w:hint="eastAsia" w:ascii="Times New Roman" w:hAnsi="Times New Roman" w:eastAsia="方正仿宋_GBK" w:cs="Times New Roman"/>
          <w:spacing w:val="-4"/>
          <w:sz w:val="30"/>
          <w:szCs w:val="30"/>
          <w:lang w:eastAsia="zh-CN"/>
        </w:rPr>
        <w:t>设置绩效目标为项目完工率88%。实际项目主体工程进度完成8</w:t>
      </w:r>
      <w:r>
        <w:rPr>
          <w:rFonts w:hint="eastAsia" w:ascii="Times New Roman" w:hAnsi="Times New Roman" w:eastAsia="方正仿宋_GBK" w:cs="Times New Roman"/>
          <w:spacing w:val="-4"/>
          <w:sz w:val="30"/>
          <w:szCs w:val="30"/>
          <w:lang w:val="en-US" w:eastAsia="zh-CN"/>
        </w:rPr>
        <w:t>8</w:t>
      </w:r>
      <w:r>
        <w:rPr>
          <w:rFonts w:hint="eastAsia" w:ascii="Times New Roman" w:hAnsi="Times New Roman" w:eastAsia="方正仿宋_GBK" w:cs="Times New Roman"/>
          <w:spacing w:val="-4"/>
          <w:sz w:val="30"/>
          <w:szCs w:val="30"/>
          <w:lang w:eastAsia="zh-CN"/>
        </w:rPr>
        <w:t>%。</w:t>
      </w:r>
    </w:p>
    <w:p w14:paraId="79457702">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五、有关建议</w:t>
      </w:r>
    </w:p>
    <w:p w14:paraId="78F38FF1">
      <w:pPr>
        <w:spacing w:line="574" w:lineRule="exact"/>
        <w:ind w:firstLine="602" w:firstLineChars="200"/>
        <w:jc w:val="both"/>
        <w:rPr>
          <w:rFonts w:hint="eastAsia"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（一）完善</w:t>
      </w:r>
      <w:r>
        <w:rPr>
          <w:rFonts w:hint="eastAsia" w:ascii="Times New Roman" w:hAnsi="Times New Roman" w:eastAsia="方正仿宋_GBK" w:cs="Times New Roman"/>
          <w:b/>
          <w:bCs/>
          <w:sz w:val="30"/>
          <w:szCs w:val="30"/>
          <w:lang w:eastAsia="zh-CN"/>
        </w:rPr>
        <w:t>进度监控机制</w:t>
      </w:r>
    </w:p>
    <w:p w14:paraId="32E61972">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建议项目相关单位</w:t>
      </w:r>
      <w:r>
        <w:rPr>
          <w:rFonts w:hint="eastAsia" w:ascii="Times New Roman" w:hAnsi="Times New Roman" w:eastAsia="方正仿宋_GBK" w:cs="Times New Roman"/>
          <w:sz w:val="30"/>
          <w:szCs w:val="30"/>
          <w:lang w:eastAsia="zh-CN"/>
        </w:rPr>
        <w:t>建立更严密的项目进度监控机制，</w:t>
      </w:r>
      <w:r>
        <w:rPr>
          <w:rFonts w:ascii="Times New Roman" w:hAnsi="Times New Roman" w:eastAsia="方正仿宋_GBK" w:cs="Times New Roman"/>
          <w:sz w:val="30"/>
          <w:szCs w:val="30"/>
          <w:lang w:eastAsia="zh-CN"/>
        </w:rPr>
        <w:t>加强</w:t>
      </w:r>
      <w:r>
        <w:rPr>
          <w:rFonts w:hint="eastAsia" w:ascii="Times New Roman" w:hAnsi="Times New Roman" w:eastAsia="方正仿宋_GBK" w:cs="Times New Roman"/>
          <w:sz w:val="30"/>
          <w:szCs w:val="30"/>
          <w:lang w:eastAsia="zh-CN"/>
        </w:rPr>
        <w:t>各部门的沟通，</w:t>
      </w:r>
      <w:r>
        <w:rPr>
          <w:rFonts w:ascii="Times New Roman" w:hAnsi="Times New Roman" w:eastAsia="方正仿宋_GBK" w:cs="Times New Roman"/>
          <w:sz w:val="30"/>
          <w:szCs w:val="30"/>
          <w:lang w:eastAsia="zh-CN"/>
        </w:rPr>
        <w:t>根据合同约定内容对实施内容进行监督，定期召开工程例会，</w:t>
      </w:r>
      <w:r>
        <w:rPr>
          <w:rFonts w:hint="eastAsia" w:ascii="Times New Roman" w:hAnsi="Times New Roman" w:eastAsia="方正仿宋_GBK" w:cs="Times New Roman"/>
          <w:sz w:val="30"/>
          <w:szCs w:val="30"/>
          <w:lang w:eastAsia="zh-CN"/>
        </w:rPr>
        <w:t>及时掌握各子项目的进展情况。</w:t>
      </w:r>
      <w:r>
        <w:rPr>
          <w:rFonts w:ascii="Times New Roman" w:hAnsi="Times New Roman" w:eastAsia="方正仿宋_GBK" w:cs="Times New Roman"/>
          <w:sz w:val="30"/>
          <w:szCs w:val="30"/>
          <w:lang w:eastAsia="zh-CN"/>
        </w:rPr>
        <w:t>研究分析影响进度的主要原因，采取相应措施，保障工程项目按时高质量完工，建立长效管理机制，确保项目在计划建设工期内完成。</w:t>
      </w:r>
    </w:p>
    <w:p w14:paraId="74F3C675">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二</w:t>
      </w:r>
      <w:r>
        <w:rPr>
          <w:rFonts w:ascii="Times New Roman" w:hAnsi="Times New Roman" w:eastAsia="方正仿宋_GBK" w:cs="Times New Roman"/>
          <w:b/>
          <w:bCs/>
          <w:sz w:val="30"/>
          <w:szCs w:val="30"/>
          <w:lang w:eastAsia="zh-CN"/>
        </w:rPr>
        <w:t>）</w:t>
      </w:r>
      <w:r>
        <w:rPr>
          <w:rFonts w:hint="eastAsia" w:ascii="Times New Roman" w:hAnsi="Times New Roman" w:eastAsia="方正仿宋_GBK" w:cs="Times New Roman"/>
          <w:b/>
          <w:bCs/>
          <w:sz w:val="30"/>
          <w:szCs w:val="30"/>
          <w:lang w:eastAsia="zh-CN"/>
        </w:rPr>
        <w:t>强化预算管理</w:t>
      </w:r>
      <w:r>
        <w:rPr>
          <w:rFonts w:ascii="Times New Roman" w:hAnsi="Times New Roman" w:eastAsia="方正仿宋_GBK" w:cs="Times New Roman"/>
          <w:b/>
          <w:bCs/>
          <w:sz w:val="30"/>
          <w:szCs w:val="30"/>
          <w:lang w:eastAsia="zh-CN"/>
        </w:rPr>
        <w:t>，提高资金利用效率</w:t>
      </w:r>
    </w:p>
    <w:p w14:paraId="47117848">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建议项目单位加强预算管理</w:t>
      </w:r>
      <w:r>
        <w:rPr>
          <w:rFonts w:hint="eastAsia" w:ascii="Times New Roman" w:hAnsi="Times New Roman" w:eastAsia="方正仿宋_GBK" w:cs="Times New Roman"/>
          <w:sz w:val="30"/>
          <w:szCs w:val="30"/>
          <w:lang w:eastAsia="zh-CN"/>
        </w:rPr>
        <w:t>，完善预算编制体系，充分考虑各种可能的成本因素和资金需求，确保预算的准确性和合理性。加强预算执行过程中的监控和分析，定期对预算执行情况进行跟踪和评估</w:t>
      </w:r>
      <w:r>
        <w:rPr>
          <w:rFonts w:ascii="Times New Roman" w:hAnsi="Times New Roman" w:eastAsia="方正仿宋_GBK" w:cs="Times New Roman"/>
          <w:sz w:val="30"/>
          <w:szCs w:val="30"/>
          <w:lang w:eastAsia="zh-CN"/>
        </w:rPr>
        <w:t>，提高资金利用效率。</w:t>
      </w:r>
    </w:p>
    <w:p w14:paraId="48927B01">
      <w:pPr>
        <w:spacing w:line="574" w:lineRule="exact"/>
        <w:ind w:firstLine="602" w:firstLineChars="200"/>
        <w:jc w:val="both"/>
        <w:rPr>
          <w:rFonts w:ascii="Times New Roman" w:hAnsi="Times New Roman" w:eastAsia="方正仿宋_GBK" w:cs="Times New Roman"/>
          <w:b/>
          <w:bCs/>
          <w:sz w:val="30"/>
          <w:szCs w:val="30"/>
          <w:lang w:eastAsia="zh-CN"/>
        </w:rPr>
      </w:pPr>
      <w:r>
        <w:rPr>
          <w:rFonts w:hint="eastAsia" w:ascii="Times New Roman" w:hAnsi="Times New Roman" w:eastAsia="方正仿宋_GBK" w:cs="Times New Roman"/>
          <w:b/>
          <w:bCs/>
          <w:sz w:val="30"/>
          <w:szCs w:val="30"/>
          <w:lang w:eastAsia="zh-CN"/>
        </w:rPr>
        <w:t>（三）加强施工中环境保护措施的落实</w:t>
      </w:r>
    </w:p>
    <w:p w14:paraId="4CB2A54E">
      <w:pPr>
        <w:spacing w:line="574" w:lineRule="exact"/>
        <w:ind w:firstLine="600" w:firstLineChars="200"/>
        <w:jc w:val="both"/>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施工期间，严格按照环保方案执行场地清理工作。每日安排专人负责施工现场的杂物、尘土清扫，保持场地整洁有序。对施工材料、设备进行合理摆放，避免随意堆放占用通道。建立环保检查制度，把环保措施层层落实。</w:t>
      </w:r>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ZmYzNDIzOGEzOGE4Mjk3MzJlMWJkMDExNzY0NTBhODAifQ=="/>
  </w:docVars>
  <w:rsids>
    <w:rsidRoot w:val="006A0286"/>
    <w:rsid w:val="0000186F"/>
    <w:rsid w:val="00026691"/>
    <w:rsid w:val="00027842"/>
    <w:rsid w:val="00032651"/>
    <w:rsid w:val="0007004E"/>
    <w:rsid w:val="000C4B82"/>
    <w:rsid w:val="000C665F"/>
    <w:rsid w:val="000F0010"/>
    <w:rsid w:val="000F1EEF"/>
    <w:rsid w:val="000F4E25"/>
    <w:rsid w:val="001076FD"/>
    <w:rsid w:val="00112A3C"/>
    <w:rsid w:val="0012335B"/>
    <w:rsid w:val="00135A20"/>
    <w:rsid w:val="0015577B"/>
    <w:rsid w:val="001A4F01"/>
    <w:rsid w:val="001C0071"/>
    <w:rsid w:val="001D43CE"/>
    <w:rsid w:val="001E1F08"/>
    <w:rsid w:val="001F5652"/>
    <w:rsid w:val="002034C4"/>
    <w:rsid w:val="002139E2"/>
    <w:rsid w:val="00223670"/>
    <w:rsid w:val="002A7D28"/>
    <w:rsid w:val="002B7ED3"/>
    <w:rsid w:val="002D449D"/>
    <w:rsid w:val="002E6820"/>
    <w:rsid w:val="002F39B9"/>
    <w:rsid w:val="00317F35"/>
    <w:rsid w:val="0032110C"/>
    <w:rsid w:val="00353D99"/>
    <w:rsid w:val="0035598D"/>
    <w:rsid w:val="003B6F8B"/>
    <w:rsid w:val="003D4D43"/>
    <w:rsid w:val="003F2804"/>
    <w:rsid w:val="00411BBC"/>
    <w:rsid w:val="00412A90"/>
    <w:rsid w:val="00427AA3"/>
    <w:rsid w:val="004309F6"/>
    <w:rsid w:val="00444A16"/>
    <w:rsid w:val="00453872"/>
    <w:rsid w:val="00485FCA"/>
    <w:rsid w:val="00496584"/>
    <w:rsid w:val="004A67E0"/>
    <w:rsid w:val="004B1555"/>
    <w:rsid w:val="004E3E98"/>
    <w:rsid w:val="004F2889"/>
    <w:rsid w:val="00512075"/>
    <w:rsid w:val="00541FD2"/>
    <w:rsid w:val="005469AF"/>
    <w:rsid w:val="0055497B"/>
    <w:rsid w:val="005614E2"/>
    <w:rsid w:val="0058181F"/>
    <w:rsid w:val="00581ABB"/>
    <w:rsid w:val="005C5968"/>
    <w:rsid w:val="005D094F"/>
    <w:rsid w:val="005D0C0F"/>
    <w:rsid w:val="005D61F8"/>
    <w:rsid w:val="006032DC"/>
    <w:rsid w:val="006A0286"/>
    <w:rsid w:val="006F1257"/>
    <w:rsid w:val="006F2AB8"/>
    <w:rsid w:val="00703820"/>
    <w:rsid w:val="00705261"/>
    <w:rsid w:val="00705B52"/>
    <w:rsid w:val="00713C0D"/>
    <w:rsid w:val="0072674E"/>
    <w:rsid w:val="007416BA"/>
    <w:rsid w:val="0075529D"/>
    <w:rsid w:val="0075652D"/>
    <w:rsid w:val="00763880"/>
    <w:rsid w:val="00765786"/>
    <w:rsid w:val="00784065"/>
    <w:rsid w:val="00784171"/>
    <w:rsid w:val="007A754E"/>
    <w:rsid w:val="007C3BBA"/>
    <w:rsid w:val="007C7F57"/>
    <w:rsid w:val="007F3D5F"/>
    <w:rsid w:val="0083057F"/>
    <w:rsid w:val="00830C91"/>
    <w:rsid w:val="00855916"/>
    <w:rsid w:val="00890D72"/>
    <w:rsid w:val="008B72FE"/>
    <w:rsid w:val="008C735A"/>
    <w:rsid w:val="008D5CD0"/>
    <w:rsid w:val="008D7527"/>
    <w:rsid w:val="008E39B9"/>
    <w:rsid w:val="008E3FD4"/>
    <w:rsid w:val="008F6FC9"/>
    <w:rsid w:val="00926E98"/>
    <w:rsid w:val="00934A21"/>
    <w:rsid w:val="00943BCC"/>
    <w:rsid w:val="0095504B"/>
    <w:rsid w:val="009B2D68"/>
    <w:rsid w:val="00A14DE2"/>
    <w:rsid w:val="00A2428C"/>
    <w:rsid w:val="00A41E81"/>
    <w:rsid w:val="00A46E55"/>
    <w:rsid w:val="00A634D7"/>
    <w:rsid w:val="00A650A5"/>
    <w:rsid w:val="00A70DB0"/>
    <w:rsid w:val="00A72387"/>
    <w:rsid w:val="00A731BB"/>
    <w:rsid w:val="00A73BDB"/>
    <w:rsid w:val="00A863A2"/>
    <w:rsid w:val="00A959D4"/>
    <w:rsid w:val="00AA24DC"/>
    <w:rsid w:val="00AC69E3"/>
    <w:rsid w:val="00B05C63"/>
    <w:rsid w:val="00B14C89"/>
    <w:rsid w:val="00B33955"/>
    <w:rsid w:val="00B5780F"/>
    <w:rsid w:val="00B848EC"/>
    <w:rsid w:val="00BD1F01"/>
    <w:rsid w:val="00C26C8C"/>
    <w:rsid w:val="00C63A0D"/>
    <w:rsid w:val="00CB64D3"/>
    <w:rsid w:val="00CB7128"/>
    <w:rsid w:val="00D02D47"/>
    <w:rsid w:val="00D20830"/>
    <w:rsid w:val="00D41415"/>
    <w:rsid w:val="00D47BB8"/>
    <w:rsid w:val="00D5328C"/>
    <w:rsid w:val="00D57C51"/>
    <w:rsid w:val="00D62615"/>
    <w:rsid w:val="00D6475C"/>
    <w:rsid w:val="00D71C46"/>
    <w:rsid w:val="00D855DD"/>
    <w:rsid w:val="00D85F96"/>
    <w:rsid w:val="00D91121"/>
    <w:rsid w:val="00D97089"/>
    <w:rsid w:val="00DE067D"/>
    <w:rsid w:val="00DF053C"/>
    <w:rsid w:val="00E1011A"/>
    <w:rsid w:val="00E1091E"/>
    <w:rsid w:val="00E514F2"/>
    <w:rsid w:val="00E6153E"/>
    <w:rsid w:val="00E70A55"/>
    <w:rsid w:val="00E7274C"/>
    <w:rsid w:val="00E779D5"/>
    <w:rsid w:val="00E82B9D"/>
    <w:rsid w:val="00E97F83"/>
    <w:rsid w:val="00EB03FD"/>
    <w:rsid w:val="00EC7E86"/>
    <w:rsid w:val="00ED06B2"/>
    <w:rsid w:val="00EF10E5"/>
    <w:rsid w:val="00EF1BDD"/>
    <w:rsid w:val="00EF40A4"/>
    <w:rsid w:val="00EF65E3"/>
    <w:rsid w:val="00EF6D73"/>
    <w:rsid w:val="00F006B7"/>
    <w:rsid w:val="00F105AA"/>
    <w:rsid w:val="00F161C4"/>
    <w:rsid w:val="00F35A70"/>
    <w:rsid w:val="00F37227"/>
    <w:rsid w:val="00F4202D"/>
    <w:rsid w:val="00F539E5"/>
    <w:rsid w:val="00F60536"/>
    <w:rsid w:val="00F7683D"/>
    <w:rsid w:val="00FA7606"/>
    <w:rsid w:val="00FB5E7E"/>
    <w:rsid w:val="00FC3430"/>
    <w:rsid w:val="00FC405A"/>
    <w:rsid w:val="00FC7877"/>
    <w:rsid w:val="00FD74A3"/>
    <w:rsid w:val="331217FF"/>
    <w:rsid w:val="52A258CF"/>
    <w:rsid w:val="5C4E1BEB"/>
    <w:rsid w:val="5D02602A"/>
    <w:rsid w:val="5FEB4F5F"/>
    <w:rsid w:val="63CC1360"/>
    <w:rsid w:val="6B7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qFormat/>
    <w:uiPriority w:val="1"/>
    <w:pPr>
      <w:spacing w:before="207"/>
      <w:ind w:left="120"/>
    </w:pPr>
    <w:rPr>
      <w:rFonts w:ascii="宋体" w:hAnsi="宋体" w:eastAsia="宋体"/>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99"/>
    <w:rPr>
      <w:sz w:val="22"/>
      <w:szCs w:val="22"/>
      <w:lang w:eastAsia="en-US"/>
    </w:rPr>
  </w:style>
  <w:style w:type="character" w:customStyle="1" w:styleId="21">
    <w:name w:val="批注主题 字符"/>
    <w:basedOn w:val="20"/>
    <w:link w:val="9"/>
    <w:semiHidden/>
    <w:qFormat/>
    <w:uiPriority w:val="99"/>
    <w:rPr>
      <w:b/>
      <w:bCs/>
      <w:sz w:val="22"/>
      <w:szCs w:val="22"/>
      <w:lang w:eastAsia="en-US"/>
    </w:rPr>
  </w:style>
  <w:style w:type="character" w:customStyle="1" w:styleId="22">
    <w:name w:val="批注框文本 字符"/>
    <w:basedOn w:val="12"/>
    <w:link w:val="6"/>
    <w:semiHidden/>
    <w:qFormat/>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3273</Words>
  <Characters>3402</Characters>
  <Lines>24</Lines>
  <Paragraphs>6</Paragraphs>
  <TotalTime>609</TotalTime>
  <ScaleCrop>false</ScaleCrop>
  <LinksUpToDate>false</LinksUpToDate>
  <CharactersWithSpaces>3406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ASUS</cp:lastModifiedBy>
  <cp:lastPrinted>2023-03-15T06:25:00Z</cp:lastPrinted>
  <dcterms:modified xsi:type="dcterms:W3CDTF">2025-04-24T06:55:50Z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2052-12.1.0.20784</vt:lpwstr>
  </property>
  <property fmtid="{D5CDD505-2E9C-101B-9397-08002B2CF9AE}" pid="6" name="ICV">
    <vt:lpwstr>6110B7415DC740C58185CD86345CBEB1</vt:lpwstr>
  </property>
  <property fmtid="{D5CDD505-2E9C-101B-9397-08002B2CF9AE}" pid="7" name="KSOTemplateDocerSaveRecord">
    <vt:lpwstr>eyJoZGlkIjoiYTQxYTgxMWJiNjg3YzBjZjU5NWE4MTAzOWEzOTYyN2QifQ==</vt:lpwstr>
  </property>
</Properties>
</file>