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574" w:lineRule="exact"/>
        <w:ind w:left="1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附件7</w:t>
      </w:r>
    </w:p>
    <w:p>
      <w:pPr>
        <w:spacing w:before="2" w:line="574" w:lineRule="exact"/>
        <w:rPr>
          <w:rFonts w:ascii="Times New Roman" w:hAnsi="Times New Roman" w:eastAsia="仿宋_GB2312" w:cs="Times New Roman"/>
          <w:sz w:val="27"/>
          <w:szCs w:val="27"/>
          <w:lang w:eastAsia="zh-CN"/>
        </w:rPr>
      </w:pPr>
    </w:p>
    <w:p>
      <w:pPr>
        <w:spacing w:line="574" w:lineRule="exact"/>
        <w:jc w:val="center"/>
        <w:rPr>
          <w:rFonts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ascii="Times New Roman" w:hAnsi="Times New Roman" w:eastAsia="仿宋_GB2312" w:cs="Times New Roman"/>
          <w:sz w:val="44"/>
          <w:szCs w:val="44"/>
          <w:lang w:eastAsia="zh-CN"/>
        </w:rPr>
        <w:t>2023年度申港、夏港区域老小区改造项目</w:t>
      </w:r>
    </w:p>
    <w:p>
      <w:pPr>
        <w:spacing w:line="574" w:lineRule="exact"/>
        <w:jc w:val="center"/>
        <w:rPr>
          <w:rFonts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ascii="Times New Roman" w:hAnsi="Times New Roman" w:eastAsia="仿宋_GB2312" w:cs="Times New Roman"/>
          <w:sz w:val="44"/>
          <w:szCs w:val="44"/>
          <w:lang w:eastAsia="zh-CN"/>
        </w:rPr>
        <w:t>绩效评价报告</w:t>
      </w:r>
    </w:p>
    <w:p>
      <w:pPr>
        <w:spacing w:line="574" w:lineRule="exact"/>
        <w:jc w:val="center"/>
        <w:rPr>
          <w:rFonts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spacing w:line="574" w:lineRule="exact"/>
        <w:rPr>
          <w:rFonts w:ascii="Times New Roman" w:hAnsi="Times New Roman" w:eastAsia="仿宋_GB2312" w:cs="Times New Roman"/>
          <w:color w:val="C00000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一、项目情况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（一）项目概况。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1、项目背景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老旧小区改造是加快城市（区）化建设、提升城市（区）整体文明水平、造福群众的民心工程，对满足人民群众美好生活需要、推进城市（区）更新和开发建设方式转型、促进经济高质量发展具有十分重要的意义。2020年7月，国务院出台《关于全面推进城镇老旧小区改造工作的指导意见》（国办发〔2020〕23 号），（下称《指导意见》），将城镇老旧小区改造列入各级政府工作日程，意味着城镇老旧小区改造在全国推开，其中蕴含着党中央、国务院统筹疫情防控与经济发展两个大局，把城镇老旧小区改造作为推动我国经济复苏与增长“助推器”的深意。《指导意见》指出，改造提升城镇老旧小区，改善居民居住条件，构建共享共治社区治理体系，让人民群众生活更方便、更舒心、更美好。2020 年 11 月，江苏省住房和城乡建设厅印发了《关于全面推进城镇老旧小区改造工作的实施意见》的通知（苏旧改〔2020〕2 号），明确各市（区）县政府在江苏省老旧小区改造工作中负总责，住建部门发挥牵头抓总作用，全面、系统、大力推进江苏省城镇老旧小区改造，提出到2022 年，基本形成老旧小区改造的制度框架、政策体系和工作机制，市（区）场化、专业化、智慧化物业管理服务覆盖面不断扩大；到“十四五”期末，2000年底前建成的需改造城镇老旧小区改造任务基本完成，建成一批美丽宜居住区，人民群众居住环境得到明显改善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0"/>
          <w:szCs w:val="30"/>
          <w:lang w:eastAsia="zh-CN"/>
        </w:rPr>
        <w:t>随着城市化进程的加快，人民生活水平不断提高，由于房屋建设年代较早小区管理不到位、建设前期投入不足等原因造成老旧小区部分楼梯墙面破损严重、设施老化损坏严重、绿化坏死或缺失较多、小区卫生较差、停车位严重不足、小区内道路凌乱等问题，老旧小区的改造问题越来越受到关注。</w:t>
      </w: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临港经济开发区各乡镇街道部分老旧小区长期失修失养、功能配套不全、消防设施缺失、飞线现象严重、雨污分流不彻底、环境脏乱差等问题突出，迫切需要通过改造来提升城市宜居和高质量发展水平，增强人民群众的获得感、幸福感、安全感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2、主要内容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该项目位于江阴临港经济开发区内，2023-2026年度对璜土镇、夏港街道、申港街道、利港街道的28个老旧小区进行改造，并对周边附属设施进行改造，改造内容包括建筑物提升改造、屋面维修、外墙出新、阳台修复等改造。配套基础设施建设主要包括消防设施改造、污水管网改造提升、便民设施及公共活动空间、绿化景观提升、道路修缮、交通及停车场改建、环境整治卫生等改造。提升改造项目涉及房屋780栋，建筑面积涉及330.67万平方米，直接受益达26310户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2022年10月18日，江苏江阴临港经济开发区管理委员会出具《关于2023年度申港、夏港区域老小区改造项目可行性研究报告的批复》（澄港开委投〔2022〕41号），批复同意2023年度申港、夏港区域老小区改造项目可行性研究报告。具体批复如下：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（1）根据江阴临港经济开发区的总体规划，同意该项目建设。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2）项目主要建设内容:对28个老旧住宅小区进行维修和改造升级，包括建筑物提升改造、屋面维修、外墙出新、阳台修复、消防设施改造、污水管网改造提升便民设施及公共活动空间、绿化景观提升、道路修缮、交通及停车场改建、环境整治卫生等改造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（3）项目总投资匡算15000万元，所需资金由临港经济开发区财政承担。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3、实施方式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按照规定进行前期设计、咨询、公开招投标遴选工程施工方，事中监督、完工验收等方式循序渐进完成工程阶段性任务。项目处于实施阶段。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4、资金投入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批复计划总投资为15000万元。资金来源为政府预算资金安排及申请地方政府专项债资金支持解决，其中申请专项债券资金为12000万元，占比约80.00%，财政预算资金3000万元，占比约20.00%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5、资金使用情况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</w:t>
      </w:r>
      <w:r>
        <w:rPr>
          <w:rFonts w:hint="eastAsia" w:ascii="Times New Roman" w:hAnsi="Times New Roman" w:eastAsia="仿宋_GB2312" w:cs="Times New Roman"/>
          <w:spacing w:val="-4"/>
          <w:sz w:val="30"/>
          <w:szCs w:val="30"/>
          <w:lang w:eastAsia="zh-CN"/>
        </w:rPr>
        <w:t>已</w:t>
      </w: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投资金额为8,000.00万元，累计支出8,000.00万元，其中专项债资金已支出8,000.00万元，专项债资金使用率100%。具体资金使用明细见下表:</w:t>
      </w:r>
    </w:p>
    <w:p>
      <w:pPr>
        <w:spacing w:line="574" w:lineRule="exact"/>
        <w:ind w:firstLine="584" w:firstLineChars="200"/>
        <w:jc w:val="center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bookmarkStart w:id="0" w:name="_Hlk161411769"/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2023年度申港、夏港区域老小区改造项目资金明细表</w:t>
      </w:r>
    </w:p>
    <w:bookmarkEnd w:id="0"/>
    <w:p>
      <w:pPr>
        <w:spacing w:line="574" w:lineRule="exact"/>
        <w:ind w:firstLine="584" w:firstLineChars="200"/>
        <w:jc w:val="right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单位：万元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842"/>
        <w:gridCol w:w="17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街道名称</w:t>
            </w:r>
          </w:p>
        </w:tc>
        <w:tc>
          <w:tcPr>
            <w:tcW w:w="1842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概算金额</w:t>
            </w:r>
          </w:p>
        </w:tc>
        <w:tc>
          <w:tcPr>
            <w:tcW w:w="1702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已投资金额</w:t>
            </w:r>
          </w:p>
        </w:tc>
        <w:tc>
          <w:tcPr>
            <w:tcW w:w="170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累计支付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璜土镇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15,000.00</w:t>
            </w:r>
          </w:p>
        </w:tc>
        <w:tc>
          <w:tcPr>
            <w:tcW w:w="1702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 xml:space="preserve">2,164.00 </w:t>
            </w:r>
          </w:p>
        </w:tc>
        <w:tc>
          <w:tcPr>
            <w:tcW w:w="1701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 xml:space="preserve">2,164.00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夏港街道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2,627.00</w:t>
            </w:r>
          </w:p>
        </w:tc>
        <w:tc>
          <w:tcPr>
            <w:tcW w:w="1701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2,627.00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申港街道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1,900.00</w:t>
            </w:r>
          </w:p>
        </w:tc>
        <w:tc>
          <w:tcPr>
            <w:tcW w:w="1701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利港街道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1,309.00</w:t>
            </w:r>
          </w:p>
        </w:tc>
        <w:tc>
          <w:tcPr>
            <w:tcW w:w="1701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1,309.00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15,000.00</w:t>
            </w:r>
          </w:p>
        </w:tc>
        <w:tc>
          <w:tcPr>
            <w:tcW w:w="1702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8,000.00</w:t>
            </w:r>
          </w:p>
        </w:tc>
        <w:tc>
          <w:tcPr>
            <w:tcW w:w="170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8,000.00</w:t>
            </w:r>
          </w:p>
        </w:tc>
      </w:tr>
    </w:tbl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注:项目处于施工阶段，累计支出为截至2024年12月31日支出金额。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6、改造情况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2023年度申港、夏港区域老小区改造项目受益明细表</w:t>
      </w:r>
    </w:p>
    <w:tbl>
      <w:tblPr>
        <w:tblStyle w:val="11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45"/>
        <w:gridCol w:w="1984"/>
        <w:gridCol w:w="1903"/>
        <w:gridCol w:w="1557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街道名称</w:t>
            </w:r>
          </w:p>
        </w:tc>
        <w:tc>
          <w:tcPr>
            <w:tcW w:w="19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受益小区数量</w:t>
            </w:r>
          </w:p>
        </w:tc>
        <w:tc>
          <w:tcPr>
            <w:tcW w:w="1903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受益栋数</w:t>
            </w:r>
          </w:p>
        </w:tc>
        <w:tc>
          <w:tcPr>
            <w:tcW w:w="155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受益户数</w:t>
            </w:r>
          </w:p>
        </w:tc>
        <w:tc>
          <w:tcPr>
            <w:tcW w:w="185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受益面积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璜土镇</w:t>
            </w:r>
          </w:p>
        </w:tc>
        <w:tc>
          <w:tcPr>
            <w:tcW w:w="1984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（总）5-5个</w:t>
            </w:r>
          </w:p>
        </w:tc>
        <w:tc>
          <w:tcPr>
            <w:tcW w:w="1903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128栋</w:t>
            </w:r>
          </w:p>
        </w:tc>
        <w:tc>
          <w:tcPr>
            <w:tcW w:w="155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4520户</w:t>
            </w:r>
          </w:p>
        </w:tc>
        <w:tc>
          <w:tcPr>
            <w:tcW w:w="185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39万平方米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夏港街道</w:t>
            </w:r>
          </w:p>
        </w:tc>
        <w:tc>
          <w:tcPr>
            <w:tcW w:w="1984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（总）9-9个</w:t>
            </w:r>
          </w:p>
        </w:tc>
        <w:tc>
          <w:tcPr>
            <w:tcW w:w="1903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254栋</w:t>
            </w:r>
          </w:p>
        </w:tc>
        <w:tc>
          <w:tcPr>
            <w:tcW w:w="155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8400户</w:t>
            </w:r>
          </w:p>
        </w:tc>
        <w:tc>
          <w:tcPr>
            <w:tcW w:w="185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112.38万平方米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申港街道</w:t>
            </w:r>
          </w:p>
        </w:tc>
        <w:tc>
          <w:tcPr>
            <w:tcW w:w="1984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（总）9-9个</w:t>
            </w:r>
          </w:p>
        </w:tc>
        <w:tc>
          <w:tcPr>
            <w:tcW w:w="1903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193栋</w:t>
            </w:r>
          </w:p>
        </w:tc>
        <w:tc>
          <w:tcPr>
            <w:tcW w:w="155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6542户</w:t>
            </w:r>
          </w:p>
        </w:tc>
        <w:tc>
          <w:tcPr>
            <w:tcW w:w="185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77万平方米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利港街道</w:t>
            </w:r>
          </w:p>
        </w:tc>
        <w:tc>
          <w:tcPr>
            <w:tcW w:w="1984" w:type="dxa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（总）5-5个</w:t>
            </w:r>
          </w:p>
        </w:tc>
        <w:tc>
          <w:tcPr>
            <w:tcW w:w="1903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205栋</w:t>
            </w:r>
          </w:p>
        </w:tc>
        <w:tc>
          <w:tcPr>
            <w:tcW w:w="155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6848户</w:t>
            </w:r>
          </w:p>
        </w:tc>
        <w:tc>
          <w:tcPr>
            <w:tcW w:w="185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102.29万平方米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（总）28-28个</w:t>
            </w:r>
          </w:p>
        </w:tc>
        <w:tc>
          <w:tcPr>
            <w:tcW w:w="1903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780栋</w:t>
            </w:r>
          </w:p>
        </w:tc>
        <w:tc>
          <w:tcPr>
            <w:tcW w:w="155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26310户</w:t>
            </w:r>
          </w:p>
        </w:tc>
        <w:tc>
          <w:tcPr>
            <w:tcW w:w="1851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330.67万平方米</w:t>
            </w:r>
          </w:p>
        </w:tc>
      </w:tr>
    </w:tbl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（二）绩效目标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1、总目标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通过对片区老旧小区改造，解决群众反映突出问题，改善居民生活质量，提高居住条件，增强人民群众获得感、幸福感、安全感。促进地区配套设施的完善，改善民生，提升地区市容市貌，改善城市生态环境，提升人居生活环境，促进地区宜居水平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2、阶段性绩效目标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本项目于2023年6月开工，目前正在改造中，计划2025年年底完成改造。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二、评价情况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（一）特点分析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通过“基础类、完善类、提升类”的改造提升，完善小区居住功能，健全小区物业管理，实现老城面貌的“美丽蝶变”。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（二）评价思路方法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主要用于28个老旧小区改造建设。因此，本次绩效评价内容主要是28个老旧小区建设完成情况，资金使用情况和效果等。重点关注资金的支出是否合法合规，项目是否达到了预期的效果。通过对28 个老旧小区改造项目专项资金项目中决策、管理、实施和后续运行情况等方面进行分析，全面了解项目立项及管理过程是否规范、产出目标是否完成以及效果目标是否实现等方面的内容。在此基础上，重点分析项目申报决策的合理性、专项资金管理、使用、风险控制等情况，评价项目资金的使用效率和效果，为以后年度编制项目预算、遴选项目、管理专项资金等提供参考依据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（三）评价原则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1、科学规范原则。绩效评价注重专项债券资金管理的规范性，支出的经济性、效率性和有效性，融资自求平衡情况和风险控制情况，严格执行规定的程序，合理确定绩效目标和评价内容，运用简便、实用、定量与定性分析相结合的方法，规范进行评价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2、公正公开原则。坚持客观、公平、公正，做到依据合法、标准统一、资料可靠、实事求是、公开透明，并接受监督。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3、绩效相关原则。绩效评价针对具体支出及其产出绩效进行，评价结果清晰反映支出和产出绩效之间的紧密对应关系。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4、成本效益原则。绩效评价指标应当通俗易懂、简便易行，数据的获得应当考虑现实条件和可操作性。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（四）评价方法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1、资料审阅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从项目相关方获取立项政策文件、资金拨付、项目管理和资金管理办法、项目建设资料、项目成果的佐证资料、工作总结等，进行认真审阅，准确把握项目资金的安排和使用情况、项目实施的内容、服务对象，通过查阅资料初步了解项目实施情况和整体绩效目标的实现情况，为绩效评价工作收集充分、有效的证据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2、比较分析法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通过对比项目预定目标和实际产出、效益，分析项目产出数量、质量的完成情况，分析项目成本控制情况和效益实现程度，分析项目实施产生的经济效益、社会效益、可持续性影响、满意度等效益指标，并对相关佐证资料进行逐一分析、对比，分析项目实施前后的效益，分析项目预期目标的实现情况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3、资金查验法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通过对项目实施单位账簿和原始凭据的核查，对资金的到位、拨付及使用情况进行梳理和检查，对资金未到位或未使用的原因进行追溯分析，判断资金使用的合规性、合理性。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（五）绩效评价结论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按照上级要求实行专款专用，资金全部符合该项目支出要求。年初制定了绩效目标，并全面完成。项目实施绩效基本达到预期，资金总体上激励扶持了2023年度申港、夏港区域老小区改造项目的实施，取得了一定的效益。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根据《2023年度申港、夏港区域老小区改造项目绩效综合评价表》的评分标准进行逐项评分，总分100分，最后得分9</w:t>
      </w:r>
      <w:r>
        <w:rPr>
          <w:rFonts w:hint="eastAsia" w:ascii="Times New Roman" w:hAnsi="Times New Roman" w:eastAsia="仿宋_GB2312" w:cs="Times New Roman"/>
          <w:spacing w:val="-4"/>
          <w:sz w:val="30"/>
          <w:szCs w:val="30"/>
          <w:lang w:val="en-US" w:eastAsia="zh-CN"/>
        </w:rPr>
        <w:t>3</w:t>
      </w:r>
      <w:bookmarkStart w:id="1" w:name="_GoBack"/>
      <w:bookmarkEnd w:id="1"/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分，评价等级为“优秀”。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三、项目绩效</w:t>
      </w:r>
    </w:p>
    <w:p>
      <w:pPr>
        <w:spacing w:line="574" w:lineRule="exact"/>
        <w:ind w:firstLine="542" w:firstLineChars="200"/>
        <w:jc w:val="both"/>
        <w:rPr>
          <w:rFonts w:ascii="Times New Roman" w:hAnsi="Times New Roman" w:eastAsia="仿宋_GB2312" w:cs="Times New Roman"/>
          <w:b/>
          <w:bCs/>
          <w:spacing w:val="-15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-15"/>
          <w:sz w:val="30"/>
          <w:szCs w:val="30"/>
          <w:lang w:eastAsia="zh-CN"/>
        </w:rPr>
        <w:t>（一）坚持以人为本，把握改造重点</w:t>
      </w:r>
    </w:p>
    <w:p>
      <w:pPr>
        <w:spacing w:line="574" w:lineRule="exact"/>
        <w:ind w:firstLine="584" w:firstLineChars="200"/>
        <w:jc w:val="both"/>
        <w:rPr>
          <w:rFonts w:ascii="Times New Roman" w:hAnsi="Times New Roman" w:eastAsia="仿宋_GB2312" w:cs="Times New Roman"/>
          <w:spacing w:val="-15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2023年度申港、夏港区域老小区改造项目</w:t>
      </w:r>
      <w:r>
        <w:rPr>
          <w:rFonts w:ascii="Times New Roman" w:hAnsi="Times New Roman" w:eastAsia="仿宋_GB2312" w:cs="Times New Roman"/>
          <w:spacing w:val="-15"/>
          <w:sz w:val="30"/>
          <w:szCs w:val="30"/>
          <w:lang w:eastAsia="zh-CN"/>
        </w:rPr>
        <w:t>，是临港开发区为民兴办的一件实事，也是改善民生事业蓬勃发展的一大成果。</w:t>
      </w:r>
      <w:r>
        <w:rPr>
          <w:rFonts w:hint="eastAsia" w:ascii="Times New Roman" w:hAnsi="Times New Roman" w:eastAsia="仿宋_GB2312" w:cs="Times New Roman"/>
          <w:spacing w:val="-15"/>
          <w:sz w:val="30"/>
          <w:szCs w:val="30"/>
          <w:lang w:eastAsia="zh-CN"/>
        </w:rPr>
        <w:t>主要做法：一是政府主导，业主参与原则。发挥政府主导作用，充分调动老旧小区业主参与的积极性，使居民既积极参与、主动为小区改造建设出谋划策； 二是因地制宜，分类施策原则。坚持先民生后提升，以完善老旧小区配套设施为切入点，重点解决居民供水、供电、供气、公共部位维修、垃圾分类等问题，根据老旧小区的建成年代、建筑规模、居住人口、改造需求等，因地制宜，分类施策，科学制定老旧小区改造方案，既尽力而为又量力而行，不搞“一刀切”；三是部门协作，统筹推进原则。丰富完善老旧小区及其周边区域公共服务和社会服务的配套与供给，推行小区改造与各专项工程以及既有住宅电梯增设的统筹整合。四是建管并举，注重长效原则。坚持改造与管理相结合，建立老旧小区物业管理长效机制，补建、续筹住宅专项维修资金。</w:t>
      </w:r>
    </w:p>
    <w:p>
      <w:pPr>
        <w:spacing w:line="574" w:lineRule="exact"/>
        <w:ind w:firstLine="542" w:firstLineChars="200"/>
        <w:jc w:val="both"/>
        <w:rPr>
          <w:rFonts w:ascii="Times New Roman" w:hAnsi="Times New Roman" w:eastAsia="仿宋_GB2312" w:cs="Times New Roman"/>
          <w:b/>
          <w:bCs/>
          <w:spacing w:val="-15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-15"/>
          <w:sz w:val="30"/>
          <w:szCs w:val="30"/>
          <w:lang w:eastAsia="zh-CN"/>
        </w:rPr>
        <w:t>（二）排实推进计划</w:t>
      </w:r>
    </w:p>
    <w:p>
      <w:pPr>
        <w:spacing w:line="574" w:lineRule="exact"/>
        <w:ind w:firstLine="540" w:firstLineChars="200"/>
        <w:jc w:val="both"/>
        <w:rPr>
          <w:rFonts w:ascii="Times New Roman" w:hAnsi="Times New Roman" w:eastAsia="仿宋_GB2312" w:cs="Times New Roman"/>
          <w:spacing w:val="-15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pacing w:val="-15"/>
          <w:sz w:val="30"/>
          <w:szCs w:val="30"/>
          <w:lang w:eastAsia="zh-CN"/>
        </w:rPr>
        <w:t>从人民群众较关心、较直接、较现实的利益问题出发，广泛征求居民意见并合理确定改造内容，重点改造完善小区配套和市政基础设施。</w:t>
      </w: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围绕又好又快目标，细化推进计划，严格按照工程招标程序，规范项目实施行为；组织设计、精心施工，施工时间统一协调，确保完成既定的施工进度</w:t>
      </w:r>
      <w:r>
        <w:rPr>
          <w:rFonts w:ascii="Times New Roman" w:hAnsi="Times New Roman" w:eastAsia="仿宋_GB2312" w:cs="Times New Roman"/>
          <w:spacing w:val="-15"/>
          <w:sz w:val="30"/>
          <w:szCs w:val="30"/>
          <w:lang w:eastAsia="zh-CN"/>
        </w:rPr>
        <w:t>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四、存在问题</w:t>
      </w:r>
    </w:p>
    <w:p>
      <w:pPr>
        <w:spacing w:line="574" w:lineRule="exact"/>
        <w:ind w:firstLine="602" w:firstLineChars="200"/>
        <w:jc w:val="both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工程尚未竣工，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满意度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未达预期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目前老旧小区改造项目处于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中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期实施阶段，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尚未完成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改造竣工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百姓满意度目标满意度</w:t>
      </w:r>
      <w:r>
        <w:rPr>
          <w:rFonts w:hint="eastAsia" w:ascii="Times New Roman" w:hAnsi="Times New Roman" w:eastAsia="仿宋_GB2312" w:cs="Times New Roman"/>
          <w:spacing w:val="-4"/>
          <w:sz w:val="30"/>
          <w:szCs w:val="30"/>
          <w:lang w:eastAsia="zh-CN"/>
        </w:rPr>
        <w:t>较</w:t>
      </w:r>
      <w:r>
        <w:rPr>
          <w:rFonts w:ascii="Times New Roman" w:hAnsi="Times New Roman" w:eastAsia="仿宋_GB2312" w:cs="Times New Roman"/>
          <w:spacing w:val="-4"/>
          <w:sz w:val="30"/>
          <w:szCs w:val="30"/>
          <w:lang w:eastAsia="zh-CN"/>
        </w:rPr>
        <w:t>低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。改造过程中给居民生活带来一些施工噪音污染、交通不便影响通行、扬尘污染等影响，整体面貌未能显现。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五、有关建议</w:t>
      </w:r>
    </w:p>
    <w:p>
      <w:pPr>
        <w:spacing w:line="574" w:lineRule="exact"/>
        <w:ind w:firstLine="602" w:firstLineChars="200"/>
        <w:jc w:val="both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（一）积极推进工程进度，认真听取百姓意见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建议项目相关单位加强对施工单位、监理单位的管理，根据合同约定内容对实施内容进行监督，定期召开工程例会，研究分析影响进度的主要原因，采取相应措施，保障工程项目按时高质量完工，建立长效管理机制，确保项目在计划建设工期内完成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积极听取群众百姓反馈意见，在小区改造实施之前，制作小区改造展板，对拟改造内容和改造后的效果，通过图片直接展现在群众面前，征集群众意见，让群众知晓、认可并参与进来。从项目实施改造前的准备阶段到项目的交付使用，均有群众参与的印记，改造过程中群众自发组成“编外监理”队伍，时刻监督施工质量，确保民生工程成为“放心工程”、“民心工程”。争取在原有基础上增加绿化、景观、电梯、停车场、活动场所等公共设施，使得老旧小区美观度和实用性能更上一层楼，面貌焕然一新，人们居住体验更好，提升群众满意度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各镇、街道在整治方案确定前，应广泛征求、听取区各有关部门、单位和辖区内居民代表意见。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各镇、街道要按照区政府确定的老旧住宅小区整治要求和实施计划，抓紧做好前期的组织实施工作，有条件的镇、街道可在整治计划的基础上提前实施。同时明确的总的老旧小区整治改造标准，主要关注如下: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一、拆除违法建筑物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(1)拆除小区内所有违法建筑物: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(2)经整治方案会审确定需保留部分违法建筑作为物业管理用房的，报请规划部门办理保留手续。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二、进行房屋维修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(1)屋面防水层重新处理，做到不渗漏。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 xml:space="preserve">(2)外墙重新涂料，对外墙破损、脱落、风化严重的予以铲除，重新粉刷(涂料)外墙涂料做到新旧黏结牢固、平整，无起鼓、脱皮现象。 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三、完善配套设施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(1)更新破损严重的雨水管、雨水斗，对尚可使用的铸铁雨水管进行油漆保养，水管应接至地下排水沟或散水坡。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(2)下水道、排污总管、窨井进行清理疏通，保持排放畅通。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 xml:space="preserve">(3)对小区路面状况较差的道路进行修补和改造，路面坑洼、积水严重的进行整治做到路面平坦，排水畅通。 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(4)在不影响小区绿地面积的前提下，有条件的可选点建造机动车停车位或集中式非机动车停车库。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四、改建安全封闭设施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(1)根据小区居民出入实际情况，确定小区主要出入口和消防通道，对其他出入口进行封闭。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(2)小区主要出入口设置门楼、配置岗亭和电动伸缩门或道闸，门楼和门岗应做到简洁、美观、大方、方便居民出入及保安人员管理。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(3)小区四周有安全封闭设施，对沿街的封闭围墙应改造为透空式围墙。</w:t>
      </w:r>
    </w:p>
    <w:p>
      <w:pPr>
        <w:spacing w:line="574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(4)检修、改造小区监控设备，提高小区安全防范能力。</w:t>
      </w:r>
    </w:p>
    <w:sectPr>
      <w:type w:val="continuous"/>
      <w:pgSz w:w="11910" w:h="16840"/>
      <w:pgMar w:top="2098" w:right="1474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mNhZDc1YWY3ZGYxYzZhOWI4MjQ1ODcxMWQ5NzYxYzQifQ=="/>
    <w:docVar w:name="KSO_WPS_MARK_KEY" w:val="f79bd8be-4982-434d-9a3c-f6ccd8d2c1be"/>
  </w:docVars>
  <w:rsids>
    <w:rsidRoot w:val="006A0286"/>
    <w:rsid w:val="00000874"/>
    <w:rsid w:val="0000186F"/>
    <w:rsid w:val="000171C8"/>
    <w:rsid w:val="00026691"/>
    <w:rsid w:val="00027842"/>
    <w:rsid w:val="0005003C"/>
    <w:rsid w:val="0007004E"/>
    <w:rsid w:val="0009306B"/>
    <w:rsid w:val="000966BC"/>
    <w:rsid w:val="000C4B82"/>
    <w:rsid w:val="000C6793"/>
    <w:rsid w:val="000D23F4"/>
    <w:rsid w:val="000D739C"/>
    <w:rsid w:val="000E123E"/>
    <w:rsid w:val="000F0010"/>
    <w:rsid w:val="000F1EEF"/>
    <w:rsid w:val="000F4E25"/>
    <w:rsid w:val="001013D7"/>
    <w:rsid w:val="001076FD"/>
    <w:rsid w:val="00112A3C"/>
    <w:rsid w:val="0012335B"/>
    <w:rsid w:val="00153E19"/>
    <w:rsid w:val="00183D8F"/>
    <w:rsid w:val="001A38DB"/>
    <w:rsid w:val="001A7825"/>
    <w:rsid w:val="001C0071"/>
    <w:rsid w:val="001D43CE"/>
    <w:rsid w:val="001D4427"/>
    <w:rsid w:val="001E1F08"/>
    <w:rsid w:val="001F5652"/>
    <w:rsid w:val="002034C4"/>
    <w:rsid w:val="00205EFF"/>
    <w:rsid w:val="00223670"/>
    <w:rsid w:val="00240178"/>
    <w:rsid w:val="002820B4"/>
    <w:rsid w:val="002A2594"/>
    <w:rsid w:val="002A7D28"/>
    <w:rsid w:val="002B1A8D"/>
    <w:rsid w:val="002B214E"/>
    <w:rsid w:val="002D449D"/>
    <w:rsid w:val="002D64AA"/>
    <w:rsid w:val="002F39B9"/>
    <w:rsid w:val="003020B2"/>
    <w:rsid w:val="00317F35"/>
    <w:rsid w:val="0032110C"/>
    <w:rsid w:val="0035437E"/>
    <w:rsid w:val="0035598D"/>
    <w:rsid w:val="00377927"/>
    <w:rsid w:val="003A5A5B"/>
    <w:rsid w:val="003D4D43"/>
    <w:rsid w:val="003F2804"/>
    <w:rsid w:val="00412A90"/>
    <w:rsid w:val="00427AA3"/>
    <w:rsid w:val="004309F6"/>
    <w:rsid w:val="00444A16"/>
    <w:rsid w:val="00453872"/>
    <w:rsid w:val="00485FCA"/>
    <w:rsid w:val="00496584"/>
    <w:rsid w:val="004B1555"/>
    <w:rsid w:val="004E3E98"/>
    <w:rsid w:val="004F2889"/>
    <w:rsid w:val="00541FD2"/>
    <w:rsid w:val="0055497B"/>
    <w:rsid w:val="0058181F"/>
    <w:rsid w:val="005C5968"/>
    <w:rsid w:val="005D094F"/>
    <w:rsid w:val="005D0C0F"/>
    <w:rsid w:val="005D61F8"/>
    <w:rsid w:val="006032DC"/>
    <w:rsid w:val="00617C04"/>
    <w:rsid w:val="006A0286"/>
    <w:rsid w:val="006F1257"/>
    <w:rsid w:val="006F2AB8"/>
    <w:rsid w:val="00703820"/>
    <w:rsid w:val="00705261"/>
    <w:rsid w:val="00705B52"/>
    <w:rsid w:val="00713C0D"/>
    <w:rsid w:val="0072052A"/>
    <w:rsid w:val="0072674E"/>
    <w:rsid w:val="007416BA"/>
    <w:rsid w:val="00750611"/>
    <w:rsid w:val="0075529D"/>
    <w:rsid w:val="0075652D"/>
    <w:rsid w:val="00761C09"/>
    <w:rsid w:val="00763880"/>
    <w:rsid w:val="00764A3D"/>
    <w:rsid w:val="00784065"/>
    <w:rsid w:val="00784171"/>
    <w:rsid w:val="0078612C"/>
    <w:rsid w:val="007A446C"/>
    <w:rsid w:val="007A754E"/>
    <w:rsid w:val="007C7621"/>
    <w:rsid w:val="007C7F57"/>
    <w:rsid w:val="007F3D5F"/>
    <w:rsid w:val="00814508"/>
    <w:rsid w:val="0083057F"/>
    <w:rsid w:val="00830C91"/>
    <w:rsid w:val="008735E5"/>
    <w:rsid w:val="008861A1"/>
    <w:rsid w:val="008B17CB"/>
    <w:rsid w:val="008B72FE"/>
    <w:rsid w:val="008C735A"/>
    <w:rsid w:val="008D395B"/>
    <w:rsid w:val="008D554C"/>
    <w:rsid w:val="008D5CD0"/>
    <w:rsid w:val="008D7527"/>
    <w:rsid w:val="008E3FD4"/>
    <w:rsid w:val="008F6FC9"/>
    <w:rsid w:val="00926E98"/>
    <w:rsid w:val="00934A21"/>
    <w:rsid w:val="0095504B"/>
    <w:rsid w:val="009B2D68"/>
    <w:rsid w:val="009F0591"/>
    <w:rsid w:val="00A14DE2"/>
    <w:rsid w:val="00A2319F"/>
    <w:rsid w:val="00A2428C"/>
    <w:rsid w:val="00A41E81"/>
    <w:rsid w:val="00A70DB0"/>
    <w:rsid w:val="00A72387"/>
    <w:rsid w:val="00A731BB"/>
    <w:rsid w:val="00A863A2"/>
    <w:rsid w:val="00A959D4"/>
    <w:rsid w:val="00AA24DC"/>
    <w:rsid w:val="00AB2A52"/>
    <w:rsid w:val="00AC69E3"/>
    <w:rsid w:val="00B03CA8"/>
    <w:rsid w:val="00B14C89"/>
    <w:rsid w:val="00B320FE"/>
    <w:rsid w:val="00B33955"/>
    <w:rsid w:val="00B55A76"/>
    <w:rsid w:val="00B94DF9"/>
    <w:rsid w:val="00BC4DE6"/>
    <w:rsid w:val="00BD1F01"/>
    <w:rsid w:val="00C26C8C"/>
    <w:rsid w:val="00C40E9C"/>
    <w:rsid w:val="00C437A2"/>
    <w:rsid w:val="00CB64D3"/>
    <w:rsid w:val="00CB7128"/>
    <w:rsid w:val="00CE551D"/>
    <w:rsid w:val="00D02D47"/>
    <w:rsid w:val="00D20830"/>
    <w:rsid w:val="00D23957"/>
    <w:rsid w:val="00D41415"/>
    <w:rsid w:val="00D57C51"/>
    <w:rsid w:val="00D62615"/>
    <w:rsid w:val="00D6475C"/>
    <w:rsid w:val="00D6562E"/>
    <w:rsid w:val="00D71C46"/>
    <w:rsid w:val="00D855DD"/>
    <w:rsid w:val="00D85F96"/>
    <w:rsid w:val="00D97089"/>
    <w:rsid w:val="00DC081C"/>
    <w:rsid w:val="00DD3EAC"/>
    <w:rsid w:val="00DE067D"/>
    <w:rsid w:val="00DE2B02"/>
    <w:rsid w:val="00DF053C"/>
    <w:rsid w:val="00E1011A"/>
    <w:rsid w:val="00E4130C"/>
    <w:rsid w:val="00E5553A"/>
    <w:rsid w:val="00E70A55"/>
    <w:rsid w:val="00E779D5"/>
    <w:rsid w:val="00E82B9D"/>
    <w:rsid w:val="00EA115D"/>
    <w:rsid w:val="00EB03FD"/>
    <w:rsid w:val="00EC4B97"/>
    <w:rsid w:val="00EC7E86"/>
    <w:rsid w:val="00ED06B2"/>
    <w:rsid w:val="00ED67B7"/>
    <w:rsid w:val="00EE5402"/>
    <w:rsid w:val="00EF10E5"/>
    <w:rsid w:val="00EF1BDD"/>
    <w:rsid w:val="00EF40A4"/>
    <w:rsid w:val="00EF65E3"/>
    <w:rsid w:val="00EF6D73"/>
    <w:rsid w:val="00EF7827"/>
    <w:rsid w:val="00F006B7"/>
    <w:rsid w:val="00F105AA"/>
    <w:rsid w:val="00F161C4"/>
    <w:rsid w:val="00F35A70"/>
    <w:rsid w:val="00F4202D"/>
    <w:rsid w:val="00FA4D15"/>
    <w:rsid w:val="00FB5E7E"/>
    <w:rsid w:val="00FC3430"/>
    <w:rsid w:val="00FC35EE"/>
    <w:rsid w:val="00FC405A"/>
    <w:rsid w:val="00FC7877"/>
    <w:rsid w:val="00FD74A3"/>
    <w:rsid w:val="00FE1EA9"/>
    <w:rsid w:val="331217FF"/>
    <w:rsid w:val="4D5E2ACC"/>
    <w:rsid w:val="5C4E1BEB"/>
    <w:rsid w:val="5FEB4F5F"/>
    <w:rsid w:val="63CC1360"/>
    <w:rsid w:val="6B7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rFonts w:ascii="宋体" w:hAnsi="宋体" w:eastAsia="宋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-21" w:firstLine="2592"/>
      <w:outlineLvl w:val="1"/>
    </w:pPr>
    <w:rPr>
      <w:rFonts w:ascii="宋体" w:hAnsi="宋体" w:eastAsia="宋体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</w:style>
  <w:style w:type="paragraph" w:styleId="5">
    <w:name w:val="Body Text"/>
    <w:basedOn w:val="1"/>
    <w:qFormat/>
    <w:uiPriority w:val="1"/>
    <w:pPr>
      <w:spacing w:before="207"/>
      <w:ind w:left="120"/>
    </w:pPr>
    <w:rPr>
      <w:rFonts w:ascii="宋体" w:hAnsi="宋体" w:eastAsia="宋体"/>
      <w:sz w:val="30"/>
      <w:szCs w:val="3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cs="方正黑体_GBK" w:eastAsiaTheme="minorEastAsia"/>
      <w:color w:val="000000"/>
      <w:sz w:val="24"/>
      <w:szCs w:val="24"/>
      <w:lang w:val="en-US" w:eastAsia="en-US" w:bidi="ar-SA"/>
    </w:r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2"/>
    <w:link w:val="4"/>
    <w:semiHidden/>
    <w:qFormat/>
    <w:uiPriority w:val="99"/>
    <w:rPr>
      <w:sz w:val="22"/>
      <w:szCs w:val="22"/>
      <w:lang w:eastAsia="en-US"/>
    </w:rPr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  <w:sz w:val="22"/>
      <w:szCs w:val="22"/>
      <w:lang w:eastAsia="en-US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4797</Words>
  <Characters>5114</Characters>
  <Lines>37</Lines>
  <Paragraphs>10</Paragraphs>
  <TotalTime>460</TotalTime>
  <ScaleCrop>false</ScaleCrop>
  <LinksUpToDate>false</LinksUpToDate>
  <CharactersWithSpaces>5126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2021-08-19T09:37:00Z</dcterms:created>
  <dc:creator>张肖军(拟稿)</dc:creator>
  <cp:lastModifiedBy>Administrator</cp:lastModifiedBy>
  <cp:lastPrinted>2023-03-15T06:25:00Z</cp:lastPrinted>
  <dcterms:modified xsi:type="dcterms:W3CDTF">2025-04-21T08:47:07Z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2021-08-19T00:00:00Z</vt:filetime>
  </property>
  <property fmtid="{D5CDD505-2E9C-101B-9397-08002B2CF9AE}" pid="5" name="KSOProductBuildVer">
    <vt:lpwstr>2052-11.1.0.12759</vt:lpwstr>
  </property>
  <property fmtid="{D5CDD505-2E9C-101B-9397-08002B2CF9AE}" pid="6" name="ICV">
    <vt:lpwstr>6110B7415DC740C58185CD86345CBEB1</vt:lpwstr>
  </property>
</Properties>
</file>