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96"/>
        <w:pBdr/>
        <w:spacing w:after="0" w:afterAutospacing="0" w:before="0" w:beforeAutospacing="0"/>
        <w:ind/>
        <w:jc w:val="center"/>
        <w:rPr>
          <w:rFonts w:hint="eastAsia"/>
          <w:color w:val="313131"/>
          <w:sz w:val="44"/>
          <w:szCs w:val="44"/>
        </w:rPr>
      </w:pPr>
      <w:r>
        <w:rPr>
          <w:rFonts w:hint="eastAsia"/>
          <w:color w:val="313131"/>
          <w:sz w:val="44"/>
          <w:szCs w:val="44"/>
        </w:rPr>
        <w:t xml:space="preserve">201</w:t>
      </w:r>
      <w:r>
        <w:rPr>
          <w:rFonts w:hint="eastAsia"/>
          <w:color w:val="313131"/>
          <w:sz w:val="44"/>
          <w:szCs w:val="44"/>
        </w:rPr>
        <w:t xml:space="preserve">2</w:t>
      </w:r>
      <w:r>
        <w:rPr>
          <w:rFonts w:hint="eastAsia"/>
          <w:color w:val="313131"/>
          <w:sz w:val="44"/>
          <w:szCs w:val="44"/>
        </w:rPr>
        <w:t xml:space="preserve">年江阴市司法局政府信息公开年报</w:t>
      </w:r>
      <w:r>
        <w:rPr>
          <w:rFonts w:hint="eastAsia"/>
          <w:color w:val="313131"/>
          <w:sz w:val="44"/>
          <w:szCs w:val="44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60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本年报是根据《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市政府信息公开规定》要求，由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市司法局编制的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201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年度政府信息公开年度报告。全文包括概述、政府信息主动公开情况、政府信息依申请公开情况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、咨询情况、复议、诉讼和申诉情况以及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存在的主要问题和改进措施。我局政府网站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http://www.jiangyin.gov.cn/sfj/index.shtml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上可下载本报告的电子版。如对本报告有任何疑问，请联系：江阴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市司法局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办公室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（地址：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文化中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路26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9号206办公室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，电话：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86862206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）。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</w:t>
      </w:r>
      <w:r>
        <w:rPr>
          <w:rStyle w:val="697"/>
          <w:rFonts w:hint="eastAsia" w:ascii="仿宋_GB2312" w:eastAsia="仿宋_GB2312"/>
          <w:color w:val="313131"/>
          <w:sz w:val="30"/>
          <w:szCs w:val="30"/>
        </w:rPr>
        <w:t xml:space="preserve">　一、概述 </w:t>
      </w: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根据《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市政府信息公开规定》要求，我局专门配备了1名工作人员，设立了1个专门的信息申请受理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科室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，开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通了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江阴司法行政网、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江阴普法网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等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网站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。截至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201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年底，我局政府信息公开工作运行正常，政府信息公开咨询、申请以及答复工作均得到了顺利开展。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以下是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201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年我局政府信息公开工作的概况：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60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b/>
          <w:color w:val="313131"/>
          <w:sz w:val="30"/>
          <w:szCs w:val="30"/>
        </w:rPr>
        <w:t xml:space="preserve">1、严格按照要求的形式公开政府信息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。按市政府的统一要求，认真做好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司法行政门户网站政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务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公开专栏的维护更新工作。今年以来，我局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共主动公开政府信息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3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75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条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，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通过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司法行政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网站“政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务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公开”专栏，主动公开政府信息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7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4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条；并及时按照规定向市档案局报送纸质和电子版本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公开政府信息。此外，还通过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司法行政网和江阴普法网相关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栏目及时向社会公示了大量有关司法行政工作的有关信息。 </w:t>
      </w: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60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b/>
          <w:color w:val="313131"/>
          <w:sz w:val="30"/>
          <w:szCs w:val="30"/>
        </w:rPr>
        <w:t xml:space="preserve">2、严格把关，建立主动公开政府信息更新维护制度。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为使公民、法人和其他组织及时掌握和获取与司法行政工作相关的政府信息，我局进一步加强了对信息的动态管理，严格执行《保密法》、《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市政府信息公开规定》等有关规定，及时梳理、增补新产生的信息，按规定程序做好保密审核，认真做好信息更新工作，确保信息及时得到公开。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</w:t>
      </w:r>
      <w:r>
        <w:rPr>
          <w:rFonts w:hint="eastAsia" w:ascii="仿宋_GB2312" w:eastAsia="仿宋_GB2312"/>
          <w:b/>
          <w:color w:val="313131"/>
          <w:sz w:val="30"/>
          <w:szCs w:val="30"/>
        </w:rPr>
        <w:t xml:space="preserve">3、按照要求及时更新《政府信息目录》和《政府信息公开指南》。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严格按照要求，根据我局新公布政府信息等有关情况，及时修改完善《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市司法局政府信息公开目录》和《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江阴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市司法局政府信息公开指南》，在我局门户网站上予以公开，并将上述材料纸质和电子《目录》和《指南》报送市档案馆。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</w:t>
      </w:r>
      <w:r>
        <w:rPr>
          <w:rFonts w:hint="eastAsia" w:ascii="仿宋_GB2312" w:eastAsia="仿宋_GB2312"/>
          <w:b/>
          <w:color w:val="313131"/>
          <w:sz w:val="30"/>
          <w:szCs w:val="30"/>
        </w:rPr>
        <w:t xml:space="preserve">4、完善了信息公开审核机制。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对于政府信息，哪些应主动公开，哪些依申请公开，哪些免于公开，我们严格按照国家有关保密的规定，予以严格的审核界定。对相关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科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室及局属单位报送的信息先由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科室或单位负责人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初审，然后由政府信息公开受理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办公室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提交分管局领导审核，最后才对社会公众予以公开。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</w:t>
      </w:r>
      <w:r>
        <w:rPr>
          <w:rStyle w:val="697"/>
          <w:rFonts w:hint="eastAsia" w:ascii="仿宋_GB2312" w:eastAsia="仿宋_GB2312"/>
          <w:color w:val="313131"/>
          <w:sz w:val="30"/>
          <w:szCs w:val="30"/>
        </w:rPr>
        <w:t xml:space="preserve">　二、政府信息主动公开情况 </w:t>
      </w: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本局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201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年度共主动公开政府信息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3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75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条。在主动公开的信息中，政策法规类的信息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24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条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；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在主动公开的信息中与公众密切相关的重大事项方面的信息有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36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条，在主动公开的信息中属公共资金使用和监督方面的信息0条。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</w:t>
      </w:r>
      <w:r>
        <w:rPr>
          <w:rStyle w:val="697"/>
          <w:rFonts w:hint="eastAsia" w:ascii="仿宋_GB2312" w:eastAsia="仿宋_GB2312"/>
          <w:color w:val="313131"/>
          <w:sz w:val="30"/>
          <w:szCs w:val="30"/>
        </w:rPr>
        <w:t xml:space="preserve">　三、政府信息依申请公开情况 </w:t>
      </w: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60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本局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201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年度受理信息公开申请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0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件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。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60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Style w:val="697"/>
          <w:rFonts w:hint="eastAsia" w:ascii="仿宋_GB2312" w:eastAsia="仿宋_GB2312"/>
          <w:color w:val="313131"/>
          <w:sz w:val="30"/>
          <w:szCs w:val="30"/>
        </w:rPr>
        <w:t xml:space="preserve">四、咨询情况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60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本局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201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年度共接受市民咨询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1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5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00多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人次，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网上回复咨询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72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件。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（主要是法律咨询）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60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Style w:val="697"/>
          <w:rFonts w:hint="eastAsia" w:ascii="仿宋_GB2312" w:eastAsia="仿宋_GB2312"/>
          <w:color w:val="313131"/>
          <w:sz w:val="30"/>
          <w:szCs w:val="30"/>
        </w:rPr>
        <w:t xml:space="preserve">五、复议、诉讼和申诉情况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本局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201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2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年度发生针对本部门有关政府信息公开事务的行政复议案0件；发生针对本部门有关政府信息公开事务的行政诉讼案0件；此外，本局收到各类针对本部门政府信息公开事务有关的申诉案（包括信访、举控）0件。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</w:t>
      </w:r>
      <w:r>
        <w:rPr>
          <w:rStyle w:val="697"/>
          <w:rFonts w:hint="eastAsia" w:ascii="仿宋_GB2312" w:eastAsia="仿宋_GB2312"/>
          <w:color w:val="313131"/>
          <w:sz w:val="30"/>
          <w:szCs w:val="30"/>
        </w:rPr>
        <w:t xml:space="preserve">　</w:t>
      </w:r>
      <w:r>
        <w:rPr>
          <w:rStyle w:val="697"/>
          <w:rFonts w:hint="eastAsia" w:ascii="仿宋_GB2312" w:eastAsia="仿宋_GB2312"/>
          <w:color w:val="313131"/>
          <w:sz w:val="30"/>
          <w:szCs w:val="30"/>
        </w:rPr>
        <w:t xml:space="preserve">六</w:t>
      </w:r>
      <w:r>
        <w:rPr>
          <w:rStyle w:val="697"/>
          <w:rFonts w:hint="eastAsia" w:ascii="仿宋_GB2312" w:eastAsia="仿宋_GB2312"/>
          <w:color w:val="313131"/>
          <w:sz w:val="30"/>
          <w:szCs w:val="30"/>
        </w:rPr>
        <w:t xml:space="preserve">、存在的主要问题和改进措施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我局的政府信息公开工作目前主要存在的问题是：政府信息更新的维护机制有待进一步加强、政府信息公开的渠道和形式与百姓的要求还有一定的差距。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针对我局在政府信息公开方面存在的问题，并对照《通知》的有关要求，我们准备从以下几个方面进一步加强我局的政府信息公开工作：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第一，进一步完善政府信息公开的网上平台。我们准备进一步完善我局的政府信息公开网上平台，重点加强信息归集高效化和信息查询便捷化，为打造“透明政府”打基础。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　　第二，进一步完善政府信息公开体制机制建设。将在建立和完善政务公开相关工作责任制上下功夫，抓落实，以加强对政府信息公开工作管理，进一步提高工作效率和工作质量。 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48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第三，拓宽渠道，丰富政府信息公开形式。在进一步完善网络公开，做好受理窗口公开的基础上，尝试通过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电视、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广播等形式来公开政府信息，以不断丰富我局的政府信息公开形式。 </w:t>
      </w: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48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                           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48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48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498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  江阴市司法局</w:t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6"/>
        <w:pBdr/>
        <w:spacing w:after="0" w:afterAutospacing="0" w:before="0" w:beforeAutospacing="0"/>
        <w:ind w:firstLine="4680"/>
        <w:rPr>
          <w:rFonts w:hint="eastAsia" w:ascii="仿宋_GB2312" w:eastAsia="仿宋_GB2312"/>
          <w:color w:val="313131"/>
          <w:sz w:val="30"/>
          <w:szCs w:val="30"/>
        </w:rPr>
      </w:pPr>
      <w:r>
        <w:rPr>
          <w:rFonts w:hint="eastAsia" w:ascii="仿宋_GB2312" w:eastAsia="仿宋_GB2312"/>
          <w:color w:val="313131"/>
          <w:sz w:val="30"/>
          <w:szCs w:val="30"/>
        </w:rPr>
        <w:t xml:space="preserve">二0一</w:t>
      </w:r>
      <w:r>
        <w:rPr>
          <w:rFonts w:hint="eastAsia" w:ascii="仿宋_GB2312" w:eastAsia="仿宋_GB2312"/>
          <w:color w:val="313131"/>
          <w:sz w:val="30"/>
          <w:szCs w:val="30"/>
        </w:rPr>
        <w:t xml:space="preserve">三</w:t>
      </w:r>
      <w:r>
        <w:rPr>
          <w:rFonts w:hint="eastAsia" w:ascii="仿宋_GB2312" w:hAnsi="仿宋_GB2312" w:eastAsia="仿宋_GB2312" w:cs="仿宋_GB2312"/>
          <w:color w:val="313131"/>
          <w:sz w:val="30"/>
          <w:szCs w:val="30"/>
        </w:rPr>
        <w:t xml:space="preserve">年</w:t>
      </w:r>
      <w:r>
        <w:rPr>
          <w:rFonts w:hint="eastAsia" w:ascii="仿宋_GB2312" w:hAnsi="仿宋_GB2312" w:eastAsia="仿宋_GB2312" w:cs="仿宋_GB2312"/>
          <w:color w:val="313131"/>
          <w:sz w:val="30"/>
          <w:szCs w:val="30"/>
        </w:rPr>
        <w:t xml:space="preserve">一</w:t>
      </w:r>
      <w:r>
        <w:rPr>
          <w:rFonts w:hint="eastAsia" w:ascii="仿宋_GB2312" w:hAnsi="仿宋_GB2312" w:eastAsia="仿宋_GB2312" w:cs="仿宋_GB2312"/>
          <w:color w:val="313131"/>
          <w:sz w:val="30"/>
          <w:szCs w:val="30"/>
        </w:rPr>
        <w:t xml:space="preserve">月</w:t>
      </w:r>
      <w:r>
        <w:rPr>
          <w:rFonts w:hint="eastAsia" w:ascii="仿宋_GB2312" w:hAnsi="仿宋_GB2312" w:eastAsia="仿宋_GB2312" w:cs="仿宋_GB2312"/>
          <w:color w:val="313131"/>
          <w:sz w:val="30"/>
          <w:szCs w:val="30"/>
        </w:rPr>
        <w:t xml:space="preserve">二</w:t>
      </w:r>
      <w:r>
        <w:rPr>
          <w:rFonts w:hint="eastAsia" w:ascii="仿宋_GB2312" w:hAnsi="仿宋_GB2312" w:eastAsia="仿宋_GB2312" w:cs="仿宋_GB2312"/>
          <w:color w:val="313131"/>
          <w:sz w:val="30"/>
          <w:szCs w:val="30"/>
        </w:rPr>
        <w:t xml:space="preserve">十</w:t>
      </w:r>
      <w:r>
        <w:rPr>
          <w:rFonts w:hint="eastAsia" w:ascii="仿宋_GB2312" w:hAnsi="仿宋_GB2312" w:eastAsia="仿宋_GB2312" w:cs="仿宋_GB2312"/>
          <w:color w:val="313131"/>
          <w:sz w:val="30"/>
          <w:szCs w:val="30"/>
        </w:rPr>
        <w:t xml:space="preserve">八</w:t>
      </w:r>
      <w:r>
        <w:rPr>
          <w:rFonts w:hint="eastAsia" w:ascii="仿宋_GB2312" w:hAnsi="仿宋_GB2312" w:eastAsia="仿宋_GB2312" w:cs="仿宋_GB2312"/>
          <w:color w:val="313131"/>
          <w:sz w:val="30"/>
          <w:szCs w:val="30"/>
        </w:rPr>
        <w:t xml:space="preserve">日</w:t>
      </w:r>
      <w:r>
        <w:rPr>
          <w:rFonts w:hint="eastAsia" w:ascii="仿宋_GB2312" w:eastAsia="仿宋_GB2312"/>
          <w:color w:val="313131"/>
          <w:sz w:val="30"/>
          <w:szCs w:val="30"/>
        </w:rPr>
      </w:r>
      <w:r>
        <w:rPr>
          <w:rFonts w:hint="eastAsia" w:ascii="仿宋_GB2312" w:eastAsia="仿宋_GB2312"/>
          <w:color w:val="313131"/>
          <w:sz w:val="30"/>
          <w:szCs w:val="30"/>
        </w:rPr>
      </w:r>
    </w:p>
    <w:p>
      <w:pPr>
        <w:pStyle w:val="692"/>
        <w:pBdr/>
        <w:spacing/>
        <w:ind/>
        <w:rPr/>
      </w:pPr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framePr w:hAnchor="margin" w:vAnchor="text" w:wrap="around" w:xAlign="center" w:y="1"/>
      <w:pBdr/>
      <w:spacing/>
      <w:ind/>
      <w:rPr>
        <w:rStyle w:val="699"/>
      </w:rPr>
    </w:pPr>
    <w:r>
      <w:rPr>
        <w:rStyle w:val="699"/>
      </w:rPr>
      <w:fldChar w:fldCharType="begin"/>
    </w:r>
    <w:r>
      <w:rPr>
        <w:rStyle w:val="699"/>
      </w:rPr>
      <w:instrText xml:space="preserve">PAGE  </w:instrText>
    </w:r>
    <w:r>
      <w:rPr>
        <w:rStyle w:val="699"/>
      </w:rPr>
      <w:fldChar w:fldCharType="separate"/>
    </w:r>
    <w:r>
      <w:rPr>
        <w:rStyle w:val="699"/>
      </w:rPr>
      <w:t xml:space="preserve">4</w:t>
    </w:r>
    <w:r>
      <w:rPr>
        <w:rStyle w:val="699"/>
      </w:rPr>
      <w:fldChar w:fldCharType="end"/>
    </w:r>
    <w:r>
      <w:rPr>
        <w:rStyle w:val="699"/>
      </w:rPr>
    </w:r>
    <w:r>
      <w:rPr>
        <w:rStyle w:val="699"/>
      </w:rPr>
    </w:r>
  </w:p>
  <w:p>
    <w:pPr>
      <w:pStyle w:val="69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framePr w:hAnchor="margin" w:vAnchor="text" w:wrap="around" w:xAlign="center" w:y="1"/>
      <w:pBdr/>
      <w:spacing/>
      <w:ind/>
      <w:rPr>
        <w:rStyle w:val="699"/>
      </w:rPr>
    </w:pPr>
    <w:r>
      <w:rPr>
        <w:rStyle w:val="699"/>
      </w:rPr>
      <w:fldChar w:fldCharType="begin"/>
    </w:r>
    <w:r>
      <w:rPr>
        <w:rStyle w:val="699"/>
      </w:rPr>
      <w:instrText xml:space="preserve">PAGE  </w:instrText>
    </w:r>
    <w:r>
      <w:rPr>
        <w:rStyle w:val="699"/>
      </w:rPr>
      <w:fldChar w:fldCharType="end"/>
    </w:r>
    <w:r>
      <w:rPr>
        <w:rStyle w:val="699"/>
      </w:rPr>
    </w:r>
    <w:r>
      <w:rPr>
        <w:rStyle w:val="699"/>
      </w:rPr>
    </w:r>
  </w:p>
  <w:p>
    <w:pPr>
      <w:pStyle w:val="69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pBdr>
        <w:bottom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2"/>
    <w:next w:val="69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9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92"/>
    <w:next w:val="69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2"/>
    <w:next w:val="69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9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9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92"/>
    <w:next w:val="69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2"/>
    <w:next w:val="69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2"/>
    <w:next w:val="69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2"/>
    <w:next w:val="69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2"/>
    <w:next w:val="69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2"/>
    <w:next w:val="69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2"/>
    <w:next w:val="69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2"/>
    <w:next w:val="69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2"/>
    <w:next w:val="69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2"/>
    <w:next w:val="692"/>
    <w:uiPriority w:val="99"/>
    <w:unhideWhenUsed/>
    <w:pPr>
      <w:pBdr/>
      <w:spacing w:after="0" w:afterAutospacing="0"/>
      <w:ind/>
    </w:pPr>
  </w:style>
  <w:style w:type="paragraph" w:styleId="692" w:default="1">
    <w:name w:val="Normal"/>
    <w:next w:val="692"/>
    <w:link w:val="692"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93">
    <w:name w:val="默认段落字体"/>
    <w:next w:val="693"/>
    <w:link w:val="692"/>
    <w:semiHidden/>
    <w:pPr>
      <w:pBdr/>
      <w:spacing/>
      <w:ind/>
    </w:pPr>
  </w:style>
  <w:style w:type="table" w:styleId="694">
    <w:name w:val="普通表格"/>
    <w:next w:val="694"/>
    <w:link w:val="692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5">
    <w:name w:val="无列表"/>
    <w:next w:val="695"/>
    <w:link w:val="692"/>
    <w:semiHidden/>
    <w:pPr>
      <w:pBdr/>
      <w:spacing/>
      <w:ind/>
    </w:pPr>
  </w:style>
  <w:style w:type="paragraph" w:styleId="696">
    <w:name w:val="普通(网站)"/>
    <w:basedOn w:val="692"/>
    <w:next w:val="696"/>
    <w:link w:val="692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character" w:styleId="697">
    <w:name w:val="要点"/>
    <w:basedOn w:val="693"/>
    <w:next w:val="697"/>
    <w:link w:val="692"/>
    <w:pPr>
      <w:pBdr/>
      <w:spacing/>
      <w:ind/>
    </w:pPr>
    <w:rPr>
      <w:b/>
      <w:bCs/>
    </w:rPr>
  </w:style>
  <w:style w:type="paragraph" w:styleId="698">
    <w:name w:val="页脚"/>
    <w:basedOn w:val="692"/>
    <w:next w:val="698"/>
    <w:link w:val="692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99">
    <w:name w:val="页码"/>
    <w:basedOn w:val="693"/>
    <w:next w:val="699"/>
    <w:link w:val="692"/>
    <w:pPr>
      <w:pBdr/>
      <w:spacing/>
      <w:ind/>
    </w:pPr>
  </w:style>
  <w:style w:type="paragraph" w:styleId="700">
    <w:name w:val="页眉"/>
    <w:basedOn w:val="692"/>
    <w:next w:val="700"/>
    <w:link w:val="692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959" w:default="1">
    <w:name w:val="Default Paragraph Font"/>
    <w:uiPriority w:val="1"/>
    <w:semiHidden/>
    <w:unhideWhenUsed/>
    <w:pPr>
      <w:pBdr/>
      <w:spacing/>
      <w:ind/>
    </w:pPr>
  </w:style>
  <w:style w:type="numbering" w:styleId="960" w:default="1">
    <w:name w:val="No List"/>
    <w:uiPriority w:val="99"/>
    <w:semiHidden/>
    <w:unhideWhenUsed/>
    <w:pPr>
      <w:pBdr/>
      <w:spacing/>
      <w:ind/>
    </w:pPr>
  </w:style>
  <w:style w:type="table" w:styleId="96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WWW.YlmF.CoM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匿名</cp:lastModifiedBy>
  <cp:revision>12</cp:revision>
  <dcterms:created xsi:type="dcterms:W3CDTF">2011-03-18T02:18:00Z</dcterms:created>
  <dcterms:modified xsi:type="dcterms:W3CDTF">2024-10-08T09:24:03Z</dcterms:modified>
  <cp:version>730895</cp:version>
</cp:coreProperties>
</file>