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江阴市市场监管综合服务中心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1.负责向消费者免费提供消费信息和咨询服务;负责受理消费者的投诉，对投诉事项进行调查，调解。对商品和服务质量进行社会监督，保护消费者的合法权益；引导广大消费者合理，科学消费。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构建区域知识产权信息服务平台，开展知识产权战略研究，宣传培训，提供知识产权纠纷咨询解答和维权援助。承担国家知识产权局区域专利信息服务（南京）中心江阴分中心和中国江苏）知识产权维权援助中心江阴分中心的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负责向个体私营企业宣传党和国家的路线方针，政策，引导个体私营企业依法从事生产经营活动；为个体私营企业提供政策咨询，法律咨询和法律援助服务；组织开展公益，文体活动和我信息交流，帮助个体私营企业提高经营管理水平，为促进小微企业个体私营经济发展提供服务。指导江阴市私营个体经济协会办公室，江阴市民营经济关心下一代工作委员会办公室开展日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4.发挥行业和社会监督作用，提供涉企征信和外资企业档案查询服务，协助开展市场主体信用体系建设。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5.协助开展市场领域社会主义精神文明建设。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6.落实本单位安全生产主体责任。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7.完成市场监督管理局交办的其他任务。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综合事务部、知识产权部和消费维权部。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综合服务中心积极开展“三心三航”主题活动，着眼“高品质”，强化党建、人事管理、知识产权、企业征信查询服务，团结奋斗谱写新篇章，力争在江苏省知识产权保护中心分支机构协同保护工作绩效评价考核中居前列。</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（一）思想引领，推进支部党建工作落实落地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1、紧跟局党委的节奏步伐，严格落实组织生活和“三会一课”制度等，加强支部党员的教育培训。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强化党员实践教育，组织党员积极参与“党建铸魂、良药惠民”、“江上初心、锋赢未来”党建联盟活动、引导培育“小个专”党建特色品牌等等，鼓励支部党员结合自身实际工作，在实践中锤炼党性，激发党员的先锋模范意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（二）要点着力，推进“知识产权保护创新”活动走深走实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积极开展知识产权信息传播利用服务，用好知识产权政策“工具箱”，打好知识产权服务“组合拳”，实现服务企业“零距离”。加强与省、市知识产权保护中心沟通联系、强化互动联动，围绕服务高标准推进省知识产权保护示范区建设目标任务，建立健全知识产权快速协同保护体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1、坚持下基层听分局声音，走访企业收集需求办实事，侧重为创新主体纾困解决知识产权方面专业难题，如专利侵权判定咨询、技术调查、产业专利导航等。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2、与各分局、知识产权服务业集聚区等部门加强协作，努力开展知识产权维权援助活动，年内争取办理维权援助案件15件以上。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大力推广知识产权公共服务资源，与知识产权科合力年内拟组织知识产权公益培训10场以上。其中对企业人员进行知识产权进阶式实务培训7场以上，对164家县域跨区域知识产权保护协作签约县（市、区）行政执法人员业务培训3场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4、加强与网监科密切合作，2024年目标办理电商案件50件以上。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5、及时主动对知识产权数据信息进行统计、分解处理，为江阴辖区各版块和知识产权考核提供数据支撑。</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（三）细节着手，推进企业档案利用服务优化升级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为着力营造一流的营商环境，不断强化社会各方查询企业信息的便利性，我中心努力规范企业档案管理，持续优化企业征信查询服务。</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江阴市市场监管综合服务中心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江阴市市场监管综合服务中心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470.55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290.76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45.41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134.38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470.55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470.55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470.55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470.55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470.55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470.55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470.55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415006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江阴市市场监管综合服务中心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470.55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470.55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470.55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470.55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470.55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江阴市市场监管综合服务中心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470.55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470.55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470.55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290.76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45.41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134.38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470.55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470.55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470.55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470.55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448.54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江阴市市场监管综合服务中心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470.55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448.54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470.55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470.55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448.54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290.76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470.55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448.54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江阴市市场监管综合服务中心</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江阴市市场监管综合服务中心2024年度收入、支出预算总计470.55万元，与上年相比收、支预算总计各增加46.68万元，增长11.01%。其中：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（一）收入预算总计470.55万元。包括：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1．本年收入合计470.55万元。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（1）一般公共预算拨款收入470.55万元，与上年相比增加46.68万元，增长11.01%。主要原因是事业运行增加55.15万元，社会保障和就业支出减少3.5万元，住房保障支出减少4.97万元。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（二）支出预算总计470.55万元。包括：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1．本年支出合计470.55万元。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（1）一般公共服务支出（类）支出290.76万元，主要用于事业单位的基本支出。与上年相比增加55.15万元，增长23.41%。主要原因是人员经费增加54.51万元，公用经费增加0.64万元。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45.41万元，主要用于事业单位实施养老保险制度由单位缴纳的基本养老保险费支出和职业年金支出等。与上年相比减少3.5万元，减少7.16%。主要原因是在职人员退休3人，新增3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（3）住房保障支出（类）支出134.38万元，主要用于为职工缴纳的住房公积金，发放的提租补贴。与上年相比减少4.97万元，减少3.57%。主要原因是在职人员减少3人。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江阴市市场监管综合服务中心2024年收入预算合计470.55万元，包括本年收入470.55万元，上年结转结余0万元。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本年一般公共预算收入470.55万元，占100%；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江阴市市场监管综合服务中心2024年支出预算合计470.55万元，其中：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基本支出470.55万元，占100%；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度财政拨款收、支总预算470.55万元。与上年相比，财政拨款收、支总计各增加46.68万元，增长11.01%。主要原因是事业运行增加55.15万元，社会保障和就业支出减少3.5万元，住房保障支出减少4.97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财政拨款预算支出470.55万元，占本年支出合计的100%。与上年相比，财政拨款支出增加46.68万元，增长11.01%。主要原因是事业运行增加55.15万元，社会保障和就业支出减少3.5万元，住房保障支出减少4.97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市场监督管理事务（款）事业运行（项）支出290.76万元，与上年相比增加55.15万元，增长23.41%。主要原因是人员经费增加54.51万元，公用经费增加0.64万元。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1.行政事业单位养老支出（款）机关事业单位基本养老保险缴费支出（项）支出22.87万元，与上年相比减少1.98万元，减少7.97%。主要原因是在职人员减少3人。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2.行政事业单位养老支出（款）机关事业单位职业年金缴费支出（项）支出11.44万元，与上年相比减少0.99万元，减少7.96%。主要原因是在职人员减少3人。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3.其他社会保障和就业支出（款）其他社会保障和就业支出（项）支出11.1万元，与上年相比减少0.53万元，减少4.56%。主要原因是在职人员减少3人。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1.住房改革支出（款）住房公积金（项）支出26.72万元，与上年相比减少3.5万元，减少11.58%。主要原因是在职人员减少3人。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2.住房改革支出（款）提租补贴（项）支出104.34万元，与上年相比减少4.79万元，减少4.39%。主要原因是在职人员减少3人。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3.住房改革支出（款）购房补贴（项）支出3.32万元，与上年相比增加3.32万元（去年预算数为0万元，无法计算增减比率）。主要原因是在职人员新增3人。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江阴市市场监管综合服务中心2024年度财政拨款基本支出预算470.55万元，其中：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448.54万元。主要包括：基本工资、津贴补贴、奖金、伙食补助费、绩效工资、机关事业单位基本养老保险缴费、职业年金缴费、职工基本医疗保险缴费、其他社会保障缴费、住房公积金、医疗费、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（二）公用经费22.01万元。主要包括：办公费、印刷费、差旅费、会议费、公务接待费、工会经费、其他交通费用、其他商品和服务支出、其他资本性支出。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一般公共预算财政拨款支出预算470.55万元，与上年相比增加46.68万元，增长11.01%。主要原因是事业运行增加55.15万元，社会保障和就业支出减少3.5万元，住房保障支出减少4.97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江阴市市场监管综合服务中心2024年度一般公共预算财政拨款基本支出预算470.55万元，其中：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448.54万元。主要包括：基本工资、津贴补贴、奖金、伙食补助费、绩效工资、机关事业单位基本养老保险缴费、职业年金缴费、职工基本医疗保险缴费、其他社会保障缴费、住房公积金、医疗费、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（二）公用经费22.01万元。主要包括：办公费、印刷费、差旅费、会议费、公务接待费、工会经费、其他交通费用、其他商品和服务支出、其他资本性支出。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度一般公共预算拨款安排的“三公”经费支出预算0.3万元，比上年预算增加0.3万元，变动原因为增加公务接待费0.3万元。其中，因公出国（境）费支出0万元，占“三公”经费的0%；公务用车购置及运行维护费支出0万元，占“三公”经费的0%；公务接待费支出0.3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3．公务接待费预算支出0.3万元，比上年预算增加0.3万元，主要原因是预计2024年有公务接待费支出。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江阴市市场监管综合服务中心2024年度一般公共预算拨款安排的会议费预算支出0.1万元，比上年预算增加0.1万元，主要原因是预计2024年会增加会议费支出。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江阴市市场监管综合服务中心2024年国有资本经营预算支出0万元。与上年预算数相同。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2辆，其中，副部（省）级及以上领导用车0辆、主要领导干部用车0辆、机要通信用车0辆、应急保障用车0辆、执法执勤用车0辆、特种专业技术用车0辆、离退休干部用车0辆，其他用车2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470.55万元；本单位共0个项目纳入绩效目标管理，涉及财政性资金合计0万元，占财政性资金(人员类和运转类中的公用经费项目支出除外)总额的比例为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八、一般公共服务支出(类)市场监督管理事务(款)事业运行(项)</w:t>
      </w:r>
      <w:r>
        <w:rPr>
          <w:rFonts w:ascii="仿宋" w:hAnsi="仿宋" w:cs="仿宋" w:eastAsia="仿宋"/>
          <w:b w:val="true"/>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江阴市市场监管综合服务中心</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