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jc w:val="both"/>
              <w:rPr>
                <w:rFonts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tcPr>
          <w:p>
            <w:pPr>
              <w:ind w:right="284" w:rightChars="129"/>
              <w:jc w:val="center"/>
              <w:rPr>
                <w:rFonts w:ascii="宋体" w:hAnsi="宋体" w:eastAsia="宋体" w:cs="宋体"/>
                <w:b/>
                <w:bCs/>
                <w:sz w:val="52"/>
                <w:szCs w:val="52"/>
                <w:lang w:val="en-US"/>
              </w:rPr>
            </w:pPr>
            <w:r>
              <w:rPr>
                <w:rFonts w:ascii="宋体" w:hAnsi="宋体" w:eastAsia="宋体" w:cs="宋体"/>
                <w:b/>
                <w:sz w:val="52"/>
              </w:rPr>
              <w:t>2022年度江阴市卫生监督所单位决算公开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70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pacing w:line="718" w:lineRule="exact"/>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rPr>
          <w:rFonts w:ascii="仿宋" w:hAnsi="仿宋" w:eastAsia="仿宋" w:cs="仿宋"/>
          <w:sz w:val="27"/>
        </w:rPr>
      </w:pPr>
    </w:p>
    <w:p>
      <w:pPr>
        <w:pStyle w:val="8"/>
        <w:spacing w:line="360" w:lineRule="auto"/>
        <w:ind w:left="671" w:leftChars="300" w:hanging="11"/>
        <w:jc w:val="both"/>
        <w:outlineLvl w:val="0"/>
        <w:rPr>
          <w:rFonts w:ascii="黑体" w:hAnsi="黑体" w:eastAsia="黑体" w:cs="黑体"/>
        </w:rPr>
      </w:pPr>
      <w:r>
        <w:rPr>
          <w:rFonts w:hint="eastAsia" w:ascii="黑体" w:hAnsi="黑体" w:eastAsia="黑体" w:cs="黑体"/>
        </w:rPr>
        <w:t xml:space="preserve">第一部分 </w:t>
      </w:r>
      <w:r>
        <w:rPr>
          <w:rFonts w:hint="eastAsia" w:ascii="黑体" w:hAnsi="黑体" w:eastAsia="黑体" w:cs="黑体"/>
          <w:lang w:val="en-US"/>
        </w:rPr>
        <w:t>单位</w:t>
      </w:r>
      <w:r>
        <w:rPr>
          <w:rFonts w:hint="eastAsia" w:ascii="黑体" w:hAnsi="黑体" w:eastAsia="黑体" w:cs="黑体"/>
        </w:rPr>
        <w:t>概况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机构设置及决算单位构成情况</w:t>
      </w:r>
    </w:p>
    <w:p>
      <w:pPr>
        <w:pStyle w:val="8"/>
        <w:tabs>
          <w:tab w:val="left" w:pos="2249"/>
        </w:tabs>
        <w:spacing w:line="360" w:lineRule="auto"/>
        <w:ind w:left="671" w:leftChars="300" w:hanging="11"/>
        <w:jc w:val="both"/>
        <w:rPr>
          <w:rFonts w:ascii="仿宋" w:hAnsi="仿宋" w:eastAsia="仿宋" w:cs="仿宋"/>
        </w:rPr>
      </w:pPr>
      <w:r>
        <w:rPr>
          <w:rFonts w:hint="eastAsia" w:ascii="仿宋" w:hAnsi="仿宋" w:eastAsia="仿宋" w:cs="仿宋"/>
        </w:rPr>
        <w:t>三、202</w:t>
      </w:r>
      <w:r>
        <w:rPr>
          <w:rFonts w:hint="eastAsia" w:ascii="仿宋" w:hAnsi="仿宋" w:eastAsia="仿宋" w:cs="仿宋"/>
          <w:lang w:val="en-US"/>
        </w:rPr>
        <w:t>2</w:t>
      </w:r>
      <w:r>
        <w:rPr>
          <w:rFonts w:hint="eastAsia" w:ascii="仿宋" w:hAnsi="仿宋" w:eastAsia="仿宋" w:cs="仿宋"/>
        </w:rPr>
        <w:t>年度主要工作完成情况</w:t>
      </w:r>
    </w:p>
    <w:p>
      <w:pPr>
        <w:pStyle w:val="8"/>
        <w:spacing w:line="360" w:lineRule="auto"/>
        <w:ind w:left="671" w:leftChars="300" w:hanging="11"/>
        <w:jc w:val="both"/>
        <w:rPr>
          <w:rFonts w:ascii="黑体" w:hAnsi="黑体" w:eastAsia="黑体" w:cs="黑体"/>
        </w:rPr>
      </w:pPr>
      <w:r>
        <w:rPr>
          <w:rFonts w:hint="eastAsia" w:ascii="黑体" w:hAnsi="黑体" w:eastAsia="黑体" w:cs="黑体"/>
          <w:lang w:val="en-US"/>
        </w:rPr>
        <w:t>第二部分 2022年度</w:t>
      </w:r>
      <w:r>
        <w:rPr>
          <w:rFonts w:ascii="黑体" w:hAnsi="黑体" w:eastAsia="黑体" w:cs="黑体"/>
        </w:rPr>
        <w:t>单位决算表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spacing w:val="-2"/>
        </w:rPr>
        <w:t>一、收入支出决算总表</w:t>
      </w:r>
    </w:p>
    <w:p>
      <w:pPr>
        <w:pStyle w:val="8"/>
        <w:spacing w:line="360" w:lineRule="auto"/>
        <w:ind w:left="671" w:leftChars="300" w:right="5774" w:hanging="11"/>
        <w:jc w:val="both"/>
        <w:rPr>
          <w:rFonts w:ascii="仿宋" w:hAnsi="仿宋" w:eastAsia="仿宋" w:cs="仿宋"/>
        </w:rPr>
      </w:pPr>
      <w:r>
        <w:rPr>
          <w:rFonts w:hint="eastAsia" w:ascii="仿宋" w:hAnsi="仿宋" w:eastAsia="仿宋" w:cs="仿宋"/>
        </w:rPr>
        <w:t>二、收入决算表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w w:val="95"/>
        </w:rPr>
        <w:t>三、支出决算表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四、财政拨款收入支出决算总表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五、财政拨款支出决算表（功能科目）</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六、财政拨款基本支出决算表（经济科目）</w:t>
      </w:r>
    </w:p>
    <w:p>
      <w:pPr>
        <w:pStyle w:val="8"/>
        <w:spacing w:line="360" w:lineRule="auto"/>
        <w:ind w:left="671" w:leftChars="300" w:right="2894" w:hanging="11"/>
        <w:jc w:val="both"/>
        <w:rPr>
          <w:rFonts w:ascii="仿宋" w:hAnsi="仿宋" w:eastAsia="仿宋" w:cs="仿宋"/>
        </w:rPr>
      </w:pPr>
      <w:r>
        <w:rPr>
          <w:rFonts w:hint="eastAsia" w:ascii="仿宋" w:hAnsi="仿宋" w:eastAsia="仿宋" w:cs="仿宋"/>
        </w:rPr>
        <w:t>七、一般公共预算支出决算表（功能科目）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八、一般公共预算基本支出决算表（经济科目）</w:t>
      </w:r>
    </w:p>
    <w:p>
      <w:pPr>
        <w:pStyle w:val="8"/>
        <w:spacing w:line="360" w:lineRule="auto"/>
        <w:ind w:left="671" w:leftChars="300" w:hanging="11"/>
        <w:jc w:val="both"/>
        <w:rPr>
          <w:rFonts w:ascii="仿宋" w:hAnsi="仿宋" w:eastAsia="仿宋" w:cs="仿宋"/>
        </w:rPr>
      </w:pPr>
      <w:r>
        <w:rPr>
          <w:rFonts w:hint="eastAsia" w:ascii="仿宋" w:hAnsi="仿宋" w:eastAsia="仿宋" w:cs="仿宋"/>
        </w:rPr>
        <w:t>九、</w:t>
      </w:r>
      <w:r>
        <w:rPr>
          <w:rFonts w:hint="eastAsia" w:ascii="仿宋" w:hAnsi="仿宋" w:eastAsia="仿宋" w:cs="仿宋"/>
          <w:lang w:val="en-US"/>
        </w:rPr>
        <w:t>财政拨款“三公”经费、会议费和培训费支出决算表</w:t>
      </w:r>
    </w:p>
    <w:p>
      <w:pPr>
        <w:pStyle w:val="8"/>
        <w:spacing w:line="360" w:lineRule="auto"/>
        <w:ind w:left="671" w:leftChars="300" w:hanging="11"/>
        <w:jc w:val="both"/>
        <w:rPr>
          <w:rFonts w:ascii="仿宋" w:hAnsi="仿宋" w:eastAsia="仿宋" w:cs="仿宋"/>
        </w:rPr>
      </w:pPr>
      <w:r>
        <w:rPr>
          <w:rFonts w:hint="eastAsia" w:ascii="仿宋" w:hAnsi="仿宋" w:eastAsia="仿宋" w:cs="仿宋"/>
        </w:rPr>
        <w:t>十、政府性基金预算支出决算表</w:t>
      </w:r>
    </w:p>
    <w:p>
      <w:pPr>
        <w:pStyle w:val="8"/>
        <w:spacing w:line="360" w:lineRule="auto"/>
        <w:ind w:left="671" w:leftChars="300" w:right="2575" w:hanging="11"/>
        <w:jc w:val="both"/>
        <w:rPr>
          <w:rFonts w:ascii="仿宋" w:hAnsi="仿宋" w:eastAsia="仿宋" w:cs="仿宋"/>
          <w:lang w:val="en-US"/>
        </w:rPr>
      </w:pPr>
      <w:r>
        <w:rPr>
          <w:rFonts w:hint="eastAsia" w:ascii="仿宋" w:hAnsi="仿宋" w:eastAsia="仿宋" w:cs="仿宋"/>
        </w:rPr>
        <w:t>十一、</w:t>
      </w:r>
      <w:r>
        <w:rPr>
          <w:rFonts w:hint="eastAsia" w:ascii="仿宋" w:hAnsi="仿宋" w:eastAsia="仿宋" w:cs="仿宋"/>
          <w:lang w:val="en-US"/>
        </w:rPr>
        <w:t>国有资本经营预算支出决算表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w:t>
      </w:r>
      <w:r>
        <w:rPr>
          <w:rFonts w:hint="eastAsia" w:ascii="仿宋" w:hAnsi="仿宋" w:eastAsia="仿宋" w:cs="仿宋"/>
          <w:lang w:val="en-US"/>
        </w:rPr>
        <w:t>财政拨款</w:t>
      </w:r>
      <w:r>
        <w:rPr>
          <w:rFonts w:hint="eastAsia" w:ascii="仿宋" w:hAnsi="仿宋" w:eastAsia="仿宋" w:cs="仿宋"/>
        </w:rPr>
        <w:t>机关运行经费支出决算表</w:t>
      </w:r>
    </w:p>
    <w:p>
      <w:pPr>
        <w:pStyle w:val="8"/>
        <w:spacing w:line="360" w:lineRule="auto"/>
        <w:ind w:left="671" w:leftChars="300" w:right="2575"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、政府采购支出决算表</w:t>
      </w:r>
    </w:p>
    <w:p>
      <w:pPr>
        <w:pStyle w:val="8"/>
        <w:spacing w:line="360" w:lineRule="auto"/>
        <w:ind w:left="671" w:leftChars="300" w:hanging="11"/>
        <w:jc w:val="both"/>
        <w:rPr>
          <w:rFonts w:ascii="黑体" w:hAnsi="黑体" w:eastAsia="黑体" w:cs="黑体"/>
          <w:lang w:val="en-US"/>
        </w:rPr>
      </w:pPr>
      <w:r>
        <w:rPr>
          <w:rFonts w:hint="eastAsia" w:ascii="黑体" w:hAnsi="黑体" w:eastAsia="黑体" w:cs="黑体"/>
          <w:lang w:val="en-US"/>
        </w:rPr>
        <w:t>第三部分 2022年度</w:t>
      </w:r>
      <w:r>
        <w:rPr>
          <w:rFonts w:ascii="黑体" w:hAnsi="黑体" w:eastAsia="黑体" w:cs="黑体"/>
        </w:rPr>
        <w:t>单位决算情况说明</w:t>
      </w:r>
    </w:p>
    <w:p>
      <w:pPr>
        <w:pStyle w:val="8"/>
        <w:spacing w:line="360" w:lineRule="auto"/>
        <w:ind w:left="671" w:leftChars="300" w:hanging="11"/>
        <w:jc w:val="both"/>
        <w:rPr>
          <w:rFonts w:ascii="仿宋" w:hAnsi="仿宋" w:eastAsia="仿宋" w:cs="仿宋"/>
          <w:b/>
          <w:bCs/>
          <w:color w:val="000000"/>
          <w:sz w:val="30"/>
          <w:szCs w:val="30"/>
          <w:lang w:val="en-US"/>
        </w:rPr>
      </w:pPr>
      <w:r>
        <w:rPr>
          <w:rFonts w:hint="eastAsia" w:ascii="黑体" w:hAnsi="黑体" w:eastAsia="黑体" w:cs="黑体"/>
          <w:lang w:val="en-US"/>
        </w:rPr>
        <w:t>第四部分 名词解释</w:t>
      </w:r>
    </w:p>
    <w:p>
      <w:pPr>
        <w:pStyle w:val="8"/>
        <w:spacing w:line="235" w:lineRule="auto"/>
        <w:ind w:left="669" w:leftChars="300" w:right="2414" w:hanging="9"/>
        <w:jc w:val="both"/>
        <w:rPr>
          <w:rFonts w:ascii="仿宋" w:hAnsi="仿宋" w:eastAsia="仿宋" w:cs="仿宋"/>
        </w:rPr>
        <w:sectPr>
          <w:footerReference r:id="rId9" w:type="default"/>
          <w:pgSz w:w="11906" w:h="16838"/>
          <w:pgMar w:top="1580" w:right="700" w:bottom="770" w:left="1020" w:header="283"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rPr>
        <w:t xml:space="preserve"> </w:t>
      </w:r>
      <w:r>
        <w:rPr>
          <w:rFonts w:hint="eastAsia" w:ascii="宋体" w:hAnsi="宋体" w:eastAsia="宋体" w:cs="宋体"/>
          <w:b/>
          <w:bCs/>
        </w:rPr>
        <w:t>单位概况</w:t>
      </w:r>
    </w:p>
    <w:p>
      <w:pPr>
        <w:ind w:right="504" w:rightChars="229"/>
        <w:jc w:val="both"/>
      </w:pP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江阴市卫生监督所受江阴市卫生健康委员会授权委托，按照卫生健康法律法规规章，对全市医疗市场、放射卫生、学校卫生、饮用水卫生、爱国卫生、传染病防治和健康产业等开展监督检查，组织查处违法行为。协助卫生健康委受理行政许可和执业许可的申请，开展预防性卫生审查、现场卫生学审查，提出审核意见并上报。开展卫生健康法律法规规章和卫生标准的宣传培训和业务指导工作。负责食品安全标准的跟踪评价及技术咨询、宣传培训等工作。承担卫生监督员和协管员日常管理、考核工作。受理有关投诉、举报；负责突发公共卫生事件的卫生监督工作。负责重大公共活动的卫生监督保障工作。负责卫生监督信息的收集、核实和上报工作。协助市卫生健康委对已下放各街（镇）公共场所、职业卫生监督开展相关工作。完成市卫生健康委交办的其他事项。</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二、</w:t>
      </w:r>
      <w:r>
        <w:rPr>
          <w:rFonts w:ascii="黑体" w:hAnsi="黑体" w:eastAsia="黑体" w:cs="黑体"/>
        </w:rPr>
        <w:t>单位</w:t>
      </w:r>
      <w:r>
        <w:rPr>
          <w:rFonts w:hint="eastAsia" w:ascii="黑体" w:hAnsi="黑体" w:eastAsia="黑体" w:cs="黑体"/>
        </w:rPr>
        <w:t>机构设置及决算单位构成情况</w:t>
      </w:r>
    </w:p>
    <w:p>
      <w:pPr>
        <w:pStyle w:val="8"/>
        <w:spacing w:line="360" w:lineRule="auto"/>
        <w:ind w:left="440" w:leftChars="200" w:right="504" w:rightChars="229" w:firstLine="658"/>
        <w:jc w:val="both"/>
        <w:rPr>
          <w:rFonts w:ascii="仿宋" w:hAnsi="仿宋" w:eastAsia="仿宋" w:cs="仿宋"/>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本单位内设机构包括办公室、财务科、审核登记科、法制稽查科、业务管理一科、业务管理二科、业务管理三科、业务管理四科和在全市范围内承担综合执法职能的6个监督分所。本单位无下属单位。</w:t>
      </w:r>
    </w:p>
    <w:p>
      <w:pPr>
        <w:pStyle w:val="8"/>
        <w:spacing w:line="360" w:lineRule="auto"/>
        <w:ind w:left="440" w:leftChars="200" w:right="504" w:rightChars="229" w:firstLine="658"/>
        <w:jc w:val="both"/>
        <w:outlineLvl w:val="1"/>
        <w:rPr>
          <w:rFonts w:ascii="黑体" w:hAnsi="黑体" w:eastAsia="黑体" w:cs="黑体"/>
        </w:rPr>
      </w:pPr>
      <w:r>
        <w:rPr>
          <w:rFonts w:hint="eastAsia" w:ascii="黑体" w:hAnsi="黑体" w:eastAsia="黑体" w:cs="黑体"/>
        </w:rPr>
        <w:t>三、2022年度主要工作完成情况</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江阴市卫生监督所在市委市政府和市卫生健康委的坚强领导下，坚持以习近平新时代中国特色社会主义思想为指导，以学习宣传贯彻</w:t>
      </w:r>
      <w:r>
        <w:rPr>
          <w:rFonts w:hint="eastAsia" w:ascii="仿宋" w:hAnsi="仿宋" w:eastAsia="仿宋" w:cs="仿宋"/>
        </w:rPr>
        <w:t>党的</w:t>
      </w:r>
      <w:r>
        <w:rPr>
          <w:rFonts w:ascii="仿宋" w:hAnsi="仿宋" w:eastAsia="仿宋" w:cs="仿宋"/>
        </w:rPr>
        <w:t>二十大精神为主线，深入学习贯彻习近平总书记系列重要讲话精神，特别是对卫生健康工作和疫情防控的重要讲话、指示、批示精神，认真贯彻落实市委市政府、市卫生健康委和上级卫生监督部门的重大决策部署，狠抓疫情防控和卫生监督综合执法两大中心任务，讲政治、顾大局，定目标、明路径，强举措、抓落实，年度各项卫生监督重点工作目标任务得到了较好的落实，主要表现在：</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一、强化教育引导，筑牢党员干部思想根基</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按照“把握方向，服务大局”总方针，聚焦党建重点工作任务，以习近平新时代中国特色社会主义思想和党的二十大精神为指引，认真开展“四学四提升”谱新篇主题活动，全面推进“暨阳红—盟红江阴”基层党建三年行动，支部党建工作取得了较为显著成效。</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（一）深入学习强信念。严格履行全面从严治党</w:t>
      </w:r>
      <w:r>
        <w:rPr>
          <w:rFonts w:hint="eastAsia" w:ascii="仿宋" w:hAnsi="仿宋" w:eastAsia="仿宋" w:cs="仿宋"/>
        </w:rPr>
        <w:t>主体</w:t>
      </w:r>
      <w:r>
        <w:rPr>
          <w:rFonts w:ascii="仿宋" w:hAnsi="仿宋" w:eastAsia="仿宋" w:cs="仿宋"/>
        </w:rPr>
        <w:t>责任，注重党员学习教育，特别是习近平新时代中国特色社会主义思想和党的二十大精神的学习，让支部党员深刻领悟“两个确立”的决定性意义，切实增强“四个意识”、坚定“四个自信”，更加自觉做到“两个维护”，不断提升支部党员的政治判断力、政治领悟力、政治执行力。采用“线上+线下”方式，以学习强国、无锡先锋、江阴党建等为载体，以及利用主题党日、支部书记讲党课、现场沉浸式教育、畅谈心得体会等多种形式，深入开展党员政治思想理论学习教育和正面引导，形成支部书记带头学、上下联动学、交流互动学的良好学习氛围，不断提高支部党员干部的政治自觉、政治担当，进一步坚定党员干部的理想信念。</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（二）丰富活动提成效。强化党员廉政教育。组织开展“510思廉日”警示教育主题活动，通过观看《一念贪廉两重天》警示教育片，用身边熟悉的案例，教育党员干部廉</w:t>
      </w:r>
      <w:r>
        <w:rPr>
          <w:rFonts w:hint="eastAsia" w:ascii="仿宋" w:hAnsi="仿宋" w:eastAsia="仿宋" w:cs="仿宋"/>
          <w:lang w:val="en-US" w:eastAsia="zh-CN"/>
        </w:rPr>
        <w:t>洁</w:t>
      </w:r>
      <w:bookmarkStart w:id="0" w:name="_GoBack"/>
      <w:bookmarkEnd w:id="0"/>
      <w:r>
        <w:rPr>
          <w:rFonts w:ascii="仿宋" w:hAnsi="仿宋" w:eastAsia="仿宋" w:cs="仿宋"/>
        </w:rPr>
        <w:t>从政。严格执行党风廉政建设各项制度规定，有效利用谈心谈话等手段，对党员干部教育在前、批评在前、督导在前，有效防范廉政风险。签订党风廉政建设责任书，认真执行《案件分级审理工作制度》《行政执法三项制度》《行政执法行政裁量基准制度》等卫生监督执法相关制度，不断规范卫生监督执法行为，让权力在阳光下运行。规范开展主题党日活动。组织开展“喜迎二十大不负新时代”等各类主题党日活动，通过沉浸式体验江阴巨变，学习徐霞客精神，教育引导党员坚定理想信念，立足本职岗位，勇于担当作为。</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党建引领促发展。配合做好市委巡察及问题整改。以政治自觉全力配合做好市委巡察工作，并按照市委巡察现场沟通反馈问题，持续做好问题分析、措施细化、整改落实等一系列工作，以市委巡察持续改进单位作风效能。打造特色党建联盟服务品牌。与江阴光明眼科医院党支部、江苏省南菁高级中学实验学校党总支联合开展“医校同行光亮人生”特色党建联盟——饮用水卫生及近视防控主题夏令营活动，持续发挥联盟各方资源优势，打响“暨阳红—盟红江阴”特色党建联盟服务品牌，以党建工作推进卫生监督重点工作。积极开展“蓝盾之声”党员志愿者服务活动。党员志愿者服务队深入社区、医疗机构、学校、企业等开展卫生健康法律法规宣传服务，普及群众法律法规知识，树立卫生监督党员干部良好形象，持续打响“蓝盾之声”党员志愿服务品牌。</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二、坚持依法行政，落实卫生监督监管责任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深入开展各项卫生监督专项检查、专项整治活动，聚焦危害群众健康的突出问题，持续加大卫生监督检查、抽检力度，及时查处各类违法违规行为。2022年，共出动卫生监督员7525人次，车辆2470台次，开展各类专项检查、整治41次，立案查处各类违法案件117起，罚没款金额130余万元。</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落实监督重点，做好医疗机构监督检查工作。一是开展医疗机构专项检查。全年共开展医疗机构专项监督检查14项，监督检查各级各类有证医疗机构663家。共对28家医疗机构进行了消毒质量监测，监测项目11项，总采样数149件，合格145件，合格率97%。开展打击非法医疗美容专项整治工作，重点查处非法开展医疗美容服务行为，并规范有证医疗美容机构的执业行为。先后两次组织全市20家医疗美容机构（科室）的负责人召开依法执业培训会议，宣传医疗卫生领域相关法律法规，督促其依法执业。对1名开展非法医疗美容服务的人员实施了行政处罚，罚没款7.315万元。二是开展打击非法行医专项行动工作。结合疫情防控检查、双随机监督抽查、治理医疗乱象等开展依法执业、打击非法行医专项整治行动，积极发挥哨点作用，开展被查场所、人员的巡查回访，调整监督时间与方式，对无证行医单位和个人实施精准打击，共复查回访105户次；继续发挥无证行医举报奖励制度作用，共奖励无证行医举报人7人次共计8000元；重新组织编印《打击无证行医宣传手册》等宣传材料15000份，组织现场宣传、微信宣传12次，进一步增强群众对无证行医危害的认识；强化与公安、市场监管等部门的执法联动，组织开展联合整治，汇聚打击无证行医的强大合力。全年共实施无证行医行政处罚22起，罚没款93.35万元，向公安机关移送涉嫌犯罪案件6起6人。三是开展医疗机构“信用+综合监管”工作。开展诚信法治宣传，深入医疗机构上门宣传新颁布的《中华人民共和国医师法》，编印并发放《卫生监督员提醒医师避免11大执业风险》宣传资料，并通过“江阴卫监”微信公众号曝光6起医疗机构涉疫典型案例，得到“健康江阴”等主流媒体的转载。组织开展医疗机构依法执业自查，落实医疗机构主体责任，督促医疗机构和医务人员依法诚信执业。对检查中发现的违法违规等失信行为，坚决予以行政处罚，并对27家次医疗机构的违法违规行为记109分。</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从严从紧抓好疫情防控，筑牢疫情防控“安全网”。2022年，按照上级要求有序开展新冠肺炎疫情防控督查工作。抽调12人次参与无锡市、江阴市有关部门组织的监督检查工作。全面落实疫情防控应急值守，严格落实24小时值班和领导带班制度，“503”疫情期间，全所职工坚决服从市疫情防控指挥部调遣，闻令而动、日夜奋战，检查巡查门诊部、诊所是否按规定停诊，会同省、市专家对医院、集中隔离场所进行反复督查，对周庄、云亭98个封控点位进行多轮次检查督查。全年累计出动卫生监督员4078人次，对医疗机构、新冠肺炎疫苗接种点、学校、托幼（育）机构等重点场所疫情防控措施落实情况开展多轮次检查督查，并采用“互联网+监管”新模式，充分利用信息化手段加强对门诊部、诊所疫情防控措施落实情况的动态监管，及时发现并依法查处在疫情防控中存在违法违规问题的单位。全年共立案查处疫情防控违法违规医疗机构58家次，责令暂停营业41家次。</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全面做好学校卫生、消毒产品、餐饮具清洗消毒单位、生活饮用水、职业（放射）卫生监督工作。开展学校卫生监督检查。对全市118家各级各类学校开展春季及秋季学校卫生专项检查、中高考考点新冠疫情防控督查等专项检查，突出学校传染病防控、饮用水卫生和教学环境等监管重点，对学校卫生工作进行全方位检查，不断提高全市学校卫生总体管理水平。2022年，共抽检14家学校饮用水样品14份，合格11份；对3家不合格学校实施警告的行政处罚，责令限期整改并经复检合格；对国家双随机抽查中1家教学环境不符合国家标准的学校实施警告的行政处罚，并责令限期整改。开展消毒产品监督检查。对全市50家消毒产品生产企业开展监督检查，对3家存在违法行为的单位立案查处，罚款共计1.3万元。重点加强对全市抗抑菌制剂的监督管理，对辖区内10家抗抑菌制剂生产企业开展全覆盖监督检查，重点查处违规添加行为；对药店、商场等35家抗抑菌制剂经营单位进行监督检查，重点查处违规宣传疗效等行为；同时，根据市检察院检察建议要求，核查最高检技术信息中心通报的违规加药产品，对经营单位的2个抗抑菌制剂产品是否存在违规添加抗菌药物和抗真菌药物进行检测，未检出违禁药物。开展餐饮具集中消毒单位监督检查。对全市5家餐饮具集中消毒单位负责人、卫生管理员开展集中培训，宣贯食品安全标准规范，提高企业自律水平。开展大型节日期间餐饮具集中消毒单位专项检查、监督抽检，共抽检消毒餐具样品65份，合格65份。对1家存在违法违规行为的餐饮具集中消毒单位实施警告行政处罚，并责令立即改正。加强生活饮用水卫生监督检查。开展涉水产品生产企业专项监督检查、监督抽检，监督抽检11家涉水产品生产企业的11个涉水产品，合格率100%。对3家生产企业和1家销售单位未取得卫生许可批件的违法行为实施行政处罚，罚款4.8万元。组织开展集中式供水、二次供水、现制现售饮用水等专项监督检查，委托市疾控中心对4家现制现售饮用水水质进行检测，结果均合格。开展职业（放射）卫生监管工作。对全市职业健康检查机构、职业卫生技术服务机构、诊断机构、非医疗辐射用人单位、放射诊疗机构等进行监督检查，开展职业健康宣传周活动，开展用人单位防暑降温工作专项督查工作；调查处理职业卫生投诉举报6起，移送职业卫生案件线索13起。</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四）持续做好其他公共卫生监督工作。一是组织开展食品安全标准跟踪评价、宣贯、“世界无烟日”主题宣传活动及医疗机构禁控烟、病媒生物防制等专项监督检查工作。二是做好公共场所、职业卫生赋权事项相关工作，随机抽查公共场所单位149家，检查情况抄送各镇街园区，督促整改并加强后期管理；开展公共场所赋权事项集中培训1次，现场业务指导30次。专门召开镇街职业卫生工作推进会，部署省、市职业卫生双随机监督工作，并开展督查。各镇（街道）职业健康处罚22起（其中警告21起），罚款金额14.8万元。三是做好投诉举报调查处置工作。规范投诉举报的受理、登记、流转、答复等流程，及时受理查处投诉举报，全力维护广大群众的合法权益。2022年，共受理各类投诉举报案件115起，对所有案件及时进行调查处理，并作出答复，回复结报率100%。四是开展国家、省“双随机”监督抽查工作。全年共完成双随机监督抽查任务115家，立案查处1家，完结率100%。</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三、加强队伍建设，提升卫生监督执法效能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聚焦卫生监督人员不足、能力不强等突出问题，加大卫生监督员培训力度，规范卫生监督执法行为，提升卫生监督执法效能。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组织开展卫生监督员业务培训。积极组织执法人员学习卫生监督相关法律法规知识，鼓励干部职工利用各类网络平台和实体书籍，采用线上学与线下学相结合的方式，广泛开展卫生监督员业务培训，不断提高卫生监督员的综合素质。积极组织干部职工参加省、市举办的培训活动，12名卫生监督业务骨干参加苏锡常卫生监督业务骨干培训班学习，切实提高卫生监督员行政执法能力。</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启动实施青年人才培养计划。制定年度青年人才培养培训方案，每月制定培养培训计划，充分利用单位业务骨干执法经验丰富、业务水平精湛等优势，分专业为青年人才开展执法案卷制作要点、医疗机构依法执业检查、游泳场所卫生监督检查等3次业务培训，并邀请公务摄影领域专家开展公务摄影专题培训。同时安排青年人才外出参加中医药卫生监督等各类业务培训、安全生产知识竞赛等活动，在培训学习中提升青年人才才干。将青年人才培养工程与党建工作有机结合，充分发挥青年人才的主观能动性、专业优势，成功举办由青年人才主导策划，党建联盟单位共同参与的饮用水卫生及近视防控主题夏令营活动，通过多渠道、多途径为青年人才成长构筑平台，进一步加快青年人才的成长成才步伐。</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不断规范卫生监督执法行为。强化执法监督与稽查，落实卫生行政执法责任制，严格执行行政执法“三项制度”“行政处罚行政裁量权基准制度”“行政处罚案件审理工作制度”“法律顾问制度”等各项制度，严格实行案件合议和分级审批，从制度上把住案件质量关，促进卫生监督执法人员在卫生监督执法活动中依法履行职责、行使职权和遵守纪律，不断提高卫生监督队伍的整体水平和行政执法效能。2022年，完成执法全过程记录行政检查数1667条，采集音视频资料6978条，执法全过程记录行政处罚58条；完成行政处罚公示61起；实施重大行政处罚决定法制审核9起；申请法院强制执行案件2起；邀请法律顾问开展执法培训1次。</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四、注重信息宣传，营造良好卫生监督法制环境</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持续加大卫生监督信息宣传力度，不断扩大卫生监督影响力，树立卫生监督文明执法良好形象。</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扎实开展“八五普法”活动。一是开展集中宣传培训活动。今年以来，共开展卫生法律法规宣传“进社区、进企业、进单位”等活动近30次，共计发放各类宣传资料6000余份。二是坚持法治宣传与日常监督工作相结合。始终将普法宣传工作贯穿于卫生监督执法工作中，不断加大对医疗机构、学校卫生、生活饮用水、职业健康等方面的监管力度，引导医疗机构等相关相对人学法懂法、遵纪守法。三是强化法治宣传与党建工作相结合。充分发挥“医校同行光亮人生”特色党建联盟作用，通过联盟活动让法治宣传活动走进学校、医疗机构、水厂等地。打造“蓝盾之声”卫生监督党支部服务品牌，以党员宣传服务小分队等形式，立足卫生监督本职工作，深入社区、企业等积极普及卫生健康法律法规知识，不断拓展延伸普法工作的广度与深度。</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开设管理相对人集中培训班。分批分专业相继对不同行业的管理相对人开展了医疗美容机构依法执业、餐饮具集中消毒单位卫生法律法规、医疗机构放射防护、职业卫生防暑降温等卫生法律法规培训6次，帮助其提升法制观念，规范生产经营活动，提高卫生管理水平。</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持续开展对外宣传工作。利用“江阴卫监”微信公众号平台及时对外发布监督工作动态信息。定期发布“以案释法”宣传信息，以普法的视角深入浅出地剖析违法案件中涉及的违法行为成因和后果，以及案件的处罚情况和依据，为广大群众打开普法大门。与融媒体中心合作，利用融媒体受众面广、影响力大等优势，结合各类传统节日及季节特点，专题开展游泳场所等监督执法宣传，普及群众卫生健康法律法规知识，切实提高群众法律意识和维权意识。一年来，利用“江阴卫监”微信公众号平台对外宣传130篇次，与市融媒体中心合作制作《法治全澄》节目2期。</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700" w:bottom="770" w:left="1020" w:header="283"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rPr>
          <w:rFonts w:ascii="仿宋" w:hAnsi="仿宋" w:eastAsia="仿宋" w:cs="仿宋"/>
          <w:b/>
          <w:bCs/>
          <w:sz w:val="44"/>
          <w:szCs w:val="44"/>
        </w:rPr>
      </w:pPr>
    </w:p>
    <w:p>
      <w:pPr>
        <w:pStyle w:val="21"/>
        <w:tabs>
          <w:tab w:val="left" w:pos="1609"/>
        </w:tabs>
        <w:spacing w:before="12" w:line="300" w:lineRule="auto"/>
        <w:ind w:left="340" w:right="567" w:firstLine="0"/>
        <w:jc w:val="center"/>
        <w:outlineLvl w:val="0"/>
        <w:rPr>
          <w:rFonts w:ascii="宋体" w:hAnsi="宋体" w:eastAsia="宋体" w:cs="宋体"/>
          <w:b/>
          <w:bCs/>
          <w:sz w:val="36"/>
          <w:szCs w:val="36"/>
          <w:lang w:val="en-US"/>
        </w:rPr>
      </w:pPr>
      <w:r>
        <w:rPr>
          <w:rFonts w:hint="eastAsia" w:ascii="宋体" w:hAnsi="宋体" w:eastAsia="宋体" w:cs="宋体"/>
          <w:b/>
          <w:bCs/>
          <w:sz w:val="36"/>
          <w:szCs w:val="36"/>
        </w:rPr>
        <w:t>第二部分</w:t>
      </w:r>
    </w:p>
    <w:p>
      <w:pPr>
        <w:pStyle w:val="21"/>
        <w:tabs>
          <w:tab w:val="left" w:pos="1609"/>
        </w:tabs>
        <w:spacing w:before="12" w:line="300" w:lineRule="auto"/>
        <w:ind w:left="340" w:right="567" w:firstLine="0"/>
        <w:jc w:val="center"/>
        <w:rPr>
          <w:rFonts w:ascii="宋体" w:hAnsi="宋体" w:eastAsia="宋体" w:cs="宋体"/>
          <w:b/>
          <w:bCs/>
          <w:sz w:val="36"/>
          <w:szCs w:val="36"/>
        </w:rPr>
      </w:pPr>
      <w:r>
        <w:rPr>
          <w:rFonts w:hint="eastAsia" w:ascii="宋体" w:hAnsi="宋体" w:eastAsia="宋体" w:cs="宋体"/>
          <w:b/>
          <w:bCs/>
          <w:sz w:val="36"/>
          <w:szCs w:val="36"/>
        </w:rPr>
        <w:t>江阴市卫生监督所</w:t>
      </w:r>
    </w:p>
    <w:p>
      <w:pPr>
        <w:pStyle w:val="21"/>
        <w:tabs>
          <w:tab w:val="left" w:pos="1609"/>
        </w:tabs>
        <w:spacing w:before="12" w:line="300" w:lineRule="auto"/>
        <w:ind w:left="340" w:right="567" w:firstLine="0"/>
        <w:jc w:val="center"/>
        <w:outlineLvl w:val="1"/>
        <w:rPr>
          <w:rFonts w:ascii="宋体" w:hAnsi="宋体" w:eastAsia="宋体" w:cs="宋体"/>
          <w:b/>
          <w:bCs/>
          <w:sz w:val="36"/>
          <w:szCs w:val="36"/>
        </w:rPr>
      </w:pPr>
      <w:r>
        <w:rPr>
          <w:rFonts w:hint="eastAsia" w:ascii="宋体" w:hAnsi="宋体" w:eastAsia="宋体" w:cs="宋体"/>
          <w:b/>
          <w:bCs/>
          <w:sz w:val="36"/>
          <w:szCs w:val="36"/>
        </w:rPr>
        <w:t>2022年度</w:t>
      </w:r>
      <w:r>
        <w:rPr>
          <w:rFonts w:hint="eastAsia" w:ascii="宋体" w:hAnsi="宋体" w:eastAsia="宋体" w:cs="宋体"/>
          <w:b/>
          <w:bCs/>
          <w:sz w:val="36"/>
          <w:szCs w:val="36"/>
          <w:lang w:val="en-US"/>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jc w:val="center"/>
              <w:rPr>
                <w:rFonts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rPr>
                <w:rFonts w:ascii="仿宋" w:hAnsi="仿宋" w:eastAsia="仿宋" w:cs="仿宋"/>
                <w:color w:val="000000"/>
                <w:sz w:val="20"/>
              </w:rPr>
            </w:pPr>
          </w:p>
        </w:tc>
        <w:tc>
          <w:tcPr>
            <w:tcW w:w="1777" w:type="dxa"/>
          </w:tcPr>
          <w:p>
            <w:pPr>
              <w:rPr>
                <w:rFonts w:ascii="仿宋" w:hAnsi="仿宋" w:eastAsia="仿宋" w:cs="仿宋"/>
                <w:color w:val="000000"/>
                <w:sz w:val="20"/>
              </w:rPr>
            </w:pPr>
          </w:p>
        </w:tc>
        <w:tc>
          <w:tcPr>
            <w:tcW w:w="5202" w:type="dxa"/>
            <w:gridSpan w:val="3"/>
          </w:tcPr>
          <w:p>
            <w:pPr>
              <w:jc w:val="right"/>
              <w:rPr>
                <w:rFonts w:ascii="仿宋" w:hAnsi="仿宋" w:eastAsia="仿宋" w:cs="仿宋"/>
                <w:color w:val="000000"/>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color w:val="000000"/>
                <w:lang w:eastAsia="ar-SA"/>
              </w:rPr>
              <w:t>江阴市卫生监督所</w:t>
            </w:r>
          </w:p>
        </w:tc>
        <w:tc>
          <w:tcPr>
            <w:tcW w:w="3167"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ascii="仿宋" w:hAnsi="仿宋" w:eastAsia="仿宋" w:cs="仿宋"/>
                <w:color w:val="000000"/>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color w:val="000000"/>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2,342.81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234.32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1,539.50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568.50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2,342.81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2,342.32</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lang w:eastAsia="ar-SA"/>
              </w:rPr>
            </w:pPr>
            <w:r>
              <w:rPr>
                <w:rFonts w:hint="eastAsia" w:ascii="仿宋" w:hAnsi="仿宋" w:eastAsia="仿宋" w:cs="仿宋"/>
                <w:color w:val="000000"/>
                <w:lang w:eastAsia="ar-SA"/>
              </w:rPr>
              <w:t>0.50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ascii="仿宋" w:hAnsi="仿宋" w:eastAsia="仿宋" w:cs="仿宋"/>
                <w:color w:val="000000"/>
              </w:rPr>
            </w:pPr>
            <w:r>
              <w:rPr>
                <w:rFonts w:hint="eastAsia" w:ascii="仿宋" w:hAnsi="仿宋" w:eastAsia="仿宋" w:cs="仿宋"/>
                <w:color w:val="000000"/>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0.99</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777"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3376"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c>
          <w:tcPr>
            <w:tcW w:w="1826"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000000"/>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2,343.31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lang w:eastAsia="ar-SA"/>
              </w:rPr>
              <w:t>2,343.31</w:t>
            </w:r>
          </w:p>
        </w:tc>
      </w:tr>
    </w:tbl>
    <w:p>
      <w:pPr>
        <w:spacing w:before="66"/>
        <w:jc w:val="both"/>
        <w:rPr>
          <w:rFonts w:ascii="仿宋" w:hAnsi="仿宋" w:eastAsia="仿宋" w:cs="仿宋"/>
          <w:color w:val="000000"/>
          <w:lang w:val="en-US"/>
        </w:rPr>
      </w:pPr>
      <w:r>
        <w:rPr>
          <w:rFonts w:hint="eastAsia" w:ascii="仿宋" w:hAnsi="仿宋" w:eastAsia="仿宋" w:cs="仿宋"/>
          <w:color w:val="000000"/>
          <w:lang w:val="en-US"/>
        </w:rPr>
        <w:t>注：本表反映本年度的总收支和年末结转结余情况。本表金额单位转换时可能存在尾数误差。</w:t>
      </w:r>
    </w:p>
    <w:p>
      <w:pPr>
        <w:spacing w:before="66"/>
        <w:jc w:val="both"/>
        <w:rPr>
          <w:rFonts w:ascii="仿宋" w:hAnsi="仿宋" w:eastAsia="仿宋" w:cs="仿宋"/>
          <w:color w:val="000000"/>
        </w:rPr>
        <w:sectPr>
          <w:footerReference r:id="rId11" w:type="default"/>
          <w:pgSz w:w="11906" w:h="16838"/>
          <w:pgMar w:top="720" w:right="720" w:bottom="720" w:left="720" w:header="170" w:footer="280" w:gutter="0"/>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rPr>
                <w:rFonts w:ascii="仿宋" w:hAnsi="仿宋" w:eastAsia="仿宋" w:cs="仿宋"/>
                <w:b/>
                <w:bCs/>
                <w:sz w:val="44"/>
                <w:szCs w:val="44"/>
                <w:lang w:val="en-US"/>
              </w:rPr>
            </w:pPr>
            <w:r>
              <w:rPr>
                <w:rFonts w:hint="eastAsia" w:ascii="宋体" w:hAnsi="宋体" w:eastAsia="宋体" w:cs="宋体"/>
                <w:b/>
                <w:bCs/>
                <w:color w:val="000000"/>
                <w:lang w:eastAsia="ar-SA"/>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jc w:val="center"/>
              <w:rPr>
                <w:rFonts w:ascii="仿宋" w:hAnsi="仿宋" w:eastAsia="仿宋" w:cs="仿宋"/>
              </w:rPr>
            </w:pPr>
          </w:p>
        </w:tc>
        <w:tc>
          <w:tcPr>
            <w:tcW w:w="1716" w:type="dxa"/>
            <w:vAlign w:val="center"/>
          </w:tcPr>
          <w:p>
            <w:pPr>
              <w:pStyle w:val="22"/>
              <w:jc w:val="center"/>
              <w:rPr>
                <w:rFonts w:ascii="仿宋" w:hAnsi="仿宋" w:eastAsia="仿宋" w:cs="仿宋"/>
              </w:rPr>
            </w:pPr>
          </w:p>
        </w:tc>
        <w:tc>
          <w:tcPr>
            <w:tcW w:w="1728" w:type="dxa"/>
            <w:vAlign w:val="center"/>
          </w:tcPr>
          <w:p>
            <w:pPr>
              <w:pStyle w:val="22"/>
              <w:jc w:val="center"/>
              <w:rPr>
                <w:rFonts w:ascii="仿宋" w:hAnsi="仿宋" w:eastAsia="仿宋" w:cs="仿宋"/>
              </w:rPr>
            </w:pPr>
          </w:p>
        </w:tc>
        <w:tc>
          <w:tcPr>
            <w:tcW w:w="1686" w:type="dxa"/>
            <w:vAlign w:val="center"/>
          </w:tcPr>
          <w:p>
            <w:pPr>
              <w:pStyle w:val="22"/>
              <w:jc w:val="center"/>
              <w:rPr>
                <w:rFonts w:ascii="仿宋" w:hAnsi="仿宋" w:eastAsia="仿宋" w:cs="仿宋"/>
              </w:rPr>
            </w:pPr>
          </w:p>
        </w:tc>
        <w:tc>
          <w:tcPr>
            <w:tcW w:w="3207" w:type="dxa"/>
            <w:gridSpan w:val="2"/>
            <w:vAlign w:val="center"/>
          </w:tcPr>
          <w:p>
            <w:pPr>
              <w:pStyle w:val="22"/>
              <w:jc w:val="center"/>
              <w:rPr>
                <w:rFonts w:ascii="仿宋" w:hAnsi="仿宋" w:eastAsia="仿宋" w:cs="仿宋"/>
              </w:rPr>
            </w:pPr>
          </w:p>
        </w:tc>
        <w:tc>
          <w:tcPr>
            <w:tcW w:w="1263" w:type="dxa"/>
            <w:vAlign w:val="center"/>
          </w:tcPr>
          <w:p>
            <w:pPr>
              <w:pStyle w:val="22"/>
              <w:jc w:val="center"/>
              <w:rPr>
                <w:rFonts w:ascii="仿宋" w:hAnsi="仿宋" w:eastAsia="仿宋" w:cs="仿宋"/>
              </w:rPr>
            </w:pPr>
          </w:p>
        </w:tc>
        <w:tc>
          <w:tcPr>
            <w:tcW w:w="2703" w:type="dxa"/>
            <w:gridSpan w:val="2"/>
            <w:vAlign w:val="center"/>
          </w:tcPr>
          <w:p>
            <w:pPr>
              <w:pStyle w:val="22"/>
              <w:jc w:val="right"/>
              <w:rPr>
                <w:rFonts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2703"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rPr>
                <w:rFonts w:ascii="仿宋" w:hAnsi="仿宋" w:eastAsia="仿宋" w:cs="仿宋"/>
              </w:rPr>
            </w:pPr>
          </w:p>
        </w:tc>
        <w:tc>
          <w:tcPr>
            <w:tcW w:w="1728" w:type="dxa"/>
            <w:vMerge w:val="continue"/>
            <w:tcBorders>
              <w:left w:val="single" w:color="000000" w:sz="4" w:space="0"/>
              <w:bottom w:val="single" w:color="000000" w:sz="4" w:space="0"/>
            </w:tcBorders>
          </w:tcPr>
          <w:p>
            <w:pPr>
              <w:rPr>
                <w:rFonts w:ascii="仿宋" w:hAnsi="仿宋" w:eastAsia="仿宋" w:cs="仿宋"/>
              </w:rPr>
            </w:pPr>
          </w:p>
        </w:tc>
        <w:tc>
          <w:tcPr>
            <w:tcW w:w="1686" w:type="dxa"/>
            <w:vMerge w:val="continue"/>
            <w:tcBorders>
              <w:left w:val="single" w:color="000000" w:sz="4" w:space="0"/>
              <w:bottom w:val="single" w:color="000000" w:sz="4" w:space="0"/>
            </w:tcBorders>
          </w:tcPr>
          <w:p>
            <w:pPr>
              <w:rPr>
                <w:rFonts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263" w:type="dxa"/>
            <w:vMerge w:val="continue"/>
            <w:tcBorders>
              <w:left w:val="single" w:color="000000" w:sz="4" w:space="0"/>
              <w:bottom w:val="single" w:color="000000" w:sz="4" w:space="0"/>
            </w:tcBorders>
          </w:tcPr>
          <w:p>
            <w:pPr>
              <w:rPr>
                <w:rFonts w:ascii="仿宋" w:hAnsi="仿宋" w:eastAsia="仿宋" w:cs="仿宋"/>
              </w:rPr>
            </w:pPr>
          </w:p>
        </w:tc>
        <w:tc>
          <w:tcPr>
            <w:tcW w:w="1375" w:type="dxa"/>
            <w:vMerge w:val="continue"/>
            <w:tcBorders>
              <w:left w:val="single" w:color="000000" w:sz="4" w:space="0"/>
              <w:bottom w:val="single" w:color="000000" w:sz="4" w:space="0"/>
            </w:tcBorders>
          </w:tcPr>
          <w:p>
            <w:pPr>
              <w:rPr>
                <w:rFonts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1716" w:type="dxa"/>
            <w:tcBorders>
              <w:left w:val="single" w:color="000000" w:sz="4" w:space="0"/>
              <w:bottom w:val="single" w:color="000000" w:sz="4" w:space="0"/>
            </w:tcBorders>
            <w:vAlign w:val="center"/>
          </w:tcPr>
          <w:p>
            <w:pPr>
              <w:jc w:val="right"/>
              <w:rPr>
                <w:rFonts w:ascii="仿宋" w:hAnsi="仿宋" w:eastAsia="仿宋" w:cs="仿宋"/>
                <w:sz w:val="20"/>
                <w:szCs w:val="20"/>
              </w:rPr>
            </w:pPr>
            <w:r>
              <w:rPr>
                <w:rFonts w:hint="eastAsia" w:ascii="仿宋" w:hAnsi="仿宋" w:eastAsia="仿宋" w:cs="仿宋"/>
                <w:sz w:val="20"/>
                <w:szCs w:val="20"/>
              </w:rPr>
              <w:t>2,342.81</w:t>
            </w:r>
          </w:p>
        </w:tc>
        <w:tc>
          <w:tcPr>
            <w:tcW w:w="1728" w:type="dxa"/>
            <w:tcBorders>
              <w:left w:val="single" w:color="000000" w:sz="4" w:space="0"/>
              <w:bottom w:val="single" w:color="000000" w:sz="4" w:space="0"/>
            </w:tcBorders>
            <w:vAlign w:val="center"/>
          </w:tcPr>
          <w:p>
            <w:pPr>
              <w:jc w:val="right"/>
              <w:rPr>
                <w:rFonts w:ascii="仿宋" w:hAnsi="仿宋" w:eastAsia="仿宋" w:cs="仿宋"/>
                <w:sz w:val="20"/>
                <w:szCs w:val="20"/>
              </w:rPr>
            </w:pPr>
            <w:r>
              <w:rPr>
                <w:rFonts w:hint="eastAsia" w:ascii="仿宋" w:hAnsi="仿宋" w:eastAsia="仿宋" w:cs="仿宋"/>
                <w:sz w:val="20"/>
                <w:szCs w:val="20"/>
              </w:rPr>
              <w:t>2,342.81</w:t>
            </w:r>
          </w:p>
        </w:tc>
        <w:tc>
          <w:tcPr>
            <w:tcW w:w="1686"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503"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704"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263"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375" w:type="dxa"/>
            <w:tcBorders>
              <w:left w:val="single" w:color="000000" w:sz="4" w:space="0"/>
              <w:bottom w:val="single" w:color="000000" w:sz="4" w:space="0"/>
            </w:tcBorders>
            <w:vAlign w:val="center"/>
          </w:tcPr>
          <w:p>
            <w:pPr>
              <w:jc w:val="right"/>
              <w:rPr>
                <w:rFonts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234.32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234.32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181.84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181.84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121.23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121.23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60.61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60.61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52.48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52.48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52.48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52.48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1,539.99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1,539.99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1,539.99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1,539.99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卫生监督机构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1,535.23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1,535.23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基本公共卫生服务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4.76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4.76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568.50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568.50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568.50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568.50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155.65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155.65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306.79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306.79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106.06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r>
              <w:rPr>
                <w:rFonts w:hint="eastAsia" w:ascii="仿宋" w:hAnsi="仿宋" w:eastAsia="仿宋" w:cs="仿宋"/>
                <w:sz w:val="20"/>
                <w:szCs w:val="20"/>
              </w:rPr>
              <w:t>106.06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sz w:val="20"/>
                <w:szCs w:val="20"/>
              </w:rPr>
            </w:pPr>
          </w:p>
        </w:tc>
      </w:tr>
    </w:tbl>
    <w:p>
      <w:pPr>
        <w:spacing w:before="66"/>
        <w:jc w:val="both"/>
        <w:rPr>
          <w:rFonts w:ascii="仿宋" w:hAnsi="仿宋" w:eastAsia="仿宋" w:cs="仿宋"/>
        </w:rPr>
      </w:pPr>
      <w:r>
        <w:rPr>
          <w:rFonts w:hint="eastAsia" w:ascii="仿宋" w:hAnsi="仿宋" w:eastAsia="仿宋" w:cs="仿宋"/>
          <w:color w:val="000000"/>
        </w:rPr>
        <w:t>注：</w:t>
      </w:r>
      <w:r>
        <w:rPr>
          <w:rFonts w:hint="eastAsia" w:ascii="仿宋" w:hAnsi="仿宋" w:eastAsia="仿宋" w:cs="仿宋"/>
        </w:rPr>
        <w:t>本表反映本年度取得的各项收入情况。本表金额单位转换时可能存在尾数误差。</w:t>
      </w:r>
    </w:p>
    <w:p>
      <w:pPr>
        <w:spacing w:before="66"/>
        <w:ind w:left="57" w:firstLine="220" w:firstLineChars="100"/>
        <w:jc w:val="both"/>
        <w:rPr>
          <w:rFonts w:ascii="仿宋" w:hAnsi="仿宋" w:eastAsia="仿宋" w:cs="仿宋"/>
        </w:rPr>
        <w:sectPr>
          <w:footerReference r:id="rId12" w:type="default"/>
          <w:pgSz w:w="16838" w:h="11906" w:orient="landscape"/>
          <w:pgMar w:top="720" w:right="113" w:bottom="720" w:left="113" w:header="170" w:footer="280" w:gutter="0"/>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rPr>
                <w:rFonts w:ascii="仿宋" w:hAnsi="仿宋" w:eastAsia="仿宋" w:cs="仿宋"/>
                <w:b/>
                <w:bCs/>
                <w:sz w:val="44"/>
                <w:szCs w:val="44"/>
              </w:rPr>
            </w:pPr>
            <w:r>
              <w:rPr>
                <w:rFonts w:hint="eastAsia" w:ascii="宋体" w:hAnsi="宋体" w:eastAsia="宋体" w:cs="宋体"/>
                <w:b/>
                <w:bCs/>
                <w:color w:val="000000"/>
                <w:lang w:eastAsia="ar-SA"/>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jc w:val="center"/>
              <w:rPr>
                <w:rFonts w:ascii="仿宋" w:hAnsi="仿宋" w:eastAsia="仿宋" w:cs="仿宋"/>
              </w:rPr>
            </w:pPr>
          </w:p>
        </w:tc>
        <w:tc>
          <w:tcPr>
            <w:tcW w:w="2164" w:type="dxa"/>
            <w:vAlign w:val="center"/>
          </w:tcPr>
          <w:p>
            <w:pPr>
              <w:pStyle w:val="22"/>
              <w:jc w:val="center"/>
              <w:rPr>
                <w:rFonts w:ascii="仿宋" w:hAnsi="仿宋" w:eastAsia="仿宋" w:cs="仿宋"/>
                <w:sz w:val="20"/>
              </w:rPr>
            </w:pPr>
          </w:p>
        </w:tc>
        <w:tc>
          <w:tcPr>
            <w:tcW w:w="1897" w:type="dxa"/>
            <w:vAlign w:val="center"/>
          </w:tcPr>
          <w:p>
            <w:pPr>
              <w:pStyle w:val="22"/>
              <w:jc w:val="center"/>
              <w:rPr>
                <w:rFonts w:ascii="仿宋" w:hAnsi="仿宋" w:eastAsia="仿宋" w:cs="仿宋"/>
                <w:sz w:val="20"/>
              </w:rPr>
            </w:pPr>
          </w:p>
        </w:tc>
        <w:tc>
          <w:tcPr>
            <w:tcW w:w="1739" w:type="dxa"/>
            <w:vAlign w:val="center"/>
          </w:tcPr>
          <w:p>
            <w:pPr>
              <w:pStyle w:val="22"/>
              <w:jc w:val="center"/>
              <w:rPr>
                <w:rFonts w:ascii="仿宋" w:hAnsi="仿宋" w:eastAsia="仿宋" w:cs="仿宋"/>
                <w:sz w:val="20"/>
              </w:rPr>
            </w:pPr>
          </w:p>
        </w:tc>
        <w:tc>
          <w:tcPr>
            <w:tcW w:w="1715" w:type="dxa"/>
            <w:vAlign w:val="center"/>
          </w:tcPr>
          <w:p>
            <w:pPr>
              <w:pStyle w:val="22"/>
              <w:jc w:val="center"/>
              <w:rPr>
                <w:rFonts w:ascii="仿宋" w:hAnsi="仿宋" w:eastAsia="仿宋" w:cs="仿宋"/>
                <w:sz w:val="20"/>
              </w:rPr>
            </w:pPr>
          </w:p>
        </w:tc>
        <w:tc>
          <w:tcPr>
            <w:tcW w:w="3059" w:type="dxa"/>
            <w:gridSpan w:val="2"/>
            <w:vAlign w:val="center"/>
          </w:tcPr>
          <w:p>
            <w:pPr>
              <w:pStyle w:val="22"/>
              <w:jc w:val="right"/>
              <w:rPr>
                <w:rFonts w:ascii="仿宋" w:hAnsi="仿宋" w:eastAsia="仿宋" w:cs="仿宋"/>
              </w:rPr>
            </w:pPr>
            <w:r>
              <w:rPr>
                <w:rFonts w:hint="eastAsia" w:ascii="仿宋" w:hAnsi="仿宋" w:eastAsia="仿宋" w:cs="仿宋"/>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059" w:type="dxa"/>
            <w:gridSpan w:val="2"/>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2164"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392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164" w:type="dxa"/>
            <w:vMerge w:val="continue"/>
            <w:tcBorders>
              <w:left w:val="single" w:color="000000" w:sz="4" w:space="0"/>
              <w:bottom w:val="single" w:color="000000" w:sz="4" w:space="0"/>
            </w:tcBorders>
          </w:tcPr>
          <w:p>
            <w:pPr>
              <w:rPr>
                <w:rFonts w:ascii="仿宋" w:hAnsi="仿宋" w:eastAsia="仿宋" w:cs="仿宋"/>
              </w:rPr>
            </w:pPr>
          </w:p>
        </w:tc>
        <w:tc>
          <w:tcPr>
            <w:tcW w:w="1897" w:type="dxa"/>
            <w:vMerge w:val="continue"/>
            <w:tcBorders>
              <w:left w:val="single" w:color="000000" w:sz="4" w:space="0"/>
              <w:bottom w:val="single" w:color="000000" w:sz="4" w:space="0"/>
            </w:tcBorders>
          </w:tcPr>
          <w:p>
            <w:pPr>
              <w:rPr>
                <w:rFonts w:ascii="仿宋" w:hAnsi="仿宋" w:eastAsia="仿宋" w:cs="仿宋"/>
              </w:rPr>
            </w:pPr>
          </w:p>
        </w:tc>
        <w:tc>
          <w:tcPr>
            <w:tcW w:w="1739" w:type="dxa"/>
            <w:vMerge w:val="continue"/>
            <w:tcBorders>
              <w:left w:val="single" w:color="000000" w:sz="4" w:space="0"/>
              <w:bottom w:val="single" w:color="000000" w:sz="4" w:space="0"/>
            </w:tcBorders>
          </w:tcPr>
          <w:p>
            <w:pPr>
              <w:rPr>
                <w:rFonts w:ascii="仿宋" w:hAnsi="仿宋" w:eastAsia="仿宋" w:cs="仿宋"/>
              </w:rPr>
            </w:pPr>
          </w:p>
        </w:tc>
        <w:tc>
          <w:tcPr>
            <w:tcW w:w="1715" w:type="dxa"/>
            <w:vMerge w:val="continue"/>
            <w:tcBorders>
              <w:left w:val="single" w:color="000000" w:sz="4" w:space="0"/>
              <w:bottom w:val="single" w:color="000000" w:sz="4" w:space="0"/>
            </w:tcBorders>
          </w:tcPr>
          <w:p>
            <w:pPr>
              <w:rPr>
                <w:rFonts w:ascii="仿宋" w:hAnsi="仿宋" w:eastAsia="仿宋" w:cs="仿宋"/>
              </w:rPr>
            </w:pPr>
          </w:p>
        </w:tc>
        <w:tc>
          <w:tcPr>
            <w:tcW w:w="1633" w:type="dxa"/>
            <w:vMerge w:val="continue"/>
            <w:tcBorders>
              <w:left w:val="single" w:color="000000" w:sz="4" w:space="0"/>
              <w:bottom w:val="single" w:color="000000" w:sz="4" w:space="0"/>
            </w:tcBorders>
          </w:tcPr>
          <w:p>
            <w:pPr>
              <w:rPr>
                <w:rFonts w:ascii="仿宋" w:hAnsi="仿宋" w:eastAsia="仿宋" w:cs="仿宋"/>
              </w:rPr>
            </w:pPr>
          </w:p>
        </w:tc>
        <w:tc>
          <w:tcPr>
            <w:tcW w:w="1426"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164"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2,342.32</w:t>
            </w:r>
          </w:p>
        </w:tc>
        <w:tc>
          <w:tcPr>
            <w:tcW w:w="189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2,328.68</w:t>
            </w:r>
          </w:p>
        </w:tc>
        <w:tc>
          <w:tcPr>
            <w:tcW w:w="1739"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13.65</w:t>
            </w:r>
          </w:p>
        </w:tc>
        <w:tc>
          <w:tcPr>
            <w:tcW w:w="1715" w:type="dxa"/>
            <w:tcBorders>
              <w:left w:val="single" w:color="000000" w:sz="4" w:space="0"/>
              <w:bottom w:val="single" w:color="000000" w:sz="4" w:space="0"/>
            </w:tcBorders>
            <w:vAlign w:val="center"/>
          </w:tcPr>
          <w:p>
            <w:pPr>
              <w:jc w:val="right"/>
              <w:rPr>
                <w:rFonts w:ascii="仿宋" w:hAnsi="仿宋" w:eastAsia="仿宋" w:cs="仿宋"/>
              </w:rPr>
            </w:pPr>
          </w:p>
        </w:tc>
        <w:tc>
          <w:tcPr>
            <w:tcW w:w="1633" w:type="dxa"/>
            <w:tcBorders>
              <w:left w:val="single" w:color="000000" w:sz="4" w:space="0"/>
              <w:bottom w:val="single" w:color="000000" w:sz="4" w:space="0"/>
            </w:tcBorders>
            <w:vAlign w:val="center"/>
          </w:tcPr>
          <w:p>
            <w:pPr>
              <w:jc w:val="right"/>
              <w:rPr>
                <w:rFonts w:ascii="仿宋" w:hAnsi="仿宋" w:eastAsia="仿宋" w:cs="仿宋"/>
              </w:rPr>
            </w:pPr>
          </w:p>
        </w:tc>
        <w:tc>
          <w:tcPr>
            <w:tcW w:w="1426"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234.32</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234.32</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181.84</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181.84</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2080505</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121.23</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121.23</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2080506</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60.61</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60.61</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20899</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52.48</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52.48</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2089999</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52.48</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52.48</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1,539.50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1,525.85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13.65</w:t>
            </w: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21004</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1,539.50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1,525.85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13.65</w:t>
            </w: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2100402</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卫生监督机构</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1,534.74</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1,525.85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8.89</w:t>
            </w: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2100408</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基本公共卫生服务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4.76</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4.76</w:t>
            </w: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568.50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568.50</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568.50</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568.50</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2210201</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155.65</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155.65</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2210202</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306.79</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306.79</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2210203</w:t>
            </w:r>
          </w:p>
        </w:tc>
        <w:tc>
          <w:tcPr>
            <w:tcW w:w="3927" w:type="dxa"/>
            <w:tcBorders>
              <w:top w:val="single" w:color="000000" w:sz="4" w:space="0"/>
              <w:left w:val="single" w:color="000000" w:sz="4" w:space="0"/>
              <w:bottom w:val="single" w:color="000000" w:sz="4" w:space="0"/>
              <w:right w:val="single" w:color="000000" w:sz="4" w:space="0"/>
            </w:tcBorders>
          </w:tcPr>
          <w:p>
            <w:pPr>
              <w:pStyle w:val="22"/>
              <w:spacing w:before="30"/>
              <w:ind w:left="107"/>
              <w:rPr>
                <w:rFonts w:ascii="仿宋" w:hAnsi="仿宋" w:eastAsia="仿宋" w:cs="仿宋"/>
              </w:rPr>
            </w:pPr>
            <w:r>
              <w:rPr>
                <w:rFonts w:hint="eastAsia" w:ascii="仿宋" w:hAnsi="仿宋" w:eastAsia="仿宋" w:cs="仿宋"/>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106.06</w:t>
            </w:r>
          </w:p>
        </w:tc>
        <w:tc>
          <w:tcPr>
            <w:tcW w:w="1897"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r>
              <w:rPr>
                <w:rFonts w:hint="eastAsia" w:ascii="仿宋" w:hAnsi="仿宋" w:eastAsia="仿宋" w:cs="仿宋"/>
              </w:rPr>
              <w:t>106.06</w:t>
            </w:r>
          </w:p>
        </w:tc>
        <w:tc>
          <w:tcPr>
            <w:tcW w:w="1739"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715"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633"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c>
          <w:tcPr>
            <w:tcW w:w="1426" w:type="dxa"/>
            <w:tcBorders>
              <w:top w:val="single" w:color="000000" w:sz="4" w:space="0"/>
              <w:left w:val="single" w:color="000000" w:sz="4" w:space="0"/>
              <w:bottom w:val="single" w:color="000000" w:sz="4" w:space="0"/>
              <w:right w:val="single" w:color="000000" w:sz="4" w:space="0"/>
            </w:tcBorders>
          </w:tcPr>
          <w:p>
            <w:pPr>
              <w:pStyle w:val="22"/>
              <w:spacing w:before="30"/>
              <w:ind w:left="107"/>
              <w:jc w:val="right"/>
              <w:rPr>
                <w:rFonts w:ascii="仿宋" w:hAnsi="仿宋" w:eastAsia="仿宋" w:cs="仿宋"/>
              </w:rPr>
            </w:pPr>
          </w:p>
        </w:tc>
      </w:tr>
    </w:tbl>
    <w:p>
      <w:pPr>
        <w:spacing w:before="59"/>
        <w:rPr>
          <w:rFonts w:ascii="仿宋" w:hAnsi="仿宋" w:eastAsia="仿宋" w:cs="仿宋"/>
        </w:rPr>
      </w:pPr>
      <w:r>
        <w:rPr>
          <w:rFonts w:hint="eastAsia" w:ascii="仿宋" w:hAnsi="仿宋" w:eastAsia="仿宋" w:cs="仿宋"/>
        </w:rPr>
        <w:t>注：本表反映本年度各项支出情况。本表金额单位转换时可能存在尾数误差。</w:t>
      </w:r>
    </w:p>
    <w:p>
      <w:pPr>
        <w:spacing w:before="59"/>
        <w:ind w:left="57"/>
        <w:rPr>
          <w:rFonts w:ascii="仿宋" w:hAnsi="仿宋" w:eastAsia="仿宋" w:cs="仿宋"/>
        </w:rPr>
        <w:sectPr>
          <w:footerReference r:id="rId13" w:type="default"/>
          <w:pgSz w:w="16838" w:h="11906" w:orient="landscape"/>
          <w:pgMar w:top="720" w:right="567" w:bottom="720" w:left="567" w:header="170" w:footer="280" w:gutter="0"/>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jc w:val="center"/>
              <w:rPr>
                <w:rFonts w:ascii="仿宋" w:hAnsi="仿宋" w:eastAsia="仿宋" w:cs="仿宋"/>
                <w:b/>
                <w:bCs/>
                <w:sz w:val="44"/>
                <w:szCs w:val="44"/>
              </w:rPr>
            </w:pPr>
            <w:r>
              <w:rPr>
                <w:rFonts w:hint="eastAsia"/>
                <w:b/>
                <w:bCs/>
                <w:color w:val="000000"/>
                <w:sz w:val="36"/>
                <w:szCs w:val="36"/>
                <w:lang w:eastAsia="ar-SA"/>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rPr>
                <w:rFonts w:ascii="仿宋" w:hAnsi="仿宋" w:eastAsia="仿宋" w:cs="仿宋"/>
                <w:sz w:val="20"/>
              </w:rPr>
            </w:pPr>
          </w:p>
        </w:tc>
        <w:tc>
          <w:tcPr>
            <w:tcW w:w="847" w:type="dxa"/>
          </w:tcPr>
          <w:p>
            <w:pPr>
              <w:pStyle w:val="22"/>
              <w:rPr>
                <w:rFonts w:ascii="仿宋" w:hAnsi="仿宋" w:eastAsia="仿宋" w:cs="仿宋"/>
                <w:sz w:val="20"/>
              </w:rPr>
            </w:pPr>
          </w:p>
        </w:tc>
        <w:tc>
          <w:tcPr>
            <w:tcW w:w="1913" w:type="dxa"/>
          </w:tcPr>
          <w:p>
            <w:pPr>
              <w:pStyle w:val="22"/>
              <w:rPr>
                <w:rFonts w:ascii="仿宋" w:hAnsi="仿宋" w:eastAsia="仿宋" w:cs="仿宋"/>
                <w:sz w:val="20"/>
              </w:rPr>
            </w:pPr>
          </w:p>
        </w:tc>
        <w:tc>
          <w:tcPr>
            <w:tcW w:w="2635" w:type="dxa"/>
            <w:gridSpan w:val="2"/>
          </w:tcPr>
          <w:p>
            <w:pPr>
              <w:pStyle w:val="22"/>
              <w:rPr>
                <w:rFonts w:ascii="仿宋" w:hAnsi="仿宋" w:eastAsia="仿宋" w:cs="仿宋"/>
                <w:sz w:val="20"/>
              </w:rPr>
            </w:pPr>
          </w:p>
        </w:tc>
        <w:tc>
          <w:tcPr>
            <w:tcW w:w="1194" w:type="dxa"/>
          </w:tcPr>
          <w:p>
            <w:pPr>
              <w:pStyle w:val="22"/>
              <w:rPr>
                <w:rFonts w:ascii="仿宋" w:hAnsi="仿宋" w:eastAsia="仿宋" w:cs="仿宋"/>
                <w:sz w:val="20"/>
              </w:rPr>
            </w:pP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221" w:type="dxa"/>
            <w:gridSpan w:val="3"/>
            <w:vAlign w:val="center"/>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收</w:t>
            </w:r>
            <w:r>
              <w:rPr>
                <w:rFonts w:hint="eastAsia" w:ascii="仿宋" w:hAnsi="仿宋" w:eastAsia="仿宋" w:cs="仿宋"/>
              </w:rPr>
              <w:tab/>
            </w:r>
            <w:r>
              <w:rPr>
                <w:rFonts w:hint="eastAsia" w:ascii="仿宋" w:hAnsi="仿宋" w:eastAsia="仿宋" w:cs="仿宋"/>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jc w:val="center"/>
              <w:rPr>
                <w:rFonts w:ascii="仿宋" w:hAnsi="仿宋" w:eastAsia="仿宋" w:cs="仿宋"/>
              </w:rPr>
            </w:pPr>
            <w:r>
              <w:rPr>
                <w:rFonts w:hint="eastAsia" w:ascii="仿宋" w:hAnsi="仿宋" w:eastAsia="仿宋" w:cs="仿宋"/>
              </w:rPr>
              <w:t>支</w:t>
            </w:r>
            <w:r>
              <w:rPr>
                <w:rFonts w:hint="eastAsia" w:ascii="仿宋" w:hAnsi="仿宋" w:eastAsia="仿宋" w:cs="仿宋"/>
              </w:rPr>
              <w:tab/>
            </w:r>
            <w:r>
              <w:rPr>
                <w:rFonts w:hint="eastAsia" w:ascii="仿宋" w:hAnsi="仿宋" w:eastAsia="仿宋" w:cs="仿宋"/>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837"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决算数</w:t>
            </w:r>
          </w:p>
        </w:tc>
        <w:tc>
          <w:tcPr>
            <w:tcW w:w="3667" w:type="dxa"/>
            <w:gridSpan w:val="3"/>
            <w:vMerge w:val="restart"/>
            <w:tcBorders>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按功能分类</w:t>
            </w:r>
          </w:p>
        </w:tc>
        <w:tc>
          <w:tcPr>
            <w:tcW w:w="6143" w:type="dxa"/>
            <w:gridSpan w:val="5"/>
            <w:tcBorders>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rPr>
                <w:rFonts w:ascii="仿宋" w:hAnsi="仿宋" w:eastAsia="仿宋" w:cs="仿宋"/>
              </w:rPr>
            </w:pPr>
          </w:p>
        </w:tc>
        <w:tc>
          <w:tcPr>
            <w:tcW w:w="1837" w:type="dxa"/>
            <w:vMerge w:val="continue"/>
            <w:tcBorders>
              <w:left w:val="single" w:color="000000" w:sz="4" w:space="0"/>
              <w:bottom w:val="single" w:color="000000" w:sz="4" w:space="0"/>
            </w:tcBorders>
          </w:tcPr>
          <w:p>
            <w:pPr>
              <w:pStyle w:val="22"/>
              <w:rPr>
                <w:rFonts w:ascii="仿宋" w:hAnsi="仿宋" w:eastAsia="仿宋" w:cs="仿宋"/>
              </w:rPr>
            </w:pPr>
          </w:p>
        </w:tc>
        <w:tc>
          <w:tcPr>
            <w:tcW w:w="3667" w:type="dxa"/>
            <w:gridSpan w:val="3"/>
            <w:vMerge w:val="continue"/>
            <w:tcBorders>
              <w:left w:val="single" w:color="000000" w:sz="4" w:space="0"/>
              <w:bottom w:val="single" w:color="000000" w:sz="4" w:space="0"/>
            </w:tcBorders>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415"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一般公共预算财政拨款</w:t>
            </w:r>
          </w:p>
        </w:tc>
        <w:tc>
          <w:tcPr>
            <w:tcW w:w="15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2,342.81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本年收入合计</w:t>
            </w:r>
          </w:p>
        </w:tc>
        <w:tc>
          <w:tcPr>
            <w:tcW w:w="1837"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2,342.81</w:t>
            </w:r>
          </w:p>
        </w:tc>
        <w:tc>
          <w:tcPr>
            <w:tcW w:w="3667" w:type="dxa"/>
            <w:gridSpan w:val="3"/>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本年支出合计</w:t>
            </w:r>
          </w:p>
        </w:tc>
        <w:tc>
          <w:tcPr>
            <w:tcW w:w="1728"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2,342.32</w:t>
            </w:r>
          </w:p>
        </w:tc>
        <w:tc>
          <w:tcPr>
            <w:tcW w:w="1415" w:type="dxa"/>
            <w:gridSpan w:val="2"/>
            <w:tcBorders>
              <w:top w:val="single" w:color="000000" w:sz="4" w:space="0"/>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2,342.32</w:t>
            </w:r>
          </w:p>
        </w:tc>
        <w:tc>
          <w:tcPr>
            <w:tcW w:w="1500" w:type="dxa"/>
            <w:tcBorders>
              <w:top w:val="single" w:color="000000" w:sz="4" w:space="0"/>
              <w:left w:val="single" w:color="000000" w:sz="4" w:space="0"/>
              <w:bottom w:val="single" w:color="000000" w:sz="4" w:space="0"/>
            </w:tcBorders>
            <w:vAlign w:val="center"/>
          </w:tcPr>
          <w:p>
            <w:pPr>
              <w:jc w:val="right"/>
              <w:rPr>
                <w:rFonts w:ascii="仿宋" w:hAnsi="仿宋" w:eastAsia="仿宋" w:cs="仿宋"/>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年初财政拨款结转和结余</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0.50</w:t>
            </w: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年末财政拨款结转和结余</w:t>
            </w: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0.99</w:t>
            </w: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0.99</w:t>
            </w: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一、一般公共预算财政拨款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0.50</w:t>
            </w: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二、政府性基金预算财政拨款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三、国有资本经营预算财政拨款</w:t>
            </w:r>
          </w:p>
        </w:tc>
        <w:tc>
          <w:tcPr>
            <w:tcW w:w="1837"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3667" w:type="dxa"/>
            <w:gridSpan w:val="3"/>
            <w:tcBorders>
              <w:left w:val="single" w:color="000000" w:sz="4" w:space="0"/>
              <w:bottom w:val="single" w:color="000000" w:sz="4" w:space="0"/>
            </w:tcBorders>
            <w:vAlign w:val="center"/>
          </w:tcPr>
          <w:p>
            <w:pPr>
              <w:pStyle w:val="22"/>
              <w:rPr>
                <w:rFonts w:ascii="仿宋" w:hAnsi="仿宋" w:eastAsia="仿宋" w:cs="仿宋"/>
              </w:rPr>
            </w:pPr>
          </w:p>
        </w:tc>
        <w:tc>
          <w:tcPr>
            <w:tcW w:w="1728"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415" w:type="dxa"/>
            <w:gridSpan w:val="2"/>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837"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2,343.31</w:t>
            </w:r>
          </w:p>
        </w:tc>
        <w:tc>
          <w:tcPr>
            <w:tcW w:w="366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b/>
                <w:bCs/>
              </w:rPr>
              <w:t>总计</w:t>
            </w:r>
          </w:p>
        </w:tc>
        <w:tc>
          <w:tcPr>
            <w:tcW w:w="1728"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2,343.31</w:t>
            </w:r>
          </w:p>
        </w:tc>
        <w:tc>
          <w:tcPr>
            <w:tcW w:w="1415" w:type="dxa"/>
            <w:gridSpan w:val="2"/>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2,343.31</w:t>
            </w:r>
          </w:p>
        </w:tc>
        <w:tc>
          <w:tcPr>
            <w:tcW w:w="1500" w:type="dxa"/>
            <w:tcBorders>
              <w:left w:val="single" w:color="000000" w:sz="4" w:space="0"/>
              <w:bottom w:val="single" w:color="000000" w:sz="4" w:space="0"/>
            </w:tcBorders>
            <w:vAlign w:val="center"/>
          </w:tcPr>
          <w:p>
            <w:pPr>
              <w:jc w:val="right"/>
              <w:rPr>
                <w:rFonts w:ascii="仿宋" w:hAnsi="仿宋" w:eastAsia="仿宋" w:cs="仿宋"/>
              </w:rPr>
            </w:pPr>
          </w:p>
        </w:tc>
        <w:tc>
          <w:tcPr>
            <w:tcW w:w="1500"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lang w:val="en-US"/>
        </w:rPr>
        <w:t>注：</w:t>
      </w:r>
      <w:r>
        <w:rPr>
          <w:rFonts w:hint="eastAsia" w:ascii="仿宋" w:hAnsi="仿宋" w:eastAsia="仿宋" w:cs="仿宋"/>
        </w:rPr>
        <w:t>本表反映本年度一般公共预算财政拨款、政府性基金预算财政拨款和国有资本经营预算财政拨款的总收支和年末结转结余情况。本表金额单位转换时可能存在尾数误差。</w:t>
      </w:r>
    </w:p>
    <w:p>
      <w:pPr>
        <w:jc w:val="both"/>
        <w:rPr>
          <w:rFonts w:ascii="仿宋" w:hAnsi="仿宋" w:eastAsia="仿宋" w:cs="仿宋"/>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rPr>
                <w:rFonts w:ascii="仿宋" w:hAnsi="仿宋" w:eastAsia="仿宋" w:cs="仿宋"/>
                <w:sz w:val="20"/>
              </w:rPr>
            </w:pPr>
          </w:p>
        </w:tc>
        <w:tc>
          <w:tcPr>
            <w:tcW w:w="3184" w:type="dxa"/>
          </w:tcPr>
          <w:p>
            <w:pPr>
              <w:pStyle w:val="22"/>
              <w:rPr>
                <w:rFonts w:ascii="仿宋" w:hAnsi="仿宋" w:eastAsia="仿宋" w:cs="仿宋"/>
                <w:sz w:val="27"/>
              </w:rPr>
            </w:pPr>
          </w:p>
        </w:tc>
        <w:tc>
          <w:tcPr>
            <w:tcW w:w="5933" w:type="dxa"/>
            <w:gridSpan w:val="2"/>
            <w:vAlign w:val="center"/>
          </w:tcPr>
          <w:p>
            <w:pPr>
              <w:pStyle w:val="22"/>
              <w:jc w:val="right"/>
              <w:rPr>
                <w:rFonts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184" w:type="dxa"/>
          </w:tcPr>
          <w:p>
            <w:pPr>
              <w:pStyle w:val="22"/>
              <w:rPr>
                <w:rFonts w:ascii="仿宋" w:hAnsi="仿宋" w:eastAsia="仿宋" w:cs="仿宋"/>
                <w:sz w:val="27"/>
              </w:rPr>
            </w:pPr>
          </w:p>
        </w:tc>
        <w:tc>
          <w:tcPr>
            <w:tcW w:w="2778" w:type="dxa"/>
            <w:vAlign w:val="center"/>
          </w:tcPr>
          <w:p>
            <w:pPr>
              <w:pStyle w:val="22"/>
              <w:jc w:val="right"/>
              <w:rPr>
                <w:rFonts w:ascii="仿宋" w:hAnsi="仿宋" w:eastAsia="仿宋" w:cs="仿宋"/>
                <w:sz w:val="27"/>
              </w:rPr>
            </w:pPr>
          </w:p>
        </w:tc>
        <w:tc>
          <w:tcPr>
            <w:tcW w:w="3155"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184"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502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184" w:type="dxa"/>
            <w:vMerge w:val="continue"/>
            <w:tcBorders>
              <w:left w:val="single" w:color="000000" w:sz="6" w:space="0"/>
              <w:bottom w:val="single" w:color="000000" w:sz="6" w:space="0"/>
            </w:tcBorders>
          </w:tcPr>
          <w:p>
            <w:pPr>
              <w:rPr>
                <w:rFonts w:ascii="仿宋" w:hAnsi="仿宋" w:eastAsia="仿宋" w:cs="仿宋"/>
              </w:rPr>
            </w:pPr>
          </w:p>
        </w:tc>
        <w:tc>
          <w:tcPr>
            <w:tcW w:w="2778" w:type="dxa"/>
            <w:vMerge w:val="continue"/>
            <w:tcBorders>
              <w:left w:val="single" w:color="000000" w:sz="6" w:space="0"/>
              <w:bottom w:val="single" w:color="000000" w:sz="6" w:space="0"/>
            </w:tcBorders>
          </w:tcPr>
          <w:p>
            <w:pPr>
              <w:rPr>
                <w:rFonts w:ascii="仿宋" w:hAnsi="仿宋" w:eastAsia="仿宋" w:cs="仿宋"/>
              </w:rPr>
            </w:pPr>
          </w:p>
        </w:tc>
        <w:tc>
          <w:tcPr>
            <w:tcW w:w="3155"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318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2778"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3155"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184"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2,342.32</w:t>
            </w:r>
          </w:p>
        </w:tc>
        <w:tc>
          <w:tcPr>
            <w:tcW w:w="2778" w:type="dxa"/>
            <w:tcBorders>
              <w:left w:val="single" w:color="000000" w:sz="6" w:space="0"/>
              <w:bottom w:val="single" w:color="000000" w:sz="6" w:space="0"/>
            </w:tcBorders>
          </w:tcPr>
          <w:p>
            <w:pPr>
              <w:pStyle w:val="22"/>
              <w:jc w:val="right"/>
              <w:rPr>
                <w:rFonts w:ascii="仿宋" w:hAnsi="仿宋" w:eastAsia="仿宋" w:cs="仿宋"/>
              </w:rPr>
            </w:pPr>
            <w:r>
              <w:rPr>
                <w:rFonts w:hint="eastAsia" w:ascii="仿宋" w:hAnsi="仿宋" w:eastAsia="仿宋" w:cs="仿宋"/>
              </w:rPr>
              <w:t>2,328.68</w:t>
            </w:r>
          </w:p>
        </w:tc>
        <w:tc>
          <w:tcPr>
            <w:tcW w:w="3155" w:type="dxa"/>
            <w:tcBorders>
              <w:left w:val="single" w:color="000000" w:sz="6" w:space="0"/>
              <w:bottom w:val="single" w:color="000000" w:sz="6" w:space="0"/>
              <w:right w:val="single" w:color="000000" w:sz="6" w:space="0"/>
            </w:tcBorders>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181.84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181.84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卫生监督机构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1,534.74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8.89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2100408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4.76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306.79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306.79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106.06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106.06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jc w:val="right"/>
              <w:rPr>
                <w:rFonts w:ascii="仿宋" w:hAnsi="仿宋" w:eastAsia="仿宋" w:cs="仿宋"/>
              </w:rPr>
            </w:pPr>
          </w:p>
        </w:tc>
      </w:tr>
    </w:tbl>
    <w:p>
      <w:pPr>
        <w:tabs>
          <w:tab w:val="left" w:pos="0"/>
        </w:tabs>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注：本表反映本年度一般公共预算财政拨款、政府性基金预算财政拨款和国有资本经营预算财政拨款支出情况。本表金额单位转换时可能存在尾数误差。</w:t>
      </w:r>
    </w:p>
    <w:p>
      <w:pPr>
        <w:tabs>
          <w:tab w:val="left" w:pos="55"/>
        </w:tabs>
        <w:jc w:val="both"/>
        <w:rPr>
          <w:rFonts w:ascii="仿宋" w:hAnsi="仿宋" w:eastAsia="仿宋" w:cs="仿宋"/>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rPr>
                <w:rFonts w:ascii="仿宋" w:hAnsi="仿宋" w:eastAsia="仿宋" w:cs="仿宋"/>
                <w:sz w:val="20"/>
              </w:rPr>
            </w:pPr>
          </w:p>
        </w:tc>
        <w:tc>
          <w:tcPr>
            <w:tcW w:w="2047" w:type="dxa"/>
          </w:tcPr>
          <w:p>
            <w:pPr>
              <w:pStyle w:val="22"/>
              <w:rPr>
                <w:rFonts w:ascii="仿宋" w:hAnsi="仿宋" w:eastAsia="仿宋" w:cs="仿宋"/>
                <w:sz w:val="20"/>
              </w:rPr>
            </w:pPr>
          </w:p>
        </w:tc>
        <w:tc>
          <w:tcPr>
            <w:tcW w:w="2040" w:type="dxa"/>
          </w:tcPr>
          <w:p>
            <w:pPr>
              <w:pStyle w:val="22"/>
              <w:rPr>
                <w:rFonts w:ascii="仿宋" w:hAnsi="仿宋" w:eastAsia="仿宋" w:cs="仿宋"/>
                <w:sz w:val="20"/>
              </w:rPr>
            </w:pPr>
          </w:p>
        </w:tc>
        <w:tc>
          <w:tcPr>
            <w:tcW w:w="1896" w:type="dxa"/>
            <w:vAlign w:val="center"/>
          </w:tcPr>
          <w:p>
            <w:pPr>
              <w:pStyle w:val="22"/>
              <w:jc w:val="right"/>
              <w:rPr>
                <w:rFonts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1896"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2,328.68</w:t>
            </w:r>
          </w:p>
        </w:tc>
        <w:tc>
          <w:tcPr>
            <w:tcW w:w="204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2,209.10</w:t>
            </w:r>
          </w:p>
        </w:tc>
        <w:tc>
          <w:tcPr>
            <w:tcW w:w="1896"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119.58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2,090.66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2,090.66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242.95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242.95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900.53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900.53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384.81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384.81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4.99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148.59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0.57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118.43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118.43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81.01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81.01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0.75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tabs>
          <w:tab w:val="left" w:pos="660"/>
          <w:tab w:val="left" w:pos="10780"/>
        </w:tabs>
        <w:spacing w:before="25" w:line="290" w:lineRule="auto"/>
        <w:jc w:val="both"/>
        <w:rPr>
          <w:rFonts w:ascii="仿宋" w:hAnsi="仿宋" w:eastAsia="仿宋" w:cs="仿宋"/>
        </w:rPr>
      </w:pPr>
      <w:r>
        <w:rPr>
          <w:rFonts w:hint="eastAsia" w:ascii="仿宋" w:hAnsi="仿宋" w:eastAsia="仿宋" w:cs="仿宋"/>
        </w:rPr>
        <w:t>注：本表反映本年度一般公共预算财政拨款、政府性基金预算财政拨款和国有资本经营预算财政拨款基本支出情况。本表金额单位转换时可能存在尾数误差。</w:t>
      </w:r>
    </w:p>
    <w:p>
      <w:pPr>
        <w:spacing w:line="255" w:lineRule="exact"/>
        <w:jc w:val="both"/>
        <w:rPr>
          <w:rFonts w:ascii="仿宋" w:hAnsi="仿宋" w:eastAsia="仿宋" w:cs="仿宋"/>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rPr>
                <w:rFonts w:ascii="仿宋" w:hAnsi="仿宋" w:eastAsia="仿宋" w:cs="仿宋"/>
                <w:sz w:val="20"/>
              </w:rPr>
            </w:pPr>
          </w:p>
        </w:tc>
        <w:tc>
          <w:tcPr>
            <w:tcW w:w="1969" w:type="dxa"/>
          </w:tcPr>
          <w:p>
            <w:pPr>
              <w:pStyle w:val="22"/>
              <w:rPr>
                <w:rFonts w:ascii="仿宋" w:hAnsi="仿宋" w:eastAsia="仿宋" w:cs="仿宋"/>
                <w:sz w:val="20"/>
              </w:rPr>
            </w:pPr>
          </w:p>
        </w:tc>
        <w:tc>
          <w:tcPr>
            <w:tcW w:w="1499" w:type="dxa"/>
          </w:tcPr>
          <w:p>
            <w:pPr>
              <w:pStyle w:val="22"/>
              <w:rPr>
                <w:rFonts w:ascii="仿宋" w:hAnsi="仿宋" w:eastAsia="仿宋" w:cs="仿宋"/>
                <w:sz w:val="20"/>
              </w:rPr>
            </w:pPr>
          </w:p>
        </w:tc>
        <w:tc>
          <w:tcPr>
            <w:tcW w:w="1512" w:type="dxa"/>
            <w:vAlign w:val="center"/>
          </w:tcPr>
          <w:p>
            <w:pPr>
              <w:pStyle w:val="22"/>
              <w:jc w:val="right"/>
              <w:rPr>
                <w:rFonts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011" w:type="dxa"/>
            <w:gridSpan w:val="2"/>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rPr>
                <w:rFonts w:ascii="仿宋" w:hAnsi="仿宋" w:eastAsia="仿宋" w:cs="仿宋"/>
                <w:sz w:val="2"/>
                <w:szCs w:val="2"/>
              </w:rPr>
            </w:pPr>
          </w:p>
        </w:tc>
        <w:tc>
          <w:tcPr>
            <w:tcW w:w="1499" w:type="dxa"/>
            <w:vMerge w:val="continue"/>
            <w:tcBorders>
              <w:left w:val="single" w:color="000000" w:sz="6" w:space="0"/>
              <w:bottom w:val="single" w:color="000000" w:sz="6" w:space="0"/>
            </w:tcBorders>
          </w:tcPr>
          <w:p>
            <w:pPr>
              <w:rPr>
                <w:rFonts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rPr>
                <w:rFonts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jc w:val="center"/>
              <w:rPr>
                <w:rFonts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jc w:val="center"/>
              <w:rPr>
                <w:rFonts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jc w:val="center"/>
              <w:rPr>
                <w:rFonts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2,342.32</w:t>
            </w:r>
          </w:p>
        </w:tc>
        <w:tc>
          <w:tcPr>
            <w:tcW w:w="1499" w:type="dxa"/>
            <w:tcBorders>
              <w:left w:val="single" w:color="000000" w:sz="6" w:space="0"/>
              <w:bottom w:val="single" w:color="000000" w:sz="6" w:space="0"/>
            </w:tcBorders>
            <w:vAlign w:val="center"/>
          </w:tcPr>
          <w:p>
            <w:pPr>
              <w:pStyle w:val="22"/>
              <w:jc w:val="right"/>
              <w:rPr>
                <w:rFonts w:ascii="仿宋" w:hAnsi="仿宋" w:eastAsia="仿宋" w:cs="仿宋"/>
              </w:rPr>
            </w:pPr>
            <w:r>
              <w:rPr>
                <w:rFonts w:hint="eastAsia" w:ascii="仿宋" w:hAnsi="仿宋" w:eastAsia="仿宋" w:cs="仿宋"/>
              </w:rPr>
              <w:t>2,328.68</w:t>
            </w:r>
          </w:p>
        </w:tc>
        <w:tc>
          <w:tcPr>
            <w:tcW w:w="1512" w:type="dxa"/>
            <w:tcBorders>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234.32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181.84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181.84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52.48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1,539.50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13.65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2100402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卫生监督机构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1,534.74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1,525.85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8.89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2100408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基本公共卫生服务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4.76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568.50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306.79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306.79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rPr>
                <w:rFonts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106.06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r>
              <w:rPr>
                <w:rFonts w:hint="eastAsia" w:ascii="仿宋" w:hAnsi="仿宋" w:eastAsia="仿宋" w:cs="仿宋"/>
              </w:rPr>
              <w:t>106.06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jc w:val="right"/>
              <w:rPr>
                <w:rFonts w:ascii="仿宋" w:hAnsi="仿宋" w:eastAsia="仿宋" w:cs="仿宋"/>
              </w:rPr>
            </w:pPr>
          </w:p>
        </w:tc>
      </w:tr>
    </w:tbl>
    <w:p>
      <w:pPr>
        <w:tabs>
          <w:tab w:val="left" w:pos="0"/>
        </w:tabs>
        <w:spacing w:before="25"/>
        <w:jc w:val="both"/>
        <w:rPr>
          <w:rFonts w:ascii="仿宋" w:hAnsi="仿宋" w:eastAsia="仿宋" w:cs="仿宋"/>
        </w:rPr>
      </w:pPr>
      <w:r>
        <w:rPr>
          <w:rFonts w:hint="eastAsia" w:ascii="仿宋" w:hAnsi="仿宋" w:eastAsia="仿宋" w:cs="仿宋"/>
        </w:rPr>
        <w:t>注：本表反映本年度一般公共预算财政拨款支出情况。本表金额单位转换时可能存在尾数误差。</w:t>
      </w:r>
    </w:p>
    <w:p>
      <w:pPr>
        <w:spacing w:before="25"/>
        <w:jc w:val="both"/>
        <w:rPr>
          <w:rFonts w:ascii="仿宋" w:hAnsi="仿宋" w:eastAsia="仿宋" w:cs="仿宋"/>
        </w:rPr>
        <w:sectPr>
          <w:footerReference r:id="rId17" w:type="default"/>
          <w:pgSz w:w="11906" w:h="16838"/>
          <w:pgMar w:top="720" w:right="720" w:bottom="720" w:left="720" w:header="170" w:footer="280" w:gutter="0"/>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jc w:val="center"/>
              <w:rPr>
                <w:rFonts w:ascii="仿宋" w:hAnsi="仿宋" w:eastAsia="仿宋" w:cs="仿宋"/>
                <w:b/>
                <w:bCs/>
                <w:sz w:val="44"/>
                <w:szCs w:val="44"/>
              </w:rPr>
            </w:pPr>
            <w:r>
              <w:rPr>
                <w:rFonts w:hint="eastAsia"/>
                <w:b/>
                <w:bCs/>
                <w:color w:val="000000"/>
                <w:sz w:val="36"/>
                <w:szCs w:val="36"/>
                <w:lang w:eastAsia="ar-SA"/>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jc w:val="right"/>
              <w:rPr>
                <w:rFonts w:ascii="仿宋" w:hAnsi="仿宋" w:eastAsia="仿宋" w:cs="仿宋"/>
                <w:color w:val="000000"/>
              </w:rPr>
            </w:pPr>
          </w:p>
        </w:tc>
        <w:tc>
          <w:tcPr>
            <w:tcW w:w="1878" w:type="dxa"/>
            <w:vAlign w:val="center"/>
          </w:tcPr>
          <w:p>
            <w:pPr>
              <w:pStyle w:val="22"/>
              <w:jc w:val="right"/>
              <w:rPr>
                <w:rFonts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1878" w:type="dxa"/>
            <w:vAlign w:val="center"/>
          </w:tcPr>
          <w:p>
            <w:pPr>
              <w:pStyle w:val="22"/>
              <w:jc w:val="right"/>
              <w:rPr>
                <w:rFonts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2,328.68</w:t>
            </w:r>
          </w:p>
        </w:tc>
        <w:tc>
          <w:tcPr>
            <w:tcW w:w="1708" w:type="dxa"/>
            <w:tcBorders>
              <w:left w:val="single" w:color="000000" w:sz="4" w:space="0"/>
              <w:bottom w:val="single" w:color="000000" w:sz="4" w:space="0"/>
            </w:tcBorders>
            <w:vAlign w:val="center"/>
          </w:tcPr>
          <w:p>
            <w:pPr>
              <w:pStyle w:val="22"/>
              <w:jc w:val="right"/>
              <w:rPr>
                <w:rFonts w:ascii="仿宋" w:hAnsi="仿宋" w:eastAsia="仿宋" w:cs="仿宋"/>
              </w:rPr>
            </w:pPr>
            <w:r>
              <w:rPr>
                <w:rFonts w:hint="eastAsia" w:ascii="仿宋" w:hAnsi="仿宋" w:eastAsia="仿宋" w:cs="仿宋"/>
              </w:rPr>
              <w:t>2,209.10</w:t>
            </w:r>
          </w:p>
        </w:tc>
        <w:tc>
          <w:tcPr>
            <w:tcW w:w="187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119.58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2,090.66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2,090.66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242.95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242.95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900.53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900.53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384.81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384.81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23.81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121.23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60.61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35.00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12.48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4.99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155.65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148.59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148.59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0.57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5.78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3.41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16.72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8.28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17.51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28.02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20.33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118.43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118.43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30.07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81.01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81.01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6.60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0.75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spacing w:before="25"/>
        <w:ind w:right="-92" w:rightChars="-42"/>
        <w:jc w:val="both"/>
        <w:rPr>
          <w:rFonts w:ascii="仿宋" w:hAnsi="仿宋" w:eastAsia="仿宋" w:cs="仿宋"/>
        </w:rPr>
      </w:pPr>
      <w:r>
        <w:rPr>
          <w:rFonts w:hint="eastAsia" w:ascii="仿宋" w:hAnsi="仿宋" w:eastAsia="仿宋" w:cs="仿宋"/>
        </w:rPr>
        <w:t>注：本表反映本年度一般公共预算财政拨款基本支出情况。本表金额单位转换时可能存在尾数误差。</w:t>
      </w:r>
    </w:p>
    <w:p>
      <w:pPr>
        <w:spacing w:before="25"/>
        <w:jc w:val="both"/>
        <w:rPr>
          <w:rFonts w:ascii="仿宋" w:hAnsi="仿宋" w:eastAsia="仿宋" w:cs="仿宋"/>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jc w:val="center"/>
              <w:rPr>
                <w:rFonts w:ascii="仿宋" w:hAnsi="仿宋" w:eastAsia="仿宋" w:cs="仿宋"/>
                <w:b/>
                <w:bCs/>
                <w:sz w:val="44"/>
                <w:szCs w:val="44"/>
              </w:rPr>
            </w:pPr>
            <w:r>
              <w:rPr>
                <w:rFonts w:hint="eastAsia"/>
                <w:b/>
                <w:bCs/>
                <w:color w:val="000000"/>
                <w:sz w:val="36"/>
                <w:szCs w:val="36"/>
                <w:lang w:val="en-US"/>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jc w:val="right"/>
              <w:rPr>
                <w:rFonts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8274" w:type="dxa"/>
            <w:gridSpan w:val="8"/>
            <w:tcBorders>
              <w:bottom w:val="single" w:color="auto" w:sz="4" w:space="0"/>
            </w:tcBorders>
          </w:tcPr>
          <w:p>
            <w:pPr>
              <w:pStyle w:val="22"/>
              <w:jc w:val="right"/>
              <w:rPr>
                <w:rFonts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rPr>
            </w:pPr>
            <w:r>
              <w:rPr>
                <w:rFonts w:hint="eastAsia" w:ascii="仿宋" w:hAnsi="仿宋" w:eastAsia="仿宋" w:cs="仿宋"/>
                <w:lang w:val="en-US"/>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jc w:val="center"/>
              <w:rPr>
                <w:rFonts w:ascii="仿宋" w:hAnsi="仿宋" w:eastAsia="仿宋" w:cs="仿宋"/>
                <w:lang w:val="en-US"/>
              </w:rPr>
            </w:pPr>
            <w:r>
              <w:rPr>
                <w:rFonts w:hint="eastAsia" w:ascii="仿宋" w:hAnsi="仿宋" w:eastAsia="仿宋" w:cs="仿宋"/>
                <w:lang w:val="en-US"/>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jc w:val="center"/>
              <w:rPr>
                <w:rFonts w:ascii="仿宋" w:hAnsi="仿宋" w:eastAsia="仿宋" w:cs="仿宋"/>
                <w:sz w:val="20"/>
              </w:rPr>
            </w:pPr>
          </w:p>
        </w:tc>
        <w:tc>
          <w:tcPr>
            <w:tcW w:w="1010"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w:t>
            </w:r>
          </w:p>
          <w:p>
            <w:pPr>
              <w:pStyle w:val="22"/>
              <w:jc w:val="center"/>
              <w:rPr>
                <w:rFonts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c>
          <w:tcPr>
            <w:tcW w:w="1027" w:type="dxa"/>
            <w:vMerge w:val="continue"/>
            <w:tcBorders>
              <w:left w:val="single" w:color="000000" w:sz="4" w:space="0"/>
              <w:right w:val="single" w:color="000000" w:sz="4" w:space="0"/>
            </w:tcBorders>
            <w:vAlign w:val="center"/>
          </w:tcPr>
          <w:p>
            <w:pPr>
              <w:jc w:val="center"/>
              <w:rPr>
                <w:rFonts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rPr>
                <w:rFonts w:ascii="仿宋" w:hAnsi="仿宋" w:eastAsia="仿宋" w:cs="仿宋"/>
                <w:sz w:val="2"/>
                <w:szCs w:val="2"/>
              </w:rPr>
            </w:pPr>
          </w:p>
        </w:tc>
        <w:tc>
          <w:tcPr>
            <w:tcW w:w="1042" w:type="dxa"/>
            <w:vMerge w:val="continue"/>
            <w:tcBorders>
              <w:left w:val="single" w:color="000000" w:sz="4" w:space="0"/>
              <w:bottom w:val="single" w:color="000000" w:sz="4" w:space="0"/>
            </w:tcBorders>
          </w:tcPr>
          <w:p>
            <w:pPr>
              <w:rPr>
                <w:rFonts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jc w:val="center"/>
              <w:rPr>
                <w:rFonts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rPr>
                <w:rFonts w:ascii="仿宋" w:hAnsi="仿宋" w:eastAsia="仿宋" w:cs="仿宋"/>
                <w:sz w:val="2"/>
                <w:szCs w:val="2"/>
              </w:rPr>
            </w:pPr>
          </w:p>
        </w:tc>
        <w:tc>
          <w:tcPr>
            <w:tcW w:w="1043" w:type="dxa"/>
            <w:vMerge w:val="continue"/>
            <w:tcBorders>
              <w:left w:val="single" w:color="000000" w:sz="4" w:space="0"/>
              <w:bottom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37.40</w:t>
            </w:r>
          </w:p>
        </w:tc>
        <w:tc>
          <w:tcPr>
            <w:tcW w:w="1042"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32.40</w:t>
            </w:r>
          </w:p>
        </w:tc>
        <w:tc>
          <w:tcPr>
            <w:tcW w:w="1029"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32.40</w:t>
            </w:r>
          </w:p>
        </w:tc>
        <w:tc>
          <w:tcPr>
            <w:tcW w:w="1026"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5.00</w:t>
            </w:r>
          </w:p>
        </w:tc>
        <w:tc>
          <w:tcPr>
            <w:tcW w:w="1043" w:type="dxa"/>
            <w:tcBorders>
              <w:left w:val="single" w:color="000000" w:sz="4" w:space="0"/>
              <w:bottom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2.00</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10.00</w:t>
            </w:r>
          </w:p>
        </w:tc>
        <w:tc>
          <w:tcPr>
            <w:tcW w:w="10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28.26</w:t>
            </w:r>
          </w:p>
        </w:tc>
        <w:tc>
          <w:tcPr>
            <w:tcW w:w="1010"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28.02</w:t>
            </w:r>
          </w:p>
        </w:tc>
        <w:tc>
          <w:tcPr>
            <w:tcW w:w="1089"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28.02</w:t>
            </w:r>
          </w:p>
        </w:tc>
        <w:tc>
          <w:tcPr>
            <w:tcW w:w="1043"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0.24</w:t>
            </w:r>
          </w:p>
        </w:tc>
        <w:tc>
          <w:tcPr>
            <w:tcW w:w="105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sz w:val="18"/>
                <w:szCs w:val="18"/>
              </w:rPr>
            </w:pPr>
            <w:r>
              <w:rPr>
                <w:rFonts w:hint="eastAsia" w:ascii="仿宋" w:hAnsi="仿宋" w:eastAsia="仿宋" w:cs="仿宋"/>
                <w:sz w:val="18"/>
                <w:szCs w:val="18"/>
              </w:rPr>
              <w:t>3.41</w:t>
            </w:r>
          </w:p>
        </w:tc>
      </w:tr>
    </w:tbl>
    <w:p>
      <w:pPr>
        <w:spacing w:before="30" w:after="33"/>
        <w:ind w:left="220" w:leftChars="100"/>
        <w:rPr>
          <w:rFonts w:ascii="仿宋" w:hAnsi="仿宋" w:eastAsia="仿宋" w:cs="仿宋"/>
        </w:rPr>
      </w:pPr>
      <w:r>
        <w:rPr>
          <w:rFonts w:hint="eastAsia" w:ascii="仿宋" w:hAnsi="仿宋" w:eastAsia="仿宋" w:cs="仿宋"/>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ascii="仿宋" w:hAnsi="仿宋" w:eastAsia="仿宋" w:cs="仿宋"/>
              </w:rPr>
              <w:t>项目</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12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21</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6</w:t>
            </w:r>
          </w:p>
        </w:tc>
        <w:tc>
          <w:tcPr>
            <w:tcW w:w="3908" w:type="dxa"/>
            <w:tcBorders>
              <w:top w:val="single" w:color="auto" w:sz="4" w:space="0"/>
              <w:left w:val="single" w:color="000000" w:sz="4" w:space="0"/>
              <w:bottom w:val="single" w:color="auto" w:sz="4" w:space="0"/>
            </w:tcBorders>
            <w:vAlign w:val="center"/>
          </w:tcPr>
          <w:p>
            <w:pPr>
              <w:pStyle w:val="22"/>
              <w:jc w:val="center"/>
              <w:rPr>
                <w:rFonts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jc w:val="center"/>
              <w:rPr>
                <w:rFonts w:ascii="仿宋" w:hAnsi="仿宋" w:eastAsia="仿宋" w:cs="仿宋"/>
              </w:rPr>
            </w:pPr>
            <w:r>
              <w:rPr>
                <w:rFonts w:hint="eastAsia" w:ascii="仿宋" w:hAnsi="仿宋" w:eastAsia="仿宋" w:cs="仿宋"/>
              </w:rPr>
              <w:t>79</w:t>
            </w:r>
          </w:p>
        </w:tc>
      </w:tr>
    </w:tbl>
    <w:p>
      <w:pPr>
        <w:ind w:right="-2"/>
        <w:jc w:val="both"/>
        <w:rPr>
          <w:rFonts w:ascii="仿宋" w:hAnsi="仿宋" w:eastAsia="仿宋" w:cs="仿宋"/>
        </w:rPr>
      </w:pPr>
      <w:r>
        <w:rPr>
          <w:rFonts w:hint="eastAsia" w:ascii="仿宋" w:hAnsi="仿宋" w:eastAsia="仿宋" w:cs="仿宋"/>
        </w:rPr>
        <w:t>注：</w:t>
      </w:r>
      <w:r>
        <w:rPr>
          <w:rFonts w:hint="eastAsia" w:ascii="仿宋" w:hAnsi="仿宋" w:eastAsia="仿宋" w:cs="仿宋"/>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rPr>
        <w:t>。</w:t>
      </w:r>
    </w:p>
    <w:p>
      <w:pPr>
        <w:ind w:left="227" w:firstLine="220" w:firstLineChars="100"/>
        <w:jc w:val="both"/>
        <w:rPr>
          <w:rFonts w:ascii="仿宋" w:hAnsi="仿宋" w:eastAsia="仿宋" w:cs="仿宋"/>
        </w:rPr>
        <w:sectPr>
          <w:footerReference r:id="rId19" w:type="default"/>
          <w:pgSz w:w="16838" w:h="11906" w:orient="landscape"/>
          <w:pgMar w:top="720" w:right="153" w:bottom="720" w:left="153" w:header="170" w:footer="280" w:gutter="0"/>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rPr>
                <w:rFonts w:ascii="仿宋" w:hAnsi="仿宋" w:eastAsia="仿宋" w:cs="仿宋"/>
                <w:sz w:val="20"/>
              </w:rPr>
            </w:pPr>
          </w:p>
        </w:tc>
        <w:tc>
          <w:tcPr>
            <w:tcW w:w="2684" w:type="dxa"/>
          </w:tcPr>
          <w:p>
            <w:pPr>
              <w:pStyle w:val="22"/>
              <w:rPr>
                <w:rFonts w:ascii="仿宋" w:hAnsi="仿宋" w:eastAsia="仿宋" w:cs="仿宋"/>
                <w:sz w:val="27"/>
              </w:rPr>
            </w:pPr>
          </w:p>
        </w:tc>
        <w:tc>
          <w:tcPr>
            <w:tcW w:w="2432" w:type="dxa"/>
          </w:tcPr>
          <w:p>
            <w:pPr>
              <w:pStyle w:val="22"/>
              <w:rPr>
                <w:rFonts w:ascii="仿宋" w:hAnsi="仿宋" w:eastAsia="仿宋" w:cs="仿宋"/>
                <w:sz w:val="20"/>
              </w:rPr>
            </w:pPr>
          </w:p>
        </w:tc>
        <w:tc>
          <w:tcPr>
            <w:tcW w:w="1858" w:type="dxa"/>
            <w:vAlign w:val="center"/>
          </w:tcPr>
          <w:p>
            <w:pPr>
              <w:pStyle w:val="22"/>
              <w:jc w:val="right"/>
              <w:rPr>
                <w:rFonts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1858"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rPr>
                <w:rFonts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43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432"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spacing w:before="25"/>
        <w:jc w:val="both"/>
        <w:rPr>
          <w:rFonts w:ascii="仿宋" w:hAnsi="仿宋" w:eastAsia="仿宋" w:cs="仿宋"/>
        </w:rPr>
      </w:pPr>
      <w:r>
        <w:rPr>
          <w:rFonts w:hint="eastAsia" w:ascii="仿宋" w:hAnsi="仿宋" w:eastAsia="仿宋" w:cs="仿宋"/>
        </w:rPr>
        <w:t>注：本表反映本年度政府性基金预算财政拨款支出情况。</w:t>
      </w:r>
    </w:p>
    <w:p>
      <w:pPr>
        <w:spacing w:before="25"/>
        <w:ind w:left="440" w:leftChars="200"/>
        <w:jc w:val="both"/>
        <w:rPr>
          <w:rFonts w:ascii="仿宋" w:hAnsi="仿宋" w:eastAsia="仿宋" w:cs="仿宋"/>
          <w:lang w:val="en-US"/>
        </w:rPr>
      </w:pPr>
      <w:r>
        <w:rPr>
          <w:rFonts w:ascii="仿宋" w:hAnsi="仿宋" w:eastAsia="仿宋" w:cs="仿宋"/>
        </w:rPr>
        <w:t>本单位无政府性基金预算收入支出决算，故本表为空。</w:t>
      </w:r>
    </w:p>
    <w:p>
      <w:pPr>
        <w:spacing w:before="25"/>
        <w:jc w:val="both"/>
        <w:rPr>
          <w:rFonts w:ascii="仿宋" w:hAnsi="仿宋" w:eastAsia="仿宋" w:cs="仿宋"/>
          <w:lang w:val="en-US"/>
        </w:rPr>
        <w:sectPr>
          <w:footerReference r:id="rId20"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jc w:val="center"/>
              <w:rPr>
                <w:rFonts w:ascii="仿宋" w:hAnsi="仿宋" w:eastAsia="仿宋" w:cs="仿宋"/>
                <w:b/>
                <w:bCs/>
                <w:sz w:val="44"/>
                <w:szCs w:val="44"/>
              </w:rPr>
            </w:pPr>
            <w:r>
              <w:rPr>
                <w:rFonts w:hint="eastAsia"/>
                <w:b/>
                <w:bCs/>
                <w:color w:val="000000"/>
                <w:sz w:val="36"/>
                <w:szCs w:val="36"/>
                <w:lang w:eastAsia="ar-SA"/>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rPr>
                <w:rFonts w:ascii="仿宋" w:hAnsi="仿宋" w:eastAsia="仿宋" w:cs="仿宋"/>
                <w:sz w:val="20"/>
              </w:rPr>
            </w:pPr>
          </w:p>
        </w:tc>
        <w:tc>
          <w:tcPr>
            <w:tcW w:w="2510" w:type="dxa"/>
          </w:tcPr>
          <w:p>
            <w:pPr>
              <w:pStyle w:val="22"/>
              <w:rPr>
                <w:rFonts w:ascii="仿宋" w:hAnsi="仿宋" w:eastAsia="仿宋" w:cs="仿宋"/>
                <w:sz w:val="27"/>
              </w:rPr>
            </w:pPr>
          </w:p>
        </w:tc>
        <w:tc>
          <w:tcPr>
            <w:tcW w:w="2309" w:type="dxa"/>
          </w:tcPr>
          <w:p>
            <w:pPr>
              <w:pStyle w:val="22"/>
              <w:rPr>
                <w:rFonts w:ascii="仿宋" w:hAnsi="仿宋" w:eastAsia="仿宋" w:cs="仿宋"/>
                <w:sz w:val="20"/>
              </w:rPr>
            </w:pPr>
          </w:p>
        </w:tc>
        <w:tc>
          <w:tcPr>
            <w:tcW w:w="2061" w:type="dxa"/>
            <w:vAlign w:val="center"/>
          </w:tcPr>
          <w:p>
            <w:pPr>
              <w:pStyle w:val="22"/>
              <w:jc w:val="right"/>
              <w:rPr>
                <w:rFonts w:ascii="仿宋" w:hAnsi="仿宋" w:eastAsia="仿宋" w:cs="仿宋"/>
                <w:sz w:val="27"/>
              </w:rPr>
            </w:pPr>
            <w:r>
              <w:rPr>
                <w:rFonts w:hint="eastAsia" w:ascii="仿宋" w:hAnsi="仿宋" w:eastAsia="仿宋" w:cs="仿宋"/>
              </w:rPr>
              <w:t>公开1</w:t>
            </w:r>
            <w:r>
              <w:rPr>
                <w:rFonts w:hint="eastAsia" w:ascii="仿宋" w:hAnsi="仿宋" w:eastAsia="仿宋" w:cs="仿宋"/>
                <w:lang w:val="en-US"/>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2061"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jc w:val="center"/>
              <w:rPr>
                <w:rFonts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功能分类</w:t>
            </w:r>
          </w:p>
          <w:p>
            <w:pPr>
              <w:pStyle w:val="22"/>
              <w:jc w:val="center"/>
              <w:rPr>
                <w:rFonts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rPr>
                <w:rFonts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jc w:val="center"/>
              <w:rPr>
                <w:rFonts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1</w:t>
            </w:r>
          </w:p>
        </w:tc>
        <w:tc>
          <w:tcPr>
            <w:tcW w:w="2309"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jc w:val="center"/>
              <w:rPr>
                <w:rFonts w:ascii="仿宋" w:hAnsi="仿宋" w:eastAsia="仿宋" w:cs="仿宋"/>
                <w:lang w:val="en-US"/>
              </w:rPr>
            </w:pPr>
            <w:r>
              <w:rPr>
                <w:rFonts w:hint="eastAsia" w:ascii="仿宋" w:hAnsi="仿宋" w:eastAsia="仿宋" w:cs="仿宋"/>
                <w:lang w:val="en-US"/>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309" w:type="dxa"/>
            <w:tcBorders>
              <w:left w:val="single" w:color="000000" w:sz="4" w:space="0"/>
              <w:bottom w:val="single" w:color="000000" w:sz="4" w:space="0"/>
            </w:tcBorders>
            <w:vAlign w:val="center"/>
          </w:tcPr>
          <w:p>
            <w:pPr>
              <w:pStyle w:val="22"/>
              <w:jc w:val="right"/>
              <w:rPr>
                <w:rFonts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jc w:val="both"/>
        <w:rPr>
          <w:rFonts w:ascii="仿宋" w:hAnsi="仿宋" w:eastAsia="仿宋" w:cs="仿宋"/>
        </w:rPr>
      </w:pPr>
      <w:r>
        <w:rPr>
          <w:rFonts w:hint="eastAsia" w:ascii="仿宋" w:hAnsi="仿宋" w:eastAsia="仿宋" w:cs="仿宋"/>
        </w:rPr>
        <w:t>注：本表反映本年度国有资本经营预算财政拨款支出情况。</w:t>
      </w:r>
    </w:p>
    <w:p>
      <w:pPr>
        <w:ind w:left="440" w:leftChars="200"/>
        <w:jc w:val="both"/>
        <w:rPr>
          <w:rFonts w:ascii="仿宋" w:hAnsi="仿宋" w:eastAsia="仿宋" w:cs="仿宋"/>
          <w:lang w:val="en-US"/>
        </w:rPr>
      </w:pPr>
      <w:r>
        <w:rPr>
          <w:rFonts w:ascii="仿宋" w:hAnsi="仿宋" w:eastAsia="仿宋" w:cs="仿宋"/>
        </w:rPr>
        <w:t>本单位无</w:t>
      </w:r>
      <w:r>
        <w:rPr>
          <w:rFonts w:hint="eastAsia" w:ascii="仿宋" w:hAnsi="仿宋" w:eastAsia="仿宋" w:cs="仿宋"/>
        </w:rPr>
        <w:t>国有资本经营预算支出</w:t>
      </w:r>
      <w:r>
        <w:rPr>
          <w:rFonts w:hint="eastAsia" w:ascii="仿宋" w:hAnsi="仿宋" w:eastAsia="仿宋" w:cs="仿宋"/>
          <w:lang w:val="en-US"/>
        </w:rPr>
        <w:t>决算，故本表为空。</w:t>
      </w:r>
    </w:p>
    <w:p>
      <w:pPr>
        <w:spacing w:before="25"/>
        <w:ind w:left="-220" w:leftChars="-100"/>
        <w:jc w:val="both"/>
        <w:rPr>
          <w:rFonts w:ascii="仿宋" w:hAnsi="仿宋" w:eastAsia="仿宋" w:cs="仿宋"/>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tabs>
                <w:tab w:val="left" w:pos="610"/>
              </w:tabs>
              <w:spacing w:before="28"/>
              <w:ind w:left="8"/>
              <w:jc w:val="center"/>
              <w:rPr>
                <w:rFonts w:ascii="仿宋" w:hAnsi="仿宋" w:eastAsia="仿宋" w:cs="仿宋"/>
                <w:b/>
                <w:bCs/>
                <w:sz w:val="44"/>
                <w:szCs w:val="44"/>
              </w:rPr>
            </w:pPr>
            <w:r>
              <w:rPr>
                <w:rFonts w:hint="eastAsia"/>
                <w:b/>
                <w:bCs/>
                <w:color w:val="000000"/>
                <w:sz w:val="36"/>
                <w:szCs w:val="36"/>
                <w:lang w:val="en-US" w:eastAsia="ar-SA"/>
              </w:rPr>
              <w:t>财政拨款</w:t>
            </w:r>
            <w:r>
              <w:rPr>
                <w:rFonts w:hint="eastAsia"/>
                <w:b/>
                <w:bCs/>
                <w:color w:val="000000"/>
                <w:sz w:val="36"/>
                <w:szCs w:val="36"/>
                <w:lang w:eastAsia="ar-SA"/>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rPr>
                <w:rFonts w:ascii="仿宋" w:hAnsi="仿宋" w:eastAsia="仿宋" w:cs="仿宋"/>
                <w:sz w:val="20"/>
              </w:rPr>
            </w:pPr>
          </w:p>
        </w:tc>
        <w:tc>
          <w:tcPr>
            <w:tcW w:w="3834"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834" w:type="dxa"/>
            <w:vAlign w:val="center"/>
          </w:tcPr>
          <w:p>
            <w:pPr>
              <w:pStyle w:val="22"/>
              <w:jc w:val="right"/>
              <w:rPr>
                <w:rFonts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jc w:val="center"/>
              <w:rPr>
                <w:rFonts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科目编码</w:t>
            </w:r>
          </w:p>
        </w:tc>
        <w:tc>
          <w:tcPr>
            <w:tcW w:w="4990" w:type="dxa"/>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科目名称</w:t>
            </w:r>
          </w:p>
        </w:tc>
        <w:tc>
          <w:tcPr>
            <w:tcW w:w="3834" w:type="dxa"/>
            <w:vMerge w:val="continue"/>
            <w:tcBorders>
              <w:left w:val="single" w:color="000000" w:sz="4" w:space="0"/>
              <w:bottom w:val="single" w:color="000000" w:sz="4" w:space="0"/>
              <w:right w:val="single" w:color="000000" w:sz="4" w:space="0"/>
            </w:tcBorders>
          </w:tcPr>
          <w:p>
            <w:pPr>
              <w:rPr>
                <w:rFonts w:ascii="仿宋" w:hAnsi="仿宋" w:eastAsia="仿宋" w:cs="仿宋"/>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jc w:val="center"/>
              <w:rPr>
                <w:rFonts w:ascii="仿宋" w:hAnsi="仿宋" w:eastAsia="仿宋" w:cs="仿宋"/>
              </w:rPr>
            </w:pPr>
            <w:r>
              <w:rPr>
                <w:rFonts w:hint="eastAsia" w:ascii="仿宋" w:hAnsi="仿宋" w:eastAsia="仿宋" w:cs="仿宋"/>
              </w:rPr>
              <w:t>合计</w:t>
            </w:r>
          </w:p>
        </w:tc>
        <w:tc>
          <w:tcPr>
            <w:tcW w:w="3834" w:type="dxa"/>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119.58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115.00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3.26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0.57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2.80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5.92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5.78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3.41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16.72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8.28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17.51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28.02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1.98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20.33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4.58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rPr>
                <w:rFonts w:ascii="仿宋" w:hAnsi="仿宋" w:eastAsia="仿宋" w:cs="仿宋"/>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rPr>
            </w:pPr>
          </w:p>
        </w:tc>
      </w:tr>
    </w:tbl>
    <w:p>
      <w:pPr>
        <w:spacing w:before="25"/>
        <w:ind w:right="-92" w:rightChars="-42"/>
        <w:jc w:val="both"/>
        <w:rPr>
          <w:rFonts w:ascii="仿宋" w:hAnsi="仿宋" w:eastAsia="仿宋" w:cs="仿宋"/>
          <w:lang w:val="en-US"/>
        </w:rPr>
      </w:pPr>
      <w:r>
        <w:rPr>
          <w:rFonts w:hint="eastAsia" w:ascii="仿宋" w:hAnsi="仿宋" w:eastAsia="仿宋" w:cs="仿宋"/>
        </w:rPr>
        <w:t>注：“机关运行经费” 指行政单位（含参照公务员法管理的事业单位）使用</w:t>
      </w:r>
      <w:r>
        <w:rPr>
          <w:rFonts w:hint="eastAsia" w:ascii="仿宋" w:hAnsi="仿宋" w:eastAsia="仿宋" w:cs="仿宋"/>
          <w:lang w:val="en-US"/>
        </w:rPr>
        <w:t>财政拨款</w:t>
      </w:r>
      <w:r>
        <w:rPr>
          <w:rFonts w:hint="eastAsia" w:ascii="仿宋" w:hAnsi="仿宋" w:eastAsia="仿宋" w:cs="仿宋"/>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tabs>
          <w:tab w:val="left" w:pos="440"/>
        </w:tabs>
        <w:spacing w:before="25"/>
        <w:ind w:left="440" w:leftChars="200"/>
        <w:jc w:val="both"/>
        <w:rPr>
          <w:rFonts w:ascii="仿宋" w:hAnsi="仿宋" w:eastAsia="仿宋" w:cs="仿宋"/>
          <w:lang w:val="en-US"/>
        </w:rPr>
        <w:sectPr>
          <w:footerReference r:id="rId21" w:type="default"/>
          <w:type w:val="continuous"/>
          <w:pgSz w:w="11906" w:h="16838"/>
          <w:pgMar w:top="720" w:right="720" w:bottom="720" w:left="720" w:header="170" w:footer="280" w:gutter="0"/>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jc w:val="center"/>
              <w:rPr>
                <w:rFonts w:ascii="仿宋" w:hAnsi="仿宋" w:eastAsia="仿宋" w:cs="仿宋"/>
                <w:b/>
                <w:bCs/>
                <w:sz w:val="44"/>
                <w:szCs w:val="44"/>
              </w:rPr>
            </w:pPr>
            <w:r>
              <w:rPr>
                <w:rFonts w:hint="eastAsia"/>
                <w:b/>
                <w:bCs/>
                <w:color w:val="000000"/>
                <w:sz w:val="36"/>
                <w:szCs w:val="36"/>
                <w:lang w:eastAsia="ar-SA"/>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rPr>
                <w:rFonts w:ascii="仿宋" w:hAnsi="仿宋" w:eastAsia="仿宋" w:cs="仿宋"/>
              </w:rPr>
            </w:pPr>
          </w:p>
        </w:tc>
        <w:tc>
          <w:tcPr>
            <w:tcW w:w="722" w:type="dxa"/>
          </w:tcPr>
          <w:p>
            <w:pPr>
              <w:pStyle w:val="22"/>
              <w:rPr>
                <w:rFonts w:ascii="仿宋" w:hAnsi="仿宋" w:eastAsia="仿宋" w:cs="仿宋"/>
              </w:rPr>
            </w:pPr>
          </w:p>
        </w:tc>
        <w:tc>
          <w:tcPr>
            <w:tcW w:w="1992" w:type="dxa"/>
          </w:tcPr>
          <w:p>
            <w:pPr>
              <w:pStyle w:val="22"/>
              <w:rPr>
                <w:rFonts w:ascii="仿宋" w:hAnsi="仿宋" w:eastAsia="仿宋" w:cs="仿宋"/>
              </w:rPr>
            </w:pPr>
          </w:p>
        </w:tc>
        <w:tc>
          <w:tcPr>
            <w:tcW w:w="3273" w:type="dxa"/>
            <w:vAlign w:val="center"/>
          </w:tcPr>
          <w:p>
            <w:pPr>
              <w:pStyle w:val="22"/>
              <w:jc w:val="right"/>
              <w:rPr>
                <w:rFonts w:ascii="仿宋" w:hAnsi="仿宋" w:eastAsia="仿宋" w:cs="仿宋"/>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名称：</w:t>
            </w:r>
            <w:r>
              <w:rPr>
                <w:rFonts w:hint="eastAsia" w:ascii="仿宋" w:hAnsi="仿宋" w:eastAsia="仿宋" w:cs="仿宋"/>
              </w:rPr>
              <w:t>江阴市卫生监督所</w:t>
            </w:r>
          </w:p>
        </w:tc>
        <w:tc>
          <w:tcPr>
            <w:tcW w:w="3273" w:type="dxa"/>
            <w:vAlign w:val="center"/>
          </w:tcPr>
          <w:p>
            <w:pPr>
              <w:pStyle w:val="22"/>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jc w:val="center"/>
              <w:rPr>
                <w:rFonts w:ascii="仿宋" w:hAnsi="仿宋" w:eastAsia="仿宋" w:cs="仿宋"/>
                <w:lang w:val="en-US"/>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jc w:val="center"/>
              <w:rPr>
                <w:rFonts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3.62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r>
              <w:rPr>
                <w:rFonts w:hint="eastAsia" w:ascii="仿宋" w:hAnsi="仿宋" w:eastAsia="仿宋" w:cs="仿宋"/>
              </w:rPr>
              <w:t>3.62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rPr>
                <w:rFonts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jc w:val="right"/>
              <w:rPr>
                <w:rFonts w:ascii="仿宋" w:hAnsi="仿宋" w:eastAsia="仿宋" w:cs="仿宋"/>
              </w:rPr>
            </w:pPr>
          </w:p>
        </w:tc>
      </w:tr>
    </w:tbl>
    <w:p>
      <w:pPr>
        <w:jc w:val="both"/>
        <w:rPr>
          <w:rFonts w:ascii="仿宋" w:hAnsi="仿宋" w:eastAsia="仿宋" w:cs="仿宋"/>
          <w:lang w:val="en-US"/>
        </w:rPr>
      </w:pPr>
      <w:r>
        <w:rPr>
          <w:rFonts w:hint="eastAsia" w:ascii="仿宋" w:hAnsi="仿宋" w:eastAsia="仿宋" w:cs="仿宋"/>
        </w:rPr>
        <w:t>注：</w:t>
      </w:r>
      <w:r>
        <w:rPr>
          <w:rFonts w:hint="eastAsia" w:ascii="仿宋" w:hAnsi="仿宋" w:eastAsia="仿宋" w:cs="仿宋"/>
          <w:lang w:val="en-US"/>
        </w:rPr>
        <w:t>政府采购支出信息为单位纳入部门预算范围的各项政府采购支出情况。本表金额单位转换时可能存在尾数误差</w:t>
      </w:r>
      <w:r>
        <w:rPr>
          <w:rFonts w:hint="eastAsia" w:ascii="仿宋" w:hAnsi="仿宋" w:eastAsia="仿宋" w:cs="仿宋"/>
        </w:rPr>
        <w:t>。</w:t>
      </w:r>
    </w:p>
    <w:p>
      <w:pPr>
        <w:ind w:left="440" w:leftChars="200"/>
        <w:jc w:val="both"/>
        <w:rPr>
          <w:rFonts w:ascii="仿宋" w:hAnsi="仿宋" w:eastAsia="仿宋" w:cs="仿宋"/>
        </w:rPr>
        <w:sectPr>
          <w:pgSz w:w="11906" w:h="16838"/>
          <w:pgMar w:top="720" w:right="720" w:bottom="720" w:left="720" w:header="170" w:footer="280" w:gutter="0"/>
          <w:pgNumType w:fmt="numberInDash"/>
          <w:cols w:space="720" w:num="1"/>
          <w:formProt w:val="0"/>
          <w:docGrid w:linePitch="100" w:charSpace="0"/>
        </w:sectPr>
      </w:pPr>
    </w:p>
    <w:p>
      <w:pPr>
        <w:pStyle w:val="5"/>
        <w:tabs>
          <w:tab w:val="left" w:pos="3077"/>
        </w:tabs>
        <w:spacing w:line="616" w:lineRule="exact"/>
        <w:rPr>
          <w:rFonts w:ascii="宋体" w:hAnsi="宋体" w:eastAsia="宋体" w:cs="宋体"/>
          <w:b/>
          <w:bCs/>
          <w:color w:val="000000"/>
          <w:lang w:eastAsia="ar-SA"/>
        </w:rPr>
      </w:pPr>
      <w:r>
        <w:rPr>
          <w:rFonts w:hint="eastAsia" w:ascii="宋体" w:hAnsi="宋体" w:eastAsia="宋体" w:cs="宋体"/>
          <w:b/>
          <w:bCs/>
          <w:color w:val="000000"/>
          <w:lang w:eastAsia="ar-SA"/>
        </w:rPr>
        <w:t>第三部分</w:t>
      </w:r>
      <w:r>
        <w:rPr>
          <w:rFonts w:hint="eastAsia" w:ascii="宋体" w:hAnsi="宋体" w:eastAsia="宋体" w:cs="宋体"/>
          <w:b/>
          <w:bCs/>
          <w:color w:val="000000"/>
          <w:lang w:val="en-US"/>
        </w:rPr>
        <w:t xml:space="preserve"> </w:t>
      </w:r>
      <w:r>
        <w:rPr>
          <w:rFonts w:hint="eastAsia" w:ascii="宋体" w:hAnsi="宋体" w:eastAsia="宋体" w:cs="宋体"/>
          <w:b/>
          <w:bCs/>
          <w:color w:val="000000"/>
        </w:rPr>
        <w:t>2022</w:t>
      </w:r>
      <w:r>
        <w:rPr>
          <w:rFonts w:hint="eastAsia" w:ascii="宋体" w:hAnsi="宋体" w:eastAsia="宋体" w:cs="宋体"/>
          <w:b/>
          <w:bCs/>
          <w:color w:val="000000"/>
          <w:lang w:eastAsia="ar-SA"/>
        </w:rPr>
        <w:t>年度</w:t>
      </w:r>
      <w:r>
        <w:rPr>
          <w:rFonts w:ascii="宋体" w:hAnsi="宋体" w:eastAsia="宋体" w:cs="宋体"/>
          <w:b/>
          <w:color w:val="000000"/>
        </w:rPr>
        <w:t>单位决算情况说明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2022年度收入、支出决算总计2,343.31万元。与上年相比，收、支总计各减少100.14万元，减少4.1%。其中：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（一）收入决算总计2,343.31万元。包括：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1.本年收入决算合计2,342.81万元。与上年相比，减少97.16万元，减少3.98%，变动原因：受疫情影响，基本支出减少。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2.使用非财政拨款结余0万元。与上年决算数相同。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3.年初结转和结余0.5万元。与上年相比，减少2.98万元，减少85.63%，变动原因：个人所得税清算上缴。</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（二）支出决算总计2,343.31万元。包括：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1.本年支出决算合计2,342.32万元。与上年相比，减少97.32万元，减少3.99%，变动原因：受疫情影响，基本支出减少。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2.结余分配0万元。与上年决算数相同。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3.年末结转和结余0.99万元。结转和结余事项：尚未缴纳的个人所得税和部分个人社会保险费。与上年相比，减少2.82万元，减少74.02%，变动原因：个人所得税清算上缴。</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年收入决算合计2,342.81万元，其中：财政拨款收入2,342.81万元，占100%；上级补助收入0万元，占0%；财政专户管理教育收费0万元，占0%；事业收入（不含专户管理教育收费）0万元，占0%；经营收入0万元，占0%；附属单位上缴收入0万元，占0%；其他收入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2022年度本年支出决算合计2,342.32万元，其中：基本支出2,328.68万元，占99.42%；项目支出13.65万元，占0.58%；上缴上级支出0万元，占0%；经营支出0万元，占0%；对附属单位补助支出0万元，占0%。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4" cstate="print"/>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四、财政拨款收入支出决算总体情况说明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2022年度财政拨款收入、支出决算总计2,343.31万元。与上年相比，收、支总计各减少100.14万元，减少4.1%，变动原因：受疫情影响，基本支出减少。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2022年度财政拨款支出决算2,342.32万元，占本年支出合计的100%。与2022年度财政拨款支出年初预算2,721.64万元相比，完成年初预算的86.06%。其中：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1.行政事业单位养老支出（款）机关事业单位基本养老保险缴费支出（项）。年初预算121.69万元，支出决算121.23万元，完成年初预算的99.62%。决算数与年初预算数的差异原因：在职人员退休。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2.行政事业单位养老支出（款）机关事业单位职业年金缴费支出（项）。年初预算60.85万元，支出决算60.61万元，完成年初预算的99.61%。决算数与年初预算数的差异原因：在职人员退休。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3.其他社会保障和就业支出（款）其他社会保障和就业支出（项）。年初预算53.22万元，支出决算52.48万元，完成年初预算的98.61%。决算数与年初预算数的差异原因：在职人员退休。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（二）卫生健康支出（类）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1.公共卫生（款）卫生监督机构（项）。年初预算1,908.51万元，支出决算1,534.74万元，完成年初预算的80.42%。决算数与年初预算数的差异原因：受疫情影响，基本支出减少。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2.公共卫生（款）基本公共卫生服务（项）。年初预算0万元，支出决算4.76万元，（年初预算数为0万元，无法计算完成比率）决算数与年初预算数的差异原因：基本公共卫生服务专项经费由卫生健康委统一预算。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1.住房改革支出（款）住房公积金（项）。年初预算159.1万元，支出决算155.65万元，完成年初预算的97.83%。决算数与年初预算数的差异原因：政策性因素，调整改革性补贴缴纳基数。</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2.住房改革支出（款）提租补贴（项）。年初预算310.17万元，支出决算306.79万元，完成年初预算的98.91%。决算数与年初预算数的差异原因：政策性因素，调整改革性补贴缴纳基数。</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3.住房改革支出（款）购房补贴（项）。年初预算108.1万元，支出决算106.06万元，完成年初预算的98.11%。决算数与年初预算数的差异原因：政策性因素，调整改革性补贴缴纳基数。</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2022年度财政拨款基本支出决算2,328.68万元，其中：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（一）人员经费2,209.1万元。</w:t>
      </w:r>
      <w:r>
        <w:rPr>
          <w:rFonts w:ascii="仿宋" w:hAnsi="仿宋" w:eastAsia="仿宋" w:cs="仿宋"/>
        </w:rPr>
        <w:t>主要包括：基本工资、津贴补贴、奖金、伙食补助费、机关事业单位基本养老保险缴费、职业年金缴费、职工基本医疗保险缴费、公务员医疗补助缴费、其他社会保障缴费、住房公积金、其他工资福利支出、离休费、退休费、医疗费补助、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（二）公用经费119.58万元。</w:t>
      </w:r>
      <w:r>
        <w:rPr>
          <w:rFonts w:ascii="仿宋" w:hAnsi="仿宋" w:eastAsia="仿宋" w:cs="仿宋"/>
        </w:rPr>
        <w:t>主要包括：办公费、印刷费、咨询费、邮电费、差旅费、维修（护）费、培训费、公务接待费、专用材料费、劳务费、工会经费、公务用车运行维护费、其他交通费用、其他商品和服务支出、办公设备购置。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2022年度一般公共预算财政拨款支出决算2,342.32万元。与上年相比，减少97.32万元，减少3.99%，变动原因：受疫情影响，基本支出减少。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2022年度一般公共预算财政拨款基本支出决算2,328.68万元，其中：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（一）人员经费2,209.1万元。</w:t>
      </w:r>
      <w:r>
        <w:rPr>
          <w:rFonts w:ascii="仿宋" w:hAnsi="仿宋" w:eastAsia="仿宋" w:cs="仿宋"/>
        </w:rPr>
        <w:t>主要包括：基本工资、津贴补贴、奖金、伙食补助费、机关事业单位基本养老保险缴费、职业年金缴费、职工基本医疗保险缴费、公务员医疗补助缴费、其他社会保障缴费、住房公积金、其他工资福利支出、离休费、退休费、医疗费补助、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楷体" w:hAnsi="楷体" w:eastAsia="楷体" w:cs="楷体"/>
        </w:rPr>
        <w:t>（二）公用经费119.58万元。</w:t>
      </w:r>
      <w:r>
        <w:rPr>
          <w:rFonts w:ascii="仿宋" w:hAnsi="仿宋" w:eastAsia="仿宋" w:cs="仿宋"/>
        </w:rPr>
        <w:t>主要包括：办公费、印刷费、咨询费、邮电费、差旅费、维修（护）费、培训费、公务接待费、专用材料费、劳务费、工会经费、公务用车运行维护费、其他交通费用、其他商品和服务支出、办公设备购置。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九、财政拨款“三公”经费、会议费和培训费支出情况说明</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（一）财政拨款“三公”经费支出总体情况说明。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三公”经费支出决算28.26万元（其中：一般公共预算支出28.26万元；政府性基金预算支出0万元；国有资本经营预算支出0万元）。与上年相比，增加3.23万元，变动原因：公务车辆老旧、无法更新，相关费用较上年有增加。其中，因公出国（境）费支出0万元，占“三公”经费的0%；公务用车购置及运行维护费支出28.02万元，占“三公”经费的99.15%；公务接待费支出0.24万元，占“三公”经费的0.85%。</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（二）财政拨款“三公”经费支出具体情况说明。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支出预算32.4万元（其中：一般公共预算支出32.4万元；政府性基金预算支出0万元；国有资本经营预算支出0万元），支出决算28.02万元（其中：一般公共预算支出28.02万元；政府性基金预算支出0万元；国有资本经营预算支出0万元），完成调整后预算的86.48%，决算数与预算数的差异原因：厉行节约，控制公务用车运行维护费。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（1）公务用车购置支出决算0万元。本年度使用财政拨款购置公务用车0辆。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支出决算28.02万元。公务用车运行维护费主要用于按规定保留的公务用车的燃料费、维修费、过桥过路费、保险费、安全奖励费用等支出。截至2022年12月31日，使用财政拨款开支的公务用车保有量为12辆。</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支出预算5万元（其中：一般公共预算支出5万元；政府性基金预算支出0万元；国有资本经营预算支出0万元），支出决算0.24万元（其中：一般公共预算支出0.24万元；政府性基金预算支出0万元；国有资本经营预算支出0万元），完成调整后预算的4.8%，决算数与预算数的差异原因：受疫情影响，减少公务接待批次和人次。其中：国内公务接待支出0.24万元，接待2批次，21人次，开支内容：主要为接待上级单位来人专项督导、现场审核及案件调查；国（境）外公务接待支出0万元，接待0批次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（三）财政拨款会议费支出决算情况说明。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会议费支出预算2万元（其中：一般公共预算支出2万元；政府性基金预算支出0万元；国有资本经营预算支出0万元），支出决算0万元（其中：一般公共预算支出0万元；政府性基金预算支出0万元；国有资本经营预算支出0万元），完成调整后预算的0%，决算数与预算数的差异原因：受疫情影响，采用线上会议方式。2022年度全年召开会议0个，参加会议0人次。</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（四）财政拨款培训费支出决算情况说明。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财政拨款培训费支出预算10万元（其中：一般公共预算支出10万元；政府性基金预算支出0万元；国有资本经营预算支出0万元），支出决算3.41万元（其中：一般公共预算支出3.41万元；政府性基金预算支出0万元；国有资本经营预算支出0万元），完成调整后预算的34.1%，决算数与预算数的差异原因：受疫情影响，减少线下培训批次。2022年度全年组织培训6个，组织培训79人次，开支内容：卫生监督专项能力提升培训、安全生产培训等。</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2022年度政府性基金预算财政拨款支出决算0万元。与上年决算数相同。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十一、国有资本经营预算财政拨款支出决算情况说明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2022年度国有资本经营预算财政拨款支出决算0万元。与上年决算数相同。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十二、财政拨款机关运行经费支出决算情况说明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机关运行经费支出决算119.58万元（其中：一般公共预算支出119.58万元；政府性基金预算支出0万元；国有资本经营预算支出0万元）。与上年相比，减少12.31万元，减少9.33%，变动原因：厉行节约，减少公用经费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十三、政府采购支出决算情况说明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政府采购支出总额3.62万元，其中：政府采购货物支出3.62万元、政府采购工程支出0万元、政府采购服务支出0万元。政府采购授予中小企业合同金额0万元，占政府采购支出总额的0%，其中：授予小微企业合同金额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截至2022年12月31日，本单位共有车辆12辆，其中：副部(省)级及以上领导用车0辆、主要领导干部用车0辆、机要通信用车0辆、应急保障用车0辆、执法执勤用车12辆、特种专业技术用车0辆、离退休干部用车0辆、其他用车0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十五、预算绩效评价工作开展情况</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2022年度，本单位共0个项目开展了财政重点绩效评价，涉及财政性资金合计0万元；本单位未开展单位整体支出财政重点绩效评价，涉及财政性资金0万元。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本单位共对上年度已实施完成的2个项目开展了绩效自评价，涉及财政性资金合计8.89万元；本单位共开展1项单位整体支出绩效自评价，涉及财政性资金合计2,337.56万元。</w:t>
      </w:r>
    </w:p>
    <w:p>
      <w:pPr>
        <w:pStyle w:val="5"/>
        <w:tabs>
          <w:tab w:val="left" w:pos="3077"/>
        </w:tabs>
        <w:spacing w:line="616" w:lineRule="exact"/>
        <w:rPr>
          <w:rFonts w:ascii="宋体" w:hAnsi="宋体" w:eastAsia="宋体" w:cs="宋体"/>
          <w:b/>
          <w:bCs/>
        </w:rPr>
      </w:pPr>
      <w:r>
        <w:rPr>
          <w:rFonts w:hint="eastAsia" w:ascii="宋体" w:hAnsi="宋体" w:eastAsia="宋体" w:cs="宋体"/>
          <w:b/>
          <w:bCs/>
        </w:rPr>
        <w:t>第四部分 名词</w:t>
      </w:r>
      <w:r>
        <w:rPr>
          <w:rFonts w:hint="eastAsia" w:ascii="宋体" w:hAnsi="宋体" w:eastAsia="宋体" w:cs="宋体"/>
          <w:b/>
          <w:bCs/>
          <w:color w:val="000000"/>
          <w:lang w:eastAsia="ar-SA"/>
        </w:rPr>
        <w:t>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十九、社会保障和就业支出(类)行政事业单位养老支出(款)机关事业单位基本养老保险缴费支出(项)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二十一、社会保障和就业支出(类)其他社会保障和就业支出(款)其他社会保障和就业支出(项)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二十二、卫生健康支出(类)公共卫生(款)卫生监督机构(项)</w:t>
      </w:r>
      <w:r>
        <w:rPr>
          <w:rFonts w:ascii="仿宋" w:hAnsi="仿宋" w:eastAsia="仿宋" w:cs="仿宋"/>
          <w:b/>
        </w:rPr>
        <w:t>：</w:t>
      </w:r>
      <w:r>
        <w:rPr>
          <w:rFonts w:hint="eastAsia" w:ascii="仿宋" w:hAnsi="仿宋" w:eastAsia="仿宋" w:cs="仿宋"/>
        </w:rPr>
        <w:t>反映卫生健康部门所属卫生监督机构的支出。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二十三、卫生健康支出(类)公共卫生(款)基本公共卫生服务(项)</w:t>
      </w:r>
      <w:r>
        <w:rPr>
          <w:rFonts w:ascii="仿宋" w:hAnsi="仿宋" w:eastAsia="仿宋" w:cs="仿宋"/>
          <w:b/>
        </w:rPr>
        <w:t>：</w:t>
      </w:r>
      <w:r>
        <w:rPr>
          <w:rFonts w:hint="eastAsia" w:ascii="仿宋" w:hAnsi="仿宋" w:eastAsia="仿宋" w:cs="仿宋"/>
        </w:rPr>
        <w:t>反映基本公共卫生服务支出。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二十四、住房保障支出(类)住房改革支出(款)住房公积金(项)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二十五、住房保障支出(类)住房改革支出(款)提租补贴(项)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二十六、住房保障支出(类)住房改革支出(款)购房补贴(项)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Liberation Sans">
    <w:altName w:val="华文中宋"/>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华文中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1" o:spid="_x0000_s410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4" o:spid="_x0000_s410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- 35 -</w:t>
                </w:r>
                <w:r>
                  <w:rPr>
                    <w:rFonts w:hint="eastAsia"/>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5" o:spid="_x0000_s410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- 36 -</w:t>
                </w:r>
                <w:r>
                  <w:rPr>
                    <w:rFonts w:hint="eastAsia"/>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6" o:spid="_x0000_s4106"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- 38 -</w:t>
                </w:r>
                <w:r>
                  <w:rPr>
                    <w:rFonts w:hint="eastAsia"/>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0" o:spid="_x0000_s4110"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- 2 -</w:t>
                </w:r>
                <w:r>
                  <w:rPr>
                    <w:rFonts w:hint="eastAsia" w:ascii="黑体" w:hAnsi="黑体" w:eastAsia="黑体" w:cs="黑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- 4 -</w:t>
                </w:r>
                <w:r>
                  <w:rPr>
                    <w:rFonts w:hint="eastAsia" w:ascii="黑体" w:hAnsi="黑体" w:eastAsia="黑体" w:cs="黑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12" o:spid="_x0000_s411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- 24 -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lang w:val="en-US"/>
      </w:rPr>
    </w:pPr>
    <w:r>
      <w:rPr>
        <w:rFonts w:hint="eastAsia"/>
        <w:lang w:val="en-US"/>
      </w:rPr>
      <w:t>江阴市卫生监督所</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0"/>
  <w:autoHyphenation/>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TE1NWMyNzA0YTJhMmE5YjM1YjFhZmUyYjEwMmUyYjkifQ=="/>
  </w:docVars>
  <w:rsids>
    <w:rsidRoot w:val="00506C60"/>
    <w:rsid w:val="00064984"/>
    <w:rsid w:val="00071789"/>
    <w:rsid w:val="000C024B"/>
    <w:rsid w:val="000F12AB"/>
    <w:rsid w:val="001C31F9"/>
    <w:rsid w:val="002A4858"/>
    <w:rsid w:val="002E63B1"/>
    <w:rsid w:val="00391909"/>
    <w:rsid w:val="00407CA7"/>
    <w:rsid w:val="00413AD8"/>
    <w:rsid w:val="004C0647"/>
    <w:rsid w:val="004D4D87"/>
    <w:rsid w:val="00506C60"/>
    <w:rsid w:val="00671ED7"/>
    <w:rsid w:val="00672164"/>
    <w:rsid w:val="006732F1"/>
    <w:rsid w:val="007C0F2D"/>
    <w:rsid w:val="008322BB"/>
    <w:rsid w:val="00867423"/>
    <w:rsid w:val="008B5B05"/>
    <w:rsid w:val="00994DD1"/>
    <w:rsid w:val="009965EA"/>
    <w:rsid w:val="00A6752E"/>
    <w:rsid w:val="00B92181"/>
    <w:rsid w:val="00BD7F33"/>
    <w:rsid w:val="00C15920"/>
    <w:rsid w:val="00C82582"/>
    <w:rsid w:val="00CB54FA"/>
    <w:rsid w:val="00D206B0"/>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3D1140"/>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autoRedefine/>
    <w:qFormat/>
    <w:uiPriority w:val="1"/>
    <w:pPr>
      <w:ind w:left="-40"/>
      <w:outlineLvl w:val="0"/>
    </w:pPr>
    <w:rPr>
      <w:sz w:val="52"/>
      <w:szCs w:val="52"/>
    </w:rPr>
  </w:style>
  <w:style w:type="paragraph" w:styleId="3">
    <w:name w:val="heading 2"/>
    <w:basedOn w:val="1"/>
    <w:next w:val="1"/>
    <w:autoRedefine/>
    <w:qFormat/>
    <w:uiPriority w:val="1"/>
    <w:pPr>
      <w:ind w:right="18"/>
      <w:jc w:val="center"/>
      <w:outlineLvl w:val="1"/>
    </w:pPr>
    <w:rPr>
      <w:sz w:val="44"/>
      <w:szCs w:val="44"/>
    </w:rPr>
  </w:style>
  <w:style w:type="paragraph" w:styleId="4">
    <w:name w:val="heading 3"/>
    <w:basedOn w:val="1"/>
    <w:next w:val="1"/>
    <w:autoRedefine/>
    <w:qFormat/>
    <w:uiPriority w:val="1"/>
    <w:pPr>
      <w:ind w:left="1"/>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autoRedefine/>
    <w:qFormat/>
    <w:uiPriority w:val="1"/>
    <w:pPr>
      <w:ind w:left="112"/>
      <w:outlineLvl w:val="4"/>
    </w:pPr>
    <w:rPr>
      <w:sz w:val="33"/>
      <w:szCs w:val="33"/>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autoRedefine/>
    <w:qFormat/>
    <w:uiPriority w:val="0"/>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编号符号"/>
    <w:autoRedefine/>
    <w:qFormat/>
    <w:uiPriority w:val="0"/>
  </w:style>
  <w:style w:type="character" w:customStyle="1" w:styleId="16">
    <w:name w:val="页眉 字符"/>
    <w:basedOn w:val="14"/>
    <w:autoRedefine/>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autoRedefine/>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autoRedefine/>
    <w:qFormat/>
    <w:uiPriority w:val="0"/>
    <w:pPr>
      <w:suppressLineNumbers/>
    </w:pPr>
  </w:style>
  <w:style w:type="paragraph" w:customStyle="1" w:styleId="20">
    <w:name w:val="页眉与页脚"/>
    <w:basedOn w:val="1"/>
    <w:autoRedefine/>
    <w:qFormat/>
    <w:uiPriority w:val="0"/>
  </w:style>
  <w:style w:type="paragraph" w:customStyle="1" w:styleId="21">
    <w:name w:val="列出段落1"/>
    <w:basedOn w:val="1"/>
    <w:autoRedefine/>
    <w:qFormat/>
    <w:uiPriority w:val="1"/>
    <w:pPr>
      <w:ind w:left="2039" w:hanging="782"/>
    </w:pPr>
  </w:style>
  <w:style w:type="paragraph" w:customStyle="1" w:styleId="22">
    <w:name w:val="Table Paragraph"/>
    <w:basedOn w:val="1"/>
    <w:autoRedefine/>
    <w:qFormat/>
    <w:uiPriority w:val="1"/>
    <w:rPr>
      <w:rFonts w:ascii="宋体" w:hAnsi="宋体" w:eastAsia="宋体" w:cs="宋体"/>
    </w:rPr>
  </w:style>
  <w:style w:type="paragraph" w:customStyle="1" w:styleId="23">
    <w:name w:val="表格内容"/>
    <w:basedOn w:val="1"/>
    <w:autoRedefine/>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autoRedefine/>
    <w:qFormat/>
    <w:uiPriority w:val="0"/>
    <w:rPr>
      <w:rFonts w:ascii="Liberation Mono" w:hAnsi="Liberation Mono" w:eastAsia="新宋体" w:cs="Liberation Mono"/>
      <w:sz w:val="20"/>
      <w:szCs w:val="20"/>
    </w:rPr>
  </w:style>
  <w:style w:type="table" w:customStyle="1" w:styleId="26">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113"/>
    <customShpInfo spid="_x0000_s4111"/>
    <customShpInfo spid="_x0000_s4112"/>
    <customShpInfo spid="_x0000_s4099"/>
    <customShpInfo spid="_x0000_s4100"/>
    <customShpInfo spid="_x0000_s4101"/>
    <customShpInfo spid="_x0000_s4102"/>
    <customShpInfo spid="_x0000_s4103"/>
    <customShpInfo spid="_x0000_s4104"/>
    <customShpInfo spid="_x0000_s4105"/>
    <customShpInfo spid="_x0000_s4106"/>
    <customShpInfo spid="_x0000_s4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3596</Words>
  <Characters>20499</Characters>
  <Lines>170</Lines>
  <Paragraphs>48</Paragraphs>
  <TotalTime>1</TotalTime>
  <ScaleCrop>false</ScaleCrop>
  <LinksUpToDate>false</LinksUpToDate>
  <CharactersWithSpaces>24047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微信用户</cp:lastModifiedBy>
  <dcterms:modified xsi:type="dcterms:W3CDTF">2024-01-06T04:05:32Z</dcterms:modified>
  <dc:title>部门决算公开</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2052-12.1.0.16120</vt:lpwstr>
  </property>
  <property fmtid="{D5CDD505-2E9C-101B-9397-08002B2CF9AE}" pid="6" name="LastSaved">
    <vt:filetime>2021-04-15T00:00:00Z</vt:filetime>
  </property>
</Properties>
</file>