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1279FD">
        <w:trPr>
          <w:trHeight w:val="3592"/>
        </w:trPr>
        <w:tc>
          <w:tcPr>
            <w:tcW w:w="10402" w:type="dxa"/>
            <w:tcBorders>
              <w:top w:val="nil"/>
              <w:left w:val="nil"/>
              <w:bottom w:val="nil"/>
              <w:right w:val="nil"/>
            </w:tcBorders>
          </w:tcPr>
          <w:p w:rsidR="001279FD" w:rsidRDefault="001279FD">
            <w:pPr>
              <w:pStyle w:val="a4"/>
              <w:spacing w:line="360" w:lineRule="auto"/>
              <w:rPr>
                <w:rFonts w:ascii="仿宋" w:eastAsia="仿宋" w:hAnsi="仿宋" w:cs="仿宋"/>
                <w:b/>
                <w:bCs/>
                <w:color w:val="FF0000"/>
                <w:sz w:val="22"/>
                <w:szCs w:val="22"/>
              </w:rPr>
            </w:pPr>
          </w:p>
        </w:tc>
      </w:tr>
      <w:tr w:rsidR="001279FD">
        <w:trPr>
          <w:trHeight w:val="4945"/>
        </w:trPr>
        <w:tc>
          <w:tcPr>
            <w:tcW w:w="10402" w:type="dxa"/>
            <w:tcBorders>
              <w:top w:val="nil"/>
              <w:left w:val="nil"/>
              <w:bottom w:val="nil"/>
              <w:right w:val="nil"/>
            </w:tcBorders>
          </w:tcPr>
          <w:p w:rsidR="001279FD" w:rsidRDefault="00072100">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江阴市行政审批局（机关）</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1279FD" w:rsidRDefault="001279FD">
      <w:pPr>
        <w:ind w:rightChars="129" w:right="284"/>
        <w:jc w:val="both"/>
        <w:rPr>
          <w:rFonts w:ascii="宋体" w:eastAsia="宋体" w:hAnsi="宋体" w:cs="宋体"/>
          <w:b/>
          <w:bCs/>
          <w:sz w:val="52"/>
          <w:szCs w:val="52"/>
        </w:rPr>
        <w:sectPr w:rsidR="001279FD">
          <w:headerReference w:type="default" r:id="rId7"/>
          <w:headerReference w:type="first" r:id="rId8"/>
          <w:pgSz w:w="11906" w:h="16838"/>
          <w:pgMar w:top="1580" w:right="700" w:bottom="770" w:left="1020" w:header="170" w:footer="280" w:gutter="0"/>
          <w:cols w:space="720"/>
          <w:formProt w:val="0"/>
          <w:titlePg/>
          <w:docGrid w:linePitch="100"/>
        </w:sectPr>
      </w:pPr>
    </w:p>
    <w:p w:rsidR="001279FD" w:rsidRDefault="001279FD">
      <w:pPr>
        <w:pStyle w:val="a4"/>
        <w:spacing w:before="4"/>
        <w:rPr>
          <w:rFonts w:ascii="华文仿宋" w:eastAsia="华文仿宋" w:hAnsi="华文仿宋" w:cs="仿宋"/>
          <w:sz w:val="10"/>
        </w:rPr>
      </w:pPr>
    </w:p>
    <w:p w:rsidR="001279FD" w:rsidRDefault="00072100">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1279FD" w:rsidRDefault="001279FD">
      <w:pPr>
        <w:pStyle w:val="a4"/>
        <w:spacing w:before="7"/>
        <w:rPr>
          <w:rFonts w:ascii="仿宋" w:eastAsia="仿宋" w:hAnsi="仿宋" w:cs="仿宋"/>
          <w:sz w:val="27"/>
        </w:rPr>
      </w:pPr>
    </w:p>
    <w:p w:rsidR="001279FD" w:rsidRDefault="00072100">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1279FD" w:rsidRDefault="0007210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1279FD" w:rsidRDefault="0007210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1279FD" w:rsidRDefault="0007210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1279FD" w:rsidRDefault="00072100">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单位决算表</w:t>
      </w:r>
    </w:p>
    <w:p w:rsidR="001279FD" w:rsidRDefault="00072100">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1279FD" w:rsidRDefault="00072100">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1279FD" w:rsidRDefault="00072100">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1279FD" w:rsidRDefault="00072100">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1279FD" w:rsidRDefault="00072100">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1279FD" w:rsidRDefault="00072100">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1279FD" w:rsidRDefault="00072100">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1279FD" w:rsidRDefault="00072100">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单位决算情况说明</w:t>
      </w:r>
    </w:p>
    <w:p w:rsidR="001279FD" w:rsidRDefault="00072100">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1279FD" w:rsidRDefault="001279FD">
      <w:pPr>
        <w:pStyle w:val="a4"/>
        <w:spacing w:line="235" w:lineRule="auto"/>
        <w:ind w:leftChars="300" w:left="669" w:right="2414" w:hanging="9"/>
        <w:jc w:val="both"/>
        <w:rPr>
          <w:rFonts w:ascii="仿宋" w:eastAsia="仿宋" w:hAnsi="仿宋" w:cs="仿宋"/>
        </w:rPr>
        <w:sectPr w:rsidR="001279FD">
          <w:footerReference w:type="default" r:id="rId9"/>
          <w:pgSz w:w="11906" w:h="16838"/>
          <w:pgMar w:top="1580" w:right="700" w:bottom="770" w:left="1020" w:header="283" w:footer="280" w:gutter="0"/>
          <w:pgNumType w:fmt="numberInDash" w:start="1"/>
          <w:cols w:space="720"/>
          <w:formProt w:val="0"/>
          <w:docGrid w:linePitch="100"/>
        </w:sectPr>
      </w:pPr>
    </w:p>
    <w:p w:rsidR="001279FD" w:rsidRDefault="001279FD">
      <w:pPr>
        <w:pStyle w:val="a4"/>
        <w:spacing w:before="1"/>
        <w:rPr>
          <w:rFonts w:ascii="华文仿宋" w:eastAsia="华文仿宋" w:hAnsi="华文仿宋" w:cs="仿宋"/>
          <w:sz w:val="14"/>
        </w:rPr>
      </w:pPr>
    </w:p>
    <w:p w:rsidR="001279FD" w:rsidRDefault="00072100">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1279FD" w:rsidRDefault="001279FD">
      <w:pPr>
        <w:ind w:rightChars="229" w:right="504"/>
        <w:jc w:val="both"/>
      </w:pPr>
    </w:p>
    <w:p w:rsidR="001279FD" w:rsidRDefault="0007210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（一）负责行使市政府集中授权的市场准入、投资建设等方面的行政审批事项。</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（二）负责全市政务服务综合管理、业务指导等工作。负责市、镇两级高频政务公共服务事项清单动态管理。</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（三）负责全市</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改革工作的统筹协调和组织实施。</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（四）负责全市一体化在线政务服务平台管理使用、统筹协调、数据归集和监督指导等工作。</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（五）组织市级政务服务事项集中受理办理。</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（六）负责全市公共资源交易管理协调监督工作。</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（七）负责拟订和组织实施全市政务服务信息化建设发展规划、年度工作计划及实施方案。开展全市政务服务</w:t>
      </w:r>
      <w:r>
        <w:rPr>
          <w:rFonts w:ascii="仿宋" w:eastAsia="仿宋" w:hAnsi="仿宋" w:cs="仿宋"/>
        </w:rPr>
        <w:t>“</w:t>
      </w:r>
      <w:r>
        <w:rPr>
          <w:rFonts w:ascii="仿宋" w:eastAsia="仿宋" w:hAnsi="仿宋" w:cs="仿宋"/>
        </w:rPr>
        <w:t>一张网</w:t>
      </w:r>
      <w:r>
        <w:rPr>
          <w:rFonts w:ascii="仿宋" w:eastAsia="仿宋" w:hAnsi="仿宋" w:cs="仿宋"/>
        </w:rPr>
        <w:t>”</w:t>
      </w:r>
      <w:r>
        <w:rPr>
          <w:rFonts w:ascii="仿宋" w:eastAsia="仿宋" w:hAnsi="仿宋" w:cs="仿宋"/>
        </w:rPr>
        <w:t>建设工作技术指导、业务培训等工作。</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（八）负责组织推进</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监管</w:t>
      </w:r>
      <w:r>
        <w:rPr>
          <w:rFonts w:ascii="仿宋" w:eastAsia="仿宋" w:hAnsi="仿宋" w:cs="仿宋"/>
        </w:rPr>
        <w:t>”</w:t>
      </w:r>
      <w:r>
        <w:rPr>
          <w:rFonts w:ascii="仿宋" w:eastAsia="仿宋" w:hAnsi="仿宋" w:cs="仿宋"/>
        </w:rPr>
        <w:t>平台运用，归集共享监管数据，维护监管系统和监管数据安全。</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（九）负责建立行政审批与监管的协同联动机制。</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（十）完成市委、市政府交办的其他任务。</w:t>
      </w:r>
    </w:p>
    <w:p w:rsidR="001279FD" w:rsidRDefault="0007210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1279FD" w:rsidRDefault="00072100">
      <w:pPr>
        <w:pStyle w:val="a4"/>
        <w:spacing w:line="360" w:lineRule="auto"/>
        <w:ind w:leftChars="200" w:left="440" w:rightChars="229" w:right="504" w:firstLine="658"/>
        <w:jc w:val="both"/>
        <w:rPr>
          <w:rFonts w:ascii="仿宋" w:eastAsia="仿宋" w:hAnsi="仿宋" w:cs="仿宋"/>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本单位内设机构包括办公室、政策法规科、行政审批制度改革科、审批一科、审批二科、审批三科、督</w:t>
      </w:r>
      <w:r>
        <w:rPr>
          <w:rFonts w:ascii="仿宋" w:eastAsia="仿宋" w:hAnsi="仿宋" w:cs="仿宋"/>
        </w:rPr>
        <w:lastRenderedPageBreak/>
        <w:t>查管理科、业务协调科、公共资源交易管理科、政务信</w:t>
      </w:r>
      <w:r>
        <w:rPr>
          <w:rFonts w:ascii="仿宋" w:eastAsia="仿宋" w:hAnsi="仿宋" w:cs="仿宋"/>
        </w:rPr>
        <w:t>息科、组织人事科。本单位无下属单位。</w:t>
      </w:r>
    </w:p>
    <w:p w:rsidR="001279FD" w:rsidRDefault="0007210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一是市场准入效能全方位提升。致力</w:t>
      </w:r>
      <w:r>
        <w:rPr>
          <w:rFonts w:ascii="仿宋" w:eastAsia="仿宋" w:hAnsi="仿宋" w:cs="仿宋"/>
        </w:rPr>
        <w:t>“</w:t>
      </w:r>
      <w:r>
        <w:rPr>
          <w:rFonts w:ascii="仿宋" w:eastAsia="仿宋" w:hAnsi="仿宋" w:cs="仿宋"/>
        </w:rPr>
        <w:t>更快</w:t>
      </w:r>
      <w:r>
        <w:rPr>
          <w:rFonts w:ascii="仿宋" w:eastAsia="仿宋" w:hAnsi="仿宋" w:cs="仿宋"/>
        </w:rPr>
        <w:t>”</w:t>
      </w:r>
      <w:r>
        <w:rPr>
          <w:rFonts w:ascii="仿宋" w:eastAsia="仿宋" w:hAnsi="仿宋" w:cs="仿宋"/>
        </w:rPr>
        <w:t>服务效能，企业开办全链通办理实现</w:t>
      </w:r>
      <w:r>
        <w:rPr>
          <w:rFonts w:ascii="仿宋" w:eastAsia="仿宋" w:hAnsi="仿宋" w:cs="仿宋"/>
        </w:rPr>
        <w:t>0.5</w:t>
      </w:r>
      <w:r>
        <w:rPr>
          <w:rFonts w:ascii="仿宋" w:eastAsia="仿宋" w:hAnsi="仿宋" w:cs="仿宋"/>
        </w:rPr>
        <w:t>天完成，个体工商户开业登记实现即时办理。探索实行企业变更、备案登记业务办理全面升级，推行注销登记</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，将承诺时间</w:t>
      </w:r>
      <w:r>
        <w:rPr>
          <w:rFonts w:ascii="仿宋" w:eastAsia="仿宋" w:hAnsi="仿宋" w:cs="仿宋"/>
        </w:rPr>
        <w:t>5</w:t>
      </w:r>
      <w:r>
        <w:rPr>
          <w:rFonts w:ascii="仿宋" w:eastAsia="仿宋" w:hAnsi="仿宋" w:cs="仿宋"/>
        </w:rPr>
        <w:t>个工作日压缩到</w:t>
      </w:r>
      <w:r>
        <w:rPr>
          <w:rFonts w:ascii="仿宋" w:eastAsia="仿宋" w:hAnsi="仿宋" w:cs="仿宋"/>
        </w:rPr>
        <w:t>1</w:t>
      </w:r>
      <w:r>
        <w:rPr>
          <w:rFonts w:ascii="仿宋" w:eastAsia="仿宋" w:hAnsi="仿宋" w:cs="仿宋"/>
        </w:rPr>
        <w:t>个工作日。</w:t>
      </w:r>
      <w:r w:rsidR="002A2896">
        <w:rPr>
          <w:rFonts w:ascii="仿宋" w:eastAsia="仿宋" w:hAnsi="仿宋" w:cs="仿宋"/>
        </w:rPr>
        <w:t>截至</w:t>
      </w:r>
      <w:r>
        <w:rPr>
          <w:rFonts w:ascii="仿宋" w:eastAsia="仿宋" w:hAnsi="仿宋" w:cs="仿宋"/>
        </w:rPr>
        <w:t>目前，江阴全市各类市场主体已达到</w:t>
      </w:r>
      <w:r>
        <w:rPr>
          <w:rFonts w:ascii="仿宋" w:eastAsia="仿宋" w:hAnsi="仿宋" w:cs="仿宋"/>
        </w:rPr>
        <w:t>23.81</w:t>
      </w:r>
      <w:r>
        <w:rPr>
          <w:rFonts w:ascii="仿宋" w:eastAsia="仿宋" w:hAnsi="仿宋" w:cs="仿宋"/>
        </w:rPr>
        <w:t>万户，</w:t>
      </w:r>
      <w:r>
        <w:rPr>
          <w:rFonts w:ascii="仿宋" w:eastAsia="仿宋" w:hAnsi="仿宋" w:cs="仿宋"/>
        </w:rPr>
        <w:t>“0.5”</w:t>
      </w:r>
      <w:r>
        <w:rPr>
          <w:rFonts w:ascii="仿宋" w:eastAsia="仿宋" w:hAnsi="仿宋" w:cs="仿宋"/>
        </w:rPr>
        <w:t>天开办企业数（</w:t>
      </w:r>
      <w:r>
        <w:rPr>
          <w:rFonts w:ascii="仿宋" w:eastAsia="仿宋" w:hAnsi="仿宋" w:cs="仿宋"/>
        </w:rPr>
        <w:t>14566</w:t>
      </w:r>
      <w:r>
        <w:rPr>
          <w:rFonts w:ascii="仿宋" w:eastAsia="仿宋" w:hAnsi="仿宋" w:cs="仿宋"/>
        </w:rPr>
        <w:t>家）占实施以来新设企业总数的</w:t>
      </w:r>
      <w:r>
        <w:rPr>
          <w:rFonts w:ascii="仿宋" w:eastAsia="仿宋" w:hAnsi="仿宋" w:cs="仿宋"/>
        </w:rPr>
        <w:t>60.44%</w:t>
      </w:r>
      <w:r>
        <w:rPr>
          <w:rFonts w:ascii="仿宋" w:eastAsia="仿宋" w:hAnsi="仿宋" w:cs="仿宋"/>
        </w:rPr>
        <w:t>。今年以来，江阴市新增内资企业</w:t>
      </w:r>
      <w:r>
        <w:rPr>
          <w:rFonts w:ascii="仿宋" w:eastAsia="仿宋" w:hAnsi="仿宋" w:cs="仿宋"/>
        </w:rPr>
        <w:t>9752</w:t>
      </w:r>
      <w:r>
        <w:rPr>
          <w:rFonts w:ascii="仿宋" w:eastAsia="仿宋" w:hAnsi="仿宋" w:cs="仿宋"/>
        </w:rPr>
        <w:t>户、个体工商户</w:t>
      </w:r>
      <w:r>
        <w:rPr>
          <w:rFonts w:ascii="仿宋" w:eastAsia="仿宋" w:hAnsi="仿宋" w:cs="仿宋"/>
        </w:rPr>
        <w:t>19521</w:t>
      </w:r>
      <w:r>
        <w:rPr>
          <w:rFonts w:ascii="仿宋" w:eastAsia="仿宋" w:hAnsi="仿宋" w:cs="仿宋"/>
        </w:rPr>
        <w:t>户，市场主体</w:t>
      </w:r>
      <w:r>
        <w:rPr>
          <w:rFonts w:ascii="仿宋" w:eastAsia="仿宋" w:hAnsi="仿宋" w:cs="仿宋"/>
        </w:rPr>
        <w:t>28498</w:t>
      </w:r>
      <w:r>
        <w:rPr>
          <w:rFonts w:ascii="仿宋" w:eastAsia="仿宋" w:hAnsi="仿宋" w:cs="仿宋"/>
        </w:rPr>
        <w:t>户。</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二是投资建设审批全流程优化。深入开展工程建设项目审批制度改革，推动</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报建即开工</w:t>
      </w:r>
      <w:r>
        <w:rPr>
          <w:rFonts w:ascii="仿宋" w:eastAsia="仿宋" w:hAnsi="仿宋" w:cs="仿宋"/>
        </w:rPr>
        <w:t>”</w:t>
      </w:r>
      <w:r>
        <w:rPr>
          <w:rFonts w:ascii="仿宋" w:eastAsia="仿宋" w:hAnsi="仿宋" w:cs="仿宋"/>
        </w:rPr>
        <w:t>常态化，扬皓新材料安全装备等</w:t>
      </w:r>
      <w:r>
        <w:rPr>
          <w:rFonts w:ascii="仿宋" w:eastAsia="仿宋" w:hAnsi="仿宋" w:cs="仿宋"/>
        </w:rPr>
        <w:t>9</w:t>
      </w:r>
      <w:r>
        <w:rPr>
          <w:rFonts w:ascii="仿宋" w:eastAsia="仿宋" w:hAnsi="仿宋" w:cs="仿宋"/>
        </w:rPr>
        <w:t>个项目实现</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，赛胜新材料</w:t>
      </w:r>
      <w:r>
        <w:rPr>
          <w:rFonts w:ascii="仿宋" w:eastAsia="仿宋" w:hAnsi="仿宋" w:cs="仿宋"/>
        </w:rPr>
        <w:t>PTA</w:t>
      </w:r>
      <w:r>
        <w:rPr>
          <w:rFonts w:ascii="仿宋" w:eastAsia="仿宋" w:hAnsi="仿宋" w:cs="仿宋"/>
        </w:rPr>
        <w:t>仓库等</w:t>
      </w:r>
      <w:r>
        <w:rPr>
          <w:rFonts w:ascii="仿宋" w:eastAsia="仿宋" w:hAnsi="仿宋" w:cs="仿宋"/>
        </w:rPr>
        <w:t>8</w:t>
      </w:r>
      <w:r>
        <w:rPr>
          <w:rFonts w:ascii="仿宋" w:eastAsia="仿宋" w:hAnsi="仿宋" w:cs="仿宋"/>
        </w:rPr>
        <w:t>个项目实现</w:t>
      </w:r>
      <w:r>
        <w:rPr>
          <w:rFonts w:ascii="仿宋" w:eastAsia="仿宋" w:hAnsi="仿宋" w:cs="仿宋"/>
        </w:rPr>
        <w:t>“</w:t>
      </w:r>
      <w:r>
        <w:rPr>
          <w:rFonts w:ascii="仿宋" w:eastAsia="仿宋" w:hAnsi="仿宋" w:cs="仿宋"/>
        </w:rPr>
        <w:t>报建即开工</w:t>
      </w:r>
      <w:r>
        <w:rPr>
          <w:rFonts w:ascii="仿宋" w:eastAsia="仿宋" w:hAnsi="仿宋" w:cs="仿宋"/>
        </w:rPr>
        <w:t>”</w:t>
      </w:r>
      <w:r>
        <w:rPr>
          <w:rFonts w:ascii="仿宋" w:eastAsia="仿宋" w:hAnsi="仿宋" w:cs="仿宋"/>
        </w:rPr>
        <w:t>，当前，投资建设类事项审批全流程已优化压缩至工业项目、政府投资项目、其他社会投资项目分别为</w:t>
      </w:r>
      <w:r>
        <w:rPr>
          <w:rFonts w:ascii="仿宋" w:eastAsia="仿宋" w:hAnsi="仿宋" w:cs="仿宋"/>
        </w:rPr>
        <w:t>25</w:t>
      </w:r>
      <w:r>
        <w:rPr>
          <w:rFonts w:ascii="仿宋" w:eastAsia="仿宋" w:hAnsi="仿宋" w:cs="仿宋"/>
        </w:rPr>
        <w:t>、</w:t>
      </w:r>
      <w:r>
        <w:rPr>
          <w:rFonts w:ascii="仿宋" w:eastAsia="仿宋" w:hAnsi="仿宋" w:cs="仿宋"/>
        </w:rPr>
        <w:t>40</w:t>
      </w:r>
      <w:r>
        <w:rPr>
          <w:rFonts w:ascii="仿宋" w:eastAsia="仿宋" w:hAnsi="仿宋" w:cs="仿宋"/>
        </w:rPr>
        <w:t>、</w:t>
      </w:r>
      <w:r>
        <w:rPr>
          <w:rFonts w:ascii="仿宋" w:eastAsia="仿宋" w:hAnsi="仿宋" w:cs="仿宋"/>
        </w:rPr>
        <w:t>50</w:t>
      </w:r>
      <w:r>
        <w:rPr>
          <w:rFonts w:ascii="仿宋" w:eastAsia="仿宋" w:hAnsi="仿宋" w:cs="仿宋"/>
        </w:rPr>
        <w:t>个工作日。截至目前，共办结各类审批事项</w:t>
      </w:r>
      <w:r>
        <w:rPr>
          <w:rFonts w:ascii="仿宋" w:eastAsia="仿宋" w:hAnsi="仿宋" w:cs="仿宋"/>
        </w:rPr>
        <w:t>1171</w:t>
      </w:r>
      <w:r>
        <w:rPr>
          <w:rFonts w:ascii="仿宋" w:eastAsia="仿宋" w:hAnsi="仿宋" w:cs="仿宋"/>
        </w:rPr>
        <w:t>件，批准建设规模逾</w:t>
      </w:r>
      <w:r>
        <w:rPr>
          <w:rFonts w:ascii="仿宋" w:eastAsia="仿宋" w:hAnsi="仿宋" w:cs="仿宋"/>
        </w:rPr>
        <w:t>585.62</w:t>
      </w:r>
      <w:r>
        <w:rPr>
          <w:rFonts w:ascii="仿宋" w:eastAsia="仿宋" w:hAnsi="仿宋" w:cs="仿宋"/>
        </w:rPr>
        <w:t>万平方米，征收配套费</w:t>
      </w:r>
      <w:r>
        <w:rPr>
          <w:rFonts w:ascii="仿宋" w:eastAsia="仿宋" w:hAnsi="仿宋" w:cs="仿宋"/>
        </w:rPr>
        <w:t>2.3</w:t>
      </w:r>
      <w:r>
        <w:rPr>
          <w:rFonts w:ascii="仿宋" w:eastAsia="仿宋" w:hAnsi="仿宋" w:cs="仿宋"/>
        </w:rPr>
        <w:t>亿元、人防费</w:t>
      </w:r>
      <w:r>
        <w:rPr>
          <w:rFonts w:ascii="仿宋" w:eastAsia="仿宋" w:hAnsi="仿宋" w:cs="仿宋"/>
        </w:rPr>
        <w:t>4777.14</w:t>
      </w:r>
      <w:r>
        <w:rPr>
          <w:rFonts w:ascii="仿宋" w:eastAsia="仿宋" w:hAnsi="仿宋" w:cs="仿宋"/>
        </w:rPr>
        <w:t>万元。</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三是公共资源交易全体系规范。全面放开投标企业诚信库入库审核，打破人工审</w:t>
      </w:r>
      <w:r>
        <w:rPr>
          <w:rFonts w:ascii="仿宋" w:eastAsia="仿宋" w:hAnsi="仿宋" w:cs="仿宋"/>
        </w:rPr>
        <w:t>核门槛，助力投标企业进入本市交易市场。全力落实开评标不见面制度，实现最快</w:t>
      </w:r>
      <w:r>
        <w:rPr>
          <w:rFonts w:ascii="仿宋" w:eastAsia="仿宋" w:hAnsi="仿宋" w:cs="仿宋"/>
        </w:rPr>
        <w:t>15</w:t>
      </w:r>
      <w:r>
        <w:rPr>
          <w:rFonts w:ascii="仿宋" w:eastAsia="仿宋" w:hAnsi="仿宋" w:cs="仿宋"/>
        </w:rPr>
        <w:t>天内完成项目上网发布至中标通知书的正式发出，达到交易效率最大值。</w:t>
      </w:r>
      <w:r w:rsidR="002A2896">
        <w:rPr>
          <w:rFonts w:ascii="仿宋" w:eastAsia="仿宋" w:hAnsi="仿宋" w:cs="仿宋"/>
        </w:rPr>
        <w:t>截至</w:t>
      </w:r>
      <w:r>
        <w:rPr>
          <w:rFonts w:ascii="仿宋" w:eastAsia="仿宋" w:hAnsi="仿宋" w:cs="仿宋"/>
        </w:rPr>
        <w:t>目前，中</w:t>
      </w:r>
      <w:r>
        <w:rPr>
          <w:rFonts w:ascii="仿宋" w:eastAsia="仿宋" w:hAnsi="仿宋" w:cs="仿宋"/>
        </w:rPr>
        <w:lastRenderedPageBreak/>
        <w:t>心共完成项目</w:t>
      </w:r>
      <w:r>
        <w:rPr>
          <w:rFonts w:ascii="仿宋" w:eastAsia="仿宋" w:hAnsi="仿宋" w:cs="仿宋"/>
        </w:rPr>
        <w:t>873</w:t>
      </w:r>
      <w:r>
        <w:rPr>
          <w:rFonts w:ascii="仿宋" w:eastAsia="仿宋" w:hAnsi="仿宋" w:cs="仿宋"/>
        </w:rPr>
        <w:t>个，交易金额</w:t>
      </w:r>
      <w:r>
        <w:rPr>
          <w:rFonts w:ascii="仿宋" w:eastAsia="仿宋" w:hAnsi="仿宋" w:cs="仿宋"/>
        </w:rPr>
        <w:t>71.36</w:t>
      </w:r>
      <w:r>
        <w:rPr>
          <w:rFonts w:ascii="仿宋" w:eastAsia="仿宋" w:hAnsi="仿宋" w:cs="仿宋"/>
        </w:rPr>
        <w:t>亿元，其中，建设工程</w:t>
      </w:r>
      <w:r>
        <w:rPr>
          <w:rFonts w:ascii="仿宋" w:eastAsia="仿宋" w:hAnsi="仿宋" w:cs="仿宋"/>
        </w:rPr>
        <w:t>174</w:t>
      </w:r>
      <w:r>
        <w:rPr>
          <w:rFonts w:ascii="仿宋" w:eastAsia="仿宋" w:hAnsi="仿宋" w:cs="仿宋"/>
        </w:rPr>
        <w:t>个，交易金额</w:t>
      </w:r>
      <w:r>
        <w:rPr>
          <w:rFonts w:ascii="仿宋" w:eastAsia="仿宋" w:hAnsi="仿宋" w:cs="仿宋"/>
        </w:rPr>
        <w:t>60.38</w:t>
      </w:r>
      <w:r>
        <w:rPr>
          <w:rFonts w:ascii="仿宋" w:eastAsia="仿宋" w:hAnsi="仿宋" w:cs="仿宋"/>
        </w:rPr>
        <w:t>亿元，节约率</w:t>
      </w:r>
      <w:r>
        <w:rPr>
          <w:rFonts w:ascii="仿宋" w:eastAsia="仿宋" w:hAnsi="仿宋" w:cs="仿宋"/>
        </w:rPr>
        <w:t>11.98%</w:t>
      </w:r>
      <w:r>
        <w:rPr>
          <w:rFonts w:ascii="仿宋" w:eastAsia="仿宋" w:hAnsi="仿宋" w:cs="仿宋"/>
        </w:rPr>
        <w:t>；政府采购</w:t>
      </w:r>
      <w:r>
        <w:rPr>
          <w:rFonts w:ascii="仿宋" w:eastAsia="仿宋" w:hAnsi="仿宋" w:cs="仿宋"/>
        </w:rPr>
        <w:t>322</w:t>
      </w:r>
      <w:r>
        <w:rPr>
          <w:rFonts w:ascii="仿宋" w:eastAsia="仿宋" w:hAnsi="仿宋" w:cs="仿宋"/>
        </w:rPr>
        <w:t>个，交易金额</w:t>
      </w:r>
      <w:r>
        <w:rPr>
          <w:rFonts w:ascii="仿宋" w:eastAsia="仿宋" w:hAnsi="仿宋" w:cs="仿宋"/>
        </w:rPr>
        <w:t>8.19</w:t>
      </w:r>
      <w:r>
        <w:rPr>
          <w:rFonts w:ascii="仿宋" w:eastAsia="仿宋" w:hAnsi="仿宋" w:cs="仿宋"/>
        </w:rPr>
        <w:t>亿元，节约率</w:t>
      </w:r>
      <w:r>
        <w:rPr>
          <w:rFonts w:ascii="仿宋" w:eastAsia="仿宋" w:hAnsi="仿宋" w:cs="仿宋"/>
        </w:rPr>
        <w:t>15.12%</w:t>
      </w:r>
      <w:r>
        <w:rPr>
          <w:rFonts w:ascii="仿宋" w:eastAsia="仿宋" w:hAnsi="仿宋" w:cs="仿宋"/>
        </w:rPr>
        <w:t>；国有产权交易及其他</w:t>
      </w:r>
      <w:r>
        <w:rPr>
          <w:rFonts w:ascii="仿宋" w:eastAsia="仿宋" w:hAnsi="仿宋" w:cs="仿宋"/>
        </w:rPr>
        <w:t>377</w:t>
      </w:r>
      <w:r>
        <w:rPr>
          <w:rFonts w:ascii="仿宋" w:eastAsia="仿宋" w:hAnsi="仿宋" w:cs="仿宋"/>
        </w:rPr>
        <w:t>个，交易金额</w:t>
      </w:r>
      <w:r>
        <w:rPr>
          <w:rFonts w:ascii="仿宋" w:eastAsia="仿宋" w:hAnsi="仿宋" w:cs="仿宋"/>
        </w:rPr>
        <w:t>2.79</w:t>
      </w:r>
      <w:r>
        <w:rPr>
          <w:rFonts w:ascii="仿宋" w:eastAsia="仿宋" w:hAnsi="仿宋" w:cs="仿宋"/>
        </w:rPr>
        <w:t>亿元，溢价率</w:t>
      </w:r>
      <w:r>
        <w:rPr>
          <w:rFonts w:ascii="仿宋" w:eastAsia="仿宋" w:hAnsi="仿宋" w:cs="仿宋"/>
        </w:rPr>
        <w:t>8.75%</w:t>
      </w:r>
      <w:r>
        <w:rPr>
          <w:rFonts w:ascii="仿宋" w:eastAsia="仿宋" w:hAnsi="仿宋" w:cs="仿宋"/>
        </w:rPr>
        <w:t>。</w:t>
      </w:r>
    </w:p>
    <w:p w:rsidR="001279FD" w:rsidRDefault="0007210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四是政务服务改革全市域推进。充分发挥市政府推进政府职能转变和</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改革协调小组办公室作用，在市级层面开发个人全生</w:t>
      </w:r>
      <w:r>
        <w:rPr>
          <w:rFonts w:ascii="仿宋" w:eastAsia="仿宋" w:hAnsi="仿宋" w:cs="仿宋"/>
        </w:rPr>
        <w:t>命周期</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平台，</w:t>
      </w:r>
      <w:r w:rsidR="002A2896">
        <w:rPr>
          <w:rFonts w:ascii="仿宋" w:eastAsia="仿宋" w:hAnsi="仿宋" w:cs="仿宋"/>
        </w:rPr>
        <w:t>截至</w:t>
      </w:r>
      <w:r>
        <w:rPr>
          <w:rFonts w:ascii="仿宋" w:eastAsia="仿宋" w:hAnsi="仿宋" w:cs="仿宋"/>
        </w:rPr>
        <w:t>目前，出生、入学、结婚、离婚、就业、失业、人才引进、军人退役、退休</w:t>
      </w:r>
      <w:r>
        <w:rPr>
          <w:rFonts w:ascii="仿宋" w:eastAsia="仿宋" w:hAnsi="仿宋" w:cs="仿宋"/>
        </w:rPr>
        <w:t>9</w:t>
      </w:r>
      <w:r>
        <w:rPr>
          <w:rFonts w:ascii="仿宋" w:eastAsia="仿宋" w:hAnsi="仿宋" w:cs="仿宋"/>
        </w:rPr>
        <w:t>个</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已在</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平台上线运行，</w:t>
      </w:r>
      <w:r>
        <w:rPr>
          <w:rFonts w:ascii="仿宋" w:eastAsia="仿宋" w:hAnsi="仿宋" w:cs="仿宋"/>
        </w:rPr>
        <w:t>“</w:t>
      </w:r>
      <w:r>
        <w:rPr>
          <w:rFonts w:ascii="仿宋" w:eastAsia="仿宋" w:hAnsi="仿宋" w:cs="仿宋"/>
        </w:rPr>
        <w:t>身后一件事</w:t>
      </w:r>
      <w:r>
        <w:rPr>
          <w:rFonts w:ascii="仿宋" w:eastAsia="仿宋" w:hAnsi="仿宋" w:cs="仿宋"/>
        </w:rPr>
        <w:t>”</w:t>
      </w:r>
      <w:r>
        <w:rPr>
          <w:rFonts w:ascii="仿宋" w:eastAsia="仿宋" w:hAnsi="仿宋" w:cs="仿宋"/>
        </w:rPr>
        <w:t>已进入内测和培训阶段，将于</w:t>
      </w:r>
      <w:r>
        <w:rPr>
          <w:rFonts w:ascii="仿宋" w:eastAsia="仿宋" w:hAnsi="仿宋" w:cs="仿宋"/>
        </w:rPr>
        <w:t>11</w:t>
      </w:r>
      <w:r>
        <w:rPr>
          <w:rFonts w:ascii="仿宋" w:eastAsia="仿宋" w:hAnsi="仿宋" w:cs="仿宋"/>
        </w:rPr>
        <w:t>月上线；在开发区层面，全链委托下放商事登记和投资建设类权力事项；在镇街层面，拓宽市级高频服务事项下沉委托办理渠道，下放</w:t>
      </w:r>
      <w:r>
        <w:rPr>
          <w:rFonts w:ascii="仿宋" w:eastAsia="仿宋" w:hAnsi="仿宋" w:cs="仿宋"/>
        </w:rPr>
        <w:t>3000</w:t>
      </w:r>
      <w:r>
        <w:rPr>
          <w:rFonts w:ascii="仿宋" w:eastAsia="仿宋" w:hAnsi="仿宋" w:cs="仿宋"/>
        </w:rPr>
        <w:t>万元以下企业注册开业审批登记行政权力。</w:t>
      </w:r>
    </w:p>
    <w:p w:rsidR="001279FD" w:rsidRDefault="001279FD">
      <w:pPr>
        <w:pStyle w:val="a4"/>
        <w:spacing w:line="235" w:lineRule="auto"/>
        <w:ind w:leftChars="300" w:left="669" w:right="2414" w:hanging="9"/>
        <w:jc w:val="both"/>
        <w:rPr>
          <w:rFonts w:ascii="仿宋" w:eastAsia="仿宋" w:hAnsi="仿宋" w:cs="仿宋"/>
        </w:rPr>
        <w:sectPr w:rsidR="001279FD">
          <w:footerReference w:type="default" r:id="rId10"/>
          <w:pgSz w:w="11906" w:h="16838"/>
          <w:pgMar w:top="1580" w:right="700" w:bottom="770" w:left="1020" w:header="283" w:footer="280" w:gutter="0"/>
          <w:pgNumType w:fmt="numberInDash"/>
          <w:cols w:space="720"/>
          <w:formProt w:val="0"/>
          <w:docGrid w:linePitch="100"/>
        </w:sectPr>
      </w:pPr>
    </w:p>
    <w:p w:rsidR="001279FD" w:rsidRDefault="001279FD">
      <w:pPr>
        <w:pStyle w:val="a4"/>
        <w:spacing w:line="360" w:lineRule="auto"/>
        <w:ind w:leftChars="200" w:left="440" w:rightChars="229" w:right="504" w:firstLine="658"/>
        <w:jc w:val="both"/>
        <w:rPr>
          <w:rFonts w:ascii="仿宋" w:eastAsia="仿宋" w:hAnsi="仿宋" w:cs="仿宋"/>
          <w:lang w:val="en-US"/>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1279FD">
      <w:pPr>
        <w:pStyle w:val="10"/>
        <w:tabs>
          <w:tab w:val="left" w:pos="1609"/>
        </w:tabs>
        <w:spacing w:before="12" w:line="300" w:lineRule="auto"/>
        <w:ind w:left="340" w:right="567" w:firstLine="0"/>
        <w:jc w:val="center"/>
        <w:rPr>
          <w:rFonts w:ascii="仿宋" w:eastAsia="仿宋" w:hAnsi="仿宋" w:cs="仿宋"/>
          <w:b/>
          <w:bCs/>
          <w:sz w:val="44"/>
          <w:szCs w:val="44"/>
        </w:rPr>
      </w:pPr>
    </w:p>
    <w:p w:rsidR="001279FD" w:rsidRDefault="00072100">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1279FD" w:rsidRDefault="00072100">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江阴市行政审批局（机关）</w:t>
      </w:r>
    </w:p>
    <w:p w:rsidR="001279FD" w:rsidRDefault="00072100">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1279FD">
        <w:trPr>
          <w:trHeight w:val="544"/>
          <w:jc w:val="center"/>
        </w:trPr>
        <w:tc>
          <w:tcPr>
            <w:tcW w:w="10447" w:type="dxa"/>
            <w:gridSpan w:val="5"/>
          </w:tcPr>
          <w:p w:rsidR="001279FD" w:rsidRDefault="00072100">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1279FD">
        <w:trPr>
          <w:trHeight w:val="348"/>
          <w:jc w:val="center"/>
        </w:trPr>
        <w:tc>
          <w:tcPr>
            <w:tcW w:w="3784" w:type="dxa"/>
          </w:tcPr>
          <w:p w:rsidR="001279FD" w:rsidRDefault="001279FD">
            <w:pPr>
              <w:rPr>
                <w:rFonts w:ascii="仿宋" w:eastAsia="仿宋" w:hAnsi="仿宋" w:cs="仿宋"/>
                <w:color w:val="000000"/>
                <w:sz w:val="20"/>
              </w:rPr>
            </w:pPr>
          </w:p>
        </w:tc>
        <w:tc>
          <w:tcPr>
            <w:tcW w:w="1461" w:type="dxa"/>
          </w:tcPr>
          <w:p w:rsidR="001279FD" w:rsidRDefault="001279FD">
            <w:pPr>
              <w:rPr>
                <w:rFonts w:ascii="仿宋" w:eastAsia="仿宋" w:hAnsi="仿宋" w:cs="仿宋"/>
                <w:color w:val="000000"/>
                <w:sz w:val="20"/>
              </w:rPr>
            </w:pPr>
          </w:p>
        </w:tc>
        <w:tc>
          <w:tcPr>
            <w:tcW w:w="5202" w:type="dxa"/>
            <w:gridSpan w:val="3"/>
          </w:tcPr>
          <w:p w:rsidR="001279FD" w:rsidRDefault="00072100">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1279FD">
        <w:trPr>
          <w:trHeight w:val="333"/>
          <w:jc w:val="center"/>
        </w:trPr>
        <w:tc>
          <w:tcPr>
            <w:tcW w:w="7280" w:type="dxa"/>
            <w:gridSpan w:val="3"/>
            <w:tcBorders>
              <w:bottom w:val="single" w:sz="4" w:space="0" w:color="000000"/>
            </w:tcBorders>
            <w:vAlign w:val="center"/>
          </w:tcPr>
          <w:p w:rsidR="001279FD" w:rsidRDefault="00072100">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江阴市行政审批局（机关）</w:t>
            </w:r>
          </w:p>
        </w:tc>
        <w:tc>
          <w:tcPr>
            <w:tcW w:w="3167" w:type="dxa"/>
            <w:gridSpan w:val="2"/>
            <w:tcBorders>
              <w:bottom w:val="single" w:sz="4" w:space="0" w:color="000000"/>
            </w:tcBorders>
            <w:vAlign w:val="center"/>
          </w:tcPr>
          <w:p w:rsidR="001279FD" w:rsidRDefault="00072100">
            <w:pPr>
              <w:jc w:val="right"/>
              <w:rPr>
                <w:rFonts w:ascii="仿宋" w:eastAsia="仿宋" w:hAnsi="仿宋" w:cs="仿宋"/>
                <w:color w:val="000000"/>
              </w:rPr>
            </w:pPr>
            <w:r>
              <w:rPr>
                <w:rFonts w:ascii="仿宋" w:eastAsia="仿宋" w:hAnsi="仿宋" w:cs="仿宋" w:hint="eastAsia"/>
                <w:color w:val="000000"/>
              </w:rPr>
              <w:t>金额单位：万元</w:t>
            </w:r>
          </w:p>
        </w:tc>
      </w:tr>
      <w:tr w:rsidR="001279FD">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color w:val="000000"/>
                <w:lang w:eastAsia="ar-SA"/>
              </w:rPr>
              <w:t>支出</w:t>
            </w:r>
          </w:p>
        </w:tc>
      </w:tr>
      <w:tr w:rsidR="001279FD">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color w:val="000000"/>
                <w:lang w:eastAsia="ar-SA"/>
              </w:rPr>
              <w:t>决算数</w:t>
            </w: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2,876.83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2,191.24</w:t>
            </w: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171.86</w:t>
            </w: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365.06</w:t>
            </w: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148.67</w:t>
            </w: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1279FD">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keepNext/>
              <w:keepLines/>
              <w:jc w:val="right"/>
              <w:rPr>
                <w:rFonts w:ascii="仿宋" w:eastAsia="仿宋" w:hAnsi="仿宋" w:cs="仿宋"/>
                <w:color w:val="000000"/>
                <w:lang w:eastAsia="ar-SA"/>
              </w:rPr>
            </w:pPr>
          </w:p>
        </w:tc>
      </w:tr>
      <w:tr w:rsidR="001279FD">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color w:val="000000"/>
              </w:rPr>
            </w:pPr>
            <w:r>
              <w:rPr>
                <w:rFonts w:ascii="仿宋" w:eastAsia="仿宋" w:hAnsi="仿宋" w:cs="仿宋" w:hint="eastAsia"/>
                <w:color w:val="000000"/>
                <w:lang w:eastAsia="ar-SA"/>
              </w:rPr>
              <w:t>2,876.83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color w:val="000000"/>
              </w:rPr>
            </w:pPr>
            <w:r>
              <w:rPr>
                <w:rFonts w:ascii="仿宋" w:eastAsia="仿宋" w:hAnsi="仿宋" w:cs="仿宋" w:hint="eastAsia"/>
                <w:color w:val="000000"/>
                <w:lang w:eastAsia="ar-SA"/>
              </w:rPr>
              <w:t>2,876.83</w:t>
            </w:r>
          </w:p>
        </w:tc>
      </w:tr>
      <w:tr w:rsidR="001279FD">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color w:val="000000"/>
              </w:rPr>
            </w:pPr>
          </w:p>
        </w:tc>
      </w:tr>
      <w:tr w:rsidR="001279FD">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color w:val="000000"/>
              </w:rPr>
            </w:pPr>
          </w:p>
        </w:tc>
      </w:tr>
      <w:tr w:rsidR="001279FD">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1279FD" w:rsidRDefault="001279FD">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1279FD" w:rsidRDefault="001279FD">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1279FD" w:rsidRDefault="001279FD">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1279FD" w:rsidRDefault="001279FD">
            <w:pPr>
              <w:rPr>
                <w:rFonts w:ascii="仿宋" w:eastAsia="仿宋" w:hAnsi="仿宋" w:cs="仿宋"/>
                <w:color w:val="000000"/>
              </w:rPr>
            </w:pPr>
          </w:p>
        </w:tc>
      </w:tr>
      <w:tr w:rsidR="001279FD">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color w:val="000000"/>
              </w:rPr>
            </w:pPr>
            <w:r>
              <w:rPr>
                <w:rFonts w:ascii="仿宋" w:eastAsia="仿宋" w:hAnsi="仿宋" w:cs="仿宋" w:hint="eastAsia"/>
                <w:color w:val="000000"/>
                <w:lang w:eastAsia="ar-SA"/>
              </w:rPr>
              <w:t>2,876.83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color w:val="000000"/>
              </w:rPr>
            </w:pPr>
            <w:r>
              <w:rPr>
                <w:rFonts w:ascii="仿宋" w:eastAsia="仿宋" w:hAnsi="仿宋" w:cs="仿宋" w:hint="eastAsia"/>
                <w:color w:val="000000"/>
                <w:lang w:eastAsia="ar-SA"/>
              </w:rPr>
              <w:t>2,876.83</w:t>
            </w:r>
          </w:p>
        </w:tc>
      </w:tr>
    </w:tbl>
    <w:p w:rsidR="001279FD" w:rsidRDefault="00072100">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1279FD" w:rsidRDefault="001279FD">
      <w:pPr>
        <w:spacing w:before="66"/>
        <w:jc w:val="both"/>
        <w:rPr>
          <w:rFonts w:ascii="仿宋" w:eastAsia="仿宋" w:hAnsi="仿宋" w:cs="仿宋"/>
          <w:color w:val="000000"/>
        </w:rPr>
        <w:sectPr w:rsidR="001279FD">
          <w:footerReference w:type="default" r:id="rId11"/>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1279FD">
        <w:trPr>
          <w:trHeight w:val="627"/>
          <w:jc w:val="center"/>
        </w:trPr>
        <w:tc>
          <w:tcPr>
            <w:tcW w:w="15439" w:type="dxa"/>
            <w:gridSpan w:val="10"/>
            <w:vAlign w:val="center"/>
          </w:tcPr>
          <w:p w:rsidR="001279FD" w:rsidRDefault="00072100">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1279FD">
        <w:trPr>
          <w:trHeight w:val="314"/>
          <w:jc w:val="center"/>
        </w:trPr>
        <w:tc>
          <w:tcPr>
            <w:tcW w:w="4040" w:type="dxa"/>
            <w:gridSpan w:val="2"/>
            <w:vAlign w:val="center"/>
          </w:tcPr>
          <w:p w:rsidR="001279FD" w:rsidRDefault="001279FD">
            <w:pPr>
              <w:pStyle w:val="TableParagraph"/>
              <w:jc w:val="center"/>
              <w:rPr>
                <w:rFonts w:ascii="仿宋" w:eastAsia="仿宋" w:hAnsi="仿宋" w:cs="仿宋"/>
              </w:rPr>
            </w:pPr>
          </w:p>
        </w:tc>
        <w:tc>
          <w:tcPr>
            <w:tcW w:w="1592" w:type="dxa"/>
            <w:vAlign w:val="center"/>
          </w:tcPr>
          <w:p w:rsidR="001279FD" w:rsidRDefault="001279FD">
            <w:pPr>
              <w:pStyle w:val="TableParagraph"/>
              <w:jc w:val="center"/>
              <w:rPr>
                <w:rFonts w:ascii="仿宋" w:eastAsia="仿宋" w:hAnsi="仿宋" w:cs="仿宋"/>
              </w:rPr>
            </w:pPr>
          </w:p>
        </w:tc>
        <w:tc>
          <w:tcPr>
            <w:tcW w:w="1604" w:type="dxa"/>
            <w:vAlign w:val="center"/>
          </w:tcPr>
          <w:p w:rsidR="001279FD" w:rsidRDefault="001279FD">
            <w:pPr>
              <w:pStyle w:val="TableParagraph"/>
              <w:jc w:val="center"/>
              <w:rPr>
                <w:rFonts w:ascii="仿宋" w:eastAsia="仿宋" w:hAnsi="仿宋" w:cs="仿宋"/>
              </w:rPr>
            </w:pPr>
          </w:p>
        </w:tc>
        <w:tc>
          <w:tcPr>
            <w:tcW w:w="1565" w:type="dxa"/>
            <w:vAlign w:val="center"/>
          </w:tcPr>
          <w:p w:rsidR="001279FD" w:rsidRDefault="001279FD">
            <w:pPr>
              <w:pStyle w:val="TableParagraph"/>
              <w:jc w:val="center"/>
              <w:rPr>
                <w:rFonts w:ascii="仿宋" w:eastAsia="仿宋" w:hAnsi="仿宋" w:cs="仿宋"/>
              </w:rPr>
            </w:pPr>
          </w:p>
        </w:tc>
        <w:tc>
          <w:tcPr>
            <w:tcW w:w="2974" w:type="dxa"/>
            <w:gridSpan w:val="2"/>
            <w:vAlign w:val="center"/>
          </w:tcPr>
          <w:p w:rsidR="001279FD" w:rsidRDefault="001279FD">
            <w:pPr>
              <w:pStyle w:val="TableParagraph"/>
              <w:jc w:val="center"/>
              <w:rPr>
                <w:rFonts w:ascii="仿宋" w:eastAsia="仿宋" w:hAnsi="仿宋" w:cs="仿宋"/>
              </w:rPr>
            </w:pPr>
          </w:p>
        </w:tc>
        <w:tc>
          <w:tcPr>
            <w:tcW w:w="1174" w:type="dxa"/>
            <w:vAlign w:val="center"/>
          </w:tcPr>
          <w:p w:rsidR="001279FD" w:rsidRDefault="001279FD">
            <w:pPr>
              <w:pStyle w:val="TableParagraph"/>
              <w:jc w:val="center"/>
              <w:rPr>
                <w:rFonts w:ascii="仿宋" w:eastAsia="仿宋" w:hAnsi="仿宋" w:cs="仿宋"/>
              </w:rPr>
            </w:pPr>
          </w:p>
        </w:tc>
        <w:tc>
          <w:tcPr>
            <w:tcW w:w="2490" w:type="dxa"/>
            <w:gridSpan w:val="2"/>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1279FD">
        <w:trPr>
          <w:trHeight w:val="376"/>
          <w:jc w:val="center"/>
        </w:trPr>
        <w:tc>
          <w:tcPr>
            <w:tcW w:w="12949" w:type="dxa"/>
            <w:gridSpan w:val="8"/>
            <w:vAlign w:val="center"/>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2490" w:type="dxa"/>
            <w:gridSpan w:val="2"/>
            <w:vAlign w:val="center"/>
          </w:tcPr>
          <w:p w:rsidR="001279FD" w:rsidRDefault="00072100">
            <w:pPr>
              <w:pStyle w:val="TableParagraph"/>
              <w:jc w:val="right"/>
              <w:rPr>
                <w:rFonts w:ascii="仿宋" w:eastAsia="仿宋" w:hAnsi="仿宋" w:cs="仿宋"/>
              </w:rPr>
            </w:pPr>
            <w:r>
              <w:rPr>
                <w:rFonts w:ascii="仿宋" w:eastAsia="仿宋" w:hAnsi="仿宋" w:cs="仿宋" w:hint="eastAsia"/>
              </w:rPr>
              <w:t>金额单位：万元</w:t>
            </w:r>
          </w:p>
        </w:tc>
      </w:tr>
      <w:tr w:rsidR="001279FD">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其他收入</w:t>
            </w:r>
          </w:p>
        </w:tc>
      </w:tr>
      <w:tr w:rsidR="001279FD">
        <w:trPr>
          <w:cantSplit/>
          <w:trHeight w:val="220"/>
          <w:jc w:val="center"/>
        </w:trPr>
        <w:tc>
          <w:tcPr>
            <w:tcW w:w="1115"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w:t>
            </w:r>
          </w:p>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1279FD" w:rsidRDefault="001279FD">
            <w:pPr>
              <w:rPr>
                <w:rFonts w:ascii="仿宋" w:eastAsia="仿宋" w:hAnsi="仿宋" w:cs="仿宋"/>
              </w:rPr>
            </w:pPr>
          </w:p>
        </w:tc>
        <w:tc>
          <w:tcPr>
            <w:tcW w:w="1604" w:type="dxa"/>
            <w:vMerge/>
            <w:tcBorders>
              <w:left w:val="single" w:sz="4" w:space="0" w:color="000000"/>
              <w:bottom w:val="single" w:sz="4" w:space="0" w:color="000000"/>
            </w:tcBorders>
          </w:tcPr>
          <w:p w:rsidR="001279FD" w:rsidRDefault="001279FD">
            <w:pPr>
              <w:rPr>
                <w:rFonts w:ascii="仿宋" w:eastAsia="仿宋" w:hAnsi="仿宋" w:cs="仿宋"/>
              </w:rPr>
            </w:pPr>
          </w:p>
        </w:tc>
        <w:tc>
          <w:tcPr>
            <w:tcW w:w="1565" w:type="dxa"/>
            <w:vMerge/>
            <w:tcBorders>
              <w:left w:val="single" w:sz="4" w:space="0" w:color="000000"/>
              <w:bottom w:val="single" w:sz="4" w:space="0" w:color="000000"/>
            </w:tcBorders>
          </w:tcPr>
          <w:p w:rsidR="001279FD" w:rsidRDefault="001279FD">
            <w:pPr>
              <w:rPr>
                <w:rFonts w:ascii="仿宋" w:eastAsia="仿宋" w:hAnsi="仿宋" w:cs="仿宋"/>
              </w:rPr>
            </w:pPr>
          </w:p>
        </w:tc>
        <w:tc>
          <w:tcPr>
            <w:tcW w:w="1396" w:type="dxa"/>
            <w:vMerge/>
            <w:tcBorders>
              <w:left w:val="single" w:sz="4" w:space="0" w:color="000000"/>
              <w:bottom w:val="single" w:sz="4" w:space="0" w:color="000000"/>
            </w:tcBorders>
            <w:vAlign w:val="center"/>
          </w:tcPr>
          <w:p w:rsidR="001279FD" w:rsidRDefault="001279FD">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1279FD" w:rsidRDefault="001279FD">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1279FD" w:rsidRDefault="001279FD">
            <w:pPr>
              <w:rPr>
                <w:rFonts w:ascii="仿宋" w:eastAsia="仿宋" w:hAnsi="仿宋" w:cs="仿宋"/>
              </w:rPr>
            </w:pPr>
          </w:p>
        </w:tc>
        <w:tc>
          <w:tcPr>
            <w:tcW w:w="1277" w:type="dxa"/>
            <w:vMerge/>
            <w:tcBorders>
              <w:left w:val="single" w:sz="4" w:space="0" w:color="000000"/>
              <w:bottom w:val="single" w:sz="4" w:space="0" w:color="000000"/>
            </w:tcBorders>
          </w:tcPr>
          <w:p w:rsidR="001279FD" w:rsidRDefault="001279FD">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rPr>
            </w:pPr>
          </w:p>
        </w:tc>
      </w:tr>
      <w:tr w:rsidR="001279FD">
        <w:trPr>
          <w:cantSplit/>
          <w:trHeight w:hRule="exact" w:val="432"/>
          <w:jc w:val="center"/>
        </w:trPr>
        <w:tc>
          <w:tcPr>
            <w:tcW w:w="4040"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604"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565"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396"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578"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174"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277"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2,190.74</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2,190.74</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2010301</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2010306</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2012999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2082001</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bl>
    <w:p w:rsidR="001279FD" w:rsidRDefault="00072100">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1279FD" w:rsidRDefault="001279FD">
      <w:pPr>
        <w:spacing w:before="66"/>
        <w:ind w:left="57" w:firstLineChars="100" w:firstLine="220"/>
        <w:jc w:val="both"/>
        <w:rPr>
          <w:rFonts w:ascii="仿宋" w:eastAsia="仿宋" w:hAnsi="仿宋" w:cs="仿宋"/>
        </w:rPr>
        <w:sectPr w:rsidR="001279FD">
          <w:footerReference w:type="default" r:id="rId12"/>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1279FD">
        <w:trPr>
          <w:trHeight w:val="341"/>
        </w:trPr>
        <w:tc>
          <w:tcPr>
            <w:tcW w:w="15347" w:type="dxa"/>
            <w:gridSpan w:val="8"/>
            <w:vAlign w:val="center"/>
          </w:tcPr>
          <w:p w:rsidR="001279FD" w:rsidRDefault="00072100">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1279FD">
        <w:trPr>
          <w:trHeight w:val="321"/>
        </w:trPr>
        <w:tc>
          <w:tcPr>
            <w:tcW w:w="5739" w:type="dxa"/>
            <w:gridSpan w:val="2"/>
            <w:vAlign w:val="center"/>
          </w:tcPr>
          <w:p w:rsidR="001279FD" w:rsidRDefault="001279FD">
            <w:pPr>
              <w:pStyle w:val="TableParagraph"/>
              <w:jc w:val="center"/>
              <w:rPr>
                <w:rFonts w:ascii="仿宋" w:eastAsia="仿宋" w:hAnsi="仿宋" w:cs="仿宋"/>
              </w:rPr>
            </w:pPr>
          </w:p>
        </w:tc>
        <w:tc>
          <w:tcPr>
            <w:tcW w:w="2011" w:type="dxa"/>
            <w:vAlign w:val="center"/>
          </w:tcPr>
          <w:p w:rsidR="001279FD" w:rsidRDefault="001279FD">
            <w:pPr>
              <w:pStyle w:val="TableParagraph"/>
              <w:jc w:val="center"/>
              <w:rPr>
                <w:rFonts w:ascii="仿宋" w:eastAsia="仿宋" w:hAnsi="仿宋" w:cs="仿宋"/>
                <w:sz w:val="20"/>
              </w:rPr>
            </w:pPr>
          </w:p>
        </w:tc>
        <w:tc>
          <w:tcPr>
            <w:tcW w:w="1486" w:type="dxa"/>
            <w:vAlign w:val="center"/>
          </w:tcPr>
          <w:p w:rsidR="001279FD" w:rsidRDefault="001279FD">
            <w:pPr>
              <w:pStyle w:val="TableParagraph"/>
              <w:jc w:val="center"/>
              <w:rPr>
                <w:rFonts w:ascii="仿宋" w:eastAsia="仿宋" w:hAnsi="仿宋" w:cs="仿宋"/>
                <w:sz w:val="20"/>
              </w:rPr>
            </w:pPr>
          </w:p>
        </w:tc>
        <w:tc>
          <w:tcPr>
            <w:tcW w:w="1564" w:type="dxa"/>
            <w:vAlign w:val="center"/>
          </w:tcPr>
          <w:p w:rsidR="001279FD" w:rsidRDefault="001279FD">
            <w:pPr>
              <w:pStyle w:val="TableParagraph"/>
              <w:jc w:val="center"/>
              <w:rPr>
                <w:rFonts w:ascii="仿宋" w:eastAsia="仿宋" w:hAnsi="仿宋" w:cs="仿宋"/>
                <w:sz w:val="20"/>
              </w:rPr>
            </w:pPr>
          </w:p>
        </w:tc>
        <w:tc>
          <w:tcPr>
            <w:tcW w:w="1593" w:type="dxa"/>
            <w:vAlign w:val="center"/>
          </w:tcPr>
          <w:p w:rsidR="001279FD" w:rsidRDefault="001279FD">
            <w:pPr>
              <w:pStyle w:val="TableParagraph"/>
              <w:jc w:val="center"/>
              <w:rPr>
                <w:rFonts w:ascii="仿宋" w:eastAsia="仿宋" w:hAnsi="仿宋" w:cs="仿宋"/>
                <w:sz w:val="20"/>
              </w:rPr>
            </w:pPr>
          </w:p>
        </w:tc>
        <w:tc>
          <w:tcPr>
            <w:tcW w:w="2954" w:type="dxa"/>
            <w:gridSpan w:val="2"/>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1279FD">
        <w:trPr>
          <w:trHeight w:val="321"/>
        </w:trPr>
        <w:tc>
          <w:tcPr>
            <w:tcW w:w="12393" w:type="dxa"/>
            <w:gridSpan w:val="6"/>
            <w:vAlign w:val="center"/>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2954" w:type="dxa"/>
            <w:gridSpan w:val="2"/>
            <w:vAlign w:val="center"/>
          </w:tcPr>
          <w:p w:rsidR="001279FD" w:rsidRDefault="00072100">
            <w:pPr>
              <w:pStyle w:val="TableParagraph"/>
              <w:jc w:val="right"/>
              <w:rPr>
                <w:rFonts w:ascii="仿宋" w:eastAsia="仿宋" w:hAnsi="仿宋" w:cs="仿宋"/>
              </w:rPr>
            </w:pPr>
            <w:r>
              <w:rPr>
                <w:rFonts w:ascii="仿宋" w:eastAsia="仿宋" w:hAnsi="仿宋" w:cs="仿宋" w:hint="eastAsia"/>
              </w:rPr>
              <w:t>金额单位：万元</w:t>
            </w:r>
          </w:p>
        </w:tc>
      </w:tr>
      <w:tr w:rsidR="001279FD">
        <w:trPr>
          <w:trHeight w:val="321"/>
        </w:trPr>
        <w:tc>
          <w:tcPr>
            <w:tcW w:w="5739"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对附属单位补助支出</w:t>
            </w:r>
          </w:p>
        </w:tc>
      </w:tr>
      <w:tr w:rsidR="001279FD">
        <w:trPr>
          <w:trHeight w:val="370"/>
        </w:trPr>
        <w:tc>
          <w:tcPr>
            <w:tcW w:w="1556"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w:t>
            </w:r>
          </w:p>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1279FD" w:rsidRDefault="001279FD">
            <w:pPr>
              <w:rPr>
                <w:rFonts w:ascii="仿宋" w:eastAsia="仿宋" w:hAnsi="仿宋" w:cs="仿宋"/>
              </w:rPr>
            </w:pPr>
          </w:p>
        </w:tc>
        <w:tc>
          <w:tcPr>
            <w:tcW w:w="1486" w:type="dxa"/>
            <w:vMerge/>
            <w:tcBorders>
              <w:left w:val="single" w:sz="4" w:space="0" w:color="000000"/>
              <w:bottom w:val="single" w:sz="4" w:space="0" w:color="000000"/>
            </w:tcBorders>
          </w:tcPr>
          <w:p w:rsidR="001279FD" w:rsidRDefault="001279FD">
            <w:pPr>
              <w:rPr>
                <w:rFonts w:ascii="仿宋" w:eastAsia="仿宋" w:hAnsi="仿宋" w:cs="仿宋"/>
              </w:rPr>
            </w:pPr>
          </w:p>
        </w:tc>
        <w:tc>
          <w:tcPr>
            <w:tcW w:w="1564" w:type="dxa"/>
            <w:vMerge/>
            <w:tcBorders>
              <w:left w:val="single" w:sz="4" w:space="0" w:color="000000"/>
              <w:bottom w:val="single" w:sz="4" w:space="0" w:color="000000"/>
            </w:tcBorders>
          </w:tcPr>
          <w:p w:rsidR="001279FD" w:rsidRDefault="001279FD">
            <w:pPr>
              <w:rPr>
                <w:rFonts w:ascii="仿宋" w:eastAsia="仿宋" w:hAnsi="仿宋" w:cs="仿宋"/>
              </w:rPr>
            </w:pPr>
          </w:p>
        </w:tc>
        <w:tc>
          <w:tcPr>
            <w:tcW w:w="1593" w:type="dxa"/>
            <w:vMerge/>
            <w:tcBorders>
              <w:left w:val="single" w:sz="4" w:space="0" w:color="000000"/>
              <w:bottom w:val="single" w:sz="4" w:space="0" w:color="000000"/>
            </w:tcBorders>
          </w:tcPr>
          <w:p w:rsidR="001279FD" w:rsidRDefault="001279FD">
            <w:pPr>
              <w:rPr>
                <w:rFonts w:ascii="仿宋" w:eastAsia="仿宋" w:hAnsi="仿宋" w:cs="仿宋"/>
              </w:rPr>
            </w:pPr>
          </w:p>
        </w:tc>
        <w:tc>
          <w:tcPr>
            <w:tcW w:w="1472" w:type="dxa"/>
            <w:vMerge/>
            <w:tcBorders>
              <w:left w:val="single" w:sz="4" w:space="0" w:color="000000"/>
              <w:bottom w:val="single" w:sz="4" w:space="0" w:color="000000"/>
            </w:tcBorders>
          </w:tcPr>
          <w:p w:rsidR="001279FD" w:rsidRDefault="001279FD">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rPr>
            </w:pPr>
          </w:p>
        </w:tc>
      </w:tr>
      <w:tr w:rsidR="001279FD">
        <w:trPr>
          <w:trHeight w:hRule="exact" w:val="403"/>
        </w:trPr>
        <w:tc>
          <w:tcPr>
            <w:tcW w:w="5739"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486"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1,805.94</w:t>
            </w:r>
          </w:p>
        </w:tc>
        <w:tc>
          <w:tcPr>
            <w:tcW w:w="1564"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1,070.89</w:t>
            </w:r>
          </w:p>
        </w:tc>
        <w:tc>
          <w:tcPr>
            <w:tcW w:w="1593"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472"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2,191.24</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1,271.76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20103</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2,190.74</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1,271.26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2010301</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1,271.26</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1,271.26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2010306</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20129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0.50</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0.50</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2012999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0.50</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0.50</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171.86</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169.12</w:t>
            </w: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124.75</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124.75</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81.32</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81.32</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43.43</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43.43</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20820</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2.74</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2082001</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2.74</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20899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44.37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44.37</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2089999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44.37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44.37</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365.06</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365.06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365.06</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365.06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lastRenderedPageBreak/>
              <w:t>2210201</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113.26</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113.26</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129.97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129.97</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121.83</w:t>
            </w:r>
          </w:p>
        </w:tc>
        <w:tc>
          <w:tcPr>
            <w:tcW w:w="148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121.83</w:t>
            </w:r>
          </w:p>
        </w:tc>
        <w:tc>
          <w:tcPr>
            <w:tcW w:w="1564"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22999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r w:rsidR="001279FD">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2299999</w:t>
            </w:r>
          </w:p>
        </w:tc>
        <w:tc>
          <w:tcPr>
            <w:tcW w:w="4183"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1279FD" w:rsidRDefault="0007210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1279FD" w:rsidRDefault="001279FD">
            <w:pPr>
              <w:pStyle w:val="TableParagraph"/>
              <w:spacing w:before="30"/>
              <w:ind w:left="107"/>
              <w:jc w:val="right"/>
              <w:rPr>
                <w:rFonts w:ascii="仿宋" w:eastAsia="仿宋" w:hAnsi="仿宋" w:cs="仿宋"/>
              </w:rPr>
            </w:pPr>
          </w:p>
        </w:tc>
      </w:tr>
    </w:tbl>
    <w:p w:rsidR="001279FD" w:rsidRDefault="00072100">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1279FD" w:rsidRDefault="001279FD">
      <w:pPr>
        <w:spacing w:before="59"/>
        <w:ind w:left="57"/>
        <w:rPr>
          <w:rFonts w:ascii="仿宋" w:eastAsia="仿宋" w:hAnsi="仿宋" w:cs="仿宋"/>
        </w:rPr>
        <w:sectPr w:rsidR="001279FD">
          <w:footerReference w:type="default" r:id="rId13"/>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1279FD">
        <w:trPr>
          <w:trHeight w:val="319"/>
        </w:trPr>
        <w:tc>
          <w:tcPr>
            <w:tcW w:w="15372" w:type="dxa"/>
            <w:gridSpan w:val="10"/>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1279FD">
        <w:trPr>
          <w:trHeight w:val="319"/>
        </w:trPr>
        <w:tc>
          <w:tcPr>
            <w:tcW w:w="5562" w:type="dxa"/>
            <w:gridSpan w:val="2"/>
          </w:tcPr>
          <w:p w:rsidR="001279FD" w:rsidRDefault="001279FD">
            <w:pPr>
              <w:pStyle w:val="TableParagraph"/>
              <w:rPr>
                <w:rFonts w:ascii="仿宋" w:eastAsia="仿宋" w:hAnsi="仿宋" w:cs="仿宋"/>
                <w:sz w:val="20"/>
              </w:rPr>
            </w:pPr>
          </w:p>
        </w:tc>
        <w:tc>
          <w:tcPr>
            <w:tcW w:w="847" w:type="dxa"/>
          </w:tcPr>
          <w:p w:rsidR="001279FD" w:rsidRDefault="001279FD">
            <w:pPr>
              <w:pStyle w:val="TableParagraph"/>
              <w:rPr>
                <w:rFonts w:ascii="仿宋" w:eastAsia="仿宋" w:hAnsi="仿宋" w:cs="仿宋"/>
                <w:sz w:val="20"/>
              </w:rPr>
            </w:pPr>
          </w:p>
        </w:tc>
        <w:tc>
          <w:tcPr>
            <w:tcW w:w="1913" w:type="dxa"/>
          </w:tcPr>
          <w:p w:rsidR="001279FD" w:rsidRDefault="001279FD">
            <w:pPr>
              <w:pStyle w:val="TableParagraph"/>
              <w:rPr>
                <w:rFonts w:ascii="仿宋" w:eastAsia="仿宋" w:hAnsi="仿宋" w:cs="仿宋"/>
                <w:sz w:val="20"/>
              </w:rPr>
            </w:pPr>
          </w:p>
        </w:tc>
        <w:tc>
          <w:tcPr>
            <w:tcW w:w="2635" w:type="dxa"/>
            <w:gridSpan w:val="2"/>
          </w:tcPr>
          <w:p w:rsidR="001279FD" w:rsidRDefault="001279FD">
            <w:pPr>
              <w:pStyle w:val="TableParagraph"/>
              <w:rPr>
                <w:rFonts w:ascii="仿宋" w:eastAsia="仿宋" w:hAnsi="仿宋" w:cs="仿宋"/>
                <w:sz w:val="20"/>
              </w:rPr>
            </w:pPr>
          </w:p>
        </w:tc>
        <w:tc>
          <w:tcPr>
            <w:tcW w:w="1194" w:type="dxa"/>
          </w:tcPr>
          <w:p w:rsidR="001279FD" w:rsidRDefault="001279FD">
            <w:pPr>
              <w:pStyle w:val="TableParagraph"/>
              <w:rPr>
                <w:rFonts w:ascii="仿宋" w:eastAsia="仿宋" w:hAnsi="仿宋" w:cs="仿宋"/>
                <w:sz w:val="20"/>
              </w:rPr>
            </w:pPr>
          </w:p>
        </w:tc>
        <w:tc>
          <w:tcPr>
            <w:tcW w:w="3221" w:type="dxa"/>
            <w:gridSpan w:val="3"/>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1279FD">
        <w:trPr>
          <w:trHeight w:val="319"/>
        </w:trPr>
        <w:tc>
          <w:tcPr>
            <w:tcW w:w="12151" w:type="dxa"/>
            <w:gridSpan w:val="7"/>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3221" w:type="dxa"/>
            <w:gridSpan w:val="3"/>
            <w:vAlign w:val="center"/>
          </w:tcPr>
          <w:p w:rsidR="001279FD" w:rsidRDefault="00072100">
            <w:pPr>
              <w:pStyle w:val="TableParagraph"/>
              <w:jc w:val="right"/>
              <w:rPr>
                <w:rFonts w:ascii="仿宋" w:eastAsia="仿宋" w:hAnsi="仿宋" w:cs="仿宋"/>
              </w:rPr>
            </w:pPr>
            <w:r>
              <w:rPr>
                <w:rFonts w:ascii="仿宋" w:eastAsia="仿宋" w:hAnsi="仿宋" w:cs="仿宋" w:hint="eastAsia"/>
              </w:rPr>
              <w:t>金额单位：万元</w:t>
            </w:r>
          </w:p>
        </w:tc>
      </w:tr>
      <w:tr w:rsidR="001279FD">
        <w:trPr>
          <w:trHeight w:val="162"/>
        </w:trPr>
        <w:tc>
          <w:tcPr>
            <w:tcW w:w="5562" w:type="dxa"/>
            <w:gridSpan w:val="2"/>
            <w:tcBorders>
              <w:top w:val="single" w:sz="4" w:space="0" w:color="000000"/>
              <w:left w:val="single" w:sz="4" w:space="0" w:color="000000"/>
              <w:bottom w:val="single" w:sz="4" w:space="0" w:color="000000"/>
            </w:tcBorders>
          </w:tcPr>
          <w:p w:rsidR="001279FD" w:rsidRDefault="00072100">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1279FD" w:rsidRDefault="00072100">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1279FD">
        <w:trPr>
          <w:trHeight w:val="199"/>
        </w:trPr>
        <w:tc>
          <w:tcPr>
            <w:tcW w:w="3725" w:type="dxa"/>
            <w:vMerge w:val="restart"/>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1279FD" w:rsidRDefault="00072100">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1279FD" w:rsidRDefault="00072100">
            <w:pPr>
              <w:jc w:val="center"/>
              <w:rPr>
                <w:rFonts w:ascii="仿宋" w:eastAsia="仿宋" w:hAnsi="仿宋" w:cs="仿宋"/>
              </w:rPr>
            </w:pPr>
            <w:r>
              <w:rPr>
                <w:rFonts w:ascii="仿宋" w:eastAsia="仿宋" w:hAnsi="仿宋" w:cs="仿宋" w:hint="eastAsia"/>
              </w:rPr>
              <w:t>决算数</w:t>
            </w:r>
          </w:p>
        </w:tc>
      </w:tr>
      <w:tr w:rsidR="001279FD">
        <w:trPr>
          <w:trHeight w:val="578"/>
        </w:trPr>
        <w:tc>
          <w:tcPr>
            <w:tcW w:w="3725" w:type="dxa"/>
            <w:vMerge/>
            <w:tcBorders>
              <w:left w:val="single" w:sz="4" w:space="0" w:color="000000"/>
              <w:bottom w:val="single" w:sz="4" w:space="0" w:color="000000"/>
            </w:tcBorders>
          </w:tcPr>
          <w:p w:rsidR="001279FD" w:rsidRDefault="001279FD">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1279FD" w:rsidRDefault="001279FD">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1279FD" w:rsidRDefault="001279FD">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国有资本经营预算财政拨款</w:t>
            </w: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2,876.83</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hRule="exact" w:val="359"/>
        </w:trPr>
        <w:tc>
          <w:tcPr>
            <w:tcW w:w="3725" w:type="dxa"/>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3667" w:type="dxa"/>
            <w:gridSpan w:val="3"/>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415" w:type="dxa"/>
            <w:gridSpan w:val="2"/>
            <w:tcBorders>
              <w:top w:val="single" w:sz="4" w:space="0" w:color="000000"/>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500" w:type="dxa"/>
            <w:tcBorders>
              <w:top w:val="single" w:sz="4" w:space="0" w:color="000000"/>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trHeight w:val="242"/>
        </w:trPr>
        <w:tc>
          <w:tcPr>
            <w:tcW w:w="3725"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42"/>
        </w:trPr>
        <w:tc>
          <w:tcPr>
            <w:tcW w:w="3725"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1279FD" w:rsidRDefault="001279FD">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42"/>
        </w:trPr>
        <w:tc>
          <w:tcPr>
            <w:tcW w:w="3725"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1279FD" w:rsidRDefault="001279FD">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trHeight w:val="242"/>
        </w:trPr>
        <w:tc>
          <w:tcPr>
            <w:tcW w:w="3725"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1279FD" w:rsidRDefault="001279FD">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hRule="exact" w:val="322"/>
        </w:trPr>
        <w:tc>
          <w:tcPr>
            <w:tcW w:w="3725"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3667" w:type="dxa"/>
            <w:gridSpan w:val="3"/>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415" w:type="dxa"/>
            <w:gridSpan w:val="2"/>
            <w:tcBorders>
              <w:left w:val="single" w:sz="4" w:space="0" w:color="000000"/>
              <w:bottom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2,876.83</w:t>
            </w:r>
          </w:p>
        </w:tc>
        <w:tc>
          <w:tcPr>
            <w:tcW w:w="1500" w:type="dxa"/>
            <w:tcBorders>
              <w:left w:val="single" w:sz="4" w:space="0" w:color="000000"/>
              <w:bottom w:val="single" w:sz="4" w:space="0" w:color="000000"/>
            </w:tcBorders>
            <w:vAlign w:val="center"/>
          </w:tcPr>
          <w:p w:rsidR="001279FD" w:rsidRDefault="001279FD">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bl>
    <w:p w:rsidR="001279FD" w:rsidRDefault="00072100">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1279FD" w:rsidRDefault="001279FD">
      <w:pPr>
        <w:jc w:val="both"/>
        <w:rPr>
          <w:rFonts w:ascii="仿宋" w:eastAsia="仿宋" w:hAnsi="仿宋" w:cs="仿宋"/>
        </w:rPr>
        <w:sectPr w:rsidR="001279FD">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1279FD">
        <w:trPr>
          <w:trHeight w:val="321"/>
        </w:trPr>
        <w:tc>
          <w:tcPr>
            <w:tcW w:w="15417" w:type="dxa"/>
            <w:gridSpan w:val="5"/>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1279FD">
        <w:trPr>
          <w:trHeight w:val="321"/>
        </w:trPr>
        <w:tc>
          <w:tcPr>
            <w:tcW w:w="6300" w:type="dxa"/>
            <w:gridSpan w:val="2"/>
          </w:tcPr>
          <w:p w:rsidR="001279FD" w:rsidRDefault="001279FD">
            <w:pPr>
              <w:pStyle w:val="TableParagraph"/>
              <w:rPr>
                <w:rFonts w:ascii="仿宋" w:eastAsia="仿宋" w:hAnsi="仿宋" w:cs="仿宋"/>
                <w:sz w:val="20"/>
              </w:rPr>
            </w:pPr>
          </w:p>
        </w:tc>
        <w:tc>
          <w:tcPr>
            <w:tcW w:w="3184" w:type="dxa"/>
          </w:tcPr>
          <w:p w:rsidR="001279FD" w:rsidRDefault="001279FD">
            <w:pPr>
              <w:pStyle w:val="TableParagraph"/>
              <w:rPr>
                <w:rFonts w:ascii="仿宋" w:eastAsia="仿宋" w:hAnsi="仿宋" w:cs="仿宋"/>
                <w:sz w:val="27"/>
              </w:rPr>
            </w:pPr>
          </w:p>
        </w:tc>
        <w:tc>
          <w:tcPr>
            <w:tcW w:w="5933" w:type="dxa"/>
            <w:gridSpan w:val="2"/>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1279FD">
        <w:trPr>
          <w:trHeight w:val="288"/>
        </w:trPr>
        <w:tc>
          <w:tcPr>
            <w:tcW w:w="6300" w:type="dxa"/>
            <w:gridSpan w:val="2"/>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3184" w:type="dxa"/>
          </w:tcPr>
          <w:p w:rsidR="001279FD" w:rsidRDefault="001279FD">
            <w:pPr>
              <w:pStyle w:val="TableParagraph"/>
              <w:rPr>
                <w:rFonts w:ascii="仿宋" w:eastAsia="仿宋" w:hAnsi="仿宋" w:cs="仿宋"/>
                <w:sz w:val="27"/>
              </w:rPr>
            </w:pPr>
          </w:p>
        </w:tc>
        <w:tc>
          <w:tcPr>
            <w:tcW w:w="2778" w:type="dxa"/>
            <w:vAlign w:val="center"/>
          </w:tcPr>
          <w:p w:rsidR="001279FD" w:rsidRDefault="001279FD">
            <w:pPr>
              <w:pStyle w:val="TableParagraph"/>
              <w:jc w:val="right"/>
              <w:rPr>
                <w:rFonts w:ascii="仿宋" w:eastAsia="仿宋" w:hAnsi="仿宋" w:cs="仿宋"/>
                <w:sz w:val="27"/>
              </w:rPr>
            </w:pPr>
          </w:p>
        </w:tc>
        <w:tc>
          <w:tcPr>
            <w:tcW w:w="3155"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金额单位：万元</w:t>
            </w:r>
          </w:p>
        </w:tc>
      </w:tr>
      <w:tr w:rsidR="001279FD">
        <w:trPr>
          <w:trHeight w:val="319"/>
        </w:trPr>
        <w:tc>
          <w:tcPr>
            <w:tcW w:w="6300" w:type="dxa"/>
            <w:gridSpan w:val="2"/>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项目支出</w:t>
            </w:r>
          </w:p>
        </w:tc>
      </w:tr>
      <w:tr w:rsidR="001279FD">
        <w:trPr>
          <w:trHeight w:val="341"/>
        </w:trPr>
        <w:tc>
          <w:tcPr>
            <w:tcW w:w="1278"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w:t>
            </w:r>
          </w:p>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1279FD" w:rsidRDefault="001279FD">
            <w:pPr>
              <w:rPr>
                <w:rFonts w:ascii="仿宋" w:eastAsia="仿宋" w:hAnsi="仿宋" w:cs="仿宋"/>
              </w:rPr>
            </w:pPr>
          </w:p>
        </w:tc>
        <w:tc>
          <w:tcPr>
            <w:tcW w:w="2778" w:type="dxa"/>
            <w:vMerge/>
            <w:tcBorders>
              <w:left w:val="single" w:sz="6" w:space="0" w:color="000000"/>
              <w:bottom w:val="single" w:sz="6" w:space="0" w:color="000000"/>
            </w:tcBorders>
          </w:tcPr>
          <w:p w:rsidR="001279FD" w:rsidRDefault="001279FD">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1279FD" w:rsidRDefault="001279FD">
            <w:pPr>
              <w:rPr>
                <w:rFonts w:ascii="仿宋" w:eastAsia="仿宋" w:hAnsi="仿宋" w:cs="仿宋"/>
              </w:rPr>
            </w:pPr>
          </w:p>
        </w:tc>
      </w:tr>
      <w:tr w:rsidR="001279FD">
        <w:trPr>
          <w:trHeight w:val="275"/>
        </w:trPr>
        <w:tc>
          <w:tcPr>
            <w:tcW w:w="6300" w:type="dxa"/>
            <w:gridSpan w:val="2"/>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3</w:t>
            </w:r>
          </w:p>
        </w:tc>
      </w:tr>
      <w:tr w:rsidR="001279FD">
        <w:trPr>
          <w:trHeight w:hRule="exact" w:val="374"/>
        </w:trPr>
        <w:tc>
          <w:tcPr>
            <w:tcW w:w="6300" w:type="dxa"/>
            <w:gridSpan w:val="2"/>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1279FD" w:rsidRDefault="00072100">
            <w:pPr>
              <w:pStyle w:val="TableParagraph"/>
              <w:jc w:val="right"/>
              <w:rPr>
                <w:rFonts w:ascii="仿宋" w:eastAsia="仿宋" w:hAnsi="仿宋" w:cs="仿宋"/>
              </w:rPr>
            </w:pPr>
            <w:r>
              <w:rPr>
                <w:rFonts w:ascii="仿宋" w:eastAsia="仿宋" w:hAnsi="仿宋" w:cs="仿宋" w:hint="eastAsia"/>
              </w:rPr>
              <w:t>2,876.83</w:t>
            </w:r>
          </w:p>
        </w:tc>
        <w:tc>
          <w:tcPr>
            <w:tcW w:w="2778" w:type="dxa"/>
            <w:tcBorders>
              <w:left w:val="single" w:sz="6" w:space="0" w:color="000000"/>
              <w:bottom w:val="single" w:sz="6" w:space="0" w:color="000000"/>
            </w:tcBorders>
          </w:tcPr>
          <w:p w:rsidR="001279FD" w:rsidRDefault="00072100">
            <w:pPr>
              <w:pStyle w:val="TableParagraph"/>
              <w:jc w:val="right"/>
              <w:rPr>
                <w:rFonts w:ascii="仿宋" w:eastAsia="仿宋" w:hAnsi="仿宋" w:cs="仿宋"/>
              </w:rPr>
            </w:pPr>
            <w:r>
              <w:rPr>
                <w:rFonts w:ascii="仿宋" w:eastAsia="仿宋" w:hAnsi="仿宋" w:cs="仿宋" w:hint="eastAsia"/>
              </w:rPr>
              <w:t>1,805.94</w:t>
            </w:r>
          </w:p>
        </w:tc>
        <w:tc>
          <w:tcPr>
            <w:tcW w:w="3155" w:type="dxa"/>
            <w:tcBorders>
              <w:left w:val="single" w:sz="6" w:space="0" w:color="000000"/>
              <w:bottom w:val="single" w:sz="6" w:space="0" w:color="000000"/>
              <w:right w:val="single" w:sz="6" w:space="0" w:color="000000"/>
            </w:tcBorders>
          </w:tcPr>
          <w:p w:rsidR="001279FD" w:rsidRDefault="00072100">
            <w:pPr>
              <w:pStyle w:val="TableParagraph"/>
              <w:jc w:val="right"/>
              <w:rPr>
                <w:rFonts w:ascii="仿宋" w:eastAsia="仿宋" w:hAnsi="仿宋" w:cs="仿宋"/>
              </w:rPr>
            </w:pPr>
            <w:r>
              <w:rPr>
                <w:rFonts w:ascii="仿宋" w:eastAsia="仿宋" w:hAnsi="仿宋" w:cs="仿宋" w:hint="eastAsia"/>
              </w:rPr>
              <w:t>1,070.89</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1,271.76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2,190.74</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2010301</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2010306</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2012999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169.12</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2082001</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r w:rsidR="001279FD">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bl>
    <w:p w:rsidR="001279FD" w:rsidRDefault="00072100">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1279FD" w:rsidRDefault="001279FD">
      <w:pPr>
        <w:tabs>
          <w:tab w:val="left" w:pos="55"/>
        </w:tabs>
        <w:jc w:val="both"/>
        <w:rPr>
          <w:rFonts w:ascii="仿宋" w:eastAsia="仿宋" w:hAnsi="仿宋" w:cs="仿宋"/>
        </w:rPr>
        <w:sectPr w:rsidR="001279FD">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1279FD">
        <w:trPr>
          <w:trHeight w:val="319"/>
        </w:trPr>
        <w:tc>
          <w:tcPr>
            <w:tcW w:w="10515" w:type="dxa"/>
            <w:gridSpan w:val="5"/>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1279FD">
        <w:trPr>
          <w:trHeight w:val="319"/>
        </w:trPr>
        <w:tc>
          <w:tcPr>
            <w:tcW w:w="4532" w:type="dxa"/>
            <w:gridSpan w:val="2"/>
          </w:tcPr>
          <w:p w:rsidR="001279FD" w:rsidRDefault="001279FD">
            <w:pPr>
              <w:pStyle w:val="TableParagraph"/>
              <w:rPr>
                <w:rFonts w:ascii="仿宋" w:eastAsia="仿宋" w:hAnsi="仿宋" w:cs="仿宋"/>
                <w:sz w:val="20"/>
              </w:rPr>
            </w:pPr>
          </w:p>
        </w:tc>
        <w:tc>
          <w:tcPr>
            <w:tcW w:w="2047" w:type="dxa"/>
          </w:tcPr>
          <w:p w:rsidR="001279FD" w:rsidRDefault="001279FD">
            <w:pPr>
              <w:pStyle w:val="TableParagraph"/>
              <w:rPr>
                <w:rFonts w:ascii="仿宋" w:eastAsia="仿宋" w:hAnsi="仿宋" w:cs="仿宋"/>
                <w:sz w:val="20"/>
              </w:rPr>
            </w:pPr>
          </w:p>
        </w:tc>
        <w:tc>
          <w:tcPr>
            <w:tcW w:w="2040" w:type="dxa"/>
          </w:tcPr>
          <w:p w:rsidR="001279FD" w:rsidRDefault="001279FD">
            <w:pPr>
              <w:pStyle w:val="TableParagraph"/>
              <w:rPr>
                <w:rFonts w:ascii="仿宋" w:eastAsia="仿宋" w:hAnsi="仿宋" w:cs="仿宋"/>
                <w:sz w:val="20"/>
              </w:rPr>
            </w:pPr>
          </w:p>
        </w:tc>
        <w:tc>
          <w:tcPr>
            <w:tcW w:w="1896" w:type="dxa"/>
            <w:vAlign w:val="center"/>
          </w:tcPr>
          <w:p w:rsidR="001279FD" w:rsidRDefault="0007210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1279FD">
        <w:trPr>
          <w:trHeight w:val="319"/>
        </w:trPr>
        <w:tc>
          <w:tcPr>
            <w:tcW w:w="8619" w:type="dxa"/>
            <w:gridSpan w:val="4"/>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1896" w:type="dxa"/>
            <w:vAlign w:val="center"/>
          </w:tcPr>
          <w:p w:rsidR="001279FD" w:rsidRDefault="00072100">
            <w:pPr>
              <w:pStyle w:val="TableParagraph"/>
              <w:jc w:val="right"/>
              <w:rPr>
                <w:rFonts w:ascii="仿宋" w:eastAsia="仿宋" w:hAnsi="仿宋" w:cs="仿宋"/>
                <w:sz w:val="20"/>
              </w:rPr>
            </w:pPr>
            <w:r>
              <w:rPr>
                <w:rFonts w:ascii="仿宋" w:eastAsia="仿宋" w:hAnsi="仿宋" w:cs="仿宋" w:hint="eastAsia"/>
              </w:rPr>
              <w:t>金额单位：万元</w:t>
            </w:r>
          </w:p>
        </w:tc>
      </w:tr>
      <w:tr w:rsidR="001279FD">
        <w:trPr>
          <w:trHeight w:val="243"/>
        </w:trPr>
        <w:tc>
          <w:tcPr>
            <w:tcW w:w="4532"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财政拨款基本支出</w:t>
            </w:r>
          </w:p>
        </w:tc>
      </w:tr>
      <w:tr w:rsidR="001279FD">
        <w:trPr>
          <w:trHeight w:val="483"/>
        </w:trPr>
        <w:tc>
          <w:tcPr>
            <w:tcW w:w="99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公用经费</w:t>
            </w:r>
          </w:p>
        </w:tc>
      </w:tr>
      <w:tr w:rsidR="001279FD">
        <w:trPr>
          <w:trHeight w:hRule="exact" w:val="409"/>
        </w:trPr>
        <w:tc>
          <w:tcPr>
            <w:tcW w:w="4532"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1,805.94</w:t>
            </w:r>
          </w:p>
        </w:tc>
        <w:tc>
          <w:tcPr>
            <w:tcW w:w="2040"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1,665.07</w:t>
            </w:r>
          </w:p>
        </w:tc>
        <w:tc>
          <w:tcPr>
            <w:tcW w:w="1896"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1,654.02</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1,654.02</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161.56</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161.56</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577.56</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577.56</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385.49</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385.49</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29.89</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29.89</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6.21</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6.21</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39.35</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39.35</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4.92</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4.92</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211.03</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211.03</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15.95</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15.95</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6.24</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0.26</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0.26</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3.83</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3.83</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3.81</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3.81</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1.45</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1.45</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3.24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3.24</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3.17</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3.17</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2.96</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2.96</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26.09</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26.09</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5.84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5.84</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0.40</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0.40</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18.45</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18.45</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46.84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46.84</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2.34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2.34</w:t>
            </w: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11.05</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11.05</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10.14</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10.14</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0.91</w:t>
            </w: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0.91</w:t>
            </w: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bl>
    <w:p w:rsidR="001279FD" w:rsidRDefault="00072100">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1279FD" w:rsidRDefault="001279FD">
      <w:pPr>
        <w:spacing w:line="255" w:lineRule="exact"/>
        <w:jc w:val="both"/>
        <w:rPr>
          <w:rFonts w:ascii="仿宋" w:eastAsia="仿宋" w:hAnsi="仿宋" w:cs="仿宋"/>
        </w:rPr>
        <w:sectPr w:rsidR="001279FD">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1279FD">
        <w:trPr>
          <w:trHeight w:val="560"/>
        </w:trPr>
        <w:tc>
          <w:tcPr>
            <w:tcW w:w="10446" w:type="dxa"/>
            <w:gridSpan w:val="5"/>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1279FD">
        <w:trPr>
          <w:trHeight w:val="147"/>
        </w:trPr>
        <w:tc>
          <w:tcPr>
            <w:tcW w:w="5466" w:type="dxa"/>
            <w:gridSpan w:val="2"/>
          </w:tcPr>
          <w:p w:rsidR="001279FD" w:rsidRDefault="001279FD">
            <w:pPr>
              <w:pStyle w:val="TableParagraph"/>
              <w:rPr>
                <w:rFonts w:ascii="仿宋" w:eastAsia="仿宋" w:hAnsi="仿宋" w:cs="仿宋"/>
                <w:sz w:val="20"/>
              </w:rPr>
            </w:pPr>
          </w:p>
        </w:tc>
        <w:tc>
          <w:tcPr>
            <w:tcW w:w="1969" w:type="dxa"/>
          </w:tcPr>
          <w:p w:rsidR="001279FD" w:rsidRDefault="001279FD">
            <w:pPr>
              <w:pStyle w:val="TableParagraph"/>
              <w:rPr>
                <w:rFonts w:ascii="仿宋" w:eastAsia="仿宋" w:hAnsi="仿宋" w:cs="仿宋"/>
                <w:sz w:val="20"/>
              </w:rPr>
            </w:pPr>
          </w:p>
        </w:tc>
        <w:tc>
          <w:tcPr>
            <w:tcW w:w="1499" w:type="dxa"/>
          </w:tcPr>
          <w:p w:rsidR="001279FD" w:rsidRDefault="001279FD">
            <w:pPr>
              <w:pStyle w:val="TableParagraph"/>
              <w:rPr>
                <w:rFonts w:ascii="仿宋" w:eastAsia="仿宋" w:hAnsi="仿宋" w:cs="仿宋"/>
                <w:sz w:val="20"/>
              </w:rPr>
            </w:pPr>
          </w:p>
        </w:tc>
        <w:tc>
          <w:tcPr>
            <w:tcW w:w="1512" w:type="dxa"/>
            <w:vAlign w:val="center"/>
          </w:tcPr>
          <w:p w:rsidR="001279FD" w:rsidRDefault="0007210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1279FD">
        <w:trPr>
          <w:trHeight w:val="303"/>
        </w:trPr>
        <w:tc>
          <w:tcPr>
            <w:tcW w:w="7435" w:type="dxa"/>
            <w:gridSpan w:val="3"/>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3011" w:type="dxa"/>
            <w:gridSpan w:val="2"/>
          </w:tcPr>
          <w:p w:rsidR="001279FD" w:rsidRDefault="00072100">
            <w:pPr>
              <w:pStyle w:val="TableParagraph"/>
              <w:jc w:val="right"/>
              <w:rPr>
                <w:rFonts w:ascii="仿宋" w:eastAsia="仿宋" w:hAnsi="仿宋" w:cs="仿宋"/>
              </w:rPr>
            </w:pPr>
            <w:r>
              <w:rPr>
                <w:rFonts w:ascii="仿宋" w:eastAsia="仿宋" w:hAnsi="仿宋" w:cs="仿宋" w:hint="eastAsia"/>
              </w:rPr>
              <w:t>金额单位：万元</w:t>
            </w:r>
          </w:p>
        </w:tc>
      </w:tr>
      <w:tr w:rsidR="001279FD">
        <w:trPr>
          <w:trHeight w:val="158"/>
        </w:trPr>
        <w:tc>
          <w:tcPr>
            <w:tcW w:w="5466" w:type="dxa"/>
            <w:gridSpan w:val="2"/>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项目支出</w:t>
            </w:r>
          </w:p>
        </w:tc>
      </w:tr>
      <w:tr w:rsidR="001279FD">
        <w:trPr>
          <w:trHeight w:val="561"/>
        </w:trPr>
        <w:tc>
          <w:tcPr>
            <w:tcW w:w="1134"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1279FD" w:rsidRDefault="001279FD">
            <w:pPr>
              <w:rPr>
                <w:rFonts w:ascii="仿宋" w:eastAsia="仿宋" w:hAnsi="仿宋" w:cs="仿宋"/>
                <w:sz w:val="2"/>
                <w:szCs w:val="2"/>
              </w:rPr>
            </w:pPr>
          </w:p>
        </w:tc>
        <w:tc>
          <w:tcPr>
            <w:tcW w:w="1499" w:type="dxa"/>
            <w:vMerge/>
            <w:tcBorders>
              <w:left w:val="single" w:sz="6" w:space="0" w:color="000000"/>
              <w:bottom w:val="single" w:sz="6" w:space="0" w:color="000000"/>
            </w:tcBorders>
          </w:tcPr>
          <w:p w:rsidR="001279FD" w:rsidRDefault="001279FD">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1279FD" w:rsidRDefault="001279FD">
            <w:pPr>
              <w:rPr>
                <w:rFonts w:ascii="仿宋" w:eastAsia="仿宋" w:hAnsi="仿宋" w:cs="仿宋"/>
                <w:sz w:val="2"/>
                <w:szCs w:val="2"/>
              </w:rPr>
            </w:pPr>
          </w:p>
        </w:tc>
      </w:tr>
      <w:tr w:rsidR="001279FD">
        <w:trPr>
          <w:trHeight w:val="152"/>
        </w:trPr>
        <w:tc>
          <w:tcPr>
            <w:tcW w:w="5466" w:type="dxa"/>
            <w:gridSpan w:val="2"/>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3</w:t>
            </w:r>
          </w:p>
        </w:tc>
      </w:tr>
      <w:tr w:rsidR="001279FD">
        <w:trPr>
          <w:trHeight w:hRule="exact" w:val="298"/>
        </w:trPr>
        <w:tc>
          <w:tcPr>
            <w:tcW w:w="5466" w:type="dxa"/>
            <w:gridSpan w:val="2"/>
            <w:tcBorders>
              <w:left w:val="single" w:sz="6" w:space="0" w:color="000000"/>
              <w:bottom w:val="single" w:sz="6"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2,876.83</w:t>
            </w:r>
          </w:p>
        </w:tc>
        <w:tc>
          <w:tcPr>
            <w:tcW w:w="1499" w:type="dxa"/>
            <w:tcBorders>
              <w:left w:val="single" w:sz="6" w:space="0" w:color="000000"/>
              <w:bottom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1,805.94</w:t>
            </w:r>
          </w:p>
        </w:tc>
        <w:tc>
          <w:tcPr>
            <w:tcW w:w="1512" w:type="dxa"/>
            <w:tcBorders>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1,070.89</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2,191.24</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1,271.76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2,190.74</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2010301</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1,271.26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2010306</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919.48</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2012999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0.50</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171.86</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169.12</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124.75</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2082001</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2.74</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44.37</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365.06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129.97</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121.83</w:t>
            </w: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r w:rsidR="001279FD">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2299999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1279FD" w:rsidRDefault="001279FD">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148.67</w:t>
            </w:r>
          </w:p>
        </w:tc>
      </w:tr>
    </w:tbl>
    <w:p w:rsidR="001279FD" w:rsidRDefault="00072100">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1279FD" w:rsidRDefault="001279FD">
      <w:pPr>
        <w:spacing w:before="25"/>
        <w:jc w:val="both"/>
        <w:rPr>
          <w:rFonts w:ascii="仿宋" w:eastAsia="仿宋" w:hAnsi="仿宋" w:cs="仿宋"/>
        </w:rPr>
        <w:sectPr w:rsidR="001279FD">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1279FD">
        <w:trPr>
          <w:trHeight w:val="319"/>
        </w:trPr>
        <w:tc>
          <w:tcPr>
            <w:tcW w:w="10473" w:type="dxa"/>
            <w:gridSpan w:val="5"/>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1279FD">
        <w:trPr>
          <w:trHeight w:val="199"/>
        </w:trPr>
        <w:tc>
          <w:tcPr>
            <w:tcW w:w="8595" w:type="dxa"/>
            <w:gridSpan w:val="4"/>
            <w:vAlign w:val="center"/>
          </w:tcPr>
          <w:p w:rsidR="001279FD" w:rsidRDefault="001279FD">
            <w:pPr>
              <w:pStyle w:val="TableParagraph"/>
              <w:jc w:val="right"/>
              <w:rPr>
                <w:rFonts w:ascii="仿宋" w:eastAsia="仿宋" w:hAnsi="仿宋" w:cs="仿宋"/>
                <w:color w:val="000000"/>
              </w:rPr>
            </w:pPr>
          </w:p>
        </w:tc>
        <w:tc>
          <w:tcPr>
            <w:tcW w:w="1878" w:type="dxa"/>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1279FD">
        <w:trPr>
          <w:trHeight w:val="320"/>
        </w:trPr>
        <w:tc>
          <w:tcPr>
            <w:tcW w:w="8595" w:type="dxa"/>
            <w:gridSpan w:val="4"/>
            <w:vAlign w:val="center"/>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1878" w:type="dxa"/>
            <w:vAlign w:val="center"/>
          </w:tcPr>
          <w:p w:rsidR="001279FD" w:rsidRDefault="00072100">
            <w:pPr>
              <w:pStyle w:val="TableParagraph"/>
              <w:jc w:val="right"/>
              <w:rPr>
                <w:rFonts w:ascii="仿宋" w:eastAsia="仿宋" w:hAnsi="仿宋" w:cs="仿宋"/>
                <w:sz w:val="20"/>
              </w:rPr>
            </w:pPr>
            <w:r>
              <w:rPr>
                <w:rFonts w:ascii="仿宋" w:eastAsia="仿宋" w:hAnsi="仿宋" w:cs="仿宋" w:hint="eastAsia"/>
              </w:rPr>
              <w:t>金额单位：万元</w:t>
            </w:r>
          </w:p>
        </w:tc>
      </w:tr>
      <w:tr w:rsidR="001279FD">
        <w:trPr>
          <w:trHeight w:val="180"/>
        </w:trPr>
        <w:tc>
          <w:tcPr>
            <w:tcW w:w="4687"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1279FD">
        <w:trPr>
          <w:trHeight w:val="474"/>
        </w:trPr>
        <w:tc>
          <w:tcPr>
            <w:tcW w:w="1121"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公用经费</w:t>
            </w:r>
          </w:p>
        </w:tc>
      </w:tr>
      <w:tr w:rsidR="001279FD">
        <w:trPr>
          <w:trHeight w:hRule="exact" w:val="394"/>
        </w:trPr>
        <w:tc>
          <w:tcPr>
            <w:tcW w:w="4687"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1,805.94</w:t>
            </w:r>
          </w:p>
        </w:tc>
        <w:tc>
          <w:tcPr>
            <w:tcW w:w="1708"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1,665.07</w:t>
            </w:r>
          </w:p>
        </w:tc>
        <w:tc>
          <w:tcPr>
            <w:tcW w:w="1878"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1,654.02</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1,654.02</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161.56</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161.56</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577.56</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577.56</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385.49</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385.49</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29.89</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29.89</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81.32</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43.43</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6.21</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6.21</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39.35</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39.35</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113.26</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4.92</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4.92</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211.03</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211.03</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15.95</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15.95</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6.24</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0.26</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0.26</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3.83</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3.83</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3.81</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3.81</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1.45</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1.45</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3.24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3.24</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3.17</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3.17</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2.96</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2.96</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26.09</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26.09</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5.84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5.84</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0.40</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0.40</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18.45</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18.45</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46.84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46.84</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2.34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2.34</w:t>
            </w: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11.05</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11.05</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10.14</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10.14</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0.91</w:t>
            </w: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0.91</w:t>
            </w: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bl>
    <w:p w:rsidR="001279FD" w:rsidRDefault="00072100">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1279FD" w:rsidRDefault="001279FD">
      <w:pPr>
        <w:spacing w:before="25"/>
        <w:jc w:val="both"/>
        <w:rPr>
          <w:rFonts w:ascii="仿宋" w:eastAsia="仿宋" w:hAnsi="仿宋" w:cs="仿宋"/>
        </w:rPr>
        <w:sectPr w:rsidR="001279FD">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1279FD">
        <w:trPr>
          <w:trHeight w:val="321"/>
        </w:trPr>
        <w:tc>
          <w:tcPr>
            <w:tcW w:w="16486" w:type="dxa"/>
            <w:gridSpan w:val="16"/>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1279FD">
        <w:trPr>
          <w:trHeight w:val="207"/>
        </w:trPr>
        <w:tc>
          <w:tcPr>
            <w:tcW w:w="16486" w:type="dxa"/>
            <w:gridSpan w:val="16"/>
          </w:tcPr>
          <w:p w:rsidR="001279FD" w:rsidRDefault="0007210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1279FD">
        <w:trPr>
          <w:trHeight w:val="103"/>
        </w:trPr>
        <w:tc>
          <w:tcPr>
            <w:tcW w:w="8212" w:type="dxa"/>
            <w:gridSpan w:val="8"/>
            <w:tcBorders>
              <w:bottom w:val="single" w:sz="4" w:space="0" w:color="auto"/>
            </w:tcBorders>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8274" w:type="dxa"/>
            <w:gridSpan w:val="8"/>
            <w:tcBorders>
              <w:bottom w:val="single" w:sz="4" w:space="0" w:color="auto"/>
            </w:tcBorders>
          </w:tcPr>
          <w:p w:rsidR="001279FD" w:rsidRDefault="00072100">
            <w:pPr>
              <w:pStyle w:val="TableParagraph"/>
              <w:jc w:val="right"/>
              <w:rPr>
                <w:rFonts w:ascii="仿宋" w:eastAsia="仿宋" w:hAnsi="仿宋" w:cs="仿宋"/>
              </w:rPr>
            </w:pPr>
            <w:r>
              <w:rPr>
                <w:rFonts w:ascii="仿宋" w:eastAsia="仿宋" w:hAnsi="仿宋" w:cs="仿宋" w:hint="eastAsia"/>
              </w:rPr>
              <w:t>金额单位：万元</w:t>
            </w:r>
          </w:p>
        </w:tc>
      </w:tr>
      <w:tr w:rsidR="001279FD">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1279FD" w:rsidRDefault="00072100">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1279FD" w:rsidRDefault="00072100">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1279FD">
        <w:trPr>
          <w:trHeight w:val="179"/>
        </w:trPr>
        <w:tc>
          <w:tcPr>
            <w:tcW w:w="6159" w:type="dxa"/>
            <w:gridSpan w:val="6"/>
            <w:tcBorders>
              <w:top w:val="single" w:sz="4" w:space="0" w:color="auto"/>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培训费</w:t>
            </w:r>
          </w:p>
        </w:tc>
      </w:tr>
      <w:tr w:rsidR="001279FD">
        <w:trPr>
          <w:trHeight w:val="297"/>
        </w:trPr>
        <w:tc>
          <w:tcPr>
            <w:tcW w:w="1044" w:type="dxa"/>
            <w:vMerge w:val="restart"/>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w:t>
            </w:r>
          </w:p>
          <w:p w:rsidR="001279FD" w:rsidRDefault="00072100">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1279FD" w:rsidRDefault="001279FD">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1279FD" w:rsidRDefault="001279FD">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w:t>
            </w:r>
          </w:p>
          <w:p w:rsidR="001279FD" w:rsidRDefault="00072100">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1279FD" w:rsidRDefault="001279FD">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1279FD" w:rsidRDefault="001279FD">
            <w:pPr>
              <w:jc w:val="center"/>
              <w:rPr>
                <w:rFonts w:ascii="仿宋" w:eastAsia="仿宋" w:hAnsi="仿宋" w:cs="仿宋"/>
                <w:sz w:val="20"/>
              </w:rPr>
            </w:pPr>
          </w:p>
        </w:tc>
      </w:tr>
      <w:tr w:rsidR="001279FD">
        <w:trPr>
          <w:trHeight w:hRule="exact" w:val="621"/>
        </w:trPr>
        <w:tc>
          <w:tcPr>
            <w:tcW w:w="1044" w:type="dxa"/>
            <w:vMerge/>
            <w:tcBorders>
              <w:left w:val="single" w:sz="4" w:space="0" w:color="000000"/>
              <w:bottom w:val="single" w:sz="4" w:space="0" w:color="000000"/>
            </w:tcBorders>
          </w:tcPr>
          <w:p w:rsidR="001279FD" w:rsidRDefault="001279FD">
            <w:pPr>
              <w:rPr>
                <w:rFonts w:ascii="仿宋" w:eastAsia="仿宋" w:hAnsi="仿宋" w:cs="仿宋"/>
                <w:sz w:val="2"/>
                <w:szCs w:val="2"/>
              </w:rPr>
            </w:pPr>
          </w:p>
        </w:tc>
        <w:tc>
          <w:tcPr>
            <w:tcW w:w="1042" w:type="dxa"/>
            <w:vMerge/>
            <w:tcBorders>
              <w:left w:val="single" w:sz="4" w:space="0" w:color="000000"/>
              <w:bottom w:val="single" w:sz="4" w:space="0" w:color="000000"/>
            </w:tcBorders>
          </w:tcPr>
          <w:p w:rsidR="001279FD" w:rsidRDefault="001279FD">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1279FD" w:rsidRDefault="001279FD">
            <w:pPr>
              <w:rPr>
                <w:rFonts w:ascii="仿宋" w:eastAsia="仿宋" w:hAnsi="仿宋" w:cs="仿宋"/>
                <w:sz w:val="2"/>
                <w:szCs w:val="2"/>
              </w:rPr>
            </w:pPr>
          </w:p>
        </w:tc>
        <w:tc>
          <w:tcPr>
            <w:tcW w:w="1043" w:type="dxa"/>
            <w:vMerge/>
            <w:tcBorders>
              <w:left w:val="single" w:sz="4" w:space="0" w:color="000000"/>
              <w:bottom w:val="single" w:sz="4" w:space="0" w:color="000000"/>
            </w:tcBorders>
          </w:tcPr>
          <w:p w:rsidR="001279FD" w:rsidRDefault="001279FD">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sz w:val="2"/>
                <w:szCs w:val="2"/>
              </w:rPr>
            </w:pPr>
          </w:p>
        </w:tc>
      </w:tr>
      <w:tr w:rsidR="001279FD">
        <w:trPr>
          <w:cantSplit/>
          <w:trHeight w:val="380"/>
        </w:trPr>
        <w:tc>
          <w:tcPr>
            <w:tcW w:w="1044"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3.15</w:t>
            </w:r>
          </w:p>
        </w:tc>
        <w:tc>
          <w:tcPr>
            <w:tcW w:w="1042"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9"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6"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3.15</w:t>
            </w:r>
          </w:p>
        </w:tc>
        <w:tc>
          <w:tcPr>
            <w:tcW w:w="1043" w:type="dxa"/>
            <w:tcBorders>
              <w:left w:val="single" w:sz="4" w:space="0" w:color="000000"/>
              <w:bottom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3.78</w:t>
            </w:r>
          </w:p>
        </w:tc>
        <w:tc>
          <w:tcPr>
            <w:tcW w:w="1010"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9.45</w:t>
            </w:r>
          </w:p>
        </w:tc>
        <w:tc>
          <w:tcPr>
            <w:tcW w:w="1058"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2.96</w:t>
            </w:r>
          </w:p>
        </w:tc>
        <w:tc>
          <w:tcPr>
            <w:tcW w:w="1010"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89"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3"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2.96</w:t>
            </w:r>
          </w:p>
        </w:tc>
        <w:tc>
          <w:tcPr>
            <w:tcW w:w="1057"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3.24</w:t>
            </w:r>
          </w:p>
        </w:tc>
        <w:tc>
          <w:tcPr>
            <w:tcW w:w="1027"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sz w:val="18"/>
                <w:szCs w:val="18"/>
              </w:rPr>
            </w:pPr>
            <w:r>
              <w:rPr>
                <w:rFonts w:ascii="仿宋" w:eastAsia="仿宋" w:hAnsi="仿宋" w:cs="仿宋" w:hint="eastAsia"/>
                <w:sz w:val="18"/>
                <w:szCs w:val="18"/>
              </w:rPr>
              <w:t>3.17</w:t>
            </w:r>
          </w:p>
        </w:tc>
      </w:tr>
    </w:tbl>
    <w:p w:rsidR="001279FD" w:rsidRDefault="00072100">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1279FD">
        <w:trPr>
          <w:cantSplit/>
          <w:trHeight w:val="214"/>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统计数</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36</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713</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0</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66</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2,850</w:t>
            </w:r>
          </w:p>
        </w:tc>
      </w:tr>
      <w:tr w:rsidR="001279FD">
        <w:trPr>
          <w:cantSplit/>
          <w:trHeight w:val="190"/>
        </w:trPr>
        <w:tc>
          <w:tcPr>
            <w:tcW w:w="4028" w:type="dxa"/>
            <w:tcBorders>
              <w:top w:val="single" w:sz="4" w:space="0" w:color="auto"/>
              <w:left w:val="single" w:sz="4" w:space="0" w:color="auto"/>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7</w:t>
            </w:r>
          </w:p>
        </w:tc>
        <w:tc>
          <w:tcPr>
            <w:tcW w:w="3908" w:type="dxa"/>
            <w:tcBorders>
              <w:top w:val="single" w:sz="4" w:space="0" w:color="auto"/>
              <w:left w:val="single" w:sz="4" w:space="0" w:color="000000"/>
              <w:bottom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634</w:t>
            </w:r>
          </w:p>
        </w:tc>
      </w:tr>
    </w:tbl>
    <w:p w:rsidR="001279FD" w:rsidRDefault="00072100">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1279FD" w:rsidRDefault="001279FD">
      <w:pPr>
        <w:ind w:left="227" w:firstLineChars="100" w:firstLine="220"/>
        <w:jc w:val="both"/>
        <w:rPr>
          <w:rFonts w:ascii="仿宋" w:eastAsia="仿宋" w:hAnsi="仿宋" w:cs="仿宋"/>
        </w:rPr>
        <w:sectPr w:rsidR="001279FD">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1279FD">
        <w:trPr>
          <w:trHeight w:val="395"/>
        </w:trPr>
        <w:tc>
          <w:tcPr>
            <w:tcW w:w="15400" w:type="dxa"/>
            <w:gridSpan w:val="5"/>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1279FD">
        <w:trPr>
          <w:trHeight w:val="323"/>
        </w:trPr>
        <w:tc>
          <w:tcPr>
            <w:tcW w:w="8426" w:type="dxa"/>
            <w:gridSpan w:val="2"/>
          </w:tcPr>
          <w:p w:rsidR="001279FD" w:rsidRDefault="001279FD">
            <w:pPr>
              <w:pStyle w:val="TableParagraph"/>
              <w:rPr>
                <w:rFonts w:ascii="仿宋" w:eastAsia="仿宋" w:hAnsi="仿宋" w:cs="仿宋"/>
                <w:sz w:val="20"/>
              </w:rPr>
            </w:pPr>
          </w:p>
        </w:tc>
        <w:tc>
          <w:tcPr>
            <w:tcW w:w="2684" w:type="dxa"/>
          </w:tcPr>
          <w:p w:rsidR="001279FD" w:rsidRDefault="001279FD">
            <w:pPr>
              <w:pStyle w:val="TableParagraph"/>
              <w:rPr>
                <w:rFonts w:ascii="仿宋" w:eastAsia="仿宋" w:hAnsi="仿宋" w:cs="仿宋"/>
                <w:sz w:val="27"/>
              </w:rPr>
            </w:pPr>
          </w:p>
        </w:tc>
        <w:tc>
          <w:tcPr>
            <w:tcW w:w="2432" w:type="dxa"/>
          </w:tcPr>
          <w:p w:rsidR="001279FD" w:rsidRDefault="001279FD">
            <w:pPr>
              <w:pStyle w:val="TableParagraph"/>
              <w:rPr>
                <w:rFonts w:ascii="仿宋" w:eastAsia="仿宋" w:hAnsi="仿宋" w:cs="仿宋"/>
                <w:sz w:val="20"/>
              </w:rPr>
            </w:pPr>
          </w:p>
        </w:tc>
        <w:tc>
          <w:tcPr>
            <w:tcW w:w="1858"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1279FD">
        <w:trPr>
          <w:trHeight w:val="152"/>
        </w:trPr>
        <w:tc>
          <w:tcPr>
            <w:tcW w:w="13542" w:type="dxa"/>
            <w:gridSpan w:val="4"/>
            <w:vAlign w:val="center"/>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1858"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金额单位：万元</w:t>
            </w:r>
          </w:p>
        </w:tc>
      </w:tr>
      <w:tr w:rsidR="001279FD">
        <w:trPr>
          <w:trHeight w:val="267"/>
        </w:trPr>
        <w:tc>
          <w:tcPr>
            <w:tcW w:w="8426"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项目支出</w:t>
            </w:r>
          </w:p>
        </w:tc>
      </w:tr>
      <w:tr w:rsidR="001279FD">
        <w:trPr>
          <w:trHeight w:val="427"/>
        </w:trPr>
        <w:tc>
          <w:tcPr>
            <w:tcW w:w="1431"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w:t>
            </w:r>
          </w:p>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1279FD" w:rsidRDefault="001279FD">
            <w:pPr>
              <w:rPr>
                <w:rFonts w:ascii="仿宋" w:eastAsia="仿宋" w:hAnsi="仿宋" w:cs="仿宋"/>
              </w:rPr>
            </w:pPr>
          </w:p>
        </w:tc>
        <w:tc>
          <w:tcPr>
            <w:tcW w:w="2432" w:type="dxa"/>
            <w:vMerge/>
            <w:tcBorders>
              <w:left w:val="single" w:sz="4" w:space="0" w:color="000000"/>
              <w:bottom w:val="single" w:sz="4" w:space="0" w:color="000000"/>
            </w:tcBorders>
            <w:vAlign w:val="center"/>
          </w:tcPr>
          <w:p w:rsidR="001279FD" w:rsidRDefault="001279FD">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rPr>
            </w:pPr>
          </w:p>
        </w:tc>
      </w:tr>
      <w:tr w:rsidR="001279FD">
        <w:trPr>
          <w:trHeight w:val="275"/>
        </w:trPr>
        <w:tc>
          <w:tcPr>
            <w:tcW w:w="8426"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lang w:val="en-US"/>
              </w:rPr>
            </w:pPr>
            <w:r>
              <w:rPr>
                <w:rFonts w:ascii="仿宋" w:eastAsia="仿宋" w:hAnsi="仿宋" w:cs="仿宋" w:hint="eastAsia"/>
                <w:lang w:val="en-US"/>
              </w:rPr>
              <w:t>2</w:t>
            </w:r>
          </w:p>
        </w:tc>
      </w:tr>
      <w:tr w:rsidR="001279FD">
        <w:trPr>
          <w:trHeight w:hRule="exact" w:val="389"/>
        </w:trPr>
        <w:tc>
          <w:tcPr>
            <w:tcW w:w="8426"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bl>
    <w:p w:rsidR="001279FD" w:rsidRDefault="00072100">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1279FD" w:rsidRDefault="00072100">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1279FD" w:rsidRDefault="001279FD">
      <w:pPr>
        <w:spacing w:before="25"/>
        <w:jc w:val="both"/>
        <w:rPr>
          <w:rFonts w:ascii="仿宋" w:eastAsia="仿宋" w:hAnsi="仿宋" w:cs="仿宋"/>
          <w:lang w:val="en-US"/>
        </w:rPr>
        <w:sectPr w:rsidR="001279FD">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1279FD">
        <w:trPr>
          <w:trHeight w:val="395"/>
        </w:trPr>
        <w:tc>
          <w:tcPr>
            <w:tcW w:w="15400" w:type="dxa"/>
            <w:gridSpan w:val="5"/>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1279FD">
        <w:trPr>
          <w:trHeight w:val="323"/>
        </w:trPr>
        <w:tc>
          <w:tcPr>
            <w:tcW w:w="8520" w:type="dxa"/>
            <w:gridSpan w:val="2"/>
          </w:tcPr>
          <w:p w:rsidR="001279FD" w:rsidRDefault="001279FD">
            <w:pPr>
              <w:pStyle w:val="TableParagraph"/>
              <w:rPr>
                <w:rFonts w:ascii="仿宋" w:eastAsia="仿宋" w:hAnsi="仿宋" w:cs="仿宋"/>
                <w:sz w:val="20"/>
              </w:rPr>
            </w:pPr>
          </w:p>
        </w:tc>
        <w:tc>
          <w:tcPr>
            <w:tcW w:w="2510" w:type="dxa"/>
          </w:tcPr>
          <w:p w:rsidR="001279FD" w:rsidRDefault="001279FD">
            <w:pPr>
              <w:pStyle w:val="TableParagraph"/>
              <w:rPr>
                <w:rFonts w:ascii="仿宋" w:eastAsia="仿宋" w:hAnsi="仿宋" w:cs="仿宋"/>
                <w:sz w:val="27"/>
              </w:rPr>
            </w:pPr>
          </w:p>
        </w:tc>
        <w:tc>
          <w:tcPr>
            <w:tcW w:w="2309" w:type="dxa"/>
          </w:tcPr>
          <w:p w:rsidR="001279FD" w:rsidRDefault="001279FD">
            <w:pPr>
              <w:pStyle w:val="TableParagraph"/>
              <w:rPr>
                <w:rFonts w:ascii="仿宋" w:eastAsia="仿宋" w:hAnsi="仿宋" w:cs="仿宋"/>
                <w:sz w:val="20"/>
              </w:rPr>
            </w:pPr>
          </w:p>
        </w:tc>
        <w:tc>
          <w:tcPr>
            <w:tcW w:w="2061"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1279FD">
        <w:trPr>
          <w:trHeight w:val="152"/>
        </w:trPr>
        <w:tc>
          <w:tcPr>
            <w:tcW w:w="13339" w:type="dxa"/>
            <w:gridSpan w:val="4"/>
            <w:vAlign w:val="center"/>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2061"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金额单位：万元</w:t>
            </w:r>
          </w:p>
        </w:tc>
      </w:tr>
      <w:tr w:rsidR="001279FD">
        <w:trPr>
          <w:trHeight w:val="267"/>
        </w:trPr>
        <w:tc>
          <w:tcPr>
            <w:tcW w:w="8520" w:type="dxa"/>
            <w:gridSpan w:val="2"/>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项目支出</w:t>
            </w:r>
          </w:p>
        </w:tc>
      </w:tr>
      <w:tr w:rsidR="001279FD">
        <w:trPr>
          <w:trHeight w:val="427"/>
        </w:trPr>
        <w:tc>
          <w:tcPr>
            <w:tcW w:w="1462"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功能分类</w:t>
            </w:r>
          </w:p>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1279FD" w:rsidRDefault="001279FD">
            <w:pPr>
              <w:rPr>
                <w:rFonts w:ascii="仿宋" w:eastAsia="仿宋" w:hAnsi="仿宋" w:cs="仿宋"/>
              </w:rPr>
            </w:pPr>
          </w:p>
        </w:tc>
        <w:tc>
          <w:tcPr>
            <w:tcW w:w="2309" w:type="dxa"/>
            <w:vMerge/>
            <w:tcBorders>
              <w:left w:val="single" w:sz="4" w:space="0" w:color="000000"/>
              <w:bottom w:val="single" w:sz="4" w:space="0" w:color="000000"/>
            </w:tcBorders>
            <w:vAlign w:val="center"/>
          </w:tcPr>
          <w:p w:rsidR="001279FD" w:rsidRDefault="001279FD">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rPr>
            </w:pPr>
          </w:p>
        </w:tc>
      </w:tr>
      <w:tr w:rsidR="001279FD">
        <w:trPr>
          <w:trHeight w:val="275"/>
        </w:trPr>
        <w:tc>
          <w:tcPr>
            <w:tcW w:w="8520"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lang w:val="en-US"/>
              </w:rPr>
            </w:pPr>
            <w:r>
              <w:rPr>
                <w:rFonts w:ascii="仿宋" w:eastAsia="仿宋" w:hAnsi="仿宋" w:cs="仿宋" w:hint="eastAsia"/>
                <w:lang w:val="en-US"/>
              </w:rPr>
              <w:t>2</w:t>
            </w:r>
          </w:p>
        </w:tc>
      </w:tr>
      <w:tr w:rsidR="001279FD">
        <w:trPr>
          <w:trHeight w:hRule="exact" w:val="389"/>
        </w:trPr>
        <w:tc>
          <w:tcPr>
            <w:tcW w:w="8520"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1279FD" w:rsidRDefault="001279FD">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1279FD" w:rsidRDefault="001279FD">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bl>
    <w:p w:rsidR="001279FD" w:rsidRDefault="00072100">
      <w:pPr>
        <w:jc w:val="both"/>
        <w:rPr>
          <w:rFonts w:ascii="仿宋" w:eastAsia="仿宋" w:hAnsi="仿宋" w:cs="仿宋"/>
        </w:rPr>
      </w:pPr>
      <w:r>
        <w:rPr>
          <w:rFonts w:ascii="仿宋" w:eastAsia="仿宋" w:hAnsi="仿宋" w:cs="仿宋" w:hint="eastAsia"/>
        </w:rPr>
        <w:t>注：本表反映本年度国有资本经营预算财政拨款支出情况。</w:t>
      </w:r>
    </w:p>
    <w:p w:rsidR="001279FD" w:rsidRDefault="00072100">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1279FD" w:rsidRDefault="001279FD">
      <w:pPr>
        <w:spacing w:before="25"/>
        <w:ind w:leftChars="-100" w:left="-220"/>
        <w:jc w:val="both"/>
        <w:rPr>
          <w:rFonts w:ascii="仿宋" w:eastAsia="仿宋" w:hAnsi="仿宋" w:cs="仿宋"/>
          <w:lang w:val="en-US"/>
        </w:rPr>
        <w:sectPr w:rsidR="001279FD">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1279FD">
        <w:trPr>
          <w:trHeight w:val="319"/>
        </w:trPr>
        <w:tc>
          <w:tcPr>
            <w:tcW w:w="10466" w:type="dxa"/>
            <w:gridSpan w:val="3"/>
          </w:tcPr>
          <w:p w:rsidR="001279FD" w:rsidRDefault="00072100">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1279FD">
        <w:trPr>
          <w:trHeight w:val="90"/>
        </w:trPr>
        <w:tc>
          <w:tcPr>
            <w:tcW w:w="6632" w:type="dxa"/>
            <w:gridSpan w:val="2"/>
          </w:tcPr>
          <w:p w:rsidR="001279FD" w:rsidRDefault="001279FD">
            <w:pPr>
              <w:pStyle w:val="TableParagraph"/>
              <w:rPr>
                <w:rFonts w:ascii="仿宋" w:eastAsia="仿宋" w:hAnsi="仿宋" w:cs="仿宋"/>
                <w:sz w:val="20"/>
              </w:rPr>
            </w:pPr>
          </w:p>
        </w:tc>
        <w:tc>
          <w:tcPr>
            <w:tcW w:w="3834" w:type="dxa"/>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1279FD">
        <w:trPr>
          <w:trHeight w:val="90"/>
        </w:trPr>
        <w:tc>
          <w:tcPr>
            <w:tcW w:w="6632" w:type="dxa"/>
            <w:gridSpan w:val="2"/>
            <w:vAlign w:val="center"/>
          </w:tcPr>
          <w:p w:rsidR="001279FD" w:rsidRDefault="00072100">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3834" w:type="dxa"/>
            <w:vAlign w:val="center"/>
          </w:tcPr>
          <w:p w:rsidR="001279FD" w:rsidRDefault="00072100">
            <w:pPr>
              <w:pStyle w:val="TableParagraph"/>
              <w:jc w:val="right"/>
              <w:rPr>
                <w:rFonts w:ascii="仿宋" w:eastAsia="仿宋" w:hAnsi="仿宋" w:cs="仿宋"/>
                <w:sz w:val="27"/>
              </w:rPr>
            </w:pPr>
            <w:r>
              <w:rPr>
                <w:rFonts w:ascii="仿宋" w:eastAsia="仿宋" w:hAnsi="仿宋" w:cs="仿宋" w:hint="eastAsia"/>
              </w:rPr>
              <w:t>金额单位：万元</w:t>
            </w:r>
          </w:p>
        </w:tc>
      </w:tr>
      <w:tr w:rsidR="001279FD">
        <w:trPr>
          <w:trHeight w:val="319"/>
        </w:trPr>
        <w:tc>
          <w:tcPr>
            <w:tcW w:w="6632" w:type="dxa"/>
            <w:gridSpan w:val="2"/>
            <w:tcBorders>
              <w:top w:val="single" w:sz="4" w:space="0" w:color="000000"/>
              <w:left w:val="single" w:sz="4" w:space="0" w:color="000000"/>
              <w:bottom w:val="single" w:sz="4" w:space="0" w:color="000000"/>
            </w:tcBorders>
          </w:tcPr>
          <w:p w:rsidR="001279FD" w:rsidRDefault="0007210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机关运行经费支出决算</w:t>
            </w:r>
          </w:p>
        </w:tc>
      </w:tr>
      <w:tr w:rsidR="001279FD">
        <w:trPr>
          <w:trHeight w:val="363"/>
        </w:trPr>
        <w:tc>
          <w:tcPr>
            <w:tcW w:w="1642"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1279FD" w:rsidRDefault="001279FD">
            <w:pPr>
              <w:rPr>
                <w:rFonts w:ascii="仿宋" w:eastAsia="仿宋" w:hAnsi="仿宋" w:cs="仿宋"/>
              </w:rPr>
            </w:pPr>
          </w:p>
        </w:tc>
      </w:tr>
      <w:tr w:rsidR="001279FD">
        <w:trPr>
          <w:trHeight w:val="229"/>
        </w:trPr>
        <w:tc>
          <w:tcPr>
            <w:tcW w:w="6632" w:type="dxa"/>
            <w:gridSpan w:val="2"/>
            <w:tcBorders>
              <w:left w:val="single" w:sz="4" w:space="0" w:color="000000"/>
              <w:bottom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140.87</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140.87</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15.95</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6.24</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0.26</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3.83</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3.81</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1.45</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3.24</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3.17</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2.96</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26.09</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5.84</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0.40</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18.45</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46.84</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072100">
            <w:pPr>
              <w:jc w:val="right"/>
              <w:rPr>
                <w:rFonts w:ascii="仿宋" w:eastAsia="仿宋" w:hAnsi="仿宋" w:cs="仿宋"/>
              </w:rPr>
            </w:pPr>
            <w:r>
              <w:rPr>
                <w:rFonts w:ascii="仿宋" w:eastAsia="仿宋" w:hAnsi="仿宋" w:cs="仿宋" w:hint="eastAsia"/>
              </w:rPr>
              <w:t>2.34</w:t>
            </w: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r w:rsidR="001279FD">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1279FD" w:rsidRDefault="001279FD">
            <w:pPr>
              <w:jc w:val="right"/>
              <w:rPr>
                <w:rFonts w:ascii="仿宋" w:eastAsia="仿宋" w:hAnsi="仿宋" w:cs="仿宋"/>
              </w:rPr>
            </w:pPr>
          </w:p>
        </w:tc>
      </w:tr>
    </w:tbl>
    <w:p w:rsidR="001279FD" w:rsidRDefault="00072100">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rsidR="001279FD" w:rsidRDefault="001279FD">
      <w:pPr>
        <w:tabs>
          <w:tab w:val="left" w:pos="440"/>
        </w:tabs>
        <w:spacing w:before="25"/>
        <w:ind w:leftChars="200" w:left="440"/>
        <w:jc w:val="both"/>
        <w:rPr>
          <w:rFonts w:ascii="仿宋" w:eastAsia="仿宋" w:hAnsi="仿宋" w:cs="仿宋"/>
          <w:lang w:val="en-US"/>
        </w:rPr>
        <w:sectPr w:rsidR="001279FD">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1279FD">
        <w:trPr>
          <w:trHeight w:val="333"/>
        </w:trPr>
        <w:tc>
          <w:tcPr>
            <w:tcW w:w="10459" w:type="dxa"/>
            <w:gridSpan w:val="4"/>
            <w:vAlign w:val="center"/>
          </w:tcPr>
          <w:p w:rsidR="001279FD" w:rsidRDefault="0007210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1279FD">
        <w:trPr>
          <w:trHeight w:val="333"/>
        </w:trPr>
        <w:tc>
          <w:tcPr>
            <w:tcW w:w="4472" w:type="dxa"/>
          </w:tcPr>
          <w:p w:rsidR="001279FD" w:rsidRDefault="001279FD">
            <w:pPr>
              <w:pStyle w:val="TableParagraph"/>
              <w:rPr>
                <w:rFonts w:ascii="仿宋" w:eastAsia="仿宋" w:hAnsi="仿宋" w:cs="仿宋"/>
              </w:rPr>
            </w:pPr>
          </w:p>
        </w:tc>
        <w:tc>
          <w:tcPr>
            <w:tcW w:w="722" w:type="dxa"/>
          </w:tcPr>
          <w:p w:rsidR="001279FD" w:rsidRDefault="001279FD">
            <w:pPr>
              <w:pStyle w:val="TableParagraph"/>
              <w:rPr>
                <w:rFonts w:ascii="仿宋" w:eastAsia="仿宋" w:hAnsi="仿宋" w:cs="仿宋"/>
              </w:rPr>
            </w:pPr>
          </w:p>
        </w:tc>
        <w:tc>
          <w:tcPr>
            <w:tcW w:w="1992" w:type="dxa"/>
          </w:tcPr>
          <w:p w:rsidR="001279FD" w:rsidRDefault="001279FD">
            <w:pPr>
              <w:pStyle w:val="TableParagraph"/>
              <w:rPr>
                <w:rFonts w:ascii="仿宋" w:eastAsia="仿宋" w:hAnsi="仿宋" w:cs="仿宋"/>
              </w:rPr>
            </w:pPr>
          </w:p>
        </w:tc>
        <w:tc>
          <w:tcPr>
            <w:tcW w:w="3273" w:type="dxa"/>
            <w:vAlign w:val="center"/>
          </w:tcPr>
          <w:p w:rsidR="001279FD" w:rsidRDefault="0007210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1279FD">
        <w:trPr>
          <w:trHeight w:val="90"/>
        </w:trPr>
        <w:tc>
          <w:tcPr>
            <w:tcW w:w="7186" w:type="dxa"/>
            <w:gridSpan w:val="3"/>
          </w:tcPr>
          <w:p w:rsidR="001279FD" w:rsidRDefault="00072100">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江阴市行政审批局（机关）</w:t>
            </w:r>
          </w:p>
        </w:tc>
        <w:tc>
          <w:tcPr>
            <w:tcW w:w="3273" w:type="dxa"/>
            <w:vAlign w:val="center"/>
          </w:tcPr>
          <w:p w:rsidR="001279FD" w:rsidRDefault="00072100">
            <w:pPr>
              <w:pStyle w:val="TableParagraph"/>
              <w:jc w:val="right"/>
              <w:rPr>
                <w:rFonts w:ascii="仿宋" w:eastAsia="仿宋" w:hAnsi="仿宋" w:cs="仿宋"/>
              </w:rPr>
            </w:pPr>
            <w:r>
              <w:rPr>
                <w:rFonts w:ascii="仿宋" w:eastAsia="仿宋" w:hAnsi="仿宋" w:cs="仿宋" w:hint="eastAsia"/>
              </w:rPr>
              <w:t>单位：万元</w:t>
            </w:r>
          </w:p>
        </w:tc>
      </w:tr>
      <w:tr w:rsidR="001279FD">
        <w:trPr>
          <w:trHeight w:val="244"/>
        </w:trPr>
        <w:tc>
          <w:tcPr>
            <w:tcW w:w="4472" w:type="dxa"/>
            <w:tcBorders>
              <w:top w:val="single" w:sz="4" w:space="0" w:color="000000"/>
              <w:left w:val="single" w:sz="4" w:space="0" w:color="000000"/>
              <w:bottom w:val="single" w:sz="4" w:space="0" w:color="000000"/>
            </w:tcBorders>
            <w:vAlign w:val="center"/>
          </w:tcPr>
          <w:p w:rsidR="001279FD" w:rsidRDefault="00072100">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1279FD" w:rsidRDefault="00072100">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375.85</w:t>
            </w: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35.10</w:t>
            </w: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1279FD" w:rsidRDefault="00072100">
            <w:pPr>
              <w:pStyle w:val="TableParagraph"/>
              <w:jc w:val="right"/>
              <w:rPr>
                <w:rFonts w:ascii="仿宋" w:eastAsia="仿宋" w:hAnsi="仿宋" w:cs="仿宋"/>
              </w:rPr>
            </w:pPr>
            <w:r>
              <w:rPr>
                <w:rFonts w:ascii="仿宋" w:eastAsia="仿宋" w:hAnsi="仿宋" w:cs="仿宋" w:hint="eastAsia"/>
              </w:rPr>
              <w:t>340.75</w:t>
            </w: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r w:rsidR="001279FD">
        <w:trPr>
          <w:cantSplit/>
          <w:trHeight w:val="277"/>
        </w:trPr>
        <w:tc>
          <w:tcPr>
            <w:tcW w:w="4472" w:type="dxa"/>
            <w:tcBorders>
              <w:left w:val="single" w:sz="4" w:space="0" w:color="000000"/>
              <w:bottom w:val="single" w:sz="4" w:space="0" w:color="000000"/>
            </w:tcBorders>
            <w:vAlign w:val="center"/>
          </w:tcPr>
          <w:p w:rsidR="001279FD" w:rsidRDefault="0007210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1279FD" w:rsidRDefault="001279FD">
            <w:pPr>
              <w:pStyle w:val="TableParagraph"/>
              <w:jc w:val="right"/>
              <w:rPr>
                <w:rFonts w:ascii="仿宋" w:eastAsia="仿宋" w:hAnsi="仿宋" w:cs="仿宋"/>
              </w:rPr>
            </w:pPr>
          </w:p>
        </w:tc>
      </w:tr>
    </w:tbl>
    <w:p w:rsidR="001279FD" w:rsidRDefault="00072100">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1279FD" w:rsidRDefault="001279FD">
      <w:pPr>
        <w:ind w:leftChars="200" w:left="440"/>
        <w:jc w:val="both"/>
        <w:rPr>
          <w:rFonts w:ascii="仿宋" w:eastAsia="仿宋" w:hAnsi="仿宋" w:cs="仿宋"/>
        </w:rPr>
        <w:sectPr w:rsidR="001279FD">
          <w:pgSz w:w="11906" w:h="16838"/>
          <w:pgMar w:top="720" w:right="720" w:bottom="720" w:left="720" w:header="170" w:footer="280" w:gutter="0"/>
          <w:pgNumType w:fmt="numberInDash"/>
          <w:cols w:space="720"/>
          <w:formProt w:val="0"/>
          <w:docGrid w:linePitch="100"/>
        </w:sectPr>
      </w:pPr>
    </w:p>
    <w:p w:rsidR="001279FD" w:rsidRDefault="00072100">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1279FD" w:rsidRDefault="001279FD">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2,876.83</w:t>
      </w:r>
      <w:r>
        <w:rPr>
          <w:rFonts w:ascii="仿宋" w:eastAsia="仿宋" w:hAnsi="仿宋" w:cs="仿宋"/>
        </w:rPr>
        <w:t>万元。与上年相比，收、支总计各增加</w:t>
      </w:r>
      <w:r>
        <w:rPr>
          <w:rFonts w:ascii="仿宋" w:eastAsia="仿宋" w:hAnsi="仿宋" w:cs="仿宋"/>
        </w:rPr>
        <w:t>479.02</w:t>
      </w:r>
      <w:r>
        <w:rPr>
          <w:rFonts w:ascii="仿宋" w:eastAsia="仿宋" w:hAnsi="仿宋" w:cs="仿宋"/>
        </w:rPr>
        <w:t>万元，增长</w:t>
      </w:r>
      <w:r>
        <w:rPr>
          <w:rFonts w:ascii="仿宋" w:eastAsia="仿宋" w:hAnsi="仿宋" w:cs="仿宋"/>
        </w:rPr>
        <w:t>19.98%</w:t>
      </w:r>
      <w:r>
        <w:rPr>
          <w:rFonts w:ascii="仿宋" w:eastAsia="仿宋" w:hAnsi="仿宋" w:cs="仿宋"/>
        </w:rPr>
        <w:t>。其中：</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2,876.83</w:t>
      </w:r>
      <w:r>
        <w:rPr>
          <w:rFonts w:ascii="仿宋" w:eastAsia="仿宋" w:hAnsi="仿宋" w:cs="仿宋"/>
          <w:b/>
        </w:rPr>
        <w:t>万元。包括：</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2,876.83</w:t>
      </w:r>
      <w:r>
        <w:rPr>
          <w:rFonts w:ascii="仿宋" w:eastAsia="仿宋" w:hAnsi="仿宋" w:cs="仿宋"/>
        </w:rPr>
        <w:t>万元。与上年相比，增加</w:t>
      </w:r>
      <w:r>
        <w:rPr>
          <w:rFonts w:ascii="仿宋" w:eastAsia="仿宋" w:hAnsi="仿宋" w:cs="仿宋"/>
        </w:rPr>
        <w:t>479.02</w:t>
      </w:r>
      <w:r>
        <w:rPr>
          <w:rFonts w:ascii="仿宋" w:eastAsia="仿宋" w:hAnsi="仿宋" w:cs="仿宋"/>
        </w:rPr>
        <w:t>万元，增长</w:t>
      </w:r>
      <w:r>
        <w:rPr>
          <w:rFonts w:ascii="仿宋" w:eastAsia="仿宋" w:hAnsi="仿宋" w:cs="仿宋"/>
        </w:rPr>
        <w:t>19.98%</w:t>
      </w:r>
      <w:r>
        <w:rPr>
          <w:rFonts w:ascii="仿宋" w:eastAsia="仿宋" w:hAnsi="仿宋" w:cs="仿宋"/>
        </w:rPr>
        <w:t>，变动原因：社保、养老保险、职业年金、公积金等基数变动；专项增加。</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0</w:t>
      </w:r>
      <w:r>
        <w:rPr>
          <w:rFonts w:ascii="仿宋" w:eastAsia="仿宋" w:hAnsi="仿宋" w:cs="仿宋"/>
        </w:rPr>
        <w:t>万元。与上年决算数相同。</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2,876.83</w:t>
      </w:r>
      <w:r>
        <w:rPr>
          <w:rFonts w:ascii="仿宋" w:eastAsia="仿宋" w:hAnsi="仿宋" w:cs="仿宋"/>
          <w:b/>
        </w:rPr>
        <w:t>万元。包括：</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2,876.83</w:t>
      </w:r>
      <w:r>
        <w:rPr>
          <w:rFonts w:ascii="仿宋" w:eastAsia="仿宋" w:hAnsi="仿宋" w:cs="仿宋"/>
        </w:rPr>
        <w:t>万元。与上年相比，增加</w:t>
      </w:r>
      <w:r>
        <w:rPr>
          <w:rFonts w:ascii="仿宋" w:eastAsia="仿宋" w:hAnsi="仿宋" w:cs="仿宋"/>
        </w:rPr>
        <w:t>479.96</w:t>
      </w:r>
      <w:r>
        <w:rPr>
          <w:rFonts w:ascii="仿宋" w:eastAsia="仿宋" w:hAnsi="仿宋" w:cs="仿宋"/>
        </w:rPr>
        <w:t>万元，增长</w:t>
      </w:r>
      <w:r>
        <w:rPr>
          <w:rFonts w:ascii="仿宋" w:eastAsia="仿宋" w:hAnsi="仿宋" w:cs="仿宋"/>
        </w:rPr>
        <w:t>20.02%</w:t>
      </w:r>
      <w:r>
        <w:rPr>
          <w:rFonts w:ascii="仿宋" w:eastAsia="仿宋" w:hAnsi="仿宋" w:cs="仿宋"/>
        </w:rPr>
        <w:t>，变动原因：社保、养老保险、职业年金、公积金等基数变动；专项增加。</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0</w:t>
      </w:r>
      <w:r>
        <w:rPr>
          <w:rFonts w:ascii="仿宋" w:eastAsia="仿宋" w:hAnsi="仿宋" w:cs="仿宋"/>
        </w:rPr>
        <w:t>万元。与上年相比，减少</w:t>
      </w:r>
      <w:r>
        <w:rPr>
          <w:rFonts w:ascii="仿宋" w:eastAsia="仿宋" w:hAnsi="仿宋" w:cs="仿宋"/>
        </w:rPr>
        <w:t>0.94</w:t>
      </w:r>
      <w:r>
        <w:rPr>
          <w:rFonts w:ascii="仿宋" w:eastAsia="仿宋" w:hAnsi="仿宋" w:cs="仿宋"/>
        </w:rPr>
        <w:t>万元，减少</w:t>
      </w:r>
      <w:r>
        <w:rPr>
          <w:rFonts w:ascii="仿宋" w:eastAsia="仿宋" w:hAnsi="仿宋" w:cs="仿宋"/>
        </w:rPr>
        <w:t>100%</w:t>
      </w:r>
      <w:r>
        <w:rPr>
          <w:rFonts w:ascii="仿宋" w:eastAsia="仿宋" w:hAnsi="仿宋" w:cs="仿宋"/>
        </w:rPr>
        <w:t>，变动原因：年末代扣款余额上缴财政。</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2,876.83</w:t>
      </w:r>
      <w:r>
        <w:rPr>
          <w:rFonts w:ascii="仿宋" w:eastAsia="仿宋" w:hAnsi="仿宋" w:cs="仿宋"/>
        </w:rPr>
        <w:t>万元，其中：财政拨款收入</w:t>
      </w:r>
      <w:r>
        <w:rPr>
          <w:rFonts w:ascii="仿宋" w:eastAsia="仿宋" w:hAnsi="仿宋" w:cs="仿宋"/>
        </w:rPr>
        <w:t>2,876.83</w:t>
      </w:r>
      <w:r>
        <w:rPr>
          <w:rFonts w:ascii="仿宋" w:eastAsia="仿宋" w:hAnsi="仿宋" w:cs="仿宋"/>
        </w:rPr>
        <w:t>万元，</w:t>
      </w:r>
      <w:r>
        <w:rPr>
          <w:rFonts w:ascii="仿宋" w:eastAsia="仿宋" w:hAnsi="仿宋" w:cs="仿宋"/>
        </w:rPr>
        <w:t>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w:t>
      </w:r>
      <w:r>
        <w:rPr>
          <w:rFonts w:ascii="仿宋" w:eastAsia="仿宋" w:hAnsi="仿宋" w:cs="仿宋"/>
        </w:rPr>
        <w:lastRenderedPageBreak/>
        <w:t>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279FD" w:rsidRDefault="00072100">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2,876.83</w:t>
      </w:r>
      <w:r>
        <w:rPr>
          <w:rFonts w:ascii="仿宋" w:eastAsia="仿宋" w:hAnsi="仿宋" w:cs="仿宋"/>
        </w:rPr>
        <w:t>万元，其中：基本支出</w:t>
      </w:r>
      <w:r>
        <w:rPr>
          <w:rFonts w:ascii="仿宋" w:eastAsia="仿宋" w:hAnsi="仿宋" w:cs="仿宋"/>
        </w:rPr>
        <w:t>1,805.94</w:t>
      </w:r>
      <w:r>
        <w:rPr>
          <w:rFonts w:ascii="仿宋" w:eastAsia="仿宋" w:hAnsi="仿宋" w:cs="仿宋"/>
        </w:rPr>
        <w:t>万元，占</w:t>
      </w:r>
      <w:r>
        <w:rPr>
          <w:rFonts w:ascii="仿宋" w:eastAsia="仿宋" w:hAnsi="仿宋" w:cs="仿宋"/>
        </w:rPr>
        <w:t>62.78%</w:t>
      </w:r>
      <w:r>
        <w:rPr>
          <w:rFonts w:ascii="仿宋" w:eastAsia="仿宋" w:hAnsi="仿宋" w:cs="仿宋"/>
        </w:rPr>
        <w:t>；项目支出</w:t>
      </w:r>
      <w:r>
        <w:rPr>
          <w:rFonts w:ascii="仿宋" w:eastAsia="仿宋" w:hAnsi="仿宋" w:cs="仿宋"/>
        </w:rPr>
        <w:t>1,070.89</w:t>
      </w:r>
      <w:r>
        <w:rPr>
          <w:rFonts w:ascii="仿宋" w:eastAsia="仿宋" w:hAnsi="仿宋" w:cs="仿宋"/>
        </w:rPr>
        <w:t>万元，占</w:t>
      </w:r>
      <w:r>
        <w:rPr>
          <w:rFonts w:ascii="仿宋" w:eastAsia="仿宋" w:hAnsi="仿宋" w:cs="仿宋"/>
        </w:rPr>
        <w:t>37.22%</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279FD" w:rsidRDefault="00072100">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2,876.83</w:t>
      </w:r>
      <w:r>
        <w:rPr>
          <w:rFonts w:ascii="仿宋" w:eastAsia="仿宋" w:hAnsi="仿宋" w:cs="仿宋"/>
        </w:rPr>
        <w:t>万元。与上年相比，收、支总计各增加</w:t>
      </w:r>
      <w:r>
        <w:rPr>
          <w:rFonts w:ascii="仿宋" w:eastAsia="仿宋" w:hAnsi="仿宋" w:cs="仿宋"/>
        </w:rPr>
        <w:t>479.02</w:t>
      </w:r>
      <w:r>
        <w:rPr>
          <w:rFonts w:ascii="仿宋" w:eastAsia="仿宋" w:hAnsi="仿宋" w:cs="仿宋"/>
        </w:rPr>
        <w:t>万元，增长</w:t>
      </w:r>
      <w:r>
        <w:rPr>
          <w:rFonts w:ascii="仿宋" w:eastAsia="仿宋" w:hAnsi="仿宋" w:cs="仿宋"/>
        </w:rPr>
        <w:t>19.98%</w:t>
      </w:r>
      <w:r>
        <w:rPr>
          <w:rFonts w:ascii="仿宋" w:eastAsia="仿宋" w:hAnsi="仿宋" w:cs="仿宋"/>
        </w:rPr>
        <w:t>，变动原因：社保、养老保险、职业年金、公积金等基数变动；专项增加。</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2,876.83</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2021</w:t>
      </w:r>
      <w:r>
        <w:rPr>
          <w:rFonts w:ascii="仿宋" w:eastAsia="仿宋" w:hAnsi="仿宋" w:cs="仿宋"/>
        </w:rPr>
        <w:t>年度财政拨款支出</w:t>
      </w:r>
      <w:r>
        <w:rPr>
          <w:rFonts w:ascii="仿宋" w:eastAsia="仿宋" w:hAnsi="仿宋" w:cs="仿宋"/>
        </w:rPr>
        <w:t>年初预算</w:t>
      </w:r>
      <w:r>
        <w:rPr>
          <w:rFonts w:ascii="仿宋" w:eastAsia="仿宋" w:hAnsi="仿宋" w:cs="仿宋"/>
        </w:rPr>
        <w:t>2,990.26</w:t>
      </w:r>
      <w:r>
        <w:rPr>
          <w:rFonts w:ascii="仿宋" w:eastAsia="仿宋" w:hAnsi="仿宋" w:cs="仿宋"/>
        </w:rPr>
        <w:t>万元相比，完成年初预算的</w:t>
      </w:r>
      <w:r>
        <w:rPr>
          <w:rFonts w:ascii="仿宋" w:eastAsia="仿宋" w:hAnsi="仿宋" w:cs="仿宋"/>
        </w:rPr>
        <w:t>96.21%</w:t>
      </w:r>
      <w:r>
        <w:rPr>
          <w:rFonts w:ascii="仿宋" w:eastAsia="仿宋" w:hAnsi="仿宋" w:cs="仿宋"/>
        </w:rPr>
        <w:t>。其中：</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（一）一般公共服务支出（类）</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政府办公厅（室）及相关机构事务（款）行政运行（项）。年初预算</w:t>
      </w:r>
      <w:r>
        <w:rPr>
          <w:rFonts w:ascii="仿宋" w:eastAsia="仿宋" w:hAnsi="仿宋" w:cs="仿宋"/>
        </w:rPr>
        <w:t>1,434.74</w:t>
      </w:r>
      <w:r>
        <w:rPr>
          <w:rFonts w:ascii="仿宋" w:eastAsia="仿宋" w:hAnsi="仿宋" w:cs="仿宋"/>
        </w:rPr>
        <w:t>万元，支出决算</w:t>
      </w:r>
      <w:r>
        <w:rPr>
          <w:rFonts w:ascii="仿宋" w:eastAsia="仿宋" w:hAnsi="仿宋" w:cs="仿宋"/>
        </w:rPr>
        <w:t>1,271.26</w:t>
      </w:r>
      <w:r>
        <w:rPr>
          <w:rFonts w:ascii="仿宋" w:eastAsia="仿宋" w:hAnsi="仿宋" w:cs="仿宋"/>
        </w:rPr>
        <w:t>万元，完成年初预算的</w:t>
      </w:r>
      <w:r>
        <w:rPr>
          <w:rFonts w:ascii="仿宋" w:eastAsia="仿宋" w:hAnsi="仿宋" w:cs="仿宋"/>
        </w:rPr>
        <w:t>88.61%</w:t>
      </w:r>
      <w:r>
        <w:rPr>
          <w:rFonts w:ascii="仿宋" w:eastAsia="仿宋" w:hAnsi="仿宋" w:cs="仿宋"/>
        </w:rPr>
        <w:t>。决算数与年初预算数的差异原因：人员调动；档案专项功能分类由行政运行调整至政务公开审批。</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政府办公厅（室）及相关机构事务（款）政务公开审批（项）。年初预算</w:t>
      </w:r>
      <w:r>
        <w:rPr>
          <w:rFonts w:ascii="仿宋" w:eastAsia="仿宋" w:hAnsi="仿宋" w:cs="仿宋"/>
        </w:rPr>
        <w:t>903.8</w:t>
      </w:r>
      <w:r>
        <w:rPr>
          <w:rFonts w:ascii="仿宋" w:eastAsia="仿宋" w:hAnsi="仿宋" w:cs="仿宋"/>
        </w:rPr>
        <w:t>万元，支出决算</w:t>
      </w:r>
      <w:r>
        <w:rPr>
          <w:rFonts w:ascii="仿宋" w:eastAsia="仿宋" w:hAnsi="仿宋" w:cs="仿宋"/>
        </w:rPr>
        <w:t>919.48</w:t>
      </w:r>
      <w:r>
        <w:rPr>
          <w:rFonts w:ascii="仿宋" w:eastAsia="仿宋" w:hAnsi="仿宋" w:cs="仿宋"/>
        </w:rPr>
        <w:t>万元，完成年初预算的</w:t>
      </w:r>
      <w:r>
        <w:rPr>
          <w:rFonts w:ascii="仿宋" w:eastAsia="仿宋" w:hAnsi="仿宋" w:cs="仿宋"/>
        </w:rPr>
        <w:t>101.73%</w:t>
      </w:r>
      <w:r>
        <w:rPr>
          <w:rFonts w:ascii="仿宋" w:eastAsia="仿宋" w:hAnsi="仿宋" w:cs="仿宋"/>
        </w:rPr>
        <w:t>。决算数与年初预算数的差异原因：档案专项功</w:t>
      </w:r>
      <w:r>
        <w:rPr>
          <w:rFonts w:ascii="仿宋" w:eastAsia="仿宋" w:hAnsi="仿宋" w:cs="仿宋"/>
        </w:rPr>
        <w:t>能分类由行政运行调整至政务公开审批；专项有结余。</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群众团体事务（款）其他群众团体事务支出（项）。年初预算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0.5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万元，无法计算完成比率）决算数与年初预算数的差异原因：新增专项资金。</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（二）社会保障和就业支出（类）</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81.98</w:t>
      </w:r>
      <w:r>
        <w:rPr>
          <w:rFonts w:ascii="仿宋" w:eastAsia="仿宋" w:hAnsi="仿宋" w:cs="仿宋"/>
        </w:rPr>
        <w:t>万元，支出决算</w:t>
      </w:r>
      <w:r>
        <w:rPr>
          <w:rFonts w:ascii="仿宋" w:eastAsia="仿宋" w:hAnsi="仿宋" w:cs="仿宋"/>
        </w:rPr>
        <w:t>81.32</w:t>
      </w:r>
      <w:r>
        <w:rPr>
          <w:rFonts w:ascii="仿宋" w:eastAsia="仿宋" w:hAnsi="仿宋" w:cs="仿宋"/>
        </w:rPr>
        <w:t>万元，完成年初预算的</w:t>
      </w:r>
      <w:r>
        <w:rPr>
          <w:rFonts w:ascii="仿宋" w:eastAsia="仿宋" w:hAnsi="仿宋" w:cs="仿宋"/>
        </w:rPr>
        <w:t>99.19%</w:t>
      </w:r>
      <w:r>
        <w:rPr>
          <w:rFonts w:ascii="仿宋" w:eastAsia="仿宋" w:hAnsi="仿宋" w:cs="仿宋"/>
        </w:rPr>
        <w:t>。决算数与年初预算数的差异原因：人员变动。</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w:t>
      </w:r>
      <w:r>
        <w:rPr>
          <w:rFonts w:ascii="仿宋" w:eastAsia="仿宋" w:hAnsi="仿宋" w:cs="仿宋"/>
        </w:rPr>
        <w:t>预算</w:t>
      </w:r>
      <w:r>
        <w:rPr>
          <w:rFonts w:ascii="仿宋" w:eastAsia="仿宋" w:hAnsi="仿宋" w:cs="仿宋"/>
        </w:rPr>
        <w:t>40.98</w:t>
      </w:r>
      <w:r>
        <w:rPr>
          <w:rFonts w:ascii="仿宋" w:eastAsia="仿宋" w:hAnsi="仿宋" w:cs="仿宋"/>
        </w:rPr>
        <w:t>万元，支出决算</w:t>
      </w:r>
      <w:r>
        <w:rPr>
          <w:rFonts w:ascii="仿宋" w:eastAsia="仿宋" w:hAnsi="仿宋" w:cs="仿宋"/>
        </w:rPr>
        <w:t>43.43</w:t>
      </w:r>
      <w:r>
        <w:rPr>
          <w:rFonts w:ascii="仿宋" w:eastAsia="仿宋" w:hAnsi="仿宋" w:cs="仿宋"/>
        </w:rPr>
        <w:t>万元，完成年初预算的</w:t>
      </w:r>
      <w:r>
        <w:rPr>
          <w:rFonts w:ascii="仿宋" w:eastAsia="仿宋" w:hAnsi="仿宋" w:cs="仿宋"/>
        </w:rPr>
        <w:t>105.98%</w:t>
      </w:r>
      <w:r>
        <w:rPr>
          <w:rFonts w:ascii="仿宋" w:eastAsia="仿宋" w:hAnsi="仿宋" w:cs="仿宋"/>
        </w:rPr>
        <w:t>。决算数与年初预算数的差异原因：人员变动。</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3.</w:t>
      </w:r>
      <w:r>
        <w:rPr>
          <w:rFonts w:ascii="仿宋" w:eastAsia="仿宋" w:hAnsi="仿宋" w:cs="仿宋"/>
        </w:rPr>
        <w:t>临时救助（款）临时救助支出（项）。年初预算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2.74</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万元，无法计算完成比率）决算数与年初预算数的差异原因：新增专项。</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其他社会保障和就业支出（款）其他社会保障和就业支出（项）。年初预算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44.37</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万元，无法计算完成比率）决算数与年初预算数的差异原因：功能科目调整。</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（三）住房保障支出（类）</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w:t>
      </w:r>
      <w:r>
        <w:rPr>
          <w:rFonts w:ascii="仿宋" w:eastAsia="仿宋" w:hAnsi="仿宋" w:cs="仿宋"/>
        </w:rPr>
        <w:t>房公积金（项）。年初预算</w:t>
      </w:r>
      <w:r>
        <w:rPr>
          <w:rFonts w:ascii="仿宋" w:eastAsia="仿宋" w:hAnsi="仿宋" w:cs="仿宋"/>
        </w:rPr>
        <w:t>81.58</w:t>
      </w:r>
      <w:r>
        <w:rPr>
          <w:rFonts w:ascii="仿宋" w:eastAsia="仿宋" w:hAnsi="仿宋" w:cs="仿宋"/>
        </w:rPr>
        <w:t>万元，支出决算</w:t>
      </w:r>
      <w:r>
        <w:rPr>
          <w:rFonts w:ascii="仿宋" w:eastAsia="仿宋" w:hAnsi="仿宋" w:cs="仿宋"/>
        </w:rPr>
        <w:t>113.26</w:t>
      </w:r>
      <w:r>
        <w:rPr>
          <w:rFonts w:ascii="仿宋" w:eastAsia="仿宋" w:hAnsi="仿宋" w:cs="仿宋"/>
        </w:rPr>
        <w:t>万元，完成年初预算的</w:t>
      </w:r>
      <w:r>
        <w:rPr>
          <w:rFonts w:ascii="仿宋" w:eastAsia="仿宋" w:hAnsi="仿宋" w:cs="仿宋"/>
        </w:rPr>
        <w:t>138.83%</w:t>
      </w:r>
      <w:r>
        <w:rPr>
          <w:rFonts w:ascii="仿宋" w:eastAsia="仿宋" w:hAnsi="仿宋" w:cs="仿宋"/>
        </w:rPr>
        <w:t>。决算数与年初预算数的差异原因：人员变动；公积金基数调整。</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88.4</w:t>
      </w:r>
      <w:r>
        <w:rPr>
          <w:rFonts w:ascii="仿宋" w:eastAsia="仿宋" w:hAnsi="仿宋" w:cs="仿宋"/>
        </w:rPr>
        <w:t>万元，支出决算</w:t>
      </w:r>
      <w:r>
        <w:rPr>
          <w:rFonts w:ascii="仿宋" w:eastAsia="仿宋" w:hAnsi="仿宋" w:cs="仿宋"/>
        </w:rPr>
        <w:t>129.97</w:t>
      </w:r>
      <w:r>
        <w:rPr>
          <w:rFonts w:ascii="仿宋" w:eastAsia="仿宋" w:hAnsi="仿宋" w:cs="仿宋"/>
        </w:rPr>
        <w:t>万元，完成年初预算的</w:t>
      </w:r>
      <w:r>
        <w:rPr>
          <w:rFonts w:ascii="仿宋" w:eastAsia="仿宋" w:hAnsi="仿宋" w:cs="仿宋"/>
        </w:rPr>
        <w:t>147.02%</w:t>
      </w:r>
      <w:r>
        <w:rPr>
          <w:rFonts w:ascii="仿宋" w:eastAsia="仿宋" w:hAnsi="仿宋" w:cs="仿宋"/>
        </w:rPr>
        <w:t>。决算数与年初预算数的差异原因：人员变动，提租补贴基数调整。</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96.11</w:t>
      </w:r>
      <w:r>
        <w:rPr>
          <w:rFonts w:ascii="仿宋" w:eastAsia="仿宋" w:hAnsi="仿宋" w:cs="仿宋"/>
        </w:rPr>
        <w:t>万元，支出决算</w:t>
      </w:r>
      <w:r>
        <w:rPr>
          <w:rFonts w:ascii="仿宋" w:eastAsia="仿宋" w:hAnsi="仿宋" w:cs="仿宋"/>
        </w:rPr>
        <w:t>121.83</w:t>
      </w:r>
      <w:r>
        <w:rPr>
          <w:rFonts w:ascii="仿宋" w:eastAsia="仿宋" w:hAnsi="仿宋" w:cs="仿宋"/>
        </w:rPr>
        <w:t>万元，完成年初预算的</w:t>
      </w:r>
      <w:r>
        <w:rPr>
          <w:rFonts w:ascii="仿宋" w:eastAsia="仿宋" w:hAnsi="仿宋" w:cs="仿宋"/>
        </w:rPr>
        <w:t>126.76%</w:t>
      </w:r>
      <w:r>
        <w:rPr>
          <w:rFonts w:ascii="仿宋" w:eastAsia="仿宋" w:hAnsi="仿宋" w:cs="仿宋"/>
        </w:rPr>
        <w:t>。决算数与年初预算数的差异原因：人员变动，购房补贴基数调整。</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（四）其他支出（类）</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其他支出（款）其他支出（项）。年初预算</w:t>
      </w:r>
      <w:r>
        <w:rPr>
          <w:rFonts w:ascii="仿宋" w:eastAsia="仿宋" w:hAnsi="仿宋" w:cs="仿宋"/>
        </w:rPr>
        <w:t>262.67</w:t>
      </w:r>
      <w:r>
        <w:rPr>
          <w:rFonts w:ascii="仿宋" w:eastAsia="仿宋" w:hAnsi="仿宋" w:cs="仿宋"/>
        </w:rPr>
        <w:t>万元，支出决算</w:t>
      </w:r>
      <w:r>
        <w:rPr>
          <w:rFonts w:ascii="仿宋" w:eastAsia="仿宋" w:hAnsi="仿宋" w:cs="仿宋"/>
        </w:rPr>
        <w:t>148.67</w:t>
      </w:r>
      <w:r>
        <w:rPr>
          <w:rFonts w:ascii="仿宋" w:eastAsia="仿宋" w:hAnsi="仿宋" w:cs="仿宋"/>
        </w:rPr>
        <w:t>万元，完成年初预算的</w:t>
      </w:r>
      <w:r>
        <w:rPr>
          <w:rFonts w:ascii="仿宋" w:eastAsia="仿宋" w:hAnsi="仿宋" w:cs="仿宋"/>
        </w:rPr>
        <w:t>56.6%</w:t>
      </w:r>
      <w:r>
        <w:rPr>
          <w:rFonts w:ascii="仿宋" w:eastAsia="仿宋" w:hAnsi="仿宋" w:cs="仿宋"/>
        </w:rPr>
        <w:t>。决算数与年初预算数的差异原因：专项结余。</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六、财政拨款基本支出决算情况说明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1,805.94</w:t>
      </w:r>
      <w:r>
        <w:rPr>
          <w:rFonts w:ascii="仿宋" w:eastAsia="仿宋" w:hAnsi="仿宋" w:cs="仿宋"/>
        </w:rPr>
        <w:t>万元，其中：</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1,665.07</w:t>
      </w:r>
      <w:r>
        <w:rPr>
          <w:rFonts w:ascii="楷体" w:eastAsia="楷体" w:hAnsi="楷体" w:cs="楷体"/>
        </w:rPr>
        <w:t>万元。</w:t>
      </w:r>
      <w:r>
        <w:rPr>
          <w:rFonts w:ascii="仿宋" w:eastAsia="仿宋" w:hAnsi="仿宋" w:cs="仿宋"/>
        </w:rPr>
        <w:t>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w:t>
      </w:r>
      <w:r>
        <w:rPr>
          <w:rFonts w:ascii="楷体" w:eastAsia="楷体" w:hAnsi="楷体" w:cs="楷体"/>
        </w:rPr>
        <w:t>）公用经费</w:t>
      </w:r>
      <w:r>
        <w:rPr>
          <w:rFonts w:ascii="楷体" w:eastAsia="楷体" w:hAnsi="楷体" w:cs="楷体"/>
        </w:rPr>
        <w:t>140.87</w:t>
      </w:r>
      <w:r>
        <w:rPr>
          <w:rFonts w:ascii="楷体" w:eastAsia="楷体" w:hAnsi="楷体" w:cs="楷体"/>
        </w:rPr>
        <w:t>万元。</w:t>
      </w:r>
      <w:r>
        <w:rPr>
          <w:rFonts w:ascii="仿宋" w:eastAsia="仿宋" w:hAnsi="仿宋" w:cs="仿宋"/>
        </w:rPr>
        <w:t>主要包括：办公费、印刷费、咨询费、邮电费、差旅费、租赁费、会议费、培训费、公务接待费、专用材料费、劳务费、委托业务费、工会经费、其他交通费用、其他商品和服务支出。</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2,876.83</w:t>
      </w:r>
      <w:r>
        <w:rPr>
          <w:rFonts w:ascii="仿宋" w:eastAsia="仿宋" w:hAnsi="仿宋" w:cs="仿宋"/>
        </w:rPr>
        <w:t>万元。与上年相比，增加</w:t>
      </w:r>
      <w:r>
        <w:rPr>
          <w:rFonts w:ascii="仿宋" w:eastAsia="仿宋" w:hAnsi="仿宋" w:cs="仿宋"/>
        </w:rPr>
        <w:t>484.66</w:t>
      </w:r>
      <w:r>
        <w:rPr>
          <w:rFonts w:ascii="仿宋" w:eastAsia="仿宋" w:hAnsi="仿宋" w:cs="仿宋"/>
        </w:rPr>
        <w:t>万元，增长</w:t>
      </w:r>
      <w:r>
        <w:rPr>
          <w:rFonts w:ascii="仿宋" w:eastAsia="仿宋" w:hAnsi="仿宋" w:cs="仿宋"/>
        </w:rPr>
        <w:t>20.26%</w:t>
      </w:r>
      <w:r>
        <w:rPr>
          <w:rFonts w:ascii="仿宋" w:eastAsia="仿宋" w:hAnsi="仿宋" w:cs="仿宋"/>
        </w:rPr>
        <w:t>，变动原因：社保、养老保险、职业年金、公积金等基数变动；专项增加。</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1,805.94</w:t>
      </w:r>
      <w:r>
        <w:rPr>
          <w:rFonts w:ascii="仿宋" w:eastAsia="仿宋" w:hAnsi="仿宋" w:cs="仿宋"/>
        </w:rPr>
        <w:t>万元，其</w:t>
      </w:r>
      <w:r>
        <w:rPr>
          <w:rFonts w:ascii="仿宋" w:eastAsia="仿宋" w:hAnsi="仿宋" w:cs="仿宋"/>
        </w:rPr>
        <w:t>中：</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1,665.07</w:t>
      </w:r>
      <w:r>
        <w:rPr>
          <w:rFonts w:ascii="楷体" w:eastAsia="楷体" w:hAnsi="楷体" w:cs="楷体"/>
        </w:rPr>
        <w:t>万元。</w:t>
      </w:r>
      <w:r>
        <w:rPr>
          <w:rFonts w:ascii="仿宋" w:eastAsia="仿宋" w:hAnsi="仿宋" w:cs="仿宋"/>
        </w:rPr>
        <w:t>主要包括：基本工资、津贴补贴、奖金、伙食补助费、机关事业单位基本养老保险缴费、职业年金缴费、职工基本医疗保险缴费、其他社会保障缴费、住房公积金、医疗费、其他工资福利支出、退休费、其他</w:t>
      </w:r>
      <w:r>
        <w:rPr>
          <w:rFonts w:ascii="仿宋" w:eastAsia="仿宋" w:hAnsi="仿宋" w:cs="仿宋"/>
        </w:rPr>
        <w:lastRenderedPageBreak/>
        <w:t>对个人和家庭的补助。</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140.87</w:t>
      </w:r>
      <w:r>
        <w:rPr>
          <w:rFonts w:ascii="楷体" w:eastAsia="楷体" w:hAnsi="楷体" w:cs="楷体"/>
        </w:rPr>
        <w:t>万元。</w:t>
      </w:r>
      <w:r>
        <w:rPr>
          <w:rFonts w:ascii="仿宋" w:eastAsia="仿宋" w:hAnsi="仿宋" w:cs="仿宋"/>
        </w:rPr>
        <w:t>主要包括：办公费、印刷费、咨询费、邮电费、差旅费、租赁费、会议费、培训费、公务接待费、专用材料费、劳务费、委托业务费、工会经费、其他交通费用、其他商品和服务支出。</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w:t>
      </w:r>
      <w:r>
        <w:rPr>
          <w:rFonts w:ascii="仿宋" w:eastAsia="仿宋" w:hAnsi="仿宋" w:cs="仿宋"/>
          <w:b/>
        </w:rPr>
        <w:t>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2.96</w:t>
      </w:r>
      <w:r>
        <w:rPr>
          <w:rFonts w:ascii="仿宋" w:eastAsia="仿宋" w:hAnsi="仿宋" w:cs="仿宋"/>
        </w:rPr>
        <w:t>万元。与上年相比，增加</w:t>
      </w:r>
      <w:r>
        <w:rPr>
          <w:rFonts w:ascii="仿宋" w:eastAsia="仿宋" w:hAnsi="仿宋" w:cs="仿宋"/>
        </w:rPr>
        <w:t>0.85</w:t>
      </w:r>
      <w:r>
        <w:rPr>
          <w:rFonts w:ascii="仿宋" w:eastAsia="仿宋" w:hAnsi="仿宋" w:cs="仿宋"/>
        </w:rPr>
        <w:t>万元，变动原因：</w:t>
      </w:r>
      <w:r>
        <w:rPr>
          <w:rFonts w:ascii="仿宋" w:eastAsia="仿宋" w:hAnsi="仿宋" w:cs="仿宋"/>
        </w:rPr>
        <w:t>2020</w:t>
      </w:r>
      <w:r>
        <w:rPr>
          <w:rFonts w:ascii="仿宋" w:eastAsia="仿宋" w:hAnsi="仿宋" w:cs="仿宋"/>
        </w:rPr>
        <w:t>年受疫情影响，公务接待大幅减少，</w:t>
      </w:r>
      <w:r>
        <w:rPr>
          <w:rFonts w:ascii="仿宋" w:eastAsia="仿宋" w:hAnsi="仿宋" w:cs="仿宋"/>
        </w:rPr>
        <w:t>2021</w:t>
      </w:r>
      <w:r>
        <w:rPr>
          <w:rFonts w:ascii="仿宋" w:eastAsia="仿宋" w:hAnsi="仿宋" w:cs="仿宋"/>
        </w:rPr>
        <w:t>年逐步恢复正常。其中，因公出国（境）费支出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2.96</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w:t>
      </w:r>
      <w:r>
        <w:rPr>
          <w:rFonts w:ascii="仿宋" w:eastAsia="仿宋" w:hAnsi="仿宋" w:cs="仿宋"/>
        </w:rPr>
        <w:t>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，决算数与预算数相同。其中：</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万元。本年度使用一般公共预算财政拨款购置公务用车</w:t>
      </w:r>
      <w:r>
        <w:rPr>
          <w:rFonts w:ascii="仿宋" w:eastAsia="仿宋" w:hAnsi="仿宋" w:cs="仿宋"/>
        </w:rPr>
        <w:t>0</w:t>
      </w:r>
      <w:r>
        <w:rPr>
          <w:rFonts w:ascii="仿宋" w:eastAsia="仿宋" w:hAnsi="仿宋" w:cs="仿宋"/>
        </w:rPr>
        <w:t>辆。</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0</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0</w:t>
      </w:r>
      <w:r>
        <w:rPr>
          <w:rFonts w:ascii="仿宋" w:eastAsia="仿宋" w:hAnsi="仿宋" w:cs="仿宋"/>
        </w:rPr>
        <w:t>辆。</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3.15</w:t>
      </w:r>
      <w:r>
        <w:rPr>
          <w:rFonts w:ascii="仿宋" w:eastAsia="仿宋" w:hAnsi="仿宋" w:cs="仿宋"/>
        </w:rPr>
        <w:t>万元，支出决算</w:t>
      </w:r>
      <w:r>
        <w:rPr>
          <w:rFonts w:ascii="仿宋" w:eastAsia="仿宋" w:hAnsi="仿宋" w:cs="仿宋"/>
        </w:rPr>
        <w:t>2.96</w:t>
      </w:r>
      <w:r>
        <w:rPr>
          <w:rFonts w:ascii="仿宋" w:eastAsia="仿宋" w:hAnsi="仿宋" w:cs="仿宋"/>
        </w:rPr>
        <w:t>万元，完成预算的</w:t>
      </w:r>
      <w:r>
        <w:rPr>
          <w:rFonts w:ascii="仿宋" w:eastAsia="仿宋" w:hAnsi="仿宋" w:cs="仿宋"/>
        </w:rPr>
        <w:t>93.97%</w:t>
      </w:r>
      <w:r>
        <w:rPr>
          <w:rFonts w:ascii="仿宋" w:eastAsia="仿宋" w:hAnsi="仿宋" w:cs="仿宋"/>
        </w:rPr>
        <w:t>，决算数与预算数的差异原因：公务接待减少。其中：国内公务接待支出</w:t>
      </w:r>
      <w:r>
        <w:rPr>
          <w:rFonts w:ascii="仿宋" w:eastAsia="仿宋" w:hAnsi="仿宋" w:cs="仿宋"/>
        </w:rPr>
        <w:t>2.96</w:t>
      </w:r>
      <w:r>
        <w:rPr>
          <w:rFonts w:ascii="仿宋" w:eastAsia="仿宋" w:hAnsi="仿宋" w:cs="仿宋"/>
        </w:rPr>
        <w:t>万元，接待</w:t>
      </w:r>
      <w:r>
        <w:rPr>
          <w:rFonts w:ascii="仿宋" w:eastAsia="仿宋" w:hAnsi="仿宋" w:cs="仿宋"/>
        </w:rPr>
        <w:t>36</w:t>
      </w:r>
      <w:r>
        <w:rPr>
          <w:rFonts w:ascii="仿宋" w:eastAsia="仿宋" w:hAnsi="仿宋" w:cs="仿宋"/>
        </w:rPr>
        <w:t>批次，</w:t>
      </w:r>
      <w:r>
        <w:rPr>
          <w:rFonts w:ascii="仿宋" w:eastAsia="仿宋" w:hAnsi="仿宋" w:cs="仿宋"/>
        </w:rPr>
        <w:t>713</w:t>
      </w:r>
      <w:r>
        <w:rPr>
          <w:rFonts w:ascii="仿宋" w:eastAsia="仿宋" w:hAnsi="仿宋" w:cs="仿宋"/>
        </w:rPr>
        <w:t>人次，开支内容：外地来我局调研、学习用餐费用；国（境）外公务接待支出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（三）一般公共预算会议费支出决算情况说明。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3.78</w:t>
      </w:r>
      <w:r>
        <w:rPr>
          <w:rFonts w:ascii="仿宋" w:eastAsia="仿宋" w:hAnsi="仿宋" w:cs="仿宋"/>
        </w:rPr>
        <w:t>万元，支出决算</w:t>
      </w:r>
      <w:r>
        <w:rPr>
          <w:rFonts w:ascii="仿宋" w:eastAsia="仿宋" w:hAnsi="仿宋" w:cs="仿宋"/>
        </w:rPr>
        <w:t>3.24</w:t>
      </w:r>
      <w:r>
        <w:rPr>
          <w:rFonts w:ascii="仿宋" w:eastAsia="仿宋" w:hAnsi="仿宋" w:cs="仿宋"/>
        </w:rPr>
        <w:t>万元，完成预算的</w:t>
      </w:r>
      <w:r>
        <w:rPr>
          <w:rFonts w:ascii="仿宋" w:eastAsia="仿宋" w:hAnsi="仿宋" w:cs="仿宋"/>
        </w:rPr>
        <w:t>85.71%</w:t>
      </w:r>
      <w:r>
        <w:rPr>
          <w:rFonts w:ascii="仿宋" w:eastAsia="仿宋" w:hAnsi="仿宋" w:cs="仿宋"/>
        </w:rPr>
        <w:t>，决算数与预算数的差异原因：响应疫情要求，减少聚集，会议减少。</w:t>
      </w:r>
      <w:r>
        <w:rPr>
          <w:rFonts w:ascii="仿宋" w:eastAsia="仿宋" w:hAnsi="仿宋" w:cs="仿宋"/>
        </w:rPr>
        <w:t>2021</w:t>
      </w:r>
      <w:r>
        <w:rPr>
          <w:rFonts w:ascii="仿宋" w:eastAsia="仿宋" w:hAnsi="仿宋" w:cs="仿宋"/>
        </w:rPr>
        <w:t>年度全年召开会议</w:t>
      </w:r>
      <w:r>
        <w:rPr>
          <w:rFonts w:ascii="仿宋" w:eastAsia="仿宋" w:hAnsi="仿宋" w:cs="仿宋"/>
        </w:rPr>
        <w:t>66</w:t>
      </w:r>
      <w:r>
        <w:rPr>
          <w:rFonts w:ascii="仿宋" w:eastAsia="仿宋" w:hAnsi="仿宋" w:cs="仿宋"/>
        </w:rPr>
        <w:t>个，参加会议</w:t>
      </w:r>
      <w:r>
        <w:rPr>
          <w:rFonts w:ascii="仿宋" w:eastAsia="仿宋" w:hAnsi="仿宋" w:cs="仿宋"/>
        </w:rPr>
        <w:t>2850</w:t>
      </w:r>
      <w:r>
        <w:rPr>
          <w:rFonts w:ascii="仿宋" w:eastAsia="仿宋" w:hAnsi="仿宋" w:cs="仿宋"/>
        </w:rPr>
        <w:t>人次，开支内容：政务服务相关会议。</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（四）一般公共预算培训费支出决算情况说明。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9.45</w:t>
      </w:r>
      <w:r>
        <w:rPr>
          <w:rFonts w:ascii="仿宋" w:eastAsia="仿宋" w:hAnsi="仿宋" w:cs="仿宋"/>
        </w:rPr>
        <w:t>万元，支出决算</w:t>
      </w:r>
      <w:r>
        <w:rPr>
          <w:rFonts w:ascii="仿宋" w:eastAsia="仿宋" w:hAnsi="仿宋" w:cs="仿宋"/>
        </w:rPr>
        <w:t>3.17</w:t>
      </w:r>
      <w:r>
        <w:rPr>
          <w:rFonts w:ascii="仿宋" w:eastAsia="仿宋" w:hAnsi="仿宋" w:cs="仿宋"/>
        </w:rPr>
        <w:t>万元，完成预算的</w:t>
      </w:r>
      <w:r>
        <w:rPr>
          <w:rFonts w:ascii="仿宋" w:eastAsia="仿宋" w:hAnsi="仿宋" w:cs="仿宋"/>
        </w:rPr>
        <w:t>33.54%</w:t>
      </w:r>
      <w:r>
        <w:rPr>
          <w:rFonts w:ascii="仿宋" w:eastAsia="仿宋" w:hAnsi="仿宋" w:cs="仿宋"/>
        </w:rPr>
        <w:t>，决算数与预算数的差异原因：按计划进行培训。</w:t>
      </w:r>
      <w:r>
        <w:rPr>
          <w:rFonts w:ascii="仿宋" w:eastAsia="仿宋" w:hAnsi="仿宋" w:cs="仿宋"/>
        </w:rPr>
        <w:t>2021</w:t>
      </w:r>
      <w:r>
        <w:rPr>
          <w:rFonts w:ascii="仿宋" w:eastAsia="仿宋" w:hAnsi="仿宋" w:cs="仿宋"/>
        </w:rPr>
        <w:t>年度全年组织培训</w:t>
      </w:r>
      <w:r>
        <w:rPr>
          <w:rFonts w:ascii="仿宋" w:eastAsia="仿宋" w:hAnsi="仿宋" w:cs="仿宋"/>
        </w:rPr>
        <w:t>7</w:t>
      </w:r>
      <w:r>
        <w:rPr>
          <w:rFonts w:ascii="仿宋" w:eastAsia="仿宋" w:hAnsi="仿宋" w:cs="仿宋"/>
        </w:rPr>
        <w:t>个，组织培训</w:t>
      </w:r>
      <w:r>
        <w:rPr>
          <w:rFonts w:ascii="仿宋" w:eastAsia="仿宋" w:hAnsi="仿宋" w:cs="仿宋"/>
        </w:rPr>
        <w:t>634</w:t>
      </w:r>
      <w:r>
        <w:rPr>
          <w:rFonts w:ascii="仿宋" w:eastAsia="仿宋" w:hAnsi="仿宋" w:cs="仿宋"/>
        </w:rPr>
        <w:t>人次，开支内容：业务相关培训。</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万元。与上年相比，减少</w:t>
      </w:r>
      <w:r>
        <w:rPr>
          <w:rFonts w:ascii="仿宋" w:eastAsia="仿宋" w:hAnsi="仿宋" w:cs="仿宋"/>
        </w:rPr>
        <w:t>4.7</w:t>
      </w:r>
      <w:r>
        <w:rPr>
          <w:rFonts w:ascii="仿宋" w:eastAsia="仿宋" w:hAnsi="仿宋" w:cs="仿宋"/>
        </w:rPr>
        <w:t>万元，减少</w:t>
      </w:r>
      <w:r>
        <w:rPr>
          <w:rFonts w:ascii="仿宋" w:eastAsia="仿宋" w:hAnsi="仿宋" w:cs="仿宋"/>
        </w:rPr>
        <w:t>100%</w:t>
      </w:r>
      <w:r>
        <w:rPr>
          <w:rFonts w:ascii="仿宋" w:eastAsia="仿宋" w:hAnsi="仿宋" w:cs="仿宋"/>
        </w:rPr>
        <w:t>，变动原因：功能科目变动。</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140.87</w:t>
      </w:r>
      <w:r>
        <w:rPr>
          <w:rFonts w:ascii="仿宋" w:eastAsia="仿宋" w:hAnsi="仿宋" w:cs="仿宋"/>
        </w:rPr>
        <w:t>万元。与上年相比，增加</w:t>
      </w:r>
      <w:r>
        <w:rPr>
          <w:rFonts w:ascii="仿宋" w:eastAsia="仿宋" w:hAnsi="仿宋" w:cs="仿宋"/>
        </w:rPr>
        <w:t>3.39</w:t>
      </w:r>
      <w:r>
        <w:rPr>
          <w:rFonts w:ascii="仿宋" w:eastAsia="仿宋" w:hAnsi="仿宋" w:cs="仿宋"/>
        </w:rPr>
        <w:t>万元，增长</w:t>
      </w:r>
      <w:r>
        <w:rPr>
          <w:rFonts w:ascii="仿宋" w:eastAsia="仿宋" w:hAnsi="仿宋" w:cs="仿宋"/>
        </w:rPr>
        <w:t>2.47%</w:t>
      </w:r>
      <w:r>
        <w:rPr>
          <w:rFonts w:ascii="仿宋" w:eastAsia="仿宋" w:hAnsi="仿宋" w:cs="仿宋"/>
        </w:rPr>
        <w:t>，变动原因：人员变动。</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年度政府采购支出总额</w:t>
      </w:r>
      <w:r>
        <w:rPr>
          <w:rFonts w:ascii="仿宋" w:eastAsia="仿宋" w:hAnsi="仿宋" w:cs="仿宋"/>
        </w:rPr>
        <w:t>375.85</w:t>
      </w:r>
      <w:r>
        <w:rPr>
          <w:rFonts w:ascii="仿宋" w:eastAsia="仿宋" w:hAnsi="仿宋" w:cs="仿宋"/>
        </w:rPr>
        <w:t>万元，其中：政府采购货物支出</w:t>
      </w:r>
      <w:r>
        <w:rPr>
          <w:rFonts w:ascii="仿宋" w:eastAsia="仿宋" w:hAnsi="仿宋" w:cs="仿宋"/>
        </w:rPr>
        <w:t>35.1</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340.75</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w:t>
      </w:r>
      <w:r>
        <w:rPr>
          <w:rFonts w:ascii="仿宋" w:eastAsia="仿宋" w:hAnsi="仿宋" w:cs="仿宋"/>
        </w:rPr>
        <w:t>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0</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1279FD" w:rsidRDefault="00072100" w:rsidP="002A289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十五、预算绩效评价工作开展情况</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1279FD" w:rsidRDefault="0007210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3</w:t>
      </w:r>
      <w:r>
        <w:rPr>
          <w:rFonts w:ascii="仿宋" w:eastAsia="仿宋" w:hAnsi="仿宋" w:cs="仿宋"/>
        </w:rPr>
        <w:t>个项目开展了绩效自评价，涉及财政性资金合计</w:t>
      </w:r>
      <w:r>
        <w:rPr>
          <w:rFonts w:ascii="仿宋" w:eastAsia="仿宋" w:hAnsi="仿宋" w:cs="仿宋"/>
        </w:rPr>
        <w:t>380.76</w:t>
      </w:r>
      <w:r>
        <w:rPr>
          <w:rFonts w:ascii="仿宋" w:eastAsia="仿宋" w:hAnsi="仿宋" w:cs="仿宋"/>
        </w:rPr>
        <w:t>万元；本单位共开展</w:t>
      </w:r>
      <w:r>
        <w:rPr>
          <w:rFonts w:ascii="仿宋" w:eastAsia="仿宋" w:hAnsi="仿宋" w:cs="仿宋"/>
        </w:rPr>
        <w:t>3</w:t>
      </w:r>
      <w:r>
        <w:rPr>
          <w:rFonts w:ascii="仿宋" w:eastAsia="仿宋" w:hAnsi="仿宋" w:cs="仿宋"/>
        </w:rPr>
        <w:t>项单位整体支出绩效自评价，涉及财政性资金合计</w:t>
      </w:r>
      <w:r>
        <w:rPr>
          <w:rFonts w:ascii="仿宋" w:eastAsia="仿宋" w:hAnsi="仿宋" w:cs="仿宋"/>
        </w:rPr>
        <w:t>380.76</w:t>
      </w:r>
      <w:r>
        <w:rPr>
          <w:rFonts w:ascii="仿宋" w:eastAsia="仿宋" w:hAnsi="仿宋" w:cs="仿宋"/>
        </w:rPr>
        <w:t>万元。</w:t>
      </w:r>
    </w:p>
    <w:p w:rsidR="001279FD" w:rsidRDefault="00072100">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1279FD" w:rsidRDefault="001279FD">
      <w:pPr>
        <w:pStyle w:val="a4"/>
        <w:tabs>
          <w:tab w:val="left" w:pos="3864"/>
          <w:tab w:val="left" w:pos="6248"/>
          <w:tab w:val="left" w:pos="7386"/>
        </w:tabs>
        <w:ind w:leftChars="200" w:left="440" w:firstLineChars="206" w:firstLine="659"/>
        <w:jc w:val="both"/>
        <w:rPr>
          <w:rFonts w:ascii="仿宋" w:eastAsia="仿宋" w:hAnsi="仿宋" w:cs="仿宋"/>
        </w:rPr>
      </w:pP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w:t>
      </w:r>
      <w:r>
        <w:rPr>
          <w:rFonts w:ascii="仿宋" w:eastAsia="仿宋" w:hAnsi="仿宋" w:cs="仿宋" w:hint="eastAsia"/>
        </w:rPr>
        <w:t>位公务用车购置支出（含车辆购置税、牌照费）以及按规定保留的公务用车燃料费、维修费、过路过桥费、保险费、安全奖励费用等支出；公务接待费反映单位按规定开支的各类公务接待（含外宾接待）费用。</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w:t>
      </w:r>
      <w:r>
        <w:rPr>
          <w:rFonts w:ascii="仿宋" w:eastAsia="仿宋" w:hAnsi="仿宋" w:cs="仿宋" w:hint="eastAsia"/>
          <w:b/>
          <w:bCs/>
        </w:rPr>
        <w:t>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政务公开审批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反映各级政府政务公开审批方面的支出。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群众团体事务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其他群</w:t>
      </w:r>
      <w:r>
        <w:rPr>
          <w:rFonts w:ascii="仿宋" w:eastAsia="仿宋" w:hAnsi="仿宋" w:cs="仿宋" w:hint="eastAsia"/>
          <w:b/>
          <w:bCs/>
        </w:rPr>
        <w:lastRenderedPageBreak/>
        <w:t>众团体事务支出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反映除上述项目以外其他用于群众团体事务方面的支出。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临时救助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临时救助支出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反映用于城乡生活困难居民的临时救助支出。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w:t>
      </w:r>
      <w:r>
        <w:rPr>
          <w:rFonts w:ascii="仿宋" w:eastAsia="仿宋" w:hAnsi="仿宋" w:cs="仿宋" w:hint="eastAsia"/>
        </w:rPr>
        <w:t>财政部规定的基本工资和津贴补贴以及规定比例为职工缴纳的住房公积金。</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w:t>
      </w:r>
      <w:r>
        <w:rPr>
          <w:rFonts w:ascii="仿宋" w:eastAsia="仿宋" w:hAnsi="仿宋" w:cs="仿宋" w:hint="eastAsia"/>
        </w:rPr>
        <w:lastRenderedPageBreak/>
        <w:t>（含离退休人员）、军队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1279FD" w:rsidRDefault="0007210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二十九、其他支出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反映除上述项目以外其他不能划分到具体功能科目中的支出项目。</w:t>
      </w:r>
    </w:p>
    <w:sectPr w:rsidR="001279FD" w:rsidSect="001279FD">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00" w:rsidRDefault="00072100" w:rsidP="001279FD">
      <w:r>
        <w:separator/>
      </w:r>
    </w:p>
  </w:endnote>
  <w:endnote w:type="continuationSeparator" w:id="0">
    <w:p w:rsidR="00072100" w:rsidRDefault="00072100" w:rsidP="00127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hakuyoxingshu7000"/>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rPr>
        <w:rFonts w:ascii="黑体" w:eastAsia="黑体" w:hAnsi="黑体" w:cs="黑体"/>
      </w:rPr>
    </w:pPr>
    <w:r w:rsidRPr="001279FD">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1279FD" w:rsidRDefault="001279FD">
                <w:pPr>
                  <w:pStyle w:val="a5"/>
                  <w:rPr>
                    <w:rFonts w:ascii="黑体" w:eastAsia="黑体" w:hAnsi="黑体" w:cs="黑体"/>
                  </w:rPr>
                </w:pPr>
                <w:r>
                  <w:rPr>
                    <w:rFonts w:ascii="黑体" w:eastAsia="黑体" w:hAnsi="黑体" w:cs="黑体" w:hint="eastAsia"/>
                  </w:rPr>
                  <w:fldChar w:fldCharType="begin"/>
                </w:r>
                <w:r w:rsidR="00072100">
                  <w:rPr>
                    <w:rFonts w:ascii="黑体" w:eastAsia="黑体" w:hAnsi="黑体" w:cs="黑体" w:hint="eastAsia"/>
                  </w:rPr>
                  <w:instrText xml:space="preserve"> PAGE  \* MERGEFORMAT </w:instrText>
                </w:r>
                <w:r>
                  <w:rPr>
                    <w:rFonts w:ascii="黑体" w:eastAsia="黑体" w:hAnsi="黑体" w:cs="黑体" w:hint="eastAsia"/>
                  </w:rPr>
                  <w:fldChar w:fldCharType="separate"/>
                </w:r>
                <w:r w:rsidR="002A2896">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- 21 -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- 22 -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- 24 -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- 41 -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rPr>
        <w:rFonts w:ascii="黑体" w:eastAsia="黑体" w:hAnsi="黑体" w:cs="黑体"/>
      </w:rPr>
    </w:pPr>
    <w:r w:rsidRPr="001279FD">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1279FD" w:rsidRDefault="001279FD">
                <w:pPr>
                  <w:pStyle w:val="a5"/>
                  <w:rPr>
                    <w:rFonts w:ascii="黑体" w:eastAsia="黑体" w:hAnsi="黑体" w:cs="黑体"/>
                  </w:rPr>
                </w:pPr>
                <w:r>
                  <w:rPr>
                    <w:rFonts w:ascii="黑体" w:eastAsia="黑体" w:hAnsi="黑体" w:cs="黑体" w:hint="eastAsia"/>
                  </w:rPr>
                  <w:fldChar w:fldCharType="begin"/>
                </w:r>
                <w:r w:rsidR="00072100">
                  <w:rPr>
                    <w:rFonts w:ascii="黑体" w:eastAsia="黑体" w:hAnsi="黑体" w:cs="黑体" w:hint="eastAsia"/>
                  </w:rPr>
                  <w:instrText xml:space="preserve"> PAGE  \* MERGEFORMAT </w:instrText>
                </w:r>
                <w:r>
                  <w:rPr>
                    <w:rFonts w:ascii="黑体" w:eastAsia="黑体" w:hAnsi="黑体" w:cs="黑体" w:hint="eastAsia"/>
                  </w:rPr>
                  <w:fldChar w:fldCharType="separate"/>
                </w:r>
                <w:r w:rsidR="002A2896">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- 6 -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- 8 -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- 10 -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- 14 -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- 17 -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5"/>
      <w:jc w:val="center"/>
    </w:pPr>
    <w:r w:rsidRPr="001279FD">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1279FD" w:rsidRDefault="001279FD">
                <w:pPr>
                  <w:pStyle w:val="a5"/>
                </w:pPr>
                <w:r>
                  <w:rPr>
                    <w:rFonts w:hint="eastAsia"/>
                  </w:rPr>
                  <w:fldChar w:fldCharType="begin"/>
                </w:r>
                <w:r w:rsidR="00072100">
                  <w:rPr>
                    <w:rFonts w:hint="eastAsia"/>
                  </w:rPr>
                  <w:instrText xml:space="preserve"> PAGE  \* MERGEFORMAT </w:instrText>
                </w:r>
                <w:r>
                  <w:rPr>
                    <w:rFonts w:hint="eastAsia"/>
                  </w:rPr>
                  <w:fldChar w:fldCharType="separate"/>
                </w:r>
                <w:r w:rsidR="002A2896">
                  <w:rPr>
                    <w:noProof/>
                  </w:rPr>
                  <w:t>- 18 -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00" w:rsidRDefault="00072100">
      <w:r>
        <w:separator/>
      </w:r>
    </w:p>
  </w:footnote>
  <w:footnote w:type="continuationSeparator" w:id="0">
    <w:p w:rsidR="00072100" w:rsidRDefault="0007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072100">
    <w:pPr>
      <w:pStyle w:val="a6"/>
      <w:pBdr>
        <w:bottom w:val="single" w:sz="4" w:space="1" w:color="000000"/>
      </w:pBdr>
      <w:jc w:val="both"/>
      <w:rPr>
        <w:lang w:val="en-US"/>
      </w:rPr>
    </w:pPr>
    <w:r>
      <w:rPr>
        <w:rFonts w:hint="eastAsia"/>
        <w:lang w:val="en-US"/>
      </w:rPr>
      <w:t>江阴市行政审批局（机关）</w:t>
    </w:r>
    <w:r>
      <w:t>2021</w:t>
    </w:r>
    <w:r>
      <w:t>年度单位决算公开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FD" w:rsidRDefault="001279FD">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1279FD"/>
    <w:rsid w:val="DBEED555"/>
    <w:rsid w:val="00064984"/>
    <w:rsid w:val="00071789"/>
    <w:rsid w:val="00072100"/>
    <w:rsid w:val="000B7719"/>
    <w:rsid w:val="000F12AB"/>
    <w:rsid w:val="001279FD"/>
    <w:rsid w:val="001C31F9"/>
    <w:rsid w:val="002A2896"/>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279FD"/>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1279FD"/>
    <w:pPr>
      <w:ind w:left="-40"/>
      <w:outlineLvl w:val="0"/>
    </w:pPr>
    <w:rPr>
      <w:sz w:val="52"/>
      <w:szCs w:val="52"/>
    </w:rPr>
  </w:style>
  <w:style w:type="paragraph" w:styleId="2">
    <w:name w:val="heading 2"/>
    <w:basedOn w:val="a"/>
    <w:next w:val="a"/>
    <w:uiPriority w:val="1"/>
    <w:qFormat/>
    <w:rsid w:val="001279FD"/>
    <w:pPr>
      <w:ind w:right="18"/>
      <w:jc w:val="center"/>
      <w:outlineLvl w:val="1"/>
    </w:pPr>
    <w:rPr>
      <w:sz w:val="44"/>
      <w:szCs w:val="44"/>
    </w:rPr>
  </w:style>
  <w:style w:type="paragraph" w:styleId="3">
    <w:name w:val="heading 3"/>
    <w:basedOn w:val="a"/>
    <w:next w:val="a"/>
    <w:uiPriority w:val="1"/>
    <w:qFormat/>
    <w:rsid w:val="001279FD"/>
    <w:pPr>
      <w:ind w:left="1"/>
      <w:jc w:val="center"/>
      <w:outlineLvl w:val="2"/>
    </w:pPr>
    <w:rPr>
      <w:sz w:val="40"/>
      <w:szCs w:val="40"/>
    </w:rPr>
  </w:style>
  <w:style w:type="paragraph" w:styleId="4">
    <w:name w:val="heading 4"/>
    <w:basedOn w:val="a"/>
    <w:next w:val="a"/>
    <w:uiPriority w:val="1"/>
    <w:qFormat/>
    <w:rsid w:val="001279FD"/>
    <w:pPr>
      <w:jc w:val="center"/>
      <w:outlineLvl w:val="3"/>
    </w:pPr>
    <w:rPr>
      <w:sz w:val="36"/>
      <w:szCs w:val="36"/>
    </w:rPr>
  </w:style>
  <w:style w:type="paragraph" w:styleId="5">
    <w:name w:val="heading 5"/>
    <w:basedOn w:val="a"/>
    <w:next w:val="a"/>
    <w:uiPriority w:val="1"/>
    <w:qFormat/>
    <w:rsid w:val="001279FD"/>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279FD"/>
    <w:pPr>
      <w:suppressLineNumbers/>
      <w:spacing w:before="120" w:after="120"/>
    </w:pPr>
    <w:rPr>
      <w:i/>
      <w:iCs/>
      <w:sz w:val="24"/>
      <w:szCs w:val="24"/>
    </w:rPr>
  </w:style>
  <w:style w:type="paragraph" w:styleId="a4">
    <w:name w:val="Body Text"/>
    <w:basedOn w:val="a"/>
    <w:uiPriority w:val="1"/>
    <w:qFormat/>
    <w:rsid w:val="001279FD"/>
    <w:rPr>
      <w:sz w:val="32"/>
      <w:szCs w:val="32"/>
    </w:rPr>
  </w:style>
  <w:style w:type="paragraph" w:styleId="a5">
    <w:name w:val="footer"/>
    <w:basedOn w:val="a"/>
    <w:qFormat/>
    <w:rsid w:val="001279FD"/>
    <w:pPr>
      <w:tabs>
        <w:tab w:val="center" w:pos="4153"/>
        <w:tab w:val="right" w:pos="8306"/>
      </w:tabs>
      <w:snapToGrid w:val="0"/>
    </w:pPr>
    <w:rPr>
      <w:sz w:val="18"/>
      <w:szCs w:val="18"/>
    </w:rPr>
  </w:style>
  <w:style w:type="paragraph" w:styleId="a6">
    <w:name w:val="header"/>
    <w:basedOn w:val="a"/>
    <w:qFormat/>
    <w:rsid w:val="001279FD"/>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1279FD"/>
  </w:style>
  <w:style w:type="table" w:styleId="a8">
    <w:name w:val="Table Grid"/>
    <w:basedOn w:val="a1"/>
    <w:qFormat/>
    <w:rsid w:val="001279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1279FD"/>
  </w:style>
  <w:style w:type="character" w:customStyle="1" w:styleId="aa">
    <w:name w:val="页眉 字符"/>
    <w:basedOn w:val="a0"/>
    <w:qFormat/>
    <w:rsid w:val="001279FD"/>
    <w:rPr>
      <w:rFonts w:ascii="Arial Unicode MS" w:eastAsia="Arial Unicode MS" w:hAnsi="Arial Unicode MS" w:cs="Arial Unicode MS"/>
      <w:sz w:val="18"/>
      <w:szCs w:val="18"/>
      <w:lang w:val="zh-CN" w:bidi="zh-CN"/>
    </w:rPr>
  </w:style>
  <w:style w:type="character" w:customStyle="1" w:styleId="ab">
    <w:name w:val="页脚 字符"/>
    <w:basedOn w:val="a0"/>
    <w:qFormat/>
    <w:rsid w:val="001279FD"/>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1279FD"/>
    <w:pPr>
      <w:keepNext/>
      <w:spacing w:before="240" w:after="120"/>
    </w:pPr>
    <w:rPr>
      <w:rFonts w:ascii="Liberation Sans" w:hAnsi="Liberation Sans"/>
      <w:sz w:val="28"/>
      <w:szCs w:val="28"/>
    </w:rPr>
  </w:style>
  <w:style w:type="paragraph" w:customStyle="1" w:styleId="ad">
    <w:name w:val="索引"/>
    <w:basedOn w:val="a"/>
    <w:qFormat/>
    <w:rsid w:val="001279FD"/>
    <w:pPr>
      <w:suppressLineNumbers/>
    </w:pPr>
  </w:style>
  <w:style w:type="paragraph" w:customStyle="1" w:styleId="ae">
    <w:name w:val="页眉与页脚"/>
    <w:basedOn w:val="a"/>
    <w:qFormat/>
    <w:rsid w:val="001279FD"/>
  </w:style>
  <w:style w:type="paragraph" w:customStyle="1" w:styleId="10">
    <w:name w:val="列出段落1"/>
    <w:basedOn w:val="a"/>
    <w:uiPriority w:val="1"/>
    <w:qFormat/>
    <w:rsid w:val="001279FD"/>
    <w:pPr>
      <w:ind w:left="2039" w:hanging="782"/>
    </w:pPr>
  </w:style>
  <w:style w:type="paragraph" w:customStyle="1" w:styleId="TableParagraph">
    <w:name w:val="Table Paragraph"/>
    <w:basedOn w:val="a"/>
    <w:uiPriority w:val="1"/>
    <w:qFormat/>
    <w:rsid w:val="001279FD"/>
    <w:rPr>
      <w:rFonts w:ascii="宋体" w:eastAsia="宋体" w:hAnsi="宋体" w:cs="宋体"/>
    </w:rPr>
  </w:style>
  <w:style w:type="paragraph" w:customStyle="1" w:styleId="af">
    <w:name w:val="表格内容"/>
    <w:basedOn w:val="a"/>
    <w:qFormat/>
    <w:rsid w:val="001279FD"/>
    <w:pPr>
      <w:suppressLineNumbers/>
    </w:pPr>
  </w:style>
  <w:style w:type="paragraph" w:customStyle="1" w:styleId="af0">
    <w:name w:val="表格标题"/>
    <w:basedOn w:val="af"/>
    <w:qFormat/>
    <w:rsid w:val="001279FD"/>
    <w:pPr>
      <w:jc w:val="center"/>
    </w:pPr>
    <w:rPr>
      <w:b/>
      <w:bCs/>
    </w:rPr>
  </w:style>
  <w:style w:type="paragraph" w:customStyle="1" w:styleId="af1">
    <w:name w:val="预格式化的文本"/>
    <w:basedOn w:val="a"/>
    <w:qFormat/>
    <w:rsid w:val="001279FD"/>
    <w:rPr>
      <w:rFonts w:ascii="Liberation Mono" w:eastAsia="新宋体" w:hAnsi="Liberation Mono" w:cs="Liberation Mono"/>
      <w:sz w:val="20"/>
      <w:szCs w:val="20"/>
    </w:rPr>
  </w:style>
  <w:style w:type="table" w:customStyle="1" w:styleId="TableNormal">
    <w:name w:val="Table Normal"/>
    <w:uiPriority w:val="2"/>
    <w:unhideWhenUsed/>
    <w:qFormat/>
    <w:rsid w:val="001279F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2</cp:revision>
  <dcterms:created xsi:type="dcterms:W3CDTF">2023-11-10T01:37:00Z</dcterms:created>
  <dcterms:modified xsi:type="dcterms:W3CDTF">2023-11-10T01:37:00Z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