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2022年度江阴市血站单位决算公开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cs="黑体" w:eastAsia="黑体"/>
        </w:rPr>
        <w:t>单位</w:t>
      </w:r>
      <w:r>
        <w:rPr>
          <w:rFonts w:ascii="黑体" w:hAnsi="黑体" w:cs="黑体" w:eastAsia="黑体"/>
        </w:rPr>
        <w:t>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cs="黑体" w:eastAsia="黑体"/>
        </w:rPr>
        <w:t>单位</w:t>
      </w:r>
      <w:r>
        <w:rPr>
          <w:rFonts w:ascii="黑体" w:hAnsi="黑体" w:cs="黑体" w:eastAsia="黑体"/>
        </w:rPr>
        <w:t>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w:t>
      </w:r>
      <w:r>
        <w:rPr>
          <w:rFonts w:hint="eastAsia" w:ascii="宋体" w:hAnsi="宋体" w:eastAsia="宋体" w:cs="宋体"/>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我单位属特殊性非营利的公益性全民事业单位，单位基本性质为财政补助事业单位，执行事业单位会计制度，是我市唯一的采供血机构，主要职能是负责全市范围内开展无偿献血者的招募、血液的采集、制备、检测、贮存、发放、运输、无偿献血后按规定报销血费、机采血小板奖励发放以及医疗单位用血的业务指导等工作，承载着全市公民献血和医疗临床供血的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cs="黑体" w:eastAsia="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本单位内设机构包括</w:t>
      </w:r>
      <w:r>
        <w:rPr>
          <w:rFonts w:ascii="仿宋" w:hAnsi="仿宋" w:cs="仿宋" w:eastAsia="仿宋"/>
        </w:rPr>
        <w:t/>
      </w:r>
      <w:r>
        <w:rPr>
          <w:rFonts w:ascii="仿宋" w:hAnsi="仿宋" w:cs="仿宋" w:eastAsia="仿宋"/>
        </w:rPr>
        <w:t/>
      </w:r>
      <w:r>
        <w:rPr>
          <w:rFonts w:ascii="仿宋" w:hAnsi="仿宋" w:cs="仿宋" w:eastAsia="仿宋"/>
        </w:rPr>
        <w:t>办公室、财务科、总务科、质控科、检验科、采供科、血源科。</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度采供血指标全面增长：无偿献血20132人次，无偿献血总量636.56万毫升，比去年同期增加0.9%；供血619.6万毫升，供血小板2066.5人份；街头献血共6160人次，同比增加20.3%；成分血使用比例达99.97%。并且连续保持“三个100%”——即临床用血100%来自无偿献血、自愿无偿献血100%、成份献血无偿率100%，为全市公民献血、用血保驾护航。</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江阴市血站</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cs="宋体" w:eastAsia="宋体"/>
          <w:b w:val="true"/>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color w:val="000000"/>
                <w:sz w:val="22"/>
                <w:szCs w:val="22"/>
                <w:lang w:eastAsia="ar-SA"/>
              </w:rPr>
              <w:t>江阴市血站</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ascii="仿宋" w:hAnsi="仿宋" w:cs="仿宋" w:eastAsia="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3,046.81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180.12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2,424.77</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434.11</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3,046.81</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3,039.00</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0.02</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7.82</w:t>
            </w: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3,046.82</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3,046.82</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color w:val="000000"/>
          <w:sz w:val="22"/>
          <w:szCs w:val="22"/>
          <w:lang w:val="en-US" w:eastAsia="zh-CN"/>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3,046.81</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3,046.81</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186.69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186.69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144.90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144.90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96.10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96.10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48.80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48.80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41.78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41.78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41.78</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41.78</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2,426.01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2,426.01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公共卫生</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2,420.01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2,420.01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2100406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采供血机构</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2,420.01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2,420.01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2109999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其他卫生健康支出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6.00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6.00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434.11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434.11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434.11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434.11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109.97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109.97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200.31</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200.31</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123.83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123.83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
            </w: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3,039.00</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1,892.40</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1,146.60</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180.12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180.12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138.33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138.33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89.53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89.53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48.80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48.80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41.78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41.78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41.78</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41.78</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2,424.77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1,278.17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1,146.60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公共卫生</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2,418.77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1,278.17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1,140.60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2100406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采供血机构</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2,418.77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1,278.17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1,140.60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2109999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其他卫生健康支出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6.00</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434.11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434.11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434.11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434.11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109.97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109.97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200.31</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200.31</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123.83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123.83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
            </w: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江阴市血站</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3,046.81</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2,424.77</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2,424.77</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434.11</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434.11</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3,046.81</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3,039.00</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3,039.00</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0.02</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7.82</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7.82</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0.02</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3,046.82</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3,046.82</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3,046.82</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3,039.00</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1,892.40</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180.12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138.33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89.53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89.53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48.80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41.78</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41.78</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2,424.77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1,278.17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1,146.60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公共卫生</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2,418.77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1,278.17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2100406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采供血机构</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2,418.77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1,278.17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1,140.60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其他卫生健康支出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434.11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109.97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200.31</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200.31</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123.83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sz w:val="22"/>
                <w:szCs w:val="22"/>
              </w:rPr>
              <w:t>江阴市血站</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1,892.40</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1,757.09</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236.55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236.55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271.58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754.88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754.88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109.97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135.31</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82.73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82.73</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
            </w: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3,039.00</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1,892.40</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180.12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180.12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138.33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138.33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41.78</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41.78</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2,424.77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1,278.17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1,146.60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公共卫生</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2,418.77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1,278.17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2100406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采供血机构</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2,418.77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1,278.17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1,140.60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2109999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其他卫生健康支出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434.11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434.11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434.11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434.11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109.97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109.97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200.31</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200.31</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123.83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123.83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1,892.40</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1,757.09</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1,674.36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236.55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236.55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271.58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271.58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754.88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754.88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48.80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109.97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109.97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91.00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135.31</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3.89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0.59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4.23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23.26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15.30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82.73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82.73</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81.38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val="true"/>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rPr>
        <w:t>本表金额单位转换时可能存在尾数误差。</w:t>
      </w:r>
      <w:r>
        <w:rPr>
          <w:rFonts w:hint="eastAsia" w:ascii="仿宋" w:hAnsi="仿宋" w:eastAsia="仿宋" w:cs="仿宋"/>
          <w:b w:val="0"/>
          <w:bCs w:val="0"/>
          <w:sz w:val="22"/>
          <w:szCs w:val="22"/>
          <w:lang w:val="en-US" w:eastAsia="zh-CN"/>
        </w:rPr>
        <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bookmarkStart w:id="0" w:name="_GoBack"/>
            <w:bookmarkEnd w:id="0"/>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
            </w:r>
            <w:r>
              <w:rPr>
                <w:rFonts w:ascii="仿宋" w:hAnsi="仿宋" w:cs="仿宋" w:eastAsia="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39.10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38.10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38.10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0.70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1.20</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23.85</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23.26</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23.26</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0.59</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0.35</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
            </w:r>
            <w:r>
              <w:rPr>
                <w:rFonts w:ascii="仿宋" w:hAnsi="仿宋" w:cs="仿宋" w:eastAsia="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公务用车购置数(辆)</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公务用车保有量(辆)</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76</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组织培训次数(个)</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18</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参加培训人次(人)</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1,080</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无政府性基金预算收入支出决算，故本表为空。</w:t>
      </w:r>
      <w:r>
        <w:rPr>
          <w:rFonts w:ascii="仿宋" w:hAnsi="仿宋" w:cs="仿宋" w:eastAsia="仿宋"/>
          <w:sz w:val="22"/>
        </w:rPr>
        <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w: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r>
              <w:rPr>
                <w:rFonts w:hint="eastAsia" w:ascii="仿宋" w:hAnsi="仿宋" w:eastAsia="仿宋" w:cs="仿宋"/>
              </w:rPr>
              <w:t/>
            </w: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lang w:val="en-US" w:eastAsia="zh-CN"/>
        </w:rPr>
        <w:t/>
      </w:r>
      <w:r>
        <w:rPr>
          <w:rFonts w:ascii="仿宋" w:hAnsi="仿宋" w:cs="仿宋" w:eastAsia="仿宋"/>
          <w:sz w:val="22"/>
        </w:rPr>
        <w:t>本</w:t>
      </w:r>
      <w:r>
        <w:rPr>
          <w:rFonts w:ascii="仿宋" w:hAnsi="仿宋" w:cs="仿宋" w:eastAsia="仿宋"/>
          <w:sz w:val="22"/>
        </w:rPr>
        <w:t>单位</w:t>
      </w:r>
      <w:r>
        <w:rPr>
          <w:rFonts w:ascii="仿宋" w:hAnsi="仿宋" w:cs="仿宋" w:eastAsia="仿宋"/>
          <w:sz w:val="22"/>
        </w:rPr>
        <w:t>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r>
        <w:rPr>
          <w:rFonts w:ascii="仿宋" w:hAnsi="仿宋" w:cs="仿宋" w:eastAsia="仿宋"/>
          <w:sz w:val="22"/>
        </w:rPr>
        <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val="true"/>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
            </w: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 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r>
        <w:rPr>
          <w:rFonts w:hint="eastAsia" w:ascii="仿宋" w:hAnsi="仿宋" w:eastAsia="仿宋" w:cs="仿宋"/>
          <w:b w:val="0"/>
          <w:bCs w:val="0"/>
          <w:sz w:val="22"/>
          <w:szCs w:val="22"/>
          <w:lang w:val="en-US" w:eastAsia="zh-CN"/>
        </w:rPr>
        <w:t/>
      </w:r>
      <w:r>
        <w:rPr>
          <w:rFonts w:hint="eastAsia" w:ascii="仿宋" w:hAnsi="仿宋" w:eastAsia="仿宋" w:cs="仿宋"/>
          <w:b w:val="0"/>
          <w:bCs w:val="0"/>
          <w:sz w:val="22"/>
          <w:szCs w:val="22"/>
          <w:lang w:val="en-US" w:eastAsia="zh-CN"/>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
      </w:r>
      <w:r>
        <w:rPr>
          <w:rFonts w:hint="eastAsia" w:ascii="仿宋" w:hAnsi="仿宋" w:eastAsia="仿宋" w:cs="仿宋"/>
          <w:b w:val="0"/>
          <w:bCs w:val="0"/>
          <w:sz w:val="22"/>
          <w:szCs w:val="22"/>
          <w:lang w:eastAsia="zh-CN"/>
        </w:rPr>
        <w:t>本</w:t>
      </w:r>
      <w:r>
        <w:rPr>
          <w:rFonts w:ascii="仿宋" w:hAnsi="仿宋" w:cs="仿宋" w:eastAsia="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r>
        <w:rPr>
          <w:rFonts w:ascii="仿宋" w:hAnsi="仿宋" w:cs="仿宋" w:eastAsia="仿宋"/>
          <w:sz w:val="22"/>
        </w:rPr>
        <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名称：</w:t>
            </w:r>
            <w:r>
              <w:rPr>
                <w:rFonts w:hint="eastAsia" w:ascii="仿宋" w:hAnsi="仿宋" w:eastAsia="仿宋" w:cs="仿宋"/>
              </w:rPr>
              <w:t>江阴市血站</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hint="eastAsia" w:ascii="仿宋" w:hAnsi="仿宋" w:eastAsia="仿宋" w:cs="仿宋"/>
                <w:lang w:val="en-US" w:eastAsia="zh-CN"/>
              </w:rPr>
              <w:t/>
            </w:r>
            <w:r>
              <w:rPr>
                <w:rFonts w:ascii="仿宋" w:hAnsi="仿宋" w:cs="仿宋" w:eastAsia="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319.76</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243.25</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76.51</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r>
        <w:rPr>
          <w:rFonts w:ascii="仿宋" w:hAnsi="仿宋" w:cs="仿宋" w:eastAsia="仿宋"/>
          <w:sz w:val="22"/>
        </w:rPr>
        <w:t/>
      </w:r>
      <w:r>
        <w:rPr>
          <w:rFonts w:hint="eastAsia" w:ascii="仿宋" w:hAnsi="仿宋" w:eastAsia="仿宋" w:cs="仿宋"/>
          <w:b w:val="0"/>
          <w:bCs w:val="0"/>
          <w:sz w:val="22"/>
          <w:szCs w:val="22"/>
          <w:lang w:val="en-US" w:eastAsia="zh-CN"/>
        </w:rPr>
        <w:t>本表金额单位转换时可能存在尾数误差</w:t>
      </w:r>
      <w:r>
        <w:rPr>
          <w:rFonts w:hint="eastAsia" w:ascii="仿宋" w:hAnsi="仿宋" w:eastAsia="仿宋" w:cs="仿宋"/>
          <w:b w:val="0"/>
          <w:bCs w:val="0"/>
          <w:sz w:val="22"/>
          <w:szCs w:val="22"/>
        </w:rPr>
        <w:t>。</w:t>
      </w:r>
      <w:r>
        <w:rPr>
          <w:rFonts w:hint="eastAsia" w:ascii="仿宋" w:hAnsi="仿宋" w:eastAsia="仿宋" w:cs="仿宋"/>
          <w:b w:val="0"/>
          <w:bCs w:val="0"/>
          <w:sz w:val="22"/>
          <w:szCs w:val="22"/>
          <w:lang w:val="en-US" w:eastAsia="zh-CN"/>
        </w:rPr>
        <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cs="宋体" w:eastAsia="宋体"/>
          <w:b w:val="true"/>
          <w:color w:val="000000"/>
          <w:sz w:val="36"/>
        </w:rPr>
        <w:t>单位</w:t>
      </w:r>
      <w:r>
        <w:rPr>
          <w:rFonts w:ascii="宋体" w:hAnsi="宋体" w:cs="宋体" w:eastAsia="宋体"/>
          <w:b w:val="true"/>
          <w:color w:val="000000"/>
          <w:sz w:val="36"/>
        </w:rPr>
        <w:t>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2022年度收入、支出决算总计3,046.82万元。与上年相比，收、支总计各减少313.45万元，减少9.33%。其中：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（一）收入决算总计3,046.82万元。包括：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1.本年收入决算合计3,046.81万元。与上年相比，减少304.49万元，减少9.09%，变动原因：本年度采购需求降低，总项目收入减少，属正常情况。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2.使用非财政拨款结余0万元。与上年决算数相同。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3.年初结转和结余0.02万元。与上年相比，减少8.95万元，减少99.78%，变动原因：年初结转和结余已支出，减少属正常情况。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（二）支出决算总计3,046.82万元。包括：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1.本年支出决算合计3,039万元。与上年相比，减少321.25万元，减少9.56%，变动原因：本年度采购支出需求降低，总项目支出减少，降低幅度在正常范围内。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2.结余分配0万元。与上年决算数相同。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年末结转和结余7.82万元。结转和结余事项：2022年12月养老保险年度基数调整造成的结转资金。与上年相比，增加7.8万元，增长39,000%，变动原因：2022年12月养老保险年度基数调整，部分养老保险支出需跨年支出，出现结转资金增长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收入决算合计3,046.81万元，其中：财政拨款收入3,046.81万元，占100%；上级补助收入0万元，占0%；财政专户管理教育收费0万元，占0%；事业收入（不含专户管理教育收费）0万元，占0%；经营收入0万元，占0%；附属单位上缴收入0万元，占0%；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2"/>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2022年度本年支出决算合计3,039万元，其中：基本支出1,892.4万元，占62.27%；项目支出1,146.6万元，占37.73%；上缴上级支出0万元，占0%；经营支出0万元，占0%；对附属单位补助支出0万元，占0%。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四、财政拨款收入支出决算总体情况说明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2022年度财政拨款收入、支出决算总计3,046.82万元。与上年相比，收、支总计各减少313.45万元，减少9.33%，变动原因：本年度采购需求降低，总项目收入和支出减少，降低幅度在正常范围内。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2022年度财政拨款支出决算3,039万元，占本年支出合计的100%。与2022年度财政拨款支出年初预算3,098.24万元相比，完成年初预算的98.09%。其中：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年初预算62.89万元，支出决算89.53万元，完成年初预算的142.36%。决算数与年初预算数的差异原因：本年度机关事业单位养老保险基数上调，故该部分支出增加，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年初预算31.45万元，支出决算48.8万元，完成年初预算的155.17%。决算数与年初预算数的差异原因：本年度机关事业单位职业年金保险基数上调，故该部分支出增加，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其他社会保障和就业支出（款）其他社会保障和就业支出（项）。年初预算43.25万元，支出决算41.78万元，完成年初预算的96.6%。决算数与年初预算数的差异原因：本年度存在人员退休，故该部分支出减少，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1.公共卫生（款）采供血机构（项）。年初预算2,528.9万元，支出决算2,418.77万元，完成年初预算的95.65%。决算数与年初预算数的差异原因：本年度采购支出压减，总项目支出减少，预决算差异属正常情况。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2.其他卫生健康支出（款）其他卫生健康支出（项）。年初预算6万元，支出决算6万元，完成年初预算的100%。决算数与年初预算数相同。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年初预算109.55万元，支出决算109.97万元，完成年初预算的100.38%。决算数与年初预算数的差异原因：本年度存在人员增减，故该部分支出较预算有所增加，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年初预算193.7万元，支出决算200.31万元，完成年初预算的103.41%。决算数与年初预算数的差异原因：本年度存在人员增减，故该部分支出较预算有所增加，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年初预算122.5万元，支出决算123.83万元，完成年初预算的101.09%。决算数与年初预算数的差异原因：本年度存在人员增减，故该部分支出较预算有所增加，预决算差异属正常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2022年度财政拨款基本支出决算1,892.4万元，其中：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（一）人员经费1,757.09万元。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（二）公用经费135.31万元。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主要包括：办公费、咨询费、水费、电费、邮电费、差旅费、维修（护）费、培训费、公务接待费、专用材料费、委托业务费、工会经费、公务用车运行维护费、其他交通费用、其他商品和服务支出。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2022年度一般公共预算财政拨款支出决算3,039万元。与上年相比，减少321.25万元，减少9.56%，变动原因：本年度采购支出压减，总项目支出减少，降低幅度在正常范围内。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2022年度一般公共预算财政拨款基本支出决算1,892.4万元，其中：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（一）人员经费1,757.09万元。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基本工资、津贴补贴、伙食补助费、绩效工资、机关事业单位基本养老保险缴费、职业年金缴费、职工基本医疗保险缴费、其他社会保障缴费、住房公积金、医疗费、其他工资福利支出、退休费、其他对个人和家庭的补助。</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hint="eastAsia" w:ascii="楷体" w:hAnsi="楷体" w:eastAsia="楷体" w:cs="楷体"/>
          <w:b w:val="0"/>
          <w:bCs w:val="0"/>
          <w:lang w:val="en-US"/>
        </w:rPr>
        <w:t/>
      </w:r>
      <w:r>
        <w:rPr>
          <w:rFonts w:ascii="楷体" w:hAnsi="楷体" w:cs="楷体" w:eastAsia="楷体"/>
        </w:rPr>
        <w:t>（二）公用经费135.31万元。</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
      </w:r>
      <w:r>
        <w:rPr>
          <w:rFonts w:hint="eastAsia" w:ascii="楷体" w:hAnsi="楷体" w:eastAsia="楷体" w:cs="楷体"/>
          <w:b w:val="0"/>
          <w:bCs w:val="0"/>
          <w:lang w:val="en-US"/>
        </w:rPr>
        <w:t/>
      </w:r>
      <w:r>
        <w:rPr>
          <w:rFonts w:ascii="楷体" w:hAnsi="楷体" w:cs="楷体" w:eastAsia="楷体"/>
        </w:rPr>
        <w:t/>
      </w:r>
      <w:r>
        <w:rPr>
          <w:rFonts w:hint="eastAsia" w:ascii="仿宋" w:hAnsi="仿宋" w:eastAsia="仿宋" w:cs="仿宋"/>
          <w:b w:val="0"/>
          <w:bCs w:val="0"/>
          <w:lang w:val="en-US"/>
        </w:rPr>
        <w:t/>
      </w:r>
      <w:r>
        <w:rPr>
          <w:rFonts w:ascii="仿宋" w:hAnsi="仿宋" w:cs="仿宋" w:eastAsia="仿宋"/>
        </w:rPr>
        <w:t>主要包括：办公费、咨询费、水费、电费、邮电费、差旅费、维修（护）费、培训费、公务接待费、专用材料费、委托业务费、工会经费、公务用车运行维护费、其他交通费用、其他商品和服务支出。</w:t>
      </w:r>
      <w:r>
        <w:rPr>
          <w:rFonts w:ascii="仿宋" w:hAnsi="仿宋" w:cs="仿宋" w:eastAsia="仿宋"/>
        </w:rPr>
        <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九、财政拨款“三公”经费、会议费和培训费支出情况说明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（一）财政拨款“三公”经费支出总体情况说明。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三公”经费支出决算23.85万元（其中：一般公共预算支出23.85万元；政府性基金预算支出0万元；国有资本经营预算支出0万元）。与上年相比，减少45.07万元，变动原因：较上年，本年度未采购车辆，故该部分支出较预算有所减少，降低幅度在正常范围内。其中，因公出国（境）费支出0万元，占“三公”经费的0%；公务用车购置及运行维护费支出23.26万元，占“三公”经费的97.53%；公务接待费支出0.59万元，占“三公”经费的2.47%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（二）财政拨款“三公”经费支出具体情况说明。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支出预算38.1万元（其中：一般公共预算支出38.1万元；政府性基金预算支出0万元；国有资本经营预算支出0万元），支出决算23.26万元（其中：一般公共预算支出23.26万元；政府性基金预算支出0万元；国有资本经营预算支出0万元），完成调整后预算的61.05%，决算数与预算数的差异原因：进一步落实压减三公经费政策，减少非必要公务出行。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（1）公务用车购置支出决算0万元。本年度使用财政拨款购置公务用车0辆。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支出决算23.26万元。公务用车运行维护费主要用于按规定保留的公务用车的燃料费、维修费、过桥过路费、保险费、安全奖励费用等支出。截至2022年12月31日，使用财政拨款开支的公务用车保有量为10辆。</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支出预算1万元（其中：一般公共预算支出1万元；政府性基金预算支出0万元；国有资本经营预算支出0万元），支出决算0.59万元（其中：一般公共预算支出0.59万元；政府性基金预算支出0万元；国有资本经营预算支出0万元），完成调整后预算的59%，决算数与预算数的差异原因：进一步落实压减三公经费政策，减少非必要公务接待。其中：国内公务接待支出0.59万元，接待7批次，76人次，开支内容：接待省级、市级业务内审检查团队及献血业务、志愿服务交流团队等；国（境）外公务接待支出0万元，接待0批次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（三）财政拨款会议费支出决算情况说明。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会议费支出预算0.7万元（其中：一般公共预算支出0.7万元；政府性基金预算支出0万元；国有资本经营预算支出0万元），支出决算0万元（其中：一般公共预算支出0万元；政府性基金预算支出0万元；国有资本经营预算支出0万元），完成调整后预算的0%，决算数与预算数的差异原因：进一步落实压减支出政策，减少非必要线下会议。2022年度全年召开会议0个，参加会议0人次。</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（四）财政拨款培训费支出决算情况说明。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财政拨款培训费支出预算1.2万元（其中：一般公共预算支出1.2万元；政府性基金预算支出0万元；国有资本经营预算支出0万元），支出决算0.35万元（其中：一般公共预算支出0.35万元；政府性基金预算支出0万元；国有资本经营预算支出0万元），完成调整后预算的29.17%，决算数与预算数的差异原因：进一步落实压减支出政策，减少非必要外出培训。2022年度全年组织培训18个，组织培训1080人次，开支内容：采供血业务及服务培训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2022年度政府性基金预算财政拨款支出决算0万元。与上年决算数相同。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十一、国有资本经营预算财政拨款支出决算情况说明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2022年度国有资本经营预算财政拨款支出决算0万元。与上年决算数相同。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十二、财政拨款机关运行经费支出决算情况说明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2022年度机关运行经费支出决算0万元（其中：一般公共预算支出0万元；政府性基金预算支出0万元；国有资本经营预算支出0万元）。与上年决算数相同。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十三、政府采购支出决算情况说明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总额319.76万元，其中：政府采购货物支出243.25万元、政府采购工程支出0万元、政府采购服务支出76.51万元。政府采购授予中小企业合同金额0万元，占政府采购支出总额的0%，其中：授予小微企业合同金额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截至2022年12月31日，本单位共有车辆10辆，其中：副部(省)级及以上领导用车0辆、主要领导干部用车0辆、机要通信用车0辆、应急保障用车0辆、执法执勤用车0辆、特种专业技术用车7辆、离退休干部用车0辆、其他用车3辆；单价50万元（含）以上的通用设备0台（套），单价100万元（含）以上的专用设备5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十五、预算绩效评价工作开展情况</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2022年度，本单位共0个项目开展了财政重点绩效评价，涉及财政性资金合计0万元；本单位未开展单位整体支出财政重点绩效评价，涉及财政性资金0万元。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本单位共对上年度已实施完成的9个项目开展了绩效自评价，涉及财政性资金合计3,039万元；本单位共开展0项单位整体支出绩效自评价，涉及财政性资金合计0万元。</w:t>
      </w:r>
      <w:r>
        <w:rPr>
          <w:rFonts w:ascii="仿宋" w:hAnsi="仿宋" w:cs="仿宋" w:eastAsia="仿宋"/>
        </w:rPr>
        <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cs="仿宋" w:eastAsia="仿宋"/>
          <w:b w:val="true"/>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cs="仿宋" w:eastAsia="仿宋"/>
          <w:b w:val="true"/>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cs="仿宋" w:eastAsia="仿宋"/>
          <w:b w:val="true"/>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cs="仿宋" w:eastAsia="仿宋"/>
          <w:b w:val="true"/>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cs="仿宋" w:eastAsia="仿宋"/>
          <w:b w:val="true"/>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cs="仿宋" w:eastAsia="仿宋"/>
          <w:b w:val="true"/>
        </w:rPr>
        <w:t>：</w:t>
      </w:r>
      <w:r>
        <w:rPr>
          <w:rFonts w:hint="eastAsia" w:ascii="仿宋" w:hAnsi="仿宋" w:eastAsia="仿宋" w:cs="仿宋"/>
        </w:rPr>
        <w:t>指单位取得的除上述“财政拨款收入”、 “上级补助收入”、“事业收入”、“经营收入”、“附属单位上缴收入”等以外的各项收入。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cs="仿宋" w:eastAsia="仿宋"/>
          <w:b w:val="true"/>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cs="仿宋" w:eastAsia="仿宋"/>
          <w:b w:val="true"/>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cs="仿宋" w:eastAsia="仿宋"/>
          <w:b w:val="true"/>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cs="仿宋" w:eastAsia="仿宋"/>
          <w:b w:val="true"/>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cs="仿宋" w:eastAsia="仿宋"/>
          <w:b w:val="true"/>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cs="仿宋" w:eastAsia="仿宋"/>
          <w:b w:val="true"/>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cs="仿宋" w:eastAsia="仿宋"/>
          <w:b w:val="true"/>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cs="仿宋" w:eastAsia="仿宋"/>
          <w:b w:val="true"/>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cs="仿宋" w:eastAsia="仿宋"/>
          <w:b w:val="true"/>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cs="仿宋" w:eastAsia="仿宋"/>
          <w:b w:val="true"/>
        </w:rPr>
        <w:t>：</w:t>
      </w:r>
      <w:r>
        <w:rPr>
          <w:rFonts w:hint="eastAsia" w:ascii="仿宋" w:hAnsi="仿宋" w:eastAsia="仿宋" w:cs="仿宋"/>
        </w:rPr>
        <w:t>指部门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cs="仿宋" w:eastAsia="仿宋"/>
          <w:b w:val="true"/>
        </w:rPr>
        <w:t>：</w:t>
      </w:r>
      <w:r>
        <w:rPr>
          <w:rFonts w:hint="eastAsia" w:ascii="仿宋" w:hAnsi="仿宋" w:eastAsia="仿宋" w:cs="仿宋"/>
        </w:rPr>
        <w:t>指行政单位（含参照公务员法管理的事业单位）使用财政拨款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二十一、社会保障和就业支出(类)其他社会保障和就业支出(款)其他社会保障和就业支出(项)</w:t>
      </w:r>
      <w:r>
        <w:rPr>
          <w:rFonts w:ascii="仿宋" w:hAnsi="仿宋" w:cs="仿宋" w:eastAsia="仿宋"/>
          <w:b w:val="true"/>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二十二、卫生健康支出(类)公共卫生(款)采供血机构(项)</w:t>
      </w:r>
      <w:r>
        <w:rPr>
          <w:rFonts w:ascii="仿宋" w:hAnsi="仿宋" w:cs="仿宋" w:eastAsia="仿宋"/>
          <w:b w:val="true"/>
        </w:rPr>
        <w:t>：</w:t>
      </w:r>
      <w:r>
        <w:rPr>
          <w:rFonts w:hint="eastAsia" w:ascii="仿宋" w:hAnsi="仿宋" w:eastAsia="仿宋" w:cs="仿宋"/>
        </w:rPr>
        <w:t>反映卫生健康部门所属采供血机构的支出。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反映按房改政策规定，行政事业单位向符合条件职工（含离退休人员）、军队(含武警)向转役复员离退休人员发放的用于购买住房的补贴。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江阴市血站</w:t>
    </w:r>
    <w:r>
      <w:t>2022年度</w:t>
    </w:r>
    <w:r>
      <w:t>单位</w:t>
    </w:r>
    <w:r>
      <w:t>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789"/>
    <w:rsid w:val="000C024B"/>
    <w:rsid w:val="000F12AB"/>
    <w:rsid w:val="001C31F9"/>
    <w:rsid w:val="002E63B1"/>
    <w:rsid w:val="00407CA7"/>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theme/theme1.xml" Type="http://schemas.openxmlformats.org/officeDocument/2006/relationships/theme"/><Relationship Id="rId2" Target="settings.xml" Type="http://schemas.openxmlformats.org/officeDocument/2006/relationships/settings"/><Relationship Id="rId20" Target="../customXml/item1.xml" Type="http://schemas.openxmlformats.org/officeDocument/2006/relationships/customXml"/><Relationship Id="rId21" Target="fontTable.xml" Type="http://schemas.openxmlformats.org/officeDocument/2006/relationships/fontTable"/><Relationship Id="rId22" Target="media/image1.jpeg" Type="http://schemas.openxmlformats.org/officeDocument/2006/relationships/image"/><Relationship Id="rId23"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0</TotalTime>
  <ScaleCrop>false</ScaleCrop>
  <LinksUpToDate>false</LinksUpToDate>
  <CharactersWithSpaces>7672</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2023-06-20T09:35:54Z</dcterms:modified>
  <cp:revision>175</cp:revision>
  <dc:title>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2052-11.1.0.12763</vt:lpwstr>
  </property>
  <property fmtid="{D5CDD505-2E9C-101B-9397-08002B2CF9AE}" pid="6" name="LastSaved">
    <vt:filetime>2021-04-15T00:00:00Z</vt:filetime>
  </property>
</Properties>
</file>