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E847D8">
        <w:trPr>
          <w:trHeight w:val="3592"/>
        </w:trPr>
        <w:tc>
          <w:tcPr>
            <w:tcW w:w="10402" w:type="dxa"/>
            <w:tcBorders>
              <w:top w:val="nil"/>
              <w:left w:val="nil"/>
              <w:bottom w:val="nil"/>
              <w:right w:val="nil"/>
            </w:tcBorders>
          </w:tcPr>
          <w:p w:rsidR="00E847D8" w:rsidRDefault="00E847D8">
            <w:pPr>
              <w:pStyle w:val="a4"/>
              <w:spacing w:line="360" w:lineRule="auto"/>
              <w:rPr>
                <w:rFonts w:ascii="仿宋" w:eastAsia="仿宋" w:hAnsi="仿宋" w:cs="仿宋"/>
                <w:b/>
                <w:bCs/>
                <w:color w:val="FF0000"/>
                <w:sz w:val="22"/>
                <w:szCs w:val="22"/>
              </w:rPr>
            </w:pPr>
          </w:p>
        </w:tc>
      </w:tr>
      <w:tr w:rsidR="00E847D8">
        <w:trPr>
          <w:trHeight w:val="4945"/>
        </w:trPr>
        <w:tc>
          <w:tcPr>
            <w:tcW w:w="10402" w:type="dxa"/>
            <w:tcBorders>
              <w:top w:val="nil"/>
              <w:left w:val="nil"/>
              <w:bottom w:val="nil"/>
              <w:right w:val="nil"/>
            </w:tcBorders>
          </w:tcPr>
          <w:p w:rsidR="00E847D8" w:rsidRDefault="001A5CCD">
            <w:pPr>
              <w:ind w:rightChars="129" w:right="284"/>
              <w:jc w:val="center"/>
              <w:rPr>
                <w:rFonts w:ascii="宋体" w:eastAsia="宋体" w:hAnsi="宋体" w:cs="宋体"/>
                <w:b/>
                <w:bCs/>
                <w:sz w:val="52"/>
                <w:szCs w:val="52"/>
                <w:lang w:val="en-US"/>
              </w:rPr>
            </w:pPr>
            <w:r>
              <w:rPr>
                <w:rFonts w:ascii="宋体" w:eastAsia="宋体" w:hAnsi="宋体" w:cs="宋体"/>
                <w:b/>
                <w:sz w:val="52"/>
              </w:rPr>
              <w:t>2022</w:t>
            </w:r>
            <w:r>
              <w:rPr>
                <w:rFonts w:ascii="宋体" w:eastAsia="宋体" w:hAnsi="宋体" w:cs="宋体"/>
                <w:b/>
                <w:sz w:val="52"/>
              </w:rPr>
              <w:t>年度江阴市妇幼保健院单位决算公开</w:t>
            </w:r>
          </w:p>
        </w:tc>
      </w:tr>
    </w:tbl>
    <w:p w:rsidR="00E847D8" w:rsidRDefault="00E847D8">
      <w:pPr>
        <w:ind w:rightChars="129" w:right="284"/>
        <w:jc w:val="both"/>
        <w:rPr>
          <w:rFonts w:ascii="宋体" w:eastAsia="宋体" w:hAnsi="宋体" w:cs="宋体"/>
          <w:b/>
          <w:bCs/>
          <w:sz w:val="52"/>
          <w:szCs w:val="52"/>
        </w:rPr>
        <w:sectPr w:rsidR="00E847D8">
          <w:headerReference w:type="default" r:id="rId7"/>
          <w:headerReference w:type="first" r:id="rId8"/>
          <w:pgSz w:w="11906" w:h="16838"/>
          <w:pgMar w:top="1580" w:right="700" w:bottom="770" w:left="1020" w:header="170" w:footer="280" w:gutter="0"/>
          <w:cols w:space="720"/>
          <w:formProt w:val="0"/>
          <w:titlePg/>
          <w:docGrid w:linePitch="100"/>
        </w:sectPr>
      </w:pPr>
    </w:p>
    <w:p w:rsidR="00E847D8" w:rsidRDefault="00E847D8">
      <w:pPr>
        <w:pStyle w:val="a4"/>
        <w:spacing w:before="4"/>
        <w:rPr>
          <w:rFonts w:ascii="华文仿宋" w:eastAsia="华文仿宋" w:hAnsi="华文仿宋" w:cs="仿宋"/>
          <w:sz w:val="10"/>
        </w:rPr>
      </w:pPr>
    </w:p>
    <w:p w:rsidR="00E847D8" w:rsidRDefault="001A5CCD">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E847D8" w:rsidRDefault="00E847D8">
      <w:pPr>
        <w:pStyle w:val="a4"/>
        <w:spacing w:before="7"/>
        <w:rPr>
          <w:rFonts w:ascii="仿宋" w:eastAsia="仿宋" w:hAnsi="仿宋" w:cs="仿宋"/>
          <w:sz w:val="27"/>
        </w:rPr>
      </w:pPr>
    </w:p>
    <w:p w:rsidR="00E847D8" w:rsidRDefault="001A5CCD">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E847D8" w:rsidRDefault="001A5CCD">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E847D8" w:rsidRDefault="001A5CCD">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E847D8" w:rsidRDefault="001A5CCD">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w:t>
      </w:r>
      <w:r>
        <w:rPr>
          <w:rFonts w:ascii="仿宋" w:eastAsia="仿宋" w:hAnsi="仿宋" w:cs="仿宋" w:hint="eastAsia"/>
          <w:lang w:val="en-US"/>
        </w:rPr>
        <w:t>2</w:t>
      </w:r>
      <w:r>
        <w:rPr>
          <w:rFonts w:ascii="仿宋" w:eastAsia="仿宋" w:hAnsi="仿宋" w:cs="仿宋" w:hint="eastAsia"/>
        </w:rPr>
        <w:t>年度主要工作完成情况</w:t>
      </w:r>
    </w:p>
    <w:p w:rsidR="00E847D8" w:rsidRDefault="001A5CCD">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单位决算表</w:t>
      </w:r>
    </w:p>
    <w:p w:rsidR="00E847D8" w:rsidRDefault="001A5CCD">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E847D8" w:rsidRDefault="001A5CCD">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E847D8" w:rsidRDefault="001A5CCD">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E847D8" w:rsidRDefault="001A5CCD">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E847D8" w:rsidRDefault="001A5CCD">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E847D8" w:rsidRDefault="001A5CCD">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p>
    <w:p w:rsidR="00E847D8" w:rsidRDefault="001A5CCD">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七、一般公共预算支出决算表（功能科目）</w:t>
      </w:r>
    </w:p>
    <w:p w:rsidR="00E847D8" w:rsidRDefault="001A5CCD">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E847D8" w:rsidRDefault="001A5CCD">
      <w:pPr>
        <w:pStyle w:val="a4"/>
        <w:spacing w:line="360" w:lineRule="auto"/>
        <w:ind w:leftChars="300" w:left="671" w:hanging="11"/>
        <w:jc w:val="both"/>
        <w:rPr>
          <w:rFonts w:ascii="仿宋" w:eastAsia="仿宋" w:hAnsi="仿宋" w:cs="仿宋"/>
        </w:rPr>
      </w:pPr>
      <w:r>
        <w:rPr>
          <w:rFonts w:ascii="仿宋" w:eastAsia="仿宋" w:hAnsi="仿宋" w:cs="仿宋" w:hint="eastAsia"/>
        </w:rPr>
        <w:t>九、</w:t>
      </w:r>
      <w:r>
        <w:rPr>
          <w:rFonts w:ascii="仿宋" w:eastAsia="仿宋" w:hAnsi="仿宋" w:cs="仿宋" w:hint="eastAsia"/>
          <w:lang w:val="en-US"/>
        </w:rPr>
        <w:t>财政拨款“三公”经费、会议费和培训费支出决算表</w:t>
      </w:r>
    </w:p>
    <w:p w:rsidR="00E847D8" w:rsidRDefault="001A5CCD">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E847D8" w:rsidRDefault="001A5CCD">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E847D8" w:rsidRDefault="001A5CCD">
      <w:pPr>
        <w:pStyle w:val="a4"/>
        <w:spacing w:line="360" w:lineRule="auto"/>
        <w:ind w:leftChars="300" w:left="671" w:right="2575" w:hanging="11"/>
        <w:jc w:val="both"/>
        <w:rPr>
          <w:rFonts w:ascii="仿宋" w:eastAsia="仿宋" w:hAnsi="仿宋" w:cs="仿宋"/>
        </w:rPr>
      </w:pPr>
      <w:r>
        <w:rPr>
          <w:rFonts w:ascii="仿宋" w:eastAsia="仿宋" w:hAnsi="仿宋" w:cs="仿宋" w:hint="eastAsia"/>
        </w:rPr>
        <w:lastRenderedPageBreak/>
        <w:t>十</w:t>
      </w:r>
      <w:r>
        <w:rPr>
          <w:rFonts w:ascii="仿宋" w:eastAsia="仿宋" w:hAnsi="仿宋" w:cs="仿宋" w:hint="eastAsia"/>
          <w:lang w:val="en-US"/>
        </w:rPr>
        <w:t>二</w:t>
      </w:r>
      <w:r>
        <w:rPr>
          <w:rFonts w:ascii="仿宋" w:eastAsia="仿宋" w:hAnsi="仿宋" w:cs="仿宋" w:hint="eastAsia"/>
        </w:rPr>
        <w:t>、</w:t>
      </w:r>
      <w:r>
        <w:rPr>
          <w:rFonts w:ascii="仿宋" w:eastAsia="仿宋" w:hAnsi="仿宋" w:cs="仿宋" w:hint="eastAsia"/>
          <w:lang w:val="en-US"/>
        </w:rPr>
        <w:t>财政拨款</w:t>
      </w:r>
      <w:r>
        <w:rPr>
          <w:rFonts w:ascii="仿宋" w:eastAsia="仿宋" w:hAnsi="仿宋" w:cs="仿宋" w:hint="eastAsia"/>
        </w:rPr>
        <w:t>机关运行经费支出决算表</w:t>
      </w:r>
    </w:p>
    <w:p w:rsidR="00E847D8" w:rsidRDefault="001A5CCD">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E847D8" w:rsidRDefault="001A5CCD">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单位决算情况说明</w:t>
      </w:r>
    </w:p>
    <w:p w:rsidR="00E847D8" w:rsidRDefault="001A5CCD">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E847D8" w:rsidRDefault="00E847D8">
      <w:pPr>
        <w:pStyle w:val="a4"/>
        <w:spacing w:line="235" w:lineRule="auto"/>
        <w:ind w:leftChars="300" w:left="669" w:right="2414" w:hanging="9"/>
        <w:jc w:val="both"/>
        <w:rPr>
          <w:rFonts w:ascii="仿宋" w:eastAsia="仿宋" w:hAnsi="仿宋" w:cs="仿宋"/>
        </w:rPr>
        <w:sectPr w:rsidR="00E847D8">
          <w:footerReference w:type="default" r:id="rId9"/>
          <w:pgSz w:w="11906" w:h="16838"/>
          <w:pgMar w:top="1580" w:right="700" w:bottom="770" w:left="1020" w:header="283" w:footer="280" w:gutter="0"/>
          <w:pgNumType w:fmt="numberInDash" w:start="1"/>
          <w:cols w:space="720"/>
          <w:formProt w:val="0"/>
          <w:docGrid w:linePitch="100"/>
        </w:sectPr>
      </w:pPr>
    </w:p>
    <w:p w:rsidR="00E847D8" w:rsidRDefault="00E847D8">
      <w:pPr>
        <w:pStyle w:val="a4"/>
        <w:spacing w:before="1"/>
        <w:rPr>
          <w:rFonts w:ascii="华文仿宋" w:eastAsia="华文仿宋" w:hAnsi="华文仿宋" w:cs="仿宋"/>
          <w:sz w:val="14"/>
        </w:rPr>
      </w:pPr>
    </w:p>
    <w:p w:rsidR="00E847D8" w:rsidRDefault="001A5CCD">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单位概况</w:t>
      </w:r>
    </w:p>
    <w:p w:rsidR="00E847D8" w:rsidRDefault="00E847D8">
      <w:pPr>
        <w:ind w:rightChars="229" w:right="504"/>
        <w:jc w:val="both"/>
      </w:pPr>
    </w:p>
    <w:p w:rsidR="00E847D8" w:rsidRDefault="001A5CCD">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（一）协助卫生行政部门拟定全市妇女儿童健康事业工作发展规划，制定全市妇幼卫生政策、技术规范和工作制度。</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（二）制定妇幼健康服务项目具体实施方案、工作流程，并对促进项目工作发展提出建议；协同做好项目开展行政协调、技术指导、考核评估、信息监测等工作。</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（三）组织开展全市的妇幼重大公共卫生服务项目（艾梅乙母婴阻断项目）和基本公共卫生服务项目</w:t>
      </w:r>
      <w:r>
        <w:rPr>
          <w:rFonts w:ascii="仿宋" w:eastAsia="仿宋" w:hAnsi="仿宋" w:cs="仿宋"/>
        </w:rPr>
        <w:t>(</w:t>
      </w:r>
      <w:r>
        <w:rPr>
          <w:rFonts w:ascii="仿宋" w:eastAsia="仿宋" w:hAnsi="仿宋" w:cs="仿宋"/>
        </w:rPr>
        <w:t>孕产妇健康管理、儿童健康管理、两癌检查、基本避孕服务、增补叶酸、免费孕前优生健康检查</w:t>
      </w:r>
      <w:r>
        <w:rPr>
          <w:rFonts w:ascii="仿宋" w:eastAsia="仿宋" w:hAnsi="仿宋" w:cs="仿宋"/>
        </w:rPr>
        <w:t>)</w:t>
      </w:r>
      <w:r>
        <w:rPr>
          <w:rFonts w:ascii="仿宋" w:eastAsia="仿宋" w:hAnsi="仿宋" w:cs="仿宋"/>
        </w:rPr>
        <w:t>等工作，并定期进行项目督导。</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（四）履行行业监管职能，严把医疗机构执业资格准入关，开展爱婴医院、母婴保健专项技术年度校验工作，落实托幼机构保教人员持证上岗制度。</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（五）指导基层妇幼保健工作，负责全市妇幼卫生重大项目和日常监测等报表的收集、汇总、分析、上报，并为行政主管部门制定决策提供依据。</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（六）针对影响妇女儿童健康状况相关因素进行分</w:t>
      </w:r>
      <w:r>
        <w:rPr>
          <w:rFonts w:ascii="仿宋" w:eastAsia="仿宋" w:hAnsi="仿宋" w:cs="仿宋"/>
        </w:rPr>
        <w:t>析，定期组织全市围产协作组、儿保协作组会议，积极开展围产死亡评审、</w:t>
      </w:r>
      <w:r>
        <w:rPr>
          <w:rFonts w:ascii="仿宋" w:eastAsia="仿宋" w:hAnsi="仿宋" w:cs="仿宋"/>
        </w:rPr>
        <w:t>5</w:t>
      </w:r>
      <w:r>
        <w:rPr>
          <w:rFonts w:ascii="仿宋" w:eastAsia="仿宋" w:hAnsi="仿宋" w:cs="仿宋"/>
        </w:rPr>
        <w:t>岁以下儿童死亡评审、孕产妇死亡评审、剖宫产评审等专项评审。</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（七）保障母婴安全，加强产科服务质量监管，推进产科标准化建设和示范创建，完善全市危重孕产妇和新生儿救治体系，严格落实高危孕产妇分级分类规范管理。</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（八）负责全市的出生医学证明项目管理及督导，承担出生医学证明遗失补办及医疗保健机构外出生的新生儿，拟落户江阴市的出生医学证明办理工作。</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（九）开展妇女保健常见病诊治；婚孕前、孕期保健、计划生育技术服务和管理；新生儿疾病筛查、儿童保健康复等</w:t>
      </w:r>
      <w:r>
        <w:rPr>
          <w:rFonts w:ascii="仿宋" w:eastAsia="仿宋" w:hAnsi="仿宋" w:cs="仿宋"/>
        </w:rPr>
        <w:t>妇女儿童保健业务；监管辖区托幼机构儿童健康状况等工作。</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（十）发挥中医药在妇幼保健的特色优势，打造本土化的妇幼特色中医门诊，宣传推行</w:t>
      </w:r>
      <w:r>
        <w:rPr>
          <w:rFonts w:ascii="仿宋" w:eastAsia="仿宋" w:hAnsi="仿宋" w:cs="仿宋"/>
        </w:rPr>
        <w:t>“</w:t>
      </w:r>
      <w:r>
        <w:rPr>
          <w:rFonts w:ascii="仿宋" w:eastAsia="仿宋" w:hAnsi="仿宋" w:cs="仿宋"/>
        </w:rPr>
        <w:t>治未病</w:t>
      </w:r>
      <w:r>
        <w:rPr>
          <w:rFonts w:ascii="仿宋" w:eastAsia="仿宋" w:hAnsi="仿宋" w:cs="仿宋"/>
        </w:rPr>
        <w:t>”</w:t>
      </w:r>
      <w:r>
        <w:rPr>
          <w:rFonts w:ascii="仿宋" w:eastAsia="仿宋" w:hAnsi="仿宋" w:cs="仿宋"/>
        </w:rPr>
        <w:t>概念。</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（十一）做好妇幼卫生健康宣传工作，普及母婴保健相关法律法规及相关政策、编制基本及重大妇幼公共卫生服务项目相关</w:t>
      </w:r>
      <w:r>
        <w:rPr>
          <w:rFonts w:ascii="仿宋" w:eastAsia="仿宋" w:hAnsi="仿宋" w:cs="仿宋"/>
        </w:rPr>
        <w:lastRenderedPageBreak/>
        <w:t>健康教育资料，配合有关部门开展妇幼健康促进行动。</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（十二）加强妇幼人才队伍建设，加强重点学科建设、重点人才培养，提高妇幼医务人员的技术水平和服务能力。</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（十三）推进妇幼健康信息化建设，推动区域医疗的信息化管理使用，满足区域内医疗信息的共享需求。</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（十四）</w:t>
      </w:r>
      <w:r>
        <w:rPr>
          <w:rFonts w:ascii="仿宋" w:eastAsia="仿宋" w:hAnsi="仿宋" w:cs="仿宋"/>
        </w:rPr>
        <w:t>完成上级行政主管部门下达的指令性任务。</w:t>
      </w:r>
    </w:p>
    <w:p w:rsidR="00E847D8" w:rsidRDefault="001A5CCD">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E847D8" w:rsidRDefault="001A5CCD">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办公室、财务科、后勤安保科、医教科、信息管理科、孕产保健科、婚孕前保健科、儿童保健科、妇女保健科、计划生育技术服务科、避孕药具管理科、群体保健科、医学检验科、医学影像科、药剂科。本单位无下属单位。</w:t>
      </w:r>
    </w:p>
    <w:p w:rsidR="00E847D8" w:rsidRDefault="001A5CCD">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2022</w:t>
      </w:r>
      <w:r>
        <w:rPr>
          <w:rFonts w:ascii="黑体" w:eastAsia="黑体" w:hAnsi="黑体" w:cs="黑体" w:hint="eastAsia"/>
        </w:rPr>
        <w:t>年度主要工作完成情况</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（一）、筑牢疫情防控安全生产防线</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一是筑牢医院安全防线。严格落实</w:t>
      </w:r>
      <w:r>
        <w:rPr>
          <w:rFonts w:ascii="仿宋" w:eastAsia="仿宋" w:hAnsi="仿宋" w:cs="仿宋"/>
        </w:rPr>
        <w:t>“</w:t>
      </w:r>
      <w:r>
        <w:rPr>
          <w:rFonts w:ascii="仿宋" w:eastAsia="仿宋" w:hAnsi="仿宋" w:cs="仿宋"/>
        </w:rPr>
        <w:t>预检分诊</w:t>
      </w:r>
      <w:r>
        <w:rPr>
          <w:rFonts w:ascii="仿宋" w:eastAsia="仿宋" w:hAnsi="仿宋" w:cs="仿宋"/>
        </w:rPr>
        <w:t>”</w:t>
      </w:r>
      <w:r>
        <w:rPr>
          <w:rFonts w:ascii="仿宋" w:eastAsia="仿宋" w:hAnsi="仿宋" w:cs="仿宋"/>
        </w:rPr>
        <w:t>、职工疫苗应种尽种、重点人群核酸检测应检尽检；定期召开疫情防控及院感方面相关培训，提升疫情防控应对能力；建立合理有效的应急预案，开展常态化防控巡查工作，确保防控措施落实到位。二是</w:t>
      </w:r>
      <w:r>
        <w:rPr>
          <w:rFonts w:ascii="仿宋" w:eastAsia="仿宋" w:hAnsi="仿宋" w:cs="仿宋"/>
        </w:rPr>
        <w:lastRenderedPageBreak/>
        <w:t>坚决服从疫情防控指挥部的统一部署。今年外派</w:t>
      </w:r>
      <w:r>
        <w:rPr>
          <w:rFonts w:ascii="仿宋" w:eastAsia="仿宋" w:hAnsi="仿宋" w:cs="仿宋"/>
        </w:rPr>
        <w:t>42</w:t>
      </w:r>
      <w:r>
        <w:rPr>
          <w:rFonts w:ascii="仿宋" w:eastAsia="仿宋" w:hAnsi="仿宋" w:cs="仿宋"/>
        </w:rPr>
        <w:t>人支援海南、上海、常州、苏州、无锡等多市，</w:t>
      </w:r>
      <w:r>
        <w:rPr>
          <w:rFonts w:ascii="仿宋" w:eastAsia="仿宋" w:hAnsi="仿宋" w:cs="仿宋"/>
        </w:rPr>
        <w:t>32</w:t>
      </w:r>
      <w:r>
        <w:rPr>
          <w:rFonts w:ascii="仿宋" w:eastAsia="仿宋" w:hAnsi="仿宋" w:cs="仿宋"/>
        </w:rPr>
        <w:t>人驻守集中隔离点，</w:t>
      </w:r>
      <w:r>
        <w:rPr>
          <w:rFonts w:ascii="仿宋" w:eastAsia="仿宋" w:hAnsi="仿宋" w:cs="仿宋"/>
        </w:rPr>
        <w:t>157</w:t>
      </w:r>
      <w:r>
        <w:rPr>
          <w:rFonts w:ascii="仿宋" w:eastAsia="仿宋" w:hAnsi="仿宋" w:cs="仿宋"/>
        </w:rPr>
        <w:t>人次参与接种疫苗，参加市内全民核酸采样近</w:t>
      </w:r>
      <w:r>
        <w:rPr>
          <w:rFonts w:ascii="仿宋" w:eastAsia="仿宋" w:hAnsi="仿宋" w:cs="仿宋"/>
        </w:rPr>
        <w:t>3000</w:t>
      </w:r>
      <w:r>
        <w:rPr>
          <w:rFonts w:ascii="仿宋" w:eastAsia="仿宋" w:hAnsi="仿宋" w:cs="仿宋"/>
        </w:rPr>
        <w:t>人次。江阴</w:t>
      </w:r>
      <w:r>
        <w:rPr>
          <w:rFonts w:ascii="仿宋" w:eastAsia="仿宋" w:hAnsi="仿宋" w:cs="仿宋"/>
        </w:rPr>
        <w:t>“503”</w:t>
      </w:r>
      <w:r>
        <w:rPr>
          <w:rFonts w:ascii="仿宋" w:eastAsia="仿宋" w:hAnsi="仿宋" w:cs="仿宋"/>
        </w:rPr>
        <w:t>疫情发生后，市</w:t>
      </w:r>
      <w:r w:rsidR="00C23FF1">
        <w:rPr>
          <w:rFonts w:ascii="仿宋" w:eastAsia="仿宋" w:hAnsi="仿宋" w:cs="仿宋"/>
        </w:rPr>
        <w:t>卫生健康委</w:t>
      </w:r>
      <w:r>
        <w:rPr>
          <w:rFonts w:ascii="仿宋" w:eastAsia="仿宋" w:hAnsi="仿宋" w:cs="仿宋"/>
        </w:rPr>
        <w:t>、市妇幼保健院相关人员迅速组建孕产妇救治专班，无障碍应急联动，多部门联合启动疫情期间全市</w:t>
      </w:r>
      <w:r>
        <w:rPr>
          <w:rFonts w:ascii="仿宋" w:eastAsia="仿宋" w:hAnsi="仿宋" w:cs="仿宋"/>
        </w:rPr>
        <w:t>孕产妇医疗应急救治服务，全链条保障疫情下的孕产妇保健管理、就医指导、救治转运等工作，确保疫情防控措施有力度、有温度。三是绷紧医院安全生产底线。院部每月组织开展安全生产自查，每季度由主要领导带领班子成员安全生产检查，对存在的安全隐患及时整改到位，今年我院共举办了</w:t>
      </w:r>
      <w:r>
        <w:rPr>
          <w:rFonts w:ascii="仿宋" w:eastAsia="仿宋" w:hAnsi="仿宋" w:cs="仿宋"/>
        </w:rPr>
        <w:t>2</w:t>
      </w:r>
      <w:r>
        <w:rPr>
          <w:rFonts w:ascii="仿宋" w:eastAsia="仿宋" w:hAnsi="仿宋" w:cs="仿宋"/>
        </w:rPr>
        <w:t>场消防安全培训及演练，并在重要的时间节点全院开展安全生产相关宣传活动，增强职工的安全防范意识。积极配合开展文明城市创建工作，深入开展爱国卫生运动，落实爱国卫生月等专项活动，巩固无烟单位创建成果，全面落实控烟工作。</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（二）、完善妇幼健康服务机构建设</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w:t>
      </w:r>
      <w:r>
        <w:rPr>
          <w:rFonts w:ascii="仿宋" w:eastAsia="仿宋" w:hAnsi="仿宋" w:cs="仿宋"/>
        </w:rPr>
        <w:t>是进一步加快推进市级妇幼保健院建设进程，整合妇幼保健资源，对功能布局、科室设置、人员配备等进行规划。二是推</w:t>
      </w:r>
      <w:r>
        <w:rPr>
          <w:rFonts w:ascii="仿宋" w:eastAsia="仿宋" w:hAnsi="仿宋" w:cs="仿宋"/>
        </w:rPr>
        <w:lastRenderedPageBreak/>
        <w:t>进基层妇幼健康规范化门诊建设。继续推进省级基层医疗机构妇幼健康规范化门诊建设，年初既定了</w:t>
      </w:r>
      <w:r>
        <w:rPr>
          <w:rFonts w:ascii="仿宋" w:eastAsia="仿宋" w:hAnsi="仿宋" w:cs="仿宋"/>
        </w:rPr>
        <w:t>2</w:t>
      </w:r>
      <w:r>
        <w:rPr>
          <w:rFonts w:ascii="仿宋" w:eastAsia="仿宋" w:hAnsi="仿宋" w:cs="仿宋"/>
        </w:rPr>
        <w:t>家建设单位（城东社区、三院</w:t>
      </w:r>
      <w:r>
        <w:rPr>
          <w:rFonts w:ascii="仿宋" w:eastAsia="仿宋" w:hAnsi="仿宋" w:cs="仿宋"/>
        </w:rPr>
        <w:t>/</w:t>
      </w:r>
      <w:r>
        <w:rPr>
          <w:rFonts w:ascii="仿宋" w:eastAsia="仿宋" w:hAnsi="仿宋" w:cs="仿宋"/>
        </w:rPr>
        <w:t>夏港社区），</w:t>
      </w:r>
      <w:r>
        <w:rPr>
          <w:rFonts w:ascii="仿宋" w:eastAsia="仿宋" w:hAnsi="仿宋" w:cs="仿宋"/>
        </w:rPr>
        <w:t>11</w:t>
      </w:r>
      <w:r>
        <w:rPr>
          <w:rFonts w:ascii="仿宋" w:eastAsia="仿宋" w:hAnsi="仿宋" w:cs="仿宋"/>
        </w:rPr>
        <w:t>月无锡</w:t>
      </w:r>
      <w:r w:rsidR="00C23FF1">
        <w:rPr>
          <w:rFonts w:ascii="仿宋" w:eastAsia="仿宋" w:hAnsi="仿宋" w:cs="仿宋"/>
        </w:rPr>
        <w:t>卫生健康委</w:t>
      </w:r>
      <w:r>
        <w:rPr>
          <w:rFonts w:ascii="仿宋" w:eastAsia="仿宋" w:hAnsi="仿宋" w:cs="仿宋"/>
        </w:rPr>
        <w:t>对城东社区进行现场验收评审；三院妇保门诊在</w:t>
      </w:r>
      <w:r>
        <w:rPr>
          <w:rFonts w:ascii="仿宋" w:eastAsia="仿宋" w:hAnsi="仿宋" w:cs="仿宋"/>
        </w:rPr>
        <w:t>11</w:t>
      </w:r>
      <w:r>
        <w:rPr>
          <w:rFonts w:ascii="仿宋" w:eastAsia="仿宋" w:hAnsi="仿宋" w:cs="仿宋"/>
        </w:rPr>
        <w:t>月底完成房屋改造，</w:t>
      </w:r>
      <w:r>
        <w:rPr>
          <w:rFonts w:ascii="仿宋" w:eastAsia="仿宋" w:hAnsi="仿宋" w:cs="仿宋"/>
        </w:rPr>
        <w:t>12</w:t>
      </w:r>
      <w:r>
        <w:rPr>
          <w:rFonts w:ascii="仿宋" w:eastAsia="仿宋" w:hAnsi="仿宋" w:cs="仿宋"/>
        </w:rPr>
        <w:t>月将相关创建资料上传无锡进行线上评审，目前结果未出。同时为巩固省妇幼健康规范化门诊建设成效，对已创建成功的</w:t>
      </w:r>
      <w:r>
        <w:rPr>
          <w:rFonts w:ascii="仿宋" w:eastAsia="仿宋" w:hAnsi="仿宋" w:cs="仿宋"/>
        </w:rPr>
        <w:t>12</w:t>
      </w:r>
      <w:r>
        <w:rPr>
          <w:rFonts w:ascii="仿宋" w:eastAsia="仿宋" w:hAnsi="仿宋" w:cs="仿宋"/>
        </w:rPr>
        <w:t>家单位进行</w:t>
      </w:r>
      <w:r>
        <w:rPr>
          <w:rFonts w:ascii="仿宋" w:eastAsia="仿宋" w:hAnsi="仿宋" w:cs="仿宋"/>
        </w:rPr>
        <w:t>“</w:t>
      </w:r>
      <w:r>
        <w:rPr>
          <w:rFonts w:ascii="仿宋" w:eastAsia="仿宋" w:hAnsi="仿宋" w:cs="仿宋"/>
        </w:rPr>
        <w:t>回头看</w:t>
      </w:r>
      <w:r>
        <w:rPr>
          <w:rFonts w:ascii="仿宋" w:eastAsia="仿宋" w:hAnsi="仿宋" w:cs="仿宋"/>
        </w:rPr>
        <w:t>”</w:t>
      </w:r>
      <w:r>
        <w:rPr>
          <w:rFonts w:ascii="仿宋" w:eastAsia="仿宋" w:hAnsi="仿宋" w:cs="仿宋"/>
        </w:rPr>
        <w:t>，落实动态评估退出机制。三是江阴市婴幼儿照护服务指导中心于</w:t>
      </w:r>
      <w:r>
        <w:rPr>
          <w:rFonts w:ascii="仿宋" w:eastAsia="仿宋" w:hAnsi="仿宋" w:cs="仿宋"/>
        </w:rPr>
        <w:t>9</w:t>
      </w:r>
      <w:r>
        <w:rPr>
          <w:rFonts w:ascii="仿宋" w:eastAsia="仿宋" w:hAnsi="仿宋" w:cs="仿宋"/>
        </w:rPr>
        <w:t>月</w:t>
      </w:r>
      <w:r>
        <w:rPr>
          <w:rFonts w:ascii="仿宋" w:eastAsia="仿宋" w:hAnsi="仿宋" w:cs="仿宋"/>
        </w:rPr>
        <w:t>落户市妇幼保健院，中心成立后，以婴幼儿健康发展为中心</w:t>
      </w:r>
      <w:r>
        <w:rPr>
          <w:rFonts w:ascii="仿宋" w:eastAsia="仿宋" w:hAnsi="仿宋" w:cs="仿宋"/>
        </w:rPr>
        <w:t>,</w:t>
      </w:r>
      <w:r>
        <w:rPr>
          <w:rFonts w:ascii="仿宋" w:eastAsia="仿宋" w:hAnsi="仿宋" w:cs="仿宋"/>
        </w:rPr>
        <w:t>发挥专业优势、阵地优势，为</w:t>
      </w:r>
      <w:r>
        <w:rPr>
          <w:rFonts w:ascii="仿宋" w:eastAsia="仿宋" w:hAnsi="仿宋" w:cs="仿宋"/>
        </w:rPr>
        <w:t>3</w:t>
      </w:r>
      <w:r>
        <w:rPr>
          <w:rFonts w:ascii="仿宋" w:eastAsia="仿宋" w:hAnsi="仿宋" w:cs="仿宋"/>
        </w:rPr>
        <w:t>岁以下婴幼儿家庭育儿提供专业支持，指导全市托育机构保育工作的开展。</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（三）、夯实政风行风建设基础</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一是牢牢把稳政治方向。</w:t>
      </w:r>
      <w:r>
        <w:rPr>
          <w:rFonts w:ascii="仿宋" w:eastAsia="仿宋" w:hAnsi="仿宋" w:cs="仿宋"/>
        </w:rPr>
        <w:t>1.</w:t>
      </w:r>
      <w:r>
        <w:rPr>
          <w:rFonts w:ascii="仿宋" w:eastAsia="仿宋" w:hAnsi="仿宋" w:cs="仿宋"/>
        </w:rPr>
        <w:t>深入开展党史学习教育。结合迎</w:t>
      </w:r>
      <w:r>
        <w:rPr>
          <w:rFonts w:ascii="仿宋" w:eastAsia="仿宋" w:hAnsi="仿宋" w:cs="仿宋"/>
        </w:rPr>
        <w:t>“</w:t>
      </w:r>
      <w:r>
        <w:rPr>
          <w:rFonts w:ascii="仿宋" w:eastAsia="仿宋" w:hAnsi="仿宋" w:cs="仿宋"/>
        </w:rPr>
        <w:t>七一</w:t>
      </w:r>
      <w:r>
        <w:rPr>
          <w:rFonts w:ascii="仿宋" w:eastAsia="仿宋" w:hAnsi="仿宋" w:cs="仿宋"/>
        </w:rPr>
        <w:t>”</w:t>
      </w:r>
      <w:r>
        <w:rPr>
          <w:rFonts w:ascii="仿宋" w:eastAsia="仿宋" w:hAnsi="仿宋" w:cs="仿宋"/>
        </w:rPr>
        <w:t>系列主题活动，邀请市委党校教授来院开展主题党课讲座，教育引导全体干部职工学习党史厚植信仰力量。</w:t>
      </w:r>
      <w:r>
        <w:rPr>
          <w:rFonts w:ascii="仿宋" w:eastAsia="仿宋" w:hAnsi="仿宋" w:cs="仿宋"/>
        </w:rPr>
        <w:t>2.</w:t>
      </w:r>
      <w:r>
        <w:rPr>
          <w:rFonts w:ascii="仿宋" w:eastAsia="仿宋" w:hAnsi="仿宋" w:cs="仿宋"/>
        </w:rPr>
        <w:t>多措并举学习贯彻党的二十大精神。通过总支集中学、专题深入学、实践沉浸学、线上随时学等多种形式，迅速在全院上下掀起学习二十大精神热潮。</w:t>
      </w:r>
      <w:r>
        <w:rPr>
          <w:rFonts w:ascii="仿宋" w:eastAsia="仿宋" w:hAnsi="仿宋" w:cs="仿宋"/>
        </w:rPr>
        <w:t>3.</w:t>
      </w:r>
      <w:r>
        <w:rPr>
          <w:rFonts w:ascii="仿宋" w:eastAsia="仿宋" w:hAnsi="仿宋" w:cs="仿宋"/>
        </w:rPr>
        <w:t>落实各项党建工作重点任务。年初制定党</w:t>
      </w:r>
      <w:r>
        <w:rPr>
          <w:rFonts w:ascii="仿宋" w:eastAsia="仿宋" w:hAnsi="仿宋" w:cs="仿宋"/>
        </w:rPr>
        <w:t>建责任清单</w:t>
      </w:r>
      <w:r>
        <w:rPr>
          <w:rFonts w:ascii="仿宋" w:eastAsia="仿宋" w:hAnsi="仿宋" w:cs="仿宋"/>
        </w:rPr>
        <w:lastRenderedPageBreak/>
        <w:t>并按计划抓好落实，坚持把意识形态工作摆在党建工作的突出位置，持续推进党支部标准化建设，精心凝练党建品牌特色，严格落实</w:t>
      </w:r>
      <w:r>
        <w:rPr>
          <w:rFonts w:ascii="仿宋" w:eastAsia="仿宋" w:hAnsi="仿宋" w:cs="仿宋"/>
        </w:rPr>
        <w:t>“</w:t>
      </w:r>
      <w:r>
        <w:rPr>
          <w:rFonts w:ascii="仿宋" w:eastAsia="仿宋" w:hAnsi="仿宋" w:cs="仿宋"/>
        </w:rPr>
        <w:t>三会一课</w:t>
      </w:r>
      <w:r>
        <w:rPr>
          <w:rFonts w:ascii="仿宋" w:eastAsia="仿宋" w:hAnsi="仿宋" w:cs="仿宋"/>
        </w:rPr>
        <w:t>”</w:t>
      </w:r>
      <w:r>
        <w:rPr>
          <w:rFonts w:ascii="仿宋" w:eastAsia="仿宋" w:hAnsi="仿宋" w:cs="仿宋"/>
        </w:rPr>
        <w:t>制度，开展特色党建活动，大力抓好党员发展、教育管理工作，强化医院党员干部素质。继续推进</w:t>
      </w:r>
      <w:r>
        <w:rPr>
          <w:rFonts w:ascii="仿宋" w:eastAsia="仿宋" w:hAnsi="仿宋" w:cs="仿宋"/>
        </w:rPr>
        <w:t>“</w:t>
      </w:r>
      <w:r>
        <w:rPr>
          <w:rFonts w:ascii="仿宋" w:eastAsia="仿宋" w:hAnsi="仿宋" w:cs="仿宋"/>
        </w:rPr>
        <w:t>暨阳红</w:t>
      </w:r>
      <w:r>
        <w:rPr>
          <w:rFonts w:ascii="仿宋" w:eastAsia="仿宋" w:hAnsi="仿宋" w:cs="仿宋"/>
        </w:rPr>
        <w:t>—</w:t>
      </w:r>
      <w:r>
        <w:rPr>
          <w:rFonts w:ascii="仿宋" w:eastAsia="仿宋" w:hAnsi="仿宋" w:cs="仿宋"/>
        </w:rPr>
        <w:t>盟红江阴</w:t>
      </w:r>
      <w:r>
        <w:rPr>
          <w:rFonts w:ascii="仿宋" w:eastAsia="仿宋" w:hAnsi="仿宋" w:cs="仿宋"/>
        </w:rPr>
        <w:t>”</w:t>
      </w:r>
      <w:r>
        <w:rPr>
          <w:rFonts w:ascii="仿宋" w:eastAsia="仿宋" w:hAnsi="仿宋" w:cs="仿宋"/>
        </w:rPr>
        <w:t>基层党建三年行动，打造卫生健康行业特色党建联盟，今年又与无锡市妇幼保健院生殖与儿童保健第一、第二党支部，江阴市人民医院妇产科、儿科党支部组建了</w:t>
      </w:r>
      <w:r>
        <w:rPr>
          <w:rFonts w:ascii="仿宋" w:eastAsia="仿宋" w:hAnsi="仿宋" w:cs="仿宋"/>
        </w:rPr>
        <w:t>“</w:t>
      </w:r>
      <w:r>
        <w:rPr>
          <w:rFonts w:ascii="仿宋" w:eastAsia="仿宋" w:hAnsi="仿宋" w:cs="仿宋"/>
        </w:rPr>
        <w:t>锡澄红盟、护佑母婴</w:t>
      </w:r>
      <w:r>
        <w:rPr>
          <w:rFonts w:ascii="仿宋" w:eastAsia="仿宋" w:hAnsi="仿宋" w:cs="仿宋"/>
        </w:rPr>
        <w:t>”</w:t>
      </w:r>
      <w:r>
        <w:rPr>
          <w:rFonts w:ascii="仿宋" w:eastAsia="仿宋" w:hAnsi="仿宋" w:cs="仿宋"/>
        </w:rPr>
        <w:t>党建联盟，通过医联体等形式让辖区妇女在家门口享受同质化医疗服务，提升就医获得感。二是积极开展主题活动。走</w:t>
      </w:r>
      <w:r>
        <w:rPr>
          <w:rFonts w:ascii="仿宋" w:eastAsia="仿宋" w:hAnsi="仿宋" w:cs="仿宋"/>
        </w:rPr>
        <w:t>进社区、企业、院校、街道开展健康宣传、现场义诊等多种形式主题志愿活动。开展暑期志愿者服务活动，</w:t>
      </w:r>
      <w:r>
        <w:rPr>
          <w:rFonts w:ascii="仿宋" w:eastAsia="仿宋" w:hAnsi="仿宋" w:cs="仿宋"/>
        </w:rPr>
        <w:t>21</w:t>
      </w:r>
      <w:r>
        <w:rPr>
          <w:rFonts w:ascii="仿宋" w:eastAsia="仿宋" w:hAnsi="仿宋" w:cs="仿宋"/>
        </w:rPr>
        <w:t>人参与，累计服务时长达</w:t>
      </w:r>
      <w:r>
        <w:rPr>
          <w:rFonts w:ascii="仿宋" w:eastAsia="仿宋" w:hAnsi="仿宋" w:cs="仿宋"/>
        </w:rPr>
        <w:t>550</w:t>
      </w:r>
      <w:r>
        <w:rPr>
          <w:rFonts w:ascii="仿宋" w:eastAsia="仿宋" w:hAnsi="仿宋" w:cs="仿宋"/>
        </w:rPr>
        <w:t>小时。关心关爱一线抗疫医护人员，举办弘扬抗疫精神分享会，诠释责任担当，展示妇幼形象。三是营造良好政治生态。召开党风廉政建设专题会议，进一步筑牢拒腐防变思想道德防线。院科两级签订党风廉政责任书，有效落实党务、院务和</w:t>
      </w:r>
      <w:r>
        <w:rPr>
          <w:rFonts w:ascii="仿宋" w:eastAsia="仿宋" w:hAnsi="仿宋" w:cs="仿宋"/>
        </w:rPr>
        <w:t>“</w:t>
      </w:r>
      <w:r>
        <w:rPr>
          <w:rFonts w:ascii="仿宋" w:eastAsia="仿宋" w:hAnsi="仿宋" w:cs="仿宋"/>
        </w:rPr>
        <w:t>三重一大</w:t>
      </w:r>
      <w:r>
        <w:rPr>
          <w:rFonts w:ascii="仿宋" w:eastAsia="仿宋" w:hAnsi="仿宋" w:cs="仿宋"/>
        </w:rPr>
        <w:t>”</w:t>
      </w:r>
      <w:r>
        <w:rPr>
          <w:rFonts w:ascii="仿宋" w:eastAsia="仿宋" w:hAnsi="仿宋" w:cs="仿宋"/>
        </w:rPr>
        <w:t>决策事项公开，严格规范</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经费使用。加强法治建设，积极开展学法普法活动，依照普法工作计划每月组织</w:t>
      </w:r>
      <w:r>
        <w:rPr>
          <w:rFonts w:ascii="仿宋" w:eastAsia="仿宋" w:hAnsi="仿宋" w:cs="仿宋"/>
        </w:rPr>
        <w:lastRenderedPageBreak/>
        <w:t>干部职工进行法律法规学习，积极利用</w:t>
      </w:r>
      <w:r>
        <w:rPr>
          <w:rFonts w:ascii="仿宋" w:eastAsia="仿宋" w:hAnsi="仿宋" w:cs="仿宋"/>
        </w:rPr>
        <w:t>“</w:t>
      </w:r>
      <w:r>
        <w:rPr>
          <w:rFonts w:ascii="仿宋" w:eastAsia="仿宋" w:hAnsi="仿宋" w:cs="仿宋"/>
        </w:rPr>
        <w:t>法治建设满意度宣传活动</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宪法宣传周</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江苏省第五届百万党员学宪法学党章考法律活动</w:t>
      </w:r>
      <w:r>
        <w:rPr>
          <w:rFonts w:ascii="仿宋" w:eastAsia="仿宋" w:hAnsi="仿宋" w:cs="仿宋"/>
        </w:rPr>
        <w:t>”</w:t>
      </w:r>
      <w:r>
        <w:rPr>
          <w:rFonts w:ascii="仿宋" w:eastAsia="仿宋" w:hAnsi="仿宋" w:cs="仿宋"/>
        </w:rPr>
        <w:t>等活动，做好法治宣传，积极推动普及安全法制教育，将法律知识融入到医院工作的各个环节。</w:t>
      </w:r>
      <w:r>
        <w:rPr>
          <w:rFonts w:ascii="仿宋" w:eastAsia="仿宋" w:hAnsi="仿宋" w:cs="仿宋"/>
        </w:rPr>
        <w:t>11</w:t>
      </w:r>
      <w:r>
        <w:rPr>
          <w:rFonts w:ascii="仿宋" w:eastAsia="仿宋" w:hAnsi="仿宋" w:cs="仿宋"/>
        </w:rPr>
        <w:t>月初邀请律师、法务人员来院开展法律课堂，深化</w:t>
      </w:r>
      <w:r>
        <w:rPr>
          <w:rFonts w:ascii="仿宋" w:eastAsia="仿宋" w:hAnsi="仿宋" w:cs="仿宋"/>
        </w:rPr>
        <w:t>“</w:t>
      </w:r>
      <w:r>
        <w:rPr>
          <w:rFonts w:ascii="仿宋" w:eastAsia="仿宋" w:hAnsi="仿宋" w:cs="仿宋"/>
        </w:rPr>
        <w:t>以案释法</w:t>
      </w:r>
      <w:r>
        <w:rPr>
          <w:rFonts w:ascii="仿宋" w:eastAsia="仿宋" w:hAnsi="仿宋" w:cs="仿宋"/>
        </w:rPr>
        <w:t>”</w:t>
      </w:r>
      <w:r>
        <w:rPr>
          <w:rFonts w:ascii="仿宋" w:eastAsia="仿宋" w:hAnsi="仿宋" w:cs="仿宋"/>
        </w:rPr>
        <w:t>，营造出职工学法、知法、守法的良好环境。</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（四）、加强妇幼人才队伍建设</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以妇幼保健院建设为契机，紧紧扣住</w:t>
      </w:r>
      <w:r>
        <w:rPr>
          <w:rFonts w:ascii="仿宋" w:eastAsia="仿宋" w:hAnsi="仿宋" w:cs="仿宋"/>
        </w:rPr>
        <w:t>“</w:t>
      </w:r>
      <w:r>
        <w:rPr>
          <w:rFonts w:ascii="仿宋" w:eastAsia="仿宋" w:hAnsi="仿宋" w:cs="仿宋"/>
        </w:rPr>
        <w:t>科技兴院</w:t>
      </w:r>
      <w:r>
        <w:rPr>
          <w:rFonts w:ascii="仿宋" w:eastAsia="仿宋" w:hAnsi="仿宋" w:cs="仿宋"/>
        </w:rPr>
        <w:t>”</w:t>
      </w:r>
      <w:r>
        <w:rPr>
          <w:rFonts w:ascii="仿宋" w:eastAsia="仿宋" w:hAnsi="仿宋" w:cs="仿宋"/>
        </w:rPr>
        <w:t>的策略，不断加大人才培训力度。充实干部队伍力量，实行干部选拔任用工作全程纪实办法，</w:t>
      </w:r>
      <w:r>
        <w:rPr>
          <w:rFonts w:ascii="仿宋" w:eastAsia="仿宋" w:hAnsi="仿宋" w:cs="仿宋"/>
        </w:rPr>
        <w:t>10</w:t>
      </w:r>
      <w:r>
        <w:rPr>
          <w:rFonts w:ascii="仿宋" w:eastAsia="仿宋" w:hAnsi="仿宋" w:cs="仿宋"/>
        </w:rPr>
        <w:t>月份新提拔办公室主任、医教科副科长、药剂科副科长年轻干部各一名，</w:t>
      </w:r>
      <w:r>
        <w:rPr>
          <w:rFonts w:ascii="仿宋" w:eastAsia="仿宋" w:hAnsi="仿宋" w:cs="仿宋"/>
        </w:rPr>
        <w:t>8</w:t>
      </w:r>
      <w:r>
        <w:rPr>
          <w:rFonts w:ascii="仿宋" w:eastAsia="仿宋" w:hAnsi="仿宋" w:cs="仿宋"/>
        </w:rPr>
        <w:t>月底派遣</w:t>
      </w:r>
      <w:r>
        <w:rPr>
          <w:rFonts w:ascii="仿宋" w:eastAsia="仿宋" w:hAnsi="仿宋" w:cs="仿宋"/>
        </w:rPr>
        <w:t>2</w:t>
      </w:r>
      <w:r>
        <w:rPr>
          <w:rFonts w:ascii="仿宋" w:eastAsia="仿宋" w:hAnsi="仿宋" w:cs="仿宋"/>
        </w:rPr>
        <w:t>名优秀中层干部参加卫生系统中</w:t>
      </w:r>
      <w:r>
        <w:rPr>
          <w:rFonts w:ascii="仿宋" w:eastAsia="仿宋" w:hAnsi="仿宋" w:cs="仿宋"/>
        </w:rPr>
        <w:t>青年干部培训班，全面提升综合素质能力。结合妇幼保健特色和单位业务发展规划，年初启动重点学科建设和人才培养计划，从全院各学科中选拔优秀的中青年医学人才，分层次、按年度、有计划地进行培养，提升竞争软实力。今年已外派</w:t>
      </w:r>
      <w:r>
        <w:rPr>
          <w:rFonts w:ascii="仿宋" w:eastAsia="仿宋" w:hAnsi="仿宋" w:cs="仿宋"/>
        </w:rPr>
        <w:t>5</w:t>
      </w:r>
      <w:r>
        <w:rPr>
          <w:rFonts w:ascii="仿宋" w:eastAsia="仿宋" w:hAnsi="仿宋" w:cs="仿宋"/>
        </w:rPr>
        <w:t>人到南京妇幼保健院、苏州市立医院、人民医院医疗集团进修，</w:t>
      </w:r>
      <w:r>
        <w:rPr>
          <w:rFonts w:ascii="仿宋" w:eastAsia="仿宋" w:hAnsi="仿宋" w:cs="仿宋"/>
        </w:rPr>
        <w:t>3</w:t>
      </w:r>
      <w:r>
        <w:rPr>
          <w:rFonts w:ascii="仿宋" w:eastAsia="仿宋" w:hAnsi="仿宋" w:cs="仿宋"/>
        </w:rPr>
        <w:t>人继续住院医师规范化培训。与无锡市妇幼保健院、苏州大学附</w:t>
      </w:r>
      <w:r>
        <w:rPr>
          <w:rFonts w:ascii="仿宋" w:eastAsia="仿宋" w:hAnsi="仿宋" w:cs="仿宋"/>
        </w:rPr>
        <w:lastRenderedPageBreak/>
        <w:t>属第一医院等三甲医院、江阴市人民医院重点专科建立合作帮扶关系，带动重点学科的发展和专科人才的培养。全年完成</w:t>
      </w:r>
      <w:r>
        <w:rPr>
          <w:rFonts w:ascii="仿宋" w:eastAsia="仿宋" w:hAnsi="仿宋" w:cs="仿宋"/>
        </w:rPr>
        <w:t>4</w:t>
      </w:r>
      <w:r>
        <w:rPr>
          <w:rFonts w:ascii="仿宋" w:eastAsia="仿宋" w:hAnsi="仿宋" w:cs="仿宋"/>
        </w:rPr>
        <w:t>个江阴市级继续教育项目，约有</w:t>
      </w:r>
      <w:r>
        <w:rPr>
          <w:rFonts w:ascii="仿宋" w:eastAsia="仿宋" w:hAnsi="仿宋" w:cs="仿宋"/>
        </w:rPr>
        <w:t>1500</w:t>
      </w:r>
      <w:r>
        <w:rPr>
          <w:rFonts w:ascii="仿宋" w:eastAsia="仿宋" w:hAnsi="仿宋" w:cs="仿宋"/>
        </w:rPr>
        <w:t>余人次参加培训，提高了全市妇幼医务人员基础</w:t>
      </w:r>
      <w:r>
        <w:rPr>
          <w:rFonts w:ascii="仿宋" w:eastAsia="仿宋" w:hAnsi="仿宋" w:cs="仿宋"/>
        </w:rPr>
        <w:t>理论和临床诊治水平。开展各类业务培训和技术指导，定期召开妇儿保例会，提高基层妇幼人员的技术水平和服务能力。在市</w:t>
      </w:r>
      <w:r w:rsidR="00C23FF1">
        <w:rPr>
          <w:rFonts w:ascii="仿宋" w:eastAsia="仿宋" w:hAnsi="仿宋" w:cs="仿宋"/>
        </w:rPr>
        <w:t>卫生健康委</w:t>
      </w:r>
      <w:r>
        <w:rPr>
          <w:rFonts w:ascii="仿宋" w:eastAsia="仿宋" w:hAnsi="仿宋" w:cs="仿宋"/>
        </w:rPr>
        <w:t>的统一部署下，严格按照干部人事档案专项审核有关政策、标准和步骤，上半年及时完成了干部人事档案专项审核工作全覆盖，科学设置岗位，规范聘任管理，各类人事管理系统能及时维护到位。</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（五）、提升妇幼公共卫生服务项目质量</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、为确保目标群众获得规范、适宜的基本避孕服务，提高免费基本避孕手术服务可及性，按照</w:t>
      </w:r>
      <w:r>
        <w:rPr>
          <w:rFonts w:ascii="仿宋" w:eastAsia="仿宋" w:hAnsi="仿宋" w:cs="仿宋"/>
        </w:rPr>
        <w:t>“</w:t>
      </w:r>
      <w:r>
        <w:rPr>
          <w:rFonts w:ascii="仿宋" w:eastAsia="仿宋" w:hAnsi="仿宋" w:cs="仿宋"/>
        </w:rPr>
        <w:t>网点可及、分级诊疗、相对集中</w:t>
      </w:r>
      <w:r>
        <w:rPr>
          <w:rFonts w:ascii="仿宋" w:eastAsia="仿宋" w:hAnsi="仿宋" w:cs="仿宋"/>
        </w:rPr>
        <w:t>”</w:t>
      </w:r>
      <w:r>
        <w:rPr>
          <w:rFonts w:ascii="仿宋" w:eastAsia="仿宋" w:hAnsi="仿宋" w:cs="仿宋"/>
        </w:rPr>
        <w:t>的原则，选择具备相应能力的</w:t>
      </w:r>
      <w:r>
        <w:rPr>
          <w:rFonts w:ascii="仿宋" w:eastAsia="仿宋" w:hAnsi="仿宋" w:cs="仿宋"/>
        </w:rPr>
        <w:t>27</w:t>
      </w:r>
      <w:r>
        <w:rPr>
          <w:rFonts w:ascii="仿宋" w:eastAsia="仿宋" w:hAnsi="仿宋" w:cs="仿宋"/>
        </w:rPr>
        <w:t>家医疗卫生机构提供免费避孕手术服务，并</w:t>
      </w:r>
      <w:r>
        <w:rPr>
          <w:rFonts w:ascii="仿宋" w:eastAsia="仿宋" w:hAnsi="仿宋" w:cs="仿宋"/>
        </w:rPr>
        <w:t>签订协议。通过建立定点服务制度，加强政策宣传，规范服务行为，健全手术补助机制，强化项目绩效考核等措施，服务对象可在协议医疗卫生机构直接享受规定免费服务，确保该项目今年如期完成相关指标。</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、全年公共卫生项目完成情况（来源省妇幼信息平台）：</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w:t>
      </w:r>
      <w:r>
        <w:rPr>
          <w:rFonts w:ascii="仿宋" w:eastAsia="仿宋" w:hAnsi="仿宋" w:cs="仿宋"/>
        </w:rPr>
        <w:t>0-6</w:t>
      </w:r>
      <w:r>
        <w:rPr>
          <w:rFonts w:ascii="仿宋" w:eastAsia="仿宋" w:hAnsi="仿宋" w:cs="仿宋"/>
        </w:rPr>
        <w:t>岁儿童健康管理：新生儿访视率</w:t>
      </w:r>
      <w:r>
        <w:rPr>
          <w:rFonts w:ascii="仿宋" w:eastAsia="仿宋" w:hAnsi="仿宋" w:cs="仿宋"/>
        </w:rPr>
        <w:t>99.9%</w:t>
      </w:r>
      <w:r>
        <w:rPr>
          <w:rFonts w:ascii="仿宋" w:eastAsia="仿宋" w:hAnsi="仿宋" w:cs="仿宋"/>
        </w:rPr>
        <w:t>；</w:t>
      </w:r>
      <w:r>
        <w:rPr>
          <w:rFonts w:ascii="仿宋" w:eastAsia="仿宋" w:hAnsi="仿宋" w:cs="仿宋"/>
        </w:rPr>
        <w:t>0-6</w:t>
      </w:r>
      <w:r>
        <w:rPr>
          <w:rFonts w:ascii="仿宋" w:eastAsia="仿宋" w:hAnsi="仿宋" w:cs="仿宋"/>
        </w:rPr>
        <w:t>岁儿童健康管理率</w:t>
      </w:r>
      <w:r>
        <w:rPr>
          <w:rFonts w:ascii="仿宋" w:eastAsia="仿宋" w:hAnsi="仿宋" w:cs="仿宋"/>
        </w:rPr>
        <w:t>100%</w:t>
      </w:r>
      <w:r>
        <w:rPr>
          <w:rFonts w:ascii="仿宋" w:eastAsia="仿宋" w:hAnsi="仿宋" w:cs="仿宋"/>
        </w:rPr>
        <w:t>；</w:t>
      </w:r>
      <w:r>
        <w:rPr>
          <w:rFonts w:ascii="仿宋" w:eastAsia="仿宋" w:hAnsi="仿宋" w:cs="仿宋"/>
        </w:rPr>
        <w:t>0-3</w:t>
      </w:r>
      <w:r>
        <w:rPr>
          <w:rFonts w:ascii="仿宋" w:eastAsia="仿宋" w:hAnsi="仿宋" w:cs="仿宋"/>
        </w:rPr>
        <w:t>岁儿童系统管理率</w:t>
      </w:r>
      <w:r>
        <w:rPr>
          <w:rFonts w:ascii="仿宋" w:eastAsia="仿宋" w:hAnsi="仿宋" w:cs="仿宋"/>
        </w:rPr>
        <w:t>100%</w:t>
      </w:r>
      <w:r>
        <w:rPr>
          <w:rFonts w:ascii="仿宋" w:eastAsia="仿宋" w:hAnsi="仿宋" w:cs="仿宋"/>
        </w:rPr>
        <w:t>。</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）、孕产妇健康管理：辖区孕管孕产妇早孕建册率</w:t>
      </w:r>
      <w:r>
        <w:rPr>
          <w:rFonts w:ascii="仿宋" w:eastAsia="仿宋" w:hAnsi="仿宋" w:cs="仿宋"/>
        </w:rPr>
        <w:t>94.4%</w:t>
      </w:r>
      <w:r>
        <w:rPr>
          <w:rFonts w:ascii="仿宋" w:eastAsia="仿宋" w:hAnsi="仿宋" w:cs="仿宋"/>
        </w:rPr>
        <w:t>，孕产妇健康管理率</w:t>
      </w:r>
      <w:r>
        <w:rPr>
          <w:rFonts w:ascii="仿宋" w:eastAsia="仿宋" w:hAnsi="仿宋" w:cs="仿宋"/>
        </w:rPr>
        <w:t>99.1%</w:t>
      </w:r>
      <w:r>
        <w:rPr>
          <w:rFonts w:ascii="仿宋" w:eastAsia="仿宋" w:hAnsi="仿宋" w:cs="仿宋"/>
        </w:rPr>
        <w:t>，产后访视率</w:t>
      </w:r>
      <w:r>
        <w:rPr>
          <w:rFonts w:ascii="仿宋" w:eastAsia="仿宋" w:hAnsi="仿宋" w:cs="仿宋"/>
        </w:rPr>
        <w:t>97.6%</w:t>
      </w:r>
      <w:r>
        <w:rPr>
          <w:rFonts w:ascii="仿宋" w:eastAsia="仿宋" w:hAnsi="仿宋" w:cs="仿宋"/>
        </w:rPr>
        <w:t>，孕产妇系统管理率</w:t>
      </w:r>
      <w:r>
        <w:rPr>
          <w:rFonts w:ascii="仿宋" w:eastAsia="仿宋" w:hAnsi="仿宋" w:cs="仿宋"/>
        </w:rPr>
        <w:t>95.2%</w:t>
      </w:r>
      <w:r>
        <w:rPr>
          <w:rFonts w:ascii="仿宋" w:eastAsia="仿宋" w:hAnsi="仿宋" w:cs="仿宋"/>
        </w:rPr>
        <w:t>，产后</w:t>
      </w:r>
      <w:r>
        <w:rPr>
          <w:rFonts w:ascii="仿宋" w:eastAsia="仿宋" w:hAnsi="仿宋" w:cs="仿宋"/>
        </w:rPr>
        <w:t>42</w:t>
      </w:r>
      <w:r>
        <w:rPr>
          <w:rFonts w:ascii="仿宋" w:eastAsia="仿宋" w:hAnsi="仿宋" w:cs="仿宋"/>
        </w:rPr>
        <w:t>天检查</w:t>
      </w:r>
      <w:r>
        <w:rPr>
          <w:rFonts w:ascii="仿宋" w:eastAsia="仿宋" w:hAnsi="仿宋" w:cs="仿宋"/>
        </w:rPr>
        <w:t>97.2%</w:t>
      </w:r>
      <w:r>
        <w:rPr>
          <w:rFonts w:ascii="仿宋" w:eastAsia="仿宋" w:hAnsi="仿宋" w:cs="仿宋"/>
        </w:rPr>
        <w:t>。</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）、基本避孕服务项目：区域基本避孕药具发放机构比例</w:t>
      </w:r>
      <w:r>
        <w:rPr>
          <w:rFonts w:ascii="仿宋" w:eastAsia="仿宋" w:hAnsi="仿宋" w:cs="仿宋"/>
        </w:rPr>
        <w:t>100%</w:t>
      </w:r>
      <w:r>
        <w:rPr>
          <w:rFonts w:ascii="仿宋" w:eastAsia="仿宋" w:hAnsi="仿宋" w:cs="仿宋"/>
        </w:rPr>
        <w:t>，避孕药具发放覆盖率</w:t>
      </w:r>
      <w:r>
        <w:rPr>
          <w:rFonts w:ascii="仿宋" w:eastAsia="仿宋" w:hAnsi="仿宋" w:cs="仿宋"/>
        </w:rPr>
        <w:t>48.99%</w:t>
      </w:r>
      <w:r>
        <w:rPr>
          <w:rFonts w:ascii="仿宋" w:eastAsia="仿宋" w:hAnsi="仿宋" w:cs="仿宋"/>
        </w:rPr>
        <w:t>。基本避孕手术</w:t>
      </w:r>
      <w:r>
        <w:rPr>
          <w:rFonts w:ascii="仿宋" w:eastAsia="仿宋" w:hAnsi="仿宋" w:cs="仿宋"/>
        </w:rPr>
        <w:t>27</w:t>
      </w:r>
      <w:r>
        <w:rPr>
          <w:rFonts w:ascii="仿宋" w:eastAsia="仿宋" w:hAnsi="仿宋" w:cs="仿宋"/>
        </w:rPr>
        <w:t>家签约单位</w:t>
      </w:r>
      <w:r>
        <w:rPr>
          <w:rFonts w:ascii="仿宋" w:eastAsia="仿宋" w:hAnsi="仿宋" w:cs="仿宋"/>
        </w:rPr>
        <w:t>8</w:t>
      </w:r>
      <w:r>
        <w:rPr>
          <w:rFonts w:ascii="仿宋" w:eastAsia="仿宋" w:hAnsi="仿宋" w:cs="仿宋"/>
        </w:rPr>
        <w:t>项计划生育技术服务共</w:t>
      </w:r>
      <w:r>
        <w:rPr>
          <w:rFonts w:ascii="仿宋" w:eastAsia="仿宋" w:hAnsi="仿宋" w:cs="仿宋"/>
        </w:rPr>
        <w:t>6772</w:t>
      </w:r>
      <w:r>
        <w:rPr>
          <w:rFonts w:ascii="仿宋" w:eastAsia="仿宋" w:hAnsi="仿宋" w:cs="仿宋"/>
        </w:rPr>
        <w:t>例，实施免费手术</w:t>
      </w:r>
      <w:r>
        <w:rPr>
          <w:rFonts w:ascii="仿宋" w:eastAsia="仿宋" w:hAnsi="仿宋" w:cs="仿宋"/>
        </w:rPr>
        <w:t>3161</w:t>
      </w:r>
      <w:r>
        <w:rPr>
          <w:rFonts w:ascii="仿宋" w:eastAsia="仿宋" w:hAnsi="仿宋" w:cs="仿宋"/>
        </w:rPr>
        <w:t>例，免费服务率</w:t>
      </w:r>
      <w:r>
        <w:rPr>
          <w:rFonts w:ascii="仿宋" w:eastAsia="仿宋" w:hAnsi="仿宋" w:cs="仿宋"/>
        </w:rPr>
        <w:t>46.68%</w:t>
      </w:r>
      <w:r>
        <w:rPr>
          <w:rFonts w:ascii="仿宋" w:eastAsia="仿宋" w:hAnsi="仿宋" w:cs="仿宋"/>
        </w:rPr>
        <w:t>。计划生育不良反应监测上报</w:t>
      </w:r>
      <w:r>
        <w:rPr>
          <w:rFonts w:ascii="仿宋" w:eastAsia="仿宋" w:hAnsi="仿宋" w:cs="仿宋"/>
        </w:rPr>
        <w:t>1086</w:t>
      </w:r>
      <w:r>
        <w:rPr>
          <w:rFonts w:ascii="仿宋" w:eastAsia="仿宋" w:hAnsi="仿宋" w:cs="仿宋"/>
        </w:rPr>
        <w:t>例，圆满完成任务。</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）、农村妇女增补叶酸项目：叶酸发放合计</w:t>
      </w:r>
      <w:r>
        <w:rPr>
          <w:rFonts w:ascii="仿宋" w:eastAsia="仿宋" w:hAnsi="仿宋" w:cs="仿宋"/>
        </w:rPr>
        <w:t>7659</w:t>
      </w:r>
      <w:r>
        <w:rPr>
          <w:rFonts w:ascii="仿宋" w:eastAsia="仿宋" w:hAnsi="仿宋" w:cs="仿宋"/>
        </w:rPr>
        <w:t>人次，其中免费叶酸发放</w:t>
      </w:r>
      <w:r>
        <w:rPr>
          <w:rFonts w:ascii="仿宋" w:eastAsia="仿宋" w:hAnsi="仿宋" w:cs="仿宋"/>
        </w:rPr>
        <w:t>6811</w:t>
      </w:r>
      <w:r>
        <w:rPr>
          <w:rFonts w:ascii="仿宋" w:eastAsia="仿宋" w:hAnsi="仿宋" w:cs="仿宋"/>
        </w:rPr>
        <w:t>人次。核查各项目单位叶酸项目执行情况，其中年度叶酸服用任务完成率</w:t>
      </w:r>
      <w:r>
        <w:rPr>
          <w:rFonts w:ascii="仿宋" w:eastAsia="仿宋" w:hAnsi="仿宋" w:cs="仿宋"/>
        </w:rPr>
        <w:t>136.2%</w:t>
      </w:r>
      <w:r>
        <w:rPr>
          <w:rFonts w:ascii="仿宋" w:eastAsia="仿宋" w:hAnsi="仿宋" w:cs="仿宋"/>
        </w:rPr>
        <w:t>，免费叶酸服用率</w:t>
      </w:r>
      <w:r>
        <w:rPr>
          <w:rFonts w:ascii="仿宋" w:eastAsia="仿宋" w:hAnsi="仿宋" w:cs="仿宋"/>
        </w:rPr>
        <w:t>88.9%</w:t>
      </w:r>
      <w:r>
        <w:rPr>
          <w:rFonts w:ascii="仿宋" w:eastAsia="仿宋" w:hAnsi="仿宋" w:cs="仿宋"/>
        </w:rPr>
        <w:t>，孕前叶酸服用率</w:t>
      </w:r>
      <w:r>
        <w:rPr>
          <w:rFonts w:ascii="仿宋" w:eastAsia="仿宋" w:hAnsi="仿宋" w:cs="仿宋"/>
        </w:rPr>
        <w:t>33.5%</w:t>
      </w:r>
      <w:r>
        <w:rPr>
          <w:rFonts w:ascii="仿宋" w:eastAsia="仿宋" w:hAnsi="仿宋" w:cs="仿宋"/>
        </w:rPr>
        <w:t>，随访率</w:t>
      </w:r>
      <w:r>
        <w:rPr>
          <w:rFonts w:ascii="仿宋" w:eastAsia="仿宋" w:hAnsi="仿宋" w:cs="仿宋"/>
        </w:rPr>
        <w:t>100%</w:t>
      </w:r>
      <w:r>
        <w:rPr>
          <w:rFonts w:ascii="仿宋" w:eastAsia="仿宋" w:hAnsi="仿宋" w:cs="仿宋"/>
        </w:rPr>
        <w:t>，叶酸知识知晓率</w:t>
      </w:r>
      <w:r>
        <w:rPr>
          <w:rFonts w:ascii="仿宋" w:eastAsia="仿宋" w:hAnsi="仿宋" w:cs="仿宋"/>
        </w:rPr>
        <w:t>1</w:t>
      </w:r>
      <w:r>
        <w:rPr>
          <w:rFonts w:ascii="仿宋" w:eastAsia="仿宋" w:hAnsi="仿宋" w:cs="仿宋"/>
        </w:rPr>
        <w:t>00%</w:t>
      </w:r>
      <w:r>
        <w:rPr>
          <w:rFonts w:ascii="仿宋" w:eastAsia="仿宋" w:hAnsi="仿宋" w:cs="仿宋"/>
        </w:rPr>
        <w:t>。</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）、农村妇女</w:t>
      </w:r>
      <w:r>
        <w:rPr>
          <w:rFonts w:ascii="仿宋" w:eastAsia="仿宋" w:hAnsi="仿宋" w:cs="仿宋"/>
        </w:rPr>
        <w:t>“</w:t>
      </w:r>
      <w:r>
        <w:rPr>
          <w:rFonts w:ascii="仿宋" w:eastAsia="仿宋" w:hAnsi="仿宋" w:cs="仿宋"/>
        </w:rPr>
        <w:t>两癌</w:t>
      </w:r>
      <w:r>
        <w:rPr>
          <w:rFonts w:ascii="仿宋" w:eastAsia="仿宋" w:hAnsi="仿宋" w:cs="仿宋"/>
        </w:rPr>
        <w:t>”</w:t>
      </w:r>
      <w:r>
        <w:rPr>
          <w:rFonts w:ascii="仿宋" w:eastAsia="仿宋" w:hAnsi="仿宋" w:cs="仿宋"/>
        </w:rPr>
        <w:t>检查项目：农村妇女</w:t>
      </w:r>
      <w:r>
        <w:rPr>
          <w:rFonts w:ascii="仿宋" w:eastAsia="仿宋" w:hAnsi="仿宋" w:cs="仿宋"/>
        </w:rPr>
        <w:t>“</w:t>
      </w:r>
      <w:r>
        <w:rPr>
          <w:rFonts w:ascii="仿宋" w:eastAsia="仿宋" w:hAnsi="仿宋" w:cs="仿宋"/>
        </w:rPr>
        <w:t>两癌</w:t>
      </w:r>
      <w:r>
        <w:rPr>
          <w:rFonts w:ascii="仿宋" w:eastAsia="仿宋" w:hAnsi="仿宋" w:cs="仿宋"/>
        </w:rPr>
        <w:t>”</w:t>
      </w:r>
      <w:r>
        <w:rPr>
          <w:rFonts w:ascii="仿宋" w:eastAsia="仿宋" w:hAnsi="仿宋" w:cs="仿宋"/>
        </w:rPr>
        <w:t>检查</w:t>
      </w:r>
      <w:r>
        <w:rPr>
          <w:rFonts w:ascii="仿宋" w:eastAsia="仿宋" w:hAnsi="仿宋" w:cs="仿宋"/>
        </w:rPr>
        <w:lastRenderedPageBreak/>
        <w:t>项目：乳腺癌完成</w:t>
      </w:r>
      <w:r>
        <w:rPr>
          <w:rFonts w:ascii="仿宋" w:eastAsia="仿宋" w:hAnsi="仿宋" w:cs="仿宋"/>
        </w:rPr>
        <w:t>41447</w:t>
      </w:r>
      <w:r>
        <w:rPr>
          <w:rFonts w:ascii="仿宋" w:eastAsia="仿宋" w:hAnsi="仿宋" w:cs="仿宋"/>
        </w:rPr>
        <w:t>人，完成率</w:t>
      </w:r>
      <w:r>
        <w:rPr>
          <w:rFonts w:ascii="仿宋" w:eastAsia="仿宋" w:hAnsi="仿宋" w:cs="仿宋"/>
        </w:rPr>
        <w:t>106.27%</w:t>
      </w:r>
      <w:r>
        <w:rPr>
          <w:rFonts w:ascii="仿宋" w:eastAsia="仿宋" w:hAnsi="仿宋" w:cs="仿宋"/>
        </w:rPr>
        <w:t>，宫颈癌完成</w:t>
      </w:r>
      <w:r>
        <w:rPr>
          <w:rFonts w:ascii="仿宋" w:eastAsia="仿宋" w:hAnsi="仿宋" w:cs="仿宋"/>
        </w:rPr>
        <w:t>41896</w:t>
      </w:r>
      <w:r>
        <w:rPr>
          <w:rFonts w:ascii="仿宋" w:eastAsia="仿宋" w:hAnsi="仿宋" w:cs="仿宋"/>
        </w:rPr>
        <w:t>人，完成率，</w:t>
      </w:r>
      <w:r>
        <w:rPr>
          <w:rFonts w:ascii="仿宋" w:eastAsia="仿宋" w:hAnsi="仿宋" w:cs="仿宋"/>
        </w:rPr>
        <w:t>107.43%</w:t>
      </w:r>
      <w:r>
        <w:rPr>
          <w:rFonts w:ascii="仿宋" w:eastAsia="仿宋" w:hAnsi="仿宋" w:cs="仿宋"/>
        </w:rPr>
        <w:t>，发现乳腺癌及癌前病变</w:t>
      </w:r>
      <w:r>
        <w:rPr>
          <w:rFonts w:ascii="仿宋" w:eastAsia="仿宋" w:hAnsi="仿宋" w:cs="仿宋"/>
        </w:rPr>
        <w:t>13</w:t>
      </w:r>
      <w:r>
        <w:rPr>
          <w:rFonts w:ascii="仿宋" w:eastAsia="仿宋" w:hAnsi="仿宋" w:cs="仿宋"/>
        </w:rPr>
        <w:t>人，早诊率</w:t>
      </w:r>
      <w:r>
        <w:rPr>
          <w:rFonts w:ascii="仿宋" w:eastAsia="仿宋" w:hAnsi="仿宋" w:cs="仿宋"/>
        </w:rPr>
        <w:t>100%</w:t>
      </w:r>
      <w:r>
        <w:rPr>
          <w:rFonts w:ascii="仿宋" w:eastAsia="仿宋" w:hAnsi="仿宋" w:cs="仿宋"/>
        </w:rPr>
        <w:t>，治疗率</w:t>
      </w:r>
      <w:r>
        <w:rPr>
          <w:rFonts w:ascii="仿宋" w:eastAsia="仿宋" w:hAnsi="仿宋" w:cs="仿宋"/>
        </w:rPr>
        <w:t>100%</w:t>
      </w:r>
      <w:r>
        <w:rPr>
          <w:rFonts w:ascii="仿宋" w:eastAsia="仿宋" w:hAnsi="仿宋" w:cs="仿宋"/>
        </w:rPr>
        <w:t>，宫颈癌</w:t>
      </w:r>
      <w:r>
        <w:rPr>
          <w:rFonts w:ascii="仿宋" w:eastAsia="仿宋" w:hAnsi="仿宋" w:cs="仿宋"/>
        </w:rPr>
        <w:t>11</w:t>
      </w:r>
      <w:r>
        <w:rPr>
          <w:rFonts w:ascii="仿宋" w:eastAsia="仿宋" w:hAnsi="仿宋" w:cs="仿宋"/>
        </w:rPr>
        <w:t>人，高级别病变</w:t>
      </w:r>
      <w:r>
        <w:rPr>
          <w:rFonts w:ascii="仿宋" w:eastAsia="仿宋" w:hAnsi="仿宋" w:cs="仿宋"/>
        </w:rPr>
        <w:t>107</w:t>
      </w:r>
      <w:r>
        <w:rPr>
          <w:rFonts w:ascii="仿宋" w:eastAsia="仿宋" w:hAnsi="仿宋" w:cs="仿宋"/>
        </w:rPr>
        <w:t>人，早诊率</w:t>
      </w:r>
      <w:r>
        <w:rPr>
          <w:rFonts w:ascii="仿宋" w:eastAsia="仿宋" w:hAnsi="仿宋" w:cs="仿宋"/>
        </w:rPr>
        <w:t>99.15%</w:t>
      </w:r>
      <w:r>
        <w:rPr>
          <w:rFonts w:ascii="仿宋" w:eastAsia="仿宋" w:hAnsi="仿宋" w:cs="仿宋"/>
        </w:rPr>
        <w:t>，治疗率</w:t>
      </w:r>
      <w:r>
        <w:rPr>
          <w:rFonts w:ascii="仿宋" w:eastAsia="仿宋" w:hAnsi="仿宋" w:cs="仿宋"/>
        </w:rPr>
        <w:t>100%</w:t>
      </w:r>
      <w:r>
        <w:rPr>
          <w:rFonts w:ascii="仿宋" w:eastAsia="仿宋" w:hAnsi="仿宋" w:cs="仿宋"/>
        </w:rPr>
        <w:t>。</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）、免费孕前优生健康检查项目：孕前优生体检完成</w:t>
      </w:r>
      <w:r>
        <w:rPr>
          <w:rFonts w:ascii="仿宋" w:eastAsia="仿宋" w:hAnsi="仿宋" w:cs="仿宋"/>
        </w:rPr>
        <w:t>117.27%</w:t>
      </w:r>
      <w:r>
        <w:rPr>
          <w:rFonts w:ascii="仿宋" w:eastAsia="仿宋" w:hAnsi="仿宋" w:cs="仿宋"/>
        </w:rPr>
        <w:t>，准备再生育对象参检积极性相对较低。</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）、母婴阻断项目：母婴阻断项目孕期共检测</w:t>
      </w:r>
      <w:r>
        <w:rPr>
          <w:rFonts w:ascii="仿宋" w:eastAsia="仿宋" w:hAnsi="仿宋" w:cs="仿宋"/>
        </w:rPr>
        <w:t>10682</w:t>
      </w:r>
      <w:r>
        <w:rPr>
          <w:rFonts w:ascii="仿宋" w:eastAsia="仿宋" w:hAnsi="仿宋" w:cs="仿宋"/>
        </w:rPr>
        <w:t>人，其中艾滋病阳性</w:t>
      </w:r>
      <w:r>
        <w:rPr>
          <w:rFonts w:ascii="仿宋" w:eastAsia="仿宋" w:hAnsi="仿宋" w:cs="仿宋"/>
        </w:rPr>
        <w:t>5</w:t>
      </w:r>
      <w:r>
        <w:rPr>
          <w:rFonts w:ascii="仿宋" w:eastAsia="仿宋" w:hAnsi="仿宋" w:cs="仿宋"/>
        </w:rPr>
        <w:t>人（终止妊娠</w:t>
      </w:r>
      <w:r>
        <w:rPr>
          <w:rFonts w:ascii="仿宋" w:eastAsia="仿宋" w:hAnsi="仿宋" w:cs="仿宋"/>
        </w:rPr>
        <w:t>2</w:t>
      </w:r>
      <w:r>
        <w:rPr>
          <w:rFonts w:ascii="仿宋" w:eastAsia="仿宋" w:hAnsi="仿宋" w:cs="仿宋"/>
        </w:rPr>
        <w:t>人，转介</w:t>
      </w:r>
      <w:r>
        <w:rPr>
          <w:rFonts w:ascii="仿宋" w:eastAsia="仿宋" w:hAnsi="仿宋" w:cs="仿宋"/>
        </w:rPr>
        <w:t>1</w:t>
      </w:r>
      <w:r>
        <w:rPr>
          <w:rFonts w:ascii="仿宋" w:eastAsia="仿宋" w:hAnsi="仿宋" w:cs="仿宋"/>
        </w:rPr>
        <w:t>人，分娩</w:t>
      </w:r>
      <w:r>
        <w:rPr>
          <w:rFonts w:ascii="仿宋" w:eastAsia="仿宋" w:hAnsi="仿宋" w:cs="仿宋"/>
        </w:rPr>
        <w:t>2</w:t>
      </w:r>
      <w:r>
        <w:rPr>
          <w:rFonts w:ascii="仿宋" w:eastAsia="仿宋" w:hAnsi="仿宋" w:cs="仿宋"/>
        </w:rPr>
        <w:t>人），</w:t>
      </w:r>
      <w:r>
        <w:rPr>
          <w:rFonts w:ascii="仿宋" w:eastAsia="仿宋" w:hAnsi="仿宋" w:cs="仿宋"/>
        </w:rPr>
        <w:t>梅毒阳性</w:t>
      </w:r>
      <w:r>
        <w:rPr>
          <w:rFonts w:ascii="仿宋" w:eastAsia="仿宋" w:hAnsi="仿宋" w:cs="仿宋"/>
        </w:rPr>
        <w:t>33</w:t>
      </w:r>
      <w:r>
        <w:rPr>
          <w:rFonts w:ascii="仿宋" w:eastAsia="仿宋" w:hAnsi="仿宋" w:cs="仿宋"/>
        </w:rPr>
        <w:t>人，乙肝阳性</w:t>
      </w:r>
      <w:r>
        <w:rPr>
          <w:rFonts w:ascii="仿宋" w:eastAsia="仿宋" w:hAnsi="仿宋" w:cs="仿宋"/>
        </w:rPr>
        <w:t>316</w:t>
      </w:r>
      <w:r>
        <w:rPr>
          <w:rFonts w:ascii="仿宋" w:eastAsia="仿宋" w:hAnsi="仿宋" w:cs="仿宋"/>
        </w:rPr>
        <w:t>人。住院检测</w:t>
      </w:r>
      <w:r>
        <w:rPr>
          <w:rFonts w:ascii="仿宋" w:eastAsia="仿宋" w:hAnsi="仿宋" w:cs="仿宋"/>
        </w:rPr>
        <w:t>8089</w:t>
      </w:r>
      <w:r>
        <w:rPr>
          <w:rFonts w:ascii="仿宋" w:eastAsia="仿宋" w:hAnsi="仿宋" w:cs="仿宋"/>
        </w:rPr>
        <w:t>人，其中艾滋病阳性</w:t>
      </w:r>
      <w:r>
        <w:rPr>
          <w:rFonts w:ascii="仿宋" w:eastAsia="仿宋" w:hAnsi="仿宋" w:cs="仿宋"/>
        </w:rPr>
        <w:t>2</w:t>
      </w:r>
      <w:r>
        <w:rPr>
          <w:rFonts w:ascii="仿宋" w:eastAsia="仿宋" w:hAnsi="仿宋" w:cs="仿宋"/>
        </w:rPr>
        <w:t>人，梅毒阳性</w:t>
      </w:r>
      <w:r>
        <w:rPr>
          <w:rFonts w:ascii="仿宋" w:eastAsia="仿宋" w:hAnsi="仿宋" w:cs="仿宋"/>
        </w:rPr>
        <w:t>25</w:t>
      </w:r>
      <w:r>
        <w:rPr>
          <w:rFonts w:ascii="仿宋" w:eastAsia="仿宋" w:hAnsi="仿宋" w:cs="仿宋"/>
        </w:rPr>
        <w:t>人，乙肝阳性</w:t>
      </w:r>
      <w:r>
        <w:rPr>
          <w:rFonts w:ascii="仿宋" w:eastAsia="仿宋" w:hAnsi="仿宋" w:cs="仿宋"/>
        </w:rPr>
        <w:t>232</w:t>
      </w:r>
      <w:r>
        <w:rPr>
          <w:rFonts w:ascii="仿宋" w:eastAsia="仿宋" w:hAnsi="仿宋" w:cs="仿宋"/>
        </w:rPr>
        <w:t>人，新生儿乙肝免疫球蛋白注射</w:t>
      </w:r>
      <w:r>
        <w:rPr>
          <w:rFonts w:ascii="仿宋" w:eastAsia="仿宋" w:hAnsi="仿宋" w:cs="仿宋"/>
        </w:rPr>
        <w:t>235</w:t>
      </w:r>
      <w:r>
        <w:rPr>
          <w:rFonts w:ascii="仿宋" w:eastAsia="仿宋" w:hAnsi="仿宋" w:cs="仿宋"/>
        </w:rPr>
        <w:t>人。</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（六）、做实出生缺陷综合防治民生实事项目工作</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、继续推进出生缺陷综合防治项目，实现产前筛查和新生儿疾病筛查全覆盖，截止到</w:t>
      </w:r>
      <w:r>
        <w:rPr>
          <w:rFonts w:ascii="仿宋" w:eastAsia="仿宋" w:hAnsi="仿宋" w:cs="仿宋"/>
        </w:rPr>
        <w:t>12</w:t>
      </w:r>
      <w:r>
        <w:rPr>
          <w:rFonts w:ascii="仿宋" w:eastAsia="仿宋" w:hAnsi="仿宋" w:cs="仿宋"/>
        </w:rPr>
        <w:t>月的无锡市为民办实事项目报表，我市辖区产前筛查率</w:t>
      </w:r>
      <w:r>
        <w:rPr>
          <w:rFonts w:ascii="仿宋" w:eastAsia="仿宋" w:hAnsi="仿宋" w:cs="仿宋"/>
        </w:rPr>
        <w:t>107%</w:t>
      </w:r>
      <w:r>
        <w:rPr>
          <w:rFonts w:ascii="仿宋" w:eastAsia="仿宋" w:hAnsi="仿宋" w:cs="仿宋"/>
        </w:rPr>
        <w:t>，遗传代谢病筛查率</w:t>
      </w:r>
      <w:r>
        <w:rPr>
          <w:rFonts w:ascii="仿宋" w:eastAsia="仿宋" w:hAnsi="仿宋" w:cs="仿宋"/>
        </w:rPr>
        <w:t>99.5%</w:t>
      </w:r>
      <w:r>
        <w:rPr>
          <w:rFonts w:ascii="仿宋" w:eastAsia="仿宋" w:hAnsi="仿宋" w:cs="仿宋"/>
        </w:rPr>
        <w:t>，听力障碍筛查率</w:t>
      </w:r>
      <w:r>
        <w:rPr>
          <w:rFonts w:ascii="仿宋" w:eastAsia="仿宋" w:hAnsi="仿宋" w:cs="仿宋"/>
        </w:rPr>
        <w:t>99.76%</w:t>
      </w:r>
      <w:r>
        <w:rPr>
          <w:rFonts w:ascii="仿宋" w:eastAsia="仿宋" w:hAnsi="仿宋" w:cs="仿宋"/>
        </w:rPr>
        <w:t>，先心病筛查率</w:t>
      </w:r>
      <w:r>
        <w:rPr>
          <w:rFonts w:ascii="仿宋" w:eastAsia="仿宋" w:hAnsi="仿宋" w:cs="仿宋"/>
        </w:rPr>
        <w:t>99.2%</w:t>
      </w:r>
      <w:r>
        <w:rPr>
          <w:rFonts w:ascii="仿宋" w:eastAsia="仿宋" w:hAnsi="仿宋" w:cs="仿宋"/>
        </w:rPr>
        <w:t>。加大对常住人口免费产前筛查和新生儿疾病筛查服务项目的宣传力度，要求各级医疗机构</w:t>
      </w:r>
      <w:r>
        <w:rPr>
          <w:rFonts w:ascii="仿宋" w:eastAsia="仿宋" w:hAnsi="仿宋" w:cs="仿宋"/>
        </w:rPr>
        <w:lastRenderedPageBreak/>
        <w:t>做到应报尽报，但是受疫情影</w:t>
      </w:r>
      <w:r>
        <w:rPr>
          <w:rFonts w:ascii="仿宋" w:eastAsia="仿宋" w:hAnsi="仿宋" w:cs="仿宋"/>
        </w:rPr>
        <w:t>响，</w:t>
      </w:r>
      <w:r>
        <w:rPr>
          <w:rFonts w:ascii="仿宋" w:eastAsia="仿宋" w:hAnsi="仿宋" w:cs="仿宋"/>
        </w:rPr>
        <w:t>1-12</w:t>
      </w:r>
      <w:r>
        <w:rPr>
          <w:rFonts w:ascii="仿宋" w:eastAsia="仿宋" w:hAnsi="仿宋" w:cs="仿宋"/>
        </w:rPr>
        <w:t>月我市产筛结报率</w:t>
      </w:r>
      <w:r>
        <w:rPr>
          <w:rFonts w:ascii="仿宋" w:eastAsia="仿宋" w:hAnsi="仿宋" w:cs="仿宋"/>
        </w:rPr>
        <w:t>43.5%</w:t>
      </w:r>
      <w:r>
        <w:rPr>
          <w:rFonts w:ascii="仿宋" w:eastAsia="仿宋" w:hAnsi="仿宋" w:cs="仿宋"/>
        </w:rPr>
        <w:t>，新生儿疾病筛查结报率</w:t>
      </w:r>
      <w:r>
        <w:rPr>
          <w:rFonts w:ascii="仿宋" w:eastAsia="仿宋" w:hAnsi="仿宋" w:cs="仿宋"/>
        </w:rPr>
        <w:t>48.5%</w:t>
      </w:r>
      <w:r>
        <w:rPr>
          <w:rFonts w:ascii="仿宋" w:eastAsia="仿宋" w:hAnsi="仿宋" w:cs="仿宋"/>
        </w:rPr>
        <w:t>，报销率仍有待提高。</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、实施和推广出生缺陷防控新技术，依托产前筛查机构资质，市妇保院联合无锡市妇幼保健院在江阴地区率先开展非整倍体染色体无创基因、无创</w:t>
      </w:r>
      <w:r>
        <w:rPr>
          <w:rFonts w:ascii="仿宋" w:eastAsia="仿宋" w:hAnsi="仿宋" w:cs="仿宋"/>
        </w:rPr>
        <w:t>PLUS</w:t>
      </w:r>
      <w:r>
        <w:rPr>
          <w:rFonts w:ascii="仿宋" w:eastAsia="仿宋" w:hAnsi="仿宋" w:cs="仿宋"/>
        </w:rPr>
        <w:t>、孕早期子痫、遗传病相关基因、</w:t>
      </w:r>
      <w:r>
        <w:rPr>
          <w:rFonts w:ascii="仿宋" w:eastAsia="仿宋" w:hAnsi="仿宋" w:cs="仿宋"/>
        </w:rPr>
        <w:t>SMA</w:t>
      </w:r>
      <w:r>
        <w:rPr>
          <w:rFonts w:ascii="仿宋" w:eastAsia="仿宋" w:hAnsi="仿宋" w:cs="仿宋"/>
        </w:rPr>
        <w:t>、地贫基因、耳聋基因等筛查工作，今后将在全市范围内逐步推进，满足孕产妇日益增加的多元化、深层次的健康服务需求，把牢出生缺陷二级预防关口，有效降低出生缺陷的发生。</w:t>
      </w:r>
      <w:r>
        <w:rPr>
          <w:rFonts w:ascii="仿宋" w:eastAsia="仿宋" w:hAnsi="仿宋" w:cs="仿宋"/>
        </w:rPr>
        <w:t>2022</w:t>
      </w:r>
      <w:r>
        <w:rPr>
          <w:rFonts w:ascii="仿宋" w:eastAsia="仿宋" w:hAnsi="仿宋" w:cs="仿宋"/>
        </w:rPr>
        <w:t>年，无创</w:t>
      </w:r>
      <w:r>
        <w:rPr>
          <w:rFonts w:ascii="仿宋" w:eastAsia="仿宋" w:hAnsi="仿宋" w:cs="仿宋"/>
        </w:rPr>
        <w:t>DNA</w:t>
      </w:r>
      <w:r>
        <w:rPr>
          <w:rFonts w:ascii="仿宋" w:eastAsia="仿宋" w:hAnsi="仿宋" w:cs="仿宋"/>
        </w:rPr>
        <w:t>检测人次</w:t>
      </w:r>
      <w:r>
        <w:rPr>
          <w:rFonts w:ascii="仿宋" w:eastAsia="仿宋" w:hAnsi="仿宋" w:cs="仿宋"/>
        </w:rPr>
        <w:t>1192</w:t>
      </w:r>
      <w:r>
        <w:rPr>
          <w:rFonts w:ascii="仿宋" w:eastAsia="仿宋" w:hAnsi="仿宋" w:cs="仿宋"/>
        </w:rPr>
        <w:t>人，高风险</w:t>
      </w:r>
      <w:r>
        <w:rPr>
          <w:rFonts w:ascii="仿宋" w:eastAsia="仿宋" w:hAnsi="仿宋" w:cs="仿宋"/>
        </w:rPr>
        <w:t>17</w:t>
      </w:r>
      <w:r>
        <w:rPr>
          <w:rFonts w:ascii="仿宋" w:eastAsia="仿宋" w:hAnsi="仿宋" w:cs="仿宋"/>
        </w:rPr>
        <w:t>人，其中</w:t>
      </w:r>
      <w:r>
        <w:rPr>
          <w:rFonts w:ascii="仿宋" w:eastAsia="仿宋" w:hAnsi="仿宋" w:cs="仿宋"/>
        </w:rPr>
        <w:t>6</w:t>
      </w:r>
      <w:r>
        <w:rPr>
          <w:rFonts w:ascii="仿宋" w:eastAsia="仿宋" w:hAnsi="仿宋" w:cs="仿宋"/>
        </w:rPr>
        <w:t>例确诊后引产；</w:t>
      </w:r>
      <w:r>
        <w:rPr>
          <w:rFonts w:ascii="仿宋" w:eastAsia="仿宋" w:hAnsi="仿宋" w:cs="仿宋"/>
        </w:rPr>
        <w:t>SMA</w:t>
      </w:r>
      <w:r>
        <w:rPr>
          <w:rFonts w:ascii="仿宋" w:eastAsia="仿宋" w:hAnsi="仿宋" w:cs="仿宋"/>
        </w:rPr>
        <w:t>筛查</w:t>
      </w:r>
      <w:r>
        <w:rPr>
          <w:rFonts w:ascii="仿宋" w:eastAsia="仿宋" w:hAnsi="仿宋" w:cs="仿宋"/>
        </w:rPr>
        <w:t>762</w:t>
      </w:r>
      <w:r>
        <w:rPr>
          <w:rFonts w:ascii="仿宋" w:eastAsia="仿宋" w:hAnsi="仿宋" w:cs="仿宋"/>
        </w:rPr>
        <w:t>人，</w:t>
      </w:r>
      <w:r>
        <w:rPr>
          <w:rFonts w:ascii="仿宋" w:eastAsia="仿宋" w:hAnsi="仿宋" w:cs="仿宋"/>
        </w:rPr>
        <w:t>SMN</w:t>
      </w:r>
      <w:r>
        <w:rPr>
          <w:rFonts w:ascii="仿宋" w:eastAsia="仿宋" w:hAnsi="仿宋" w:cs="仿宋"/>
        </w:rPr>
        <w:t>基因杂合缺失</w:t>
      </w:r>
      <w:r>
        <w:rPr>
          <w:rFonts w:ascii="仿宋" w:eastAsia="仿宋" w:hAnsi="仿宋" w:cs="仿宋"/>
        </w:rPr>
        <w:t>19</w:t>
      </w:r>
      <w:r>
        <w:rPr>
          <w:rFonts w:ascii="仿宋" w:eastAsia="仿宋" w:hAnsi="仿宋" w:cs="仿宋"/>
        </w:rPr>
        <w:t>人；孕早期子痫筛查（</w:t>
      </w:r>
      <w:r>
        <w:rPr>
          <w:rFonts w:ascii="仿宋" w:eastAsia="仿宋" w:hAnsi="仿宋" w:cs="仿宋"/>
        </w:rPr>
        <w:t>10</w:t>
      </w:r>
      <w:r>
        <w:rPr>
          <w:rFonts w:ascii="仿宋" w:eastAsia="仿宋" w:hAnsi="仿宋" w:cs="仿宋"/>
        </w:rPr>
        <w:t>月开展）</w:t>
      </w:r>
      <w:r>
        <w:rPr>
          <w:rFonts w:ascii="仿宋" w:eastAsia="仿宋" w:hAnsi="仿宋" w:cs="仿宋"/>
        </w:rPr>
        <w:t>125</w:t>
      </w:r>
      <w:r>
        <w:rPr>
          <w:rFonts w:ascii="仿宋" w:eastAsia="仿宋" w:hAnsi="仿宋" w:cs="仿宋"/>
        </w:rPr>
        <w:t>人，高风险</w:t>
      </w:r>
      <w:r>
        <w:rPr>
          <w:rFonts w:ascii="仿宋" w:eastAsia="仿宋" w:hAnsi="仿宋" w:cs="仿宋"/>
        </w:rPr>
        <w:t>29</w:t>
      </w:r>
      <w:r>
        <w:rPr>
          <w:rFonts w:ascii="仿宋" w:eastAsia="仿宋" w:hAnsi="仿宋" w:cs="仿宋"/>
        </w:rPr>
        <w:t>人。</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认真开展《江苏省出生缺陷防治办法》宣传和贯彻落实。组织各医疗机构结合相关主题日持续开展出生缺陷防治宣传、咨询、义诊等活动，多形式、多渠道宣传和倡导出生缺陷综合防治策略，营造良好社会氛围。积极组织相关部门参加</w:t>
      </w:r>
      <w:r>
        <w:rPr>
          <w:rFonts w:ascii="仿宋" w:eastAsia="仿宋" w:hAnsi="仿宋" w:cs="仿宋"/>
        </w:rPr>
        <w:t>“</w:t>
      </w:r>
      <w:r>
        <w:rPr>
          <w:rFonts w:ascii="仿宋" w:eastAsia="仿宋" w:hAnsi="仿宋" w:cs="仿宋"/>
        </w:rPr>
        <w:t>江苏省第二届出生缺陷防治科普作品征集大赛</w:t>
      </w:r>
      <w:r>
        <w:rPr>
          <w:rFonts w:ascii="仿宋" w:eastAsia="仿宋" w:hAnsi="仿宋" w:cs="仿宋"/>
        </w:rPr>
        <w:t>”</w:t>
      </w:r>
      <w:r>
        <w:rPr>
          <w:rFonts w:ascii="仿宋" w:eastAsia="仿宋" w:hAnsi="仿宋" w:cs="仿宋"/>
        </w:rPr>
        <w:t>，在全市范围内选送了两个作品参赛，最终《科学补叶酸，健康助好孕》获得视频类省级三</w:t>
      </w:r>
      <w:r>
        <w:rPr>
          <w:rFonts w:ascii="仿宋" w:eastAsia="仿宋" w:hAnsi="仿宋" w:cs="仿宋"/>
        </w:rPr>
        <w:lastRenderedPageBreak/>
        <w:t>等奖。</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（七）、依法强化妇幼保健行业监管</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、加强母婴保健专项技术监管</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）、强化机构</w:t>
      </w:r>
      <w:r>
        <w:rPr>
          <w:rFonts w:ascii="仿宋" w:eastAsia="仿宋" w:hAnsi="仿宋" w:cs="仿宋"/>
        </w:rPr>
        <w:t>准入，把好依法执业关。</w:t>
      </w:r>
      <w:r>
        <w:rPr>
          <w:rFonts w:ascii="仿宋" w:eastAsia="仿宋" w:hAnsi="仿宋" w:cs="仿宋"/>
        </w:rPr>
        <w:t>6</w:t>
      </w:r>
      <w:r>
        <w:rPr>
          <w:rFonts w:ascii="仿宋" w:eastAsia="仿宋" w:hAnsi="仿宋" w:cs="仿宋"/>
        </w:rPr>
        <w:t>月，由</w:t>
      </w:r>
      <w:r w:rsidR="00C23FF1">
        <w:rPr>
          <w:rFonts w:ascii="仿宋" w:eastAsia="仿宋" w:hAnsi="仿宋" w:cs="仿宋"/>
        </w:rPr>
        <w:t>卫生健康委</w:t>
      </w:r>
      <w:r>
        <w:rPr>
          <w:rFonts w:ascii="仿宋" w:eastAsia="仿宋" w:hAnsi="仿宋" w:cs="仿宋"/>
        </w:rPr>
        <w:t>组织，开展对</w:t>
      </w:r>
      <w:r>
        <w:rPr>
          <w:rFonts w:ascii="仿宋" w:eastAsia="仿宋" w:hAnsi="仿宋" w:cs="仿宋"/>
        </w:rPr>
        <w:t>2021</w:t>
      </w:r>
      <w:r>
        <w:rPr>
          <w:rFonts w:ascii="仿宋" w:eastAsia="仿宋" w:hAnsi="仿宋" w:cs="仿宋"/>
        </w:rPr>
        <w:t>年助产技术服务质量评价整改单位以及计划生育技术服务年度校验整改单位的复审工作。</w:t>
      </w:r>
      <w:r>
        <w:rPr>
          <w:rFonts w:ascii="仿宋" w:eastAsia="仿宋" w:hAnsi="仿宋" w:cs="仿宋"/>
        </w:rPr>
        <w:t>9</w:t>
      </w:r>
      <w:r>
        <w:rPr>
          <w:rFonts w:ascii="仿宋" w:eastAsia="仿宋" w:hAnsi="仿宋" w:cs="仿宋"/>
        </w:rPr>
        <w:t>月底开展</w:t>
      </w:r>
      <w:r>
        <w:rPr>
          <w:rFonts w:ascii="仿宋" w:eastAsia="仿宋" w:hAnsi="仿宋" w:cs="仿宋"/>
        </w:rPr>
        <w:t>2022</w:t>
      </w:r>
      <w:r>
        <w:rPr>
          <w:rFonts w:ascii="仿宋" w:eastAsia="仿宋" w:hAnsi="仿宋" w:cs="仿宋"/>
        </w:rPr>
        <w:t>年度全市母婴保健专项技术校验暨爱婴医院复核评估，确认了</w:t>
      </w:r>
      <w:r>
        <w:rPr>
          <w:rFonts w:ascii="仿宋" w:eastAsia="仿宋" w:hAnsi="仿宋" w:cs="仿宋"/>
        </w:rPr>
        <w:t>15</w:t>
      </w:r>
      <w:r>
        <w:rPr>
          <w:rFonts w:ascii="仿宋" w:eastAsia="仿宋" w:hAnsi="仿宋" w:cs="仿宋"/>
        </w:rPr>
        <w:t>家助产机构、</w:t>
      </w:r>
      <w:r>
        <w:rPr>
          <w:rFonts w:ascii="仿宋" w:eastAsia="仿宋" w:hAnsi="仿宋" w:cs="仿宋"/>
        </w:rPr>
        <w:t>4</w:t>
      </w:r>
      <w:r>
        <w:rPr>
          <w:rFonts w:ascii="仿宋" w:eastAsia="仿宋" w:hAnsi="仿宋" w:cs="仿宋"/>
        </w:rPr>
        <w:t>家爱婴医院校验合格，</w:t>
      </w:r>
      <w:r>
        <w:rPr>
          <w:rFonts w:ascii="仿宋" w:eastAsia="仿宋" w:hAnsi="仿宋" w:cs="仿宋"/>
        </w:rPr>
        <w:t>2</w:t>
      </w:r>
      <w:r>
        <w:rPr>
          <w:rFonts w:ascii="仿宋" w:eastAsia="仿宋" w:hAnsi="仿宋" w:cs="仿宋"/>
        </w:rPr>
        <w:t>家助产机构限期整改，</w:t>
      </w:r>
      <w:r>
        <w:rPr>
          <w:rFonts w:ascii="仿宋" w:eastAsia="仿宋" w:hAnsi="仿宋" w:cs="仿宋"/>
        </w:rPr>
        <w:t>2</w:t>
      </w:r>
      <w:r>
        <w:rPr>
          <w:rFonts w:ascii="仿宋" w:eastAsia="仿宋" w:hAnsi="仿宋" w:cs="仿宋"/>
        </w:rPr>
        <w:t>家机构暂停助产，</w:t>
      </w:r>
      <w:r>
        <w:rPr>
          <w:rFonts w:ascii="仿宋" w:eastAsia="仿宋" w:hAnsi="仿宋" w:cs="仿宋"/>
        </w:rPr>
        <w:t>1</w:t>
      </w:r>
      <w:r>
        <w:rPr>
          <w:rFonts w:ascii="仿宋" w:eastAsia="仿宋" w:hAnsi="仿宋" w:cs="仿宋"/>
        </w:rPr>
        <w:t>家申请取消助产技术资质；计划生育专项技术</w:t>
      </w:r>
      <w:r>
        <w:rPr>
          <w:rFonts w:ascii="仿宋" w:eastAsia="仿宋" w:hAnsi="仿宋" w:cs="仿宋"/>
        </w:rPr>
        <w:t>36</w:t>
      </w:r>
      <w:r>
        <w:rPr>
          <w:rFonts w:ascii="仿宋" w:eastAsia="仿宋" w:hAnsi="仿宋" w:cs="仿宋"/>
        </w:rPr>
        <w:t>家校检合格，</w:t>
      </w:r>
      <w:r>
        <w:rPr>
          <w:rFonts w:ascii="仿宋" w:eastAsia="仿宋" w:hAnsi="仿宋" w:cs="仿宋"/>
        </w:rPr>
        <w:t>2</w:t>
      </w:r>
      <w:r>
        <w:rPr>
          <w:rFonts w:ascii="仿宋" w:eastAsia="仿宋" w:hAnsi="仿宋" w:cs="仿宋"/>
        </w:rPr>
        <w:t>家限期整改，</w:t>
      </w:r>
      <w:r>
        <w:rPr>
          <w:rFonts w:ascii="仿宋" w:eastAsia="仿宋" w:hAnsi="仿宋" w:cs="仿宋"/>
        </w:rPr>
        <w:t>1</w:t>
      </w:r>
      <w:r>
        <w:rPr>
          <w:rFonts w:ascii="仿宋" w:eastAsia="仿宋" w:hAnsi="仿宋" w:cs="仿宋"/>
        </w:rPr>
        <w:t>家申请取消资质。</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）、规范人员管理，加强服务监管。根据《关于做好</w:t>
      </w:r>
      <w:r>
        <w:rPr>
          <w:rFonts w:ascii="仿宋" w:eastAsia="仿宋" w:hAnsi="仿宋" w:cs="仿宋"/>
        </w:rPr>
        <w:t>2022</w:t>
      </w:r>
      <w:r>
        <w:rPr>
          <w:rFonts w:ascii="仿宋" w:eastAsia="仿宋" w:hAnsi="仿宋" w:cs="仿宋"/>
        </w:rPr>
        <w:t>年无锡市母婴保健专项技术人员考核发证工作的通知》，</w:t>
      </w:r>
      <w:r>
        <w:rPr>
          <w:rFonts w:ascii="仿宋" w:eastAsia="仿宋" w:hAnsi="仿宋" w:cs="仿宋"/>
        </w:rPr>
        <w:t>11</w:t>
      </w:r>
      <w:r>
        <w:rPr>
          <w:rFonts w:ascii="仿宋" w:eastAsia="仿宋" w:hAnsi="仿宋" w:cs="仿宋"/>
        </w:rPr>
        <w:t>月组织全市母婴保健专项技</w:t>
      </w:r>
      <w:r>
        <w:rPr>
          <w:rFonts w:ascii="仿宋" w:eastAsia="仿宋" w:hAnsi="仿宋" w:cs="仿宋"/>
        </w:rPr>
        <w:t>术新上岗人员考核发证工作，中下旬开展操作和理论考核。</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、加大两禁止长效管理力度</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在两禁止半年度及三季度工作督导时发现，存在相关制度自查内涵质量不高，院科两级职责不清等问题，要求各级医疗机构</w:t>
      </w:r>
      <w:r>
        <w:rPr>
          <w:rFonts w:ascii="仿宋" w:eastAsia="仿宋" w:hAnsi="仿宋" w:cs="仿宋"/>
        </w:rPr>
        <w:lastRenderedPageBreak/>
        <w:t>进行落实整改。截止到目前，完成江阴市医学需要终止妊娠鉴定申请审核</w:t>
      </w:r>
      <w:r>
        <w:rPr>
          <w:rFonts w:ascii="仿宋" w:eastAsia="仿宋" w:hAnsi="仿宋" w:cs="仿宋"/>
        </w:rPr>
        <w:t>40</w:t>
      </w:r>
      <w:r>
        <w:rPr>
          <w:rFonts w:ascii="仿宋" w:eastAsia="仿宋" w:hAnsi="仿宋" w:cs="仿宋"/>
        </w:rPr>
        <w:t>例，均符合医学需要终止妊娠的申请条件及流程。</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、规范出生医学证明管理</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继续做好我市出生医学证明管理，已完成</w:t>
      </w:r>
      <w:r>
        <w:rPr>
          <w:rFonts w:ascii="仿宋" w:eastAsia="仿宋" w:hAnsi="仿宋" w:cs="仿宋"/>
        </w:rPr>
        <w:t>1996-2018</w:t>
      </w:r>
      <w:r>
        <w:rPr>
          <w:rFonts w:ascii="仿宋" w:eastAsia="仿宋" w:hAnsi="仿宋" w:cs="仿宋"/>
        </w:rPr>
        <w:t>年出生医学证明集中进档案馆工作，继续推进</w:t>
      </w:r>
      <w:r>
        <w:rPr>
          <w:rFonts w:ascii="仿宋" w:eastAsia="仿宋" w:hAnsi="仿宋" w:cs="仿宋"/>
        </w:rPr>
        <w:t>2019-2020</w:t>
      </w:r>
      <w:r>
        <w:rPr>
          <w:rFonts w:ascii="仿宋" w:eastAsia="仿宋" w:hAnsi="仿宋" w:cs="仿宋"/>
        </w:rPr>
        <w:t>年档案馆工作。对全市《出生医学证明》签发机构进行专项督查，了解出生医学证明管理存在问题落实情况以及档案归档进度，将各单位可取的做法、存在的问题以通报形式下发。</w:t>
      </w:r>
      <w:r>
        <w:rPr>
          <w:rFonts w:ascii="仿宋" w:eastAsia="仿宋" w:hAnsi="仿宋" w:cs="仿宋"/>
        </w:rPr>
        <w:t>1-12</w:t>
      </w:r>
      <w:r>
        <w:rPr>
          <w:rFonts w:ascii="仿宋" w:eastAsia="仿宋" w:hAnsi="仿宋" w:cs="仿宋"/>
        </w:rPr>
        <w:t>月全市《出生医学证明》及时签发率：</w:t>
      </w:r>
      <w:r>
        <w:rPr>
          <w:rFonts w:ascii="仿宋" w:eastAsia="仿宋" w:hAnsi="仿宋" w:cs="仿宋"/>
        </w:rPr>
        <w:t>97.1%</w:t>
      </w:r>
      <w:r>
        <w:rPr>
          <w:rFonts w:ascii="仿宋" w:eastAsia="仿宋" w:hAnsi="仿宋" w:cs="仿宋"/>
        </w:rPr>
        <w:t>、废证率</w:t>
      </w:r>
      <w:r>
        <w:rPr>
          <w:rFonts w:ascii="仿宋" w:eastAsia="仿宋" w:hAnsi="仿宋" w:cs="仿宋"/>
        </w:rPr>
        <w:t>0.2%</w:t>
      </w:r>
      <w:r>
        <w:rPr>
          <w:rFonts w:ascii="仿宋" w:eastAsia="仿宋" w:hAnsi="仿宋" w:cs="仿宋"/>
        </w:rPr>
        <w:t>，杜绝违法违规事件的发生。</w:t>
      </w:r>
      <w:r>
        <w:rPr>
          <w:rFonts w:ascii="仿宋" w:eastAsia="仿宋" w:hAnsi="仿宋" w:cs="仿宋"/>
        </w:rPr>
        <w:t>7</w:t>
      </w:r>
      <w:r>
        <w:rPr>
          <w:rFonts w:ascii="仿宋" w:eastAsia="仿宋" w:hAnsi="仿宋" w:cs="仿宋"/>
        </w:rPr>
        <w:t>月底根据全省出生医学证明管理专项排查工作要求，全市</w:t>
      </w:r>
      <w:r>
        <w:rPr>
          <w:rFonts w:ascii="仿宋" w:eastAsia="仿宋" w:hAnsi="仿宋" w:cs="仿宋"/>
        </w:rPr>
        <w:t>21</w:t>
      </w:r>
      <w:r>
        <w:rPr>
          <w:rFonts w:ascii="仿宋" w:eastAsia="仿宋" w:hAnsi="仿宋" w:cs="仿宋"/>
        </w:rPr>
        <w:t>家医疗卫生机构开展了自查，有针对性重点核查</w:t>
      </w:r>
      <w:r>
        <w:rPr>
          <w:rFonts w:ascii="仿宋" w:eastAsia="仿宋" w:hAnsi="仿宋" w:cs="仿宋"/>
        </w:rPr>
        <w:t>6</w:t>
      </w:r>
      <w:r>
        <w:rPr>
          <w:rFonts w:ascii="仿宋" w:eastAsia="仿宋" w:hAnsi="仿宋" w:cs="仿宋"/>
        </w:rPr>
        <w:t>家机构及全面拉网式排查，结果未发现违法违规违纪案</w:t>
      </w:r>
      <w:r>
        <w:rPr>
          <w:rFonts w:ascii="仿宋" w:eastAsia="仿宋" w:hAnsi="仿宋" w:cs="仿宋"/>
        </w:rPr>
        <w:t>件，未出现证明遗失情况。</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（八）、全面保障母婴安全</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、继续落实母婴安全保障制度</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按计划进行全市危重孕产妇和围产儿死亡病例评审，针对存在问题制定下一步重点整改和督查方向。继续落实产科质量飞行</w:t>
      </w:r>
      <w:r>
        <w:rPr>
          <w:rFonts w:ascii="仿宋" w:eastAsia="仿宋" w:hAnsi="仿宋" w:cs="仿宋"/>
        </w:rPr>
        <w:lastRenderedPageBreak/>
        <w:t>检查机制，结合助产机构产科质量质控同时进行，专家现场给每家单位均提出整改建议，提升产科安全水平。提高妊娠风险防范能力，重视孕产妇基础疾病筛查和管理，规范妊娠合并症早期识别与控制，全面开展孕产期抑郁症筛查干预工作，项目负责人通过信息化系统、季度督导进行实时、动态、全程督导，效果明显。</w:t>
      </w:r>
      <w:r>
        <w:rPr>
          <w:rFonts w:ascii="仿宋" w:eastAsia="仿宋" w:hAnsi="仿宋" w:cs="仿宋"/>
        </w:rPr>
        <w:t>2022</w:t>
      </w:r>
      <w:r>
        <w:rPr>
          <w:rFonts w:ascii="仿宋" w:eastAsia="仿宋" w:hAnsi="仿宋" w:cs="仿宋"/>
        </w:rPr>
        <w:t>年妊娠风险筛查评估率</w:t>
      </w:r>
      <w:r>
        <w:rPr>
          <w:rFonts w:ascii="仿宋" w:eastAsia="仿宋" w:hAnsi="仿宋" w:cs="仿宋"/>
        </w:rPr>
        <w:t>100%</w:t>
      </w:r>
      <w:r>
        <w:rPr>
          <w:rFonts w:ascii="仿宋" w:eastAsia="仿宋" w:hAnsi="仿宋" w:cs="仿宋"/>
        </w:rPr>
        <w:t>，高</w:t>
      </w:r>
      <w:r>
        <w:rPr>
          <w:rFonts w:ascii="仿宋" w:eastAsia="仿宋" w:hAnsi="仿宋" w:cs="仿宋"/>
        </w:rPr>
        <w:t>危孕产妇随访率</w:t>
      </w:r>
      <w:r>
        <w:rPr>
          <w:rFonts w:ascii="仿宋" w:eastAsia="仿宋" w:hAnsi="仿宋" w:cs="仿宋"/>
        </w:rPr>
        <w:t>100%</w:t>
      </w:r>
      <w:r>
        <w:rPr>
          <w:rFonts w:ascii="仿宋" w:eastAsia="仿宋" w:hAnsi="仿宋" w:cs="仿宋"/>
        </w:rPr>
        <w:t>，高危孕产妇规范建档率</w:t>
      </w:r>
      <w:r>
        <w:rPr>
          <w:rFonts w:ascii="仿宋" w:eastAsia="仿宋" w:hAnsi="仿宋" w:cs="仿宋"/>
        </w:rPr>
        <w:t>100%</w:t>
      </w:r>
      <w:r>
        <w:rPr>
          <w:rFonts w:ascii="仿宋" w:eastAsia="仿宋" w:hAnsi="仿宋" w:cs="仿宋"/>
        </w:rPr>
        <w:t>，高危孕产妇分类管理执行率</w:t>
      </w:r>
      <w:r>
        <w:rPr>
          <w:rFonts w:ascii="仿宋" w:eastAsia="仿宋" w:hAnsi="仿宋" w:cs="仿宋"/>
        </w:rPr>
        <w:t>85%</w:t>
      </w:r>
      <w:r>
        <w:rPr>
          <w:rFonts w:ascii="仿宋" w:eastAsia="仿宋" w:hAnsi="仿宋" w:cs="仿宋"/>
        </w:rPr>
        <w:t>。</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、强化助产技术服务</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严把手术准入关，对剖宫产率实行动态观察和通报，结合飞行检查中剖宫产病历评审通报，努力降低无指征剖宫产率。启动全市产后出血救治技能培训考核工作，全市除三级医院的</w:t>
      </w:r>
      <w:r>
        <w:rPr>
          <w:rFonts w:ascii="仿宋" w:eastAsia="仿宋" w:hAnsi="仿宋" w:cs="仿宋"/>
        </w:rPr>
        <w:t>15</w:t>
      </w:r>
      <w:r>
        <w:rPr>
          <w:rFonts w:ascii="仿宋" w:eastAsia="仿宋" w:hAnsi="仿宋" w:cs="仿宋"/>
        </w:rPr>
        <w:t>家助产机构共</w:t>
      </w:r>
      <w:r>
        <w:rPr>
          <w:rFonts w:ascii="仿宋" w:eastAsia="仿宋" w:hAnsi="仿宋" w:cs="仿宋"/>
        </w:rPr>
        <w:t>72</w:t>
      </w:r>
      <w:r>
        <w:rPr>
          <w:rFonts w:ascii="仿宋" w:eastAsia="仿宋" w:hAnsi="仿宋" w:cs="仿宋"/>
        </w:rPr>
        <w:t>名助产技术服务人员参加了考核，通过本次培训及考核，有效地提高全市助产技术服务人员产后出血救治技能，避免发生母婴不良结局。</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、提升妇幼健康服务质量和水平</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11</w:t>
      </w:r>
      <w:r>
        <w:rPr>
          <w:rFonts w:ascii="仿宋" w:eastAsia="仿宋" w:hAnsi="仿宋" w:cs="仿宋"/>
        </w:rPr>
        <w:t>月</w:t>
      </w:r>
      <w:r>
        <w:rPr>
          <w:rFonts w:ascii="仿宋" w:eastAsia="仿宋" w:hAnsi="仿宋" w:cs="仿宋"/>
        </w:rPr>
        <w:t>3</w:t>
      </w:r>
      <w:r>
        <w:rPr>
          <w:rFonts w:ascii="仿宋" w:eastAsia="仿宋" w:hAnsi="仿宋" w:cs="仿宋"/>
        </w:rPr>
        <w:t>日在江阴市急救中心举办江阴市妇幼健康服务技能竞</w:t>
      </w:r>
      <w:r>
        <w:rPr>
          <w:rFonts w:ascii="仿宋" w:eastAsia="仿宋" w:hAnsi="仿宋" w:cs="仿宋"/>
        </w:rPr>
        <w:lastRenderedPageBreak/>
        <w:t>赛活动，首次将妇</w:t>
      </w:r>
      <w:r>
        <w:rPr>
          <w:rFonts w:ascii="仿宋" w:eastAsia="仿宋" w:hAnsi="仿宋" w:cs="仿宋"/>
        </w:rPr>
        <w:t>幼保健机构管理人员、助产机构产科安全管理办公室负责人、产科主任（副主任）纳入参赛对象，旨在各助产机构领导的参与和重视下，广大妇幼工作者能够专研业务、岗位练兵，形成以竞赛为引领，营造比学赶超、争创一流的学习氛围，有效提升妇幼工作人员的服务能力和专业素养。</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年我市妇幼重点指标：孕产妇死亡率</w:t>
      </w:r>
      <w:r>
        <w:rPr>
          <w:rFonts w:ascii="仿宋" w:eastAsia="仿宋" w:hAnsi="仿宋" w:cs="仿宋"/>
        </w:rPr>
        <w:t>0</w:t>
      </w:r>
      <w:r>
        <w:rPr>
          <w:rFonts w:ascii="仿宋" w:eastAsia="仿宋" w:hAnsi="仿宋" w:cs="仿宋"/>
        </w:rPr>
        <w:t>，新生儿死亡率</w:t>
      </w:r>
      <w:r>
        <w:rPr>
          <w:rFonts w:ascii="仿宋" w:eastAsia="仿宋" w:hAnsi="仿宋" w:cs="仿宋"/>
        </w:rPr>
        <w:t>1.02‰</w:t>
      </w:r>
      <w:r>
        <w:rPr>
          <w:rFonts w:ascii="仿宋" w:eastAsia="仿宋" w:hAnsi="仿宋" w:cs="仿宋"/>
        </w:rPr>
        <w:t>，婴儿死亡率</w:t>
      </w:r>
      <w:r>
        <w:rPr>
          <w:rFonts w:ascii="仿宋" w:eastAsia="仿宋" w:hAnsi="仿宋" w:cs="仿宋"/>
        </w:rPr>
        <w:t>1.93‰</w:t>
      </w:r>
      <w:r>
        <w:rPr>
          <w:rFonts w:ascii="仿宋" w:eastAsia="仿宋" w:hAnsi="仿宋" w:cs="仿宋"/>
        </w:rPr>
        <w:t>。</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（九）、做好妇幼健康信息宣传上报工作</w:t>
      </w:r>
    </w:p>
    <w:p w:rsidR="00E847D8" w:rsidRDefault="001A5CC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继续开展妇幼健康宣传活动，传播正确的妇幼科普知识，营造妇女儿童健康生活的良好氛围。在三八节、世界唐氏综合征日、世界母乳喂养宣传周、预防出生缺陷日、世界早产儿日等活动纪念日，各医疗机构通过上街义诊、健康讲座等多形式开展系列活动，新媒体及时跟进宣传与报道。同时今年市妇保院微信公众号共推出</w:t>
      </w:r>
      <w:r>
        <w:rPr>
          <w:rFonts w:ascii="仿宋" w:eastAsia="仿宋" w:hAnsi="仿宋" w:cs="仿宋"/>
        </w:rPr>
        <w:t>140</w:t>
      </w:r>
      <w:r>
        <w:rPr>
          <w:rFonts w:ascii="仿宋" w:eastAsia="仿宋" w:hAnsi="仿宋" w:cs="仿宋"/>
        </w:rPr>
        <w:t>多篇文章，宣传政府公共卫生项目、与大健康有关主题日以及新开展业务、工作情况等，有效提升公民有效利用卫生资源的能力。按时限按要求保质保量完成</w:t>
      </w:r>
      <w:r w:rsidR="00C23FF1">
        <w:rPr>
          <w:rFonts w:ascii="仿宋" w:eastAsia="仿宋" w:hAnsi="仿宋" w:cs="仿宋"/>
        </w:rPr>
        <w:t>卫生健康委</w:t>
      </w:r>
      <w:r>
        <w:rPr>
          <w:rFonts w:ascii="仿宋" w:eastAsia="仿宋" w:hAnsi="仿宋" w:cs="仿宋"/>
        </w:rPr>
        <w:t>交办的信息宣传任务，对各类诉求件、咨询件做到及时回复和解决。</w:t>
      </w:r>
    </w:p>
    <w:p w:rsidR="00E847D8" w:rsidRDefault="00E847D8">
      <w:pPr>
        <w:pStyle w:val="a4"/>
        <w:spacing w:line="235" w:lineRule="auto"/>
        <w:ind w:leftChars="300" w:left="669" w:right="2414" w:hanging="9"/>
        <w:jc w:val="both"/>
        <w:rPr>
          <w:rFonts w:ascii="仿宋" w:eastAsia="仿宋" w:hAnsi="仿宋" w:cs="仿宋"/>
        </w:rPr>
        <w:sectPr w:rsidR="00E847D8">
          <w:footerReference w:type="default" r:id="rId10"/>
          <w:pgSz w:w="11906" w:h="16838"/>
          <w:pgMar w:top="1580" w:right="700" w:bottom="770" w:left="1020" w:header="283" w:footer="280" w:gutter="0"/>
          <w:pgNumType w:fmt="numberInDash"/>
          <w:cols w:space="720"/>
          <w:formProt w:val="0"/>
          <w:docGrid w:linePitch="100"/>
        </w:sectPr>
      </w:pPr>
    </w:p>
    <w:p w:rsidR="00E847D8" w:rsidRDefault="00E847D8">
      <w:pPr>
        <w:pStyle w:val="a4"/>
        <w:spacing w:line="360" w:lineRule="auto"/>
        <w:ind w:leftChars="200" w:left="440" w:rightChars="229" w:right="504" w:firstLine="658"/>
        <w:jc w:val="both"/>
        <w:rPr>
          <w:rFonts w:ascii="仿宋" w:eastAsia="仿宋" w:hAnsi="仿宋" w:cs="仿宋"/>
          <w:lang w:val="en-US"/>
        </w:rPr>
      </w:pPr>
    </w:p>
    <w:p w:rsidR="00E847D8" w:rsidRDefault="00E847D8">
      <w:pPr>
        <w:pStyle w:val="10"/>
        <w:tabs>
          <w:tab w:val="left" w:pos="1609"/>
        </w:tabs>
        <w:spacing w:before="12" w:line="300" w:lineRule="auto"/>
        <w:ind w:left="340" w:right="567" w:firstLine="0"/>
        <w:jc w:val="center"/>
        <w:rPr>
          <w:rFonts w:ascii="仿宋" w:eastAsia="仿宋" w:hAnsi="仿宋" w:cs="仿宋"/>
          <w:b/>
          <w:bCs/>
          <w:sz w:val="44"/>
          <w:szCs w:val="44"/>
        </w:rPr>
      </w:pPr>
    </w:p>
    <w:p w:rsidR="00E847D8" w:rsidRDefault="00E847D8">
      <w:pPr>
        <w:pStyle w:val="10"/>
        <w:tabs>
          <w:tab w:val="left" w:pos="1609"/>
        </w:tabs>
        <w:spacing w:before="12" w:line="300" w:lineRule="auto"/>
        <w:ind w:left="340" w:right="567" w:firstLine="0"/>
        <w:jc w:val="center"/>
        <w:rPr>
          <w:rFonts w:ascii="仿宋" w:eastAsia="仿宋" w:hAnsi="仿宋" w:cs="仿宋"/>
          <w:b/>
          <w:bCs/>
          <w:sz w:val="44"/>
          <w:szCs w:val="44"/>
        </w:rPr>
      </w:pPr>
    </w:p>
    <w:p w:rsidR="00E847D8" w:rsidRDefault="00E847D8">
      <w:pPr>
        <w:pStyle w:val="10"/>
        <w:tabs>
          <w:tab w:val="left" w:pos="1609"/>
        </w:tabs>
        <w:spacing w:before="12" w:line="300" w:lineRule="auto"/>
        <w:ind w:left="340" w:right="567" w:firstLine="0"/>
        <w:jc w:val="center"/>
        <w:rPr>
          <w:rFonts w:ascii="仿宋" w:eastAsia="仿宋" w:hAnsi="仿宋" w:cs="仿宋"/>
          <w:b/>
          <w:bCs/>
          <w:sz w:val="44"/>
          <w:szCs w:val="44"/>
        </w:rPr>
      </w:pPr>
    </w:p>
    <w:p w:rsidR="00E847D8" w:rsidRDefault="00E847D8">
      <w:pPr>
        <w:pStyle w:val="10"/>
        <w:tabs>
          <w:tab w:val="left" w:pos="1609"/>
        </w:tabs>
        <w:spacing w:before="12" w:line="300" w:lineRule="auto"/>
        <w:ind w:left="340" w:right="567" w:firstLine="0"/>
        <w:jc w:val="center"/>
        <w:rPr>
          <w:rFonts w:ascii="仿宋" w:eastAsia="仿宋" w:hAnsi="仿宋" w:cs="仿宋"/>
          <w:b/>
          <w:bCs/>
          <w:sz w:val="44"/>
          <w:szCs w:val="44"/>
        </w:rPr>
      </w:pPr>
    </w:p>
    <w:p w:rsidR="00E847D8" w:rsidRDefault="00E847D8">
      <w:pPr>
        <w:pStyle w:val="10"/>
        <w:tabs>
          <w:tab w:val="left" w:pos="1609"/>
        </w:tabs>
        <w:spacing w:before="12" w:line="300" w:lineRule="auto"/>
        <w:ind w:left="340" w:right="567" w:firstLine="0"/>
        <w:jc w:val="center"/>
        <w:rPr>
          <w:rFonts w:ascii="仿宋" w:eastAsia="仿宋" w:hAnsi="仿宋" w:cs="仿宋"/>
          <w:b/>
          <w:bCs/>
          <w:sz w:val="44"/>
          <w:szCs w:val="44"/>
        </w:rPr>
      </w:pPr>
    </w:p>
    <w:p w:rsidR="00E847D8" w:rsidRDefault="00E847D8">
      <w:pPr>
        <w:pStyle w:val="10"/>
        <w:tabs>
          <w:tab w:val="left" w:pos="1609"/>
        </w:tabs>
        <w:spacing w:before="12" w:line="300" w:lineRule="auto"/>
        <w:ind w:left="340" w:right="567" w:firstLine="0"/>
        <w:jc w:val="center"/>
        <w:rPr>
          <w:rFonts w:ascii="仿宋" w:eastAsia="仿宋" w:hAnsi="仿宋" w:cs="仿宋"/>
          <w:b/>
          <w:bCs/>
          <w:sz w:val="44"/>
          <w:szCs w:val="44"/>
        </w:rPr>
      </w:pPr>
    </w:p>
    <w:p w:rsidR="00E847D8" w:rsidRDefault="001A5CCD">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E847D8" w:rsidRDefault="001A5CCD">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江阴市妇幼保健院</w:t>
      </w:r>
    </w:p>
    <w:p w:rsidR="00E847D8" w:rsidRDefault="001A5CCD">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2022</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468"/>
        <w:gridCol w:w="1777"/>
        <w:gridCol w:w="2035"/>
        <w:gridCol w:w="1341"/>
        <w:gridCol w:w="1826"/>
      </w:tblGrid>
      <w:tr w:rsidR="00E847D8">
        <w:trPr>
          <w:trHeight w:val="544"/>
          <w:jc w:val="center"/>
        </w:trPr>
        <w:tc>
          <w:tcPr>
            <w:tcW w:w="10447" w:type="dxa"/>
            <w:gridSpan w:val="5"/>
          </w:tcPr>
          <w:p w:rsidR="00E847D8" w:rsidRDefault="001A5CCD">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E847D8">
        <w:trPr>
          <w:trHeight w:val="348"/>
          <w:jc w:val="center"/>
        </w:trPr>
        <w:tc>
          <w:tcPr>
            <w:tcW w:w="3468" w:type="dxa"/>
          </w:tcPr>
          <w:p w:rsidR="00E847D8" w:rsidRDefault="00E847D8">
            <w:pPr>
              <w:rPr>
                <w:rFonts w:ascii="仿宋" w:eastAsia="仿宋" w:hAnsi="仿宋" w:cs="仿宋"/>
                <w:color w:val="000000"/>
                <w:sz w:val="20"/>
              </w:rPr>
            </w:pPr>
          </w:p>
        </w:tc>
        <w:tc>
          <w:tcPr>
            <w:tcW w:w="1777" w:type="dxa"/>
          </w:tcPr>
          <w:p w:rsidR="00E847D8" w:rsidRDefault="00E847D8">
            <w:pPr>
              <w:rPr>
                <w:rFonts w:ascii="仿宋" w:eastAsia="仿宋" w:hAnsi="仿宋" w:cs="仿宋"/>
                <w:color w:val="000000"/>
                <w:sz w:val="20"/>
              </w:rPr>
            </w:pPr>
          </w:p>
        </w:tc>
        <w:tc>
          <w:tcPr>
            <w:tcW w:w="5202" w:type="dxa"/>
            <w:gridSpan w:val="3"/>
          </w:tcPr>
          <w:p w:rsidR="00E847D8" w:rsidRDefault="001A5CCD">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E847D8">
        <w:trPr>
          <w:trHeight w:val="333"/>
          <w:jc w:val="center"/>
        </w:trPr>
        <w:tc>
          <w:tcPr>
            <w:tcW w:w="7280" w:type="dxa"/>
            <w:gridSpan w:val="3"/>
            <w:tcBorders>
              <w:bottom w:val="single" w:sz="4" w:space="0" w:color="000000"/>
            </w:tcBorders>
            <w:vAlign w:val="center"/>
          </w:tcPr>
          <w:p w:rsidR="00E847D8" w:rsidRDefault="001A5CCD">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江阴市妇幼保健院</w:t>
            </w:r>
          </w:p>
        </w:tc>
        <w:tc>
          <w:tcPr>
            <w:tcW w:w="3167" w:type="dxa"/>
            <w:gridSpan w:val="2"/>
            <w:tcBorders>
              <w:bottom w:val="single" w:sz="4" w:space="0" w:color="000000"/>
            </w:tcBorders>
            <w:vAlign w:val="center"/>
          </w:tcPr>
          <w:p w:rsidR="00E847D8" w:rsidRDefault="001A5CCD">
            <w:pPr>
              <w:jc w:val="right"/>
              <w:rPr>
                <w:rFonts w:ascii="仿宋" w:eastAsia="仿宋" w:hAnsi="仿宋" w:cs="仿宋"/>
                <w:color w:val="000000"/>
              </w:rPr>
            </w:pPr>
            <w:r>
              <w:rPr>
                <w:rFonts w:ascii="仿宋" w:eastAsia="仿宋" w:hAnsi="仿宋" w:cs="仿宋" w:hint="eastAsia"/>
                <w:color w:val="000000"/>
              </w:rPr>
              <w:t>金额单位：万元</w:t>
            </w:r>
          </w:p>
        </w:tc>
      </w:tr>
      <w:tr w:rsidR="00E847D8">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color w:val="000000"/>
                <w:lang w:eastAsia="ar-SA"/>
              </w:rPr>
              <w:t>支出</w:t>
            </w:r>
          </w:p>
        </w:tc>
      </w:tr>
      <w:tr w:rsidR="00E847D8">
        <w:trPr>
          <w:trHeight w:val="39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color w:val="000000"/>
              </w:rPr>
              <w:t>项目</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color w:val="000000"/>
                <w:lang w:eastAsia="ar-SA"/>
              </w:rPr>
              <w:t>决算数</w:t>
            </w: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一、一般公共预算财政拨款收入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5,130.04</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二、政府性基金预算财政拨款收入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三、国有资本经营预算财政拨款收入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四、上级补助收入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五、事业收入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六、经营收入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七、附属单位上缴收入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rPr>
                <w:rFonts w:ascii="仿宋" w:eastAsia="仿宋" w:hAnsi="仿宋" w:cs="仿宋"/>
              </w:rPr>
            </w:pPr>
            <w:r>
              <w:rPr>
                <w:rFonts w:ascii="仿宋" w:eastAsia="仿宋" w:hAnsi="仿宋" w:cs="仿宋" w:hint="eastAsia"/>
                <w:sz w:val="20"/>
                <w:lang w:eastAsia="ar-SA"/>
              </w:rPr>
              <w:t>八、其他收入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323.51</w:t>
            </w: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4,029.62</w:t>
            </w: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776.91</w:t>
            </w: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E847D8">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keepNext/>
              <w:keepLines/>
              <w:jc w:val="right"/>
              <w:rPr>
                <w:rFonts w:ascii="仿宋" w:eastAsia="仿宋" w:hAnsi="仿宋" w:cs="仿宋"/>
                <w:color w:val="000000"/>
                <w:lang w:eastAsia="ar-SA"/>
              </w:rPr>
            </w:pPr>
          </w:p>
        </w:tc>
      </w:tr>
      <w:tr w:rsidR="00E847D8">
        <w:trPr>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right"/>
              <w:rPr>
                <w:rFonts w:ascii="仿宋" w:eastAsia="仿宋" w:hAnsi="仿宋" w:cs="仿宋"/>
                <w:color w:val="000000"/>
              </w:rPr>
            </w:pPr>
            <w:r>
              <w:rPr>
                <w:rFonts w:ascii="仿宋" w:eastAsia="仿宋" w:hAnsi="仿宋" w:cs="仿宋" w:hint="eastAsia"/>
                <w:color w:val="000000"/>
                <w:lang w:eastAsia="ar-SA"/>
              </w:rPr>
              <w:t>5,130.04</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right"/>
              <w:rPr>
                <w:rFonts w:ascii="仿宋" w:eastAsia="仿宋" w:hAnsi="仿宋" w:cs="仿宋"/>
                <w:color w:val="000000"/>
              </w:rPr>
            </w:pPr>
            <w:r>
              <w:rPr>
                <w:rFonts w:ascii="仿宋" w:eastAsia="仿宋" w:hAnsi="仿宋" w:cs="仿宋" w:hint="eastAsia"/>
                <w:color w:val="000000"/>
                <w:lang w:eastAsia="ar-SA"/>
              </w:rPr>
              <w:t>5,130.04</w:t>
            </w:r>
          </w:p>
        </w:tc>
      </w:tr>
      <w:tr w:rsidR="00E847D8">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color w:val="000000"/>
              </w:rPr>
            </w:pPr>
          </w:p>
        </w:tc>
      </w:tr>
      <w:tr w:rsidR="00E847D8">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color w:val="000000"/>
              </w:rPr>
            </w:pPr>
          </w:p>
        </w:tc>
      </w:tr>
      <w:tr w:rsidR="00E847D8">
        <w:trPr>
          <w:trHeight w:val="383"/>
          <w:jc w:val="center"/>
        </w:trPr>
        <w:tc>
          <w:tcPr>
            <w:tcW w:w="3468" w:type="dxa"/>
            <w:tcBorders>
              <w:top w:val="single" w:sz="4" w:space="0" w:color="000000"/>
              <w:left w:val="single" w:sz="4" w:space="0" w:color="000000"/>
              <w:bottom w:val="single" w:sz="4" w:space="0" w:color="000000"/>
              <w:right w:val="single" w:sz="4" w:space="0" w:color="000000"/>
            </w:tcBorders>
          </w:tcPr>
          <w:p w:rsidR="00E847D8" w:rsidRDefault="00E847D8">
            <w:pPr>
              <w:rPr>
                <w:rFonts w:ascii="仿宋" w:eastAsia="仿宋" w:hAnsi="仿宋" w:cs="仿宋"/>
                <w:color w:val="000000"/>
              </w:rPr>
            </w:pPr>
          </w:p>
        </w:tc>
        <w:tc>
          <w:tcPr>
            <w:tcW w:w="1777" w:type="dxa"/>
            <w:tcBorders>
              <w:top w:val="single" w:sz="4" w:space="0" w:color="000000"/>
              <w:left w:val="single" w:sz="4" w:space="0" w:color="000000"/>
              <w:bottom w:val="single" w:sz="4" w:space="0" w:color="000000"/>
              <w:right w:val="single" w:sz="4" w:space="0" w:color="000000"/>
            </w:tcBorders>
          </w:tcPr>
          <w:p w:rsidR="00E847D8" w:rsidRDefault="00E847D8">
            <w:pPr>
              <w:rPr>
                <w:rFonts w:ascii="仿宋" w:eastAsia="仿宋" w:hAnsi="仿宋" w:cs="仿宋"/>
                <w:color w:val="000000"/>
              </w:rPr>
            </w:pPr>
          </w:p>
        </w:tc>
        <w:tc>
          <w:tcPr>
            <w:tcW w:w="3376" w:type="dxa"/>
            <w:gridSpan w:val="2"/>
            <w:tcBorders>
              <w:top w:val="single" w:sz="4" w:space="0" w:color="000000"/>
              <w:left w:val="single" w:sz="4" w:space="0" w:color="000000"/>
              <w:bottom w:val="single" w:sz="4" w:space="0" w:color="000000"/>
              <w:right w:val="single" w:sz="4" w:space="0" w:color="000000"/>
            </w:tcBorders>
          </w:tcPr>
          <w:p w:rsidR="00E847D8" w:rsidRDefault="00E847D8">
            <w:pPr>
              <w:rPr>
                <w:rFonts w:ascii="仿宋" w:eastAsia="仿宋" w:hAnsi="仿宋" w:cs="仿宋"/>
                <w:color w:val="000000"/>
              </w:rPr>
            </w:pPr>
          </w:p>
        </w:tc>
        <w:tc>
          <w:tcPr>
            <w:tcW w:w="1826" w:type="dxa"/>
            <w:tcBorders>
              <w:top w:val="single" w:sz="4" w:space="0" w:color="000000"/>
              <w:left w:val="single" w:sz="4" w:space="0" w:color="000000"/>
              <w:bottom w:val="single" w:sz="4" w:space="0" w:color="000000"/>
              <w:right w:val="single" w:sz="4" w:space="0" w:color="000000"/>
            </w:tcBorders>
          </w:tcPr>
          <w:p w:rsidR="00E847D8" w:rsidRDefault="00E847D8">
            <w:pPr>
              <w:rPr>
                <w:rFonts w:ascii="仿宋" w:eastAsia="仿宋" w:hAnsi="仿宋" w:cs="仿宋"/>
                <w:color w:val="000000"/>
              </w:rPr>
            </w:pPr>
          </w:p>
        </w:tc>
      </w:tr>
      <w:tr w:rsidR="00E847D8">
        <w:trPr>
          <w:cantSplit/>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77"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right"/>
              <w:rPr>
                <w:rFonts w:ascii="仿宋" w:eastAsia="仿宋" w:hAnsi="仿宋" w:cs="仿宋"/>
                <w:color w:val="000000"/>
              </w:rPr>
            </w:pPr>
            <w:r>
              <w:rPr>
                <w:rFonts w:ascii="仿宋" w:eastAsia="仿宋" w:hAnsi="仿宋" w:cs="仿宋" w:hint="eastAsia"/>
                <w:color w:val="000000"/>
                <w:lang w:eastAsia="ar-SA"/>
              </w:rPr>
              <w:t>5,130.04</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26" w:type="dxa"/>
            <w:tcBorders>
              <w:top w:val="single" w:sz="4" w:space="0" w:color="000000"/>
              <w:left w:val="single" w:sz="4" w:space="0" w:color="000000"/>
              <w:bottom w:val="single" w:sz="4" w:space="0" w:color="000000"/>
              <w:right w:val="single" w:sz="4" w:space="0" w:color="000000"/>
            </w:tcBorders>
            <w:vAlign w:val="center"/>
          </w:tcPr>
          <w:p w:rsidR="00E847D8" w:rsidRDefault="001A5CCD">
            <w:pPr>
              <w:jc w:val="right"/>
              <w:rPr>
                <w:rFonts w:ascii="仿宋" w:eastAsia="仿宋" w:hAnsi="仿宋" w:cs="仿宋"/>
                <w:color w:val="000000"/>
              </w:rPr>
            </w:pPr>
            <w:r>
              <w:rPr>
                <w:rFonts w:ascii="仿宋" w:eastAsia="仿宋" w:hAnsi="仿宋" w:cs="仿宋" w:hint="eastAsia"/>
                <w:color w:val="000000"/>
                <w:lang w:eastAsia="ar-SA"/>
              </w:rPr>
              <w:t>5,130.04</w:t>
            </w:r>
          </w:p>
        </w:tc>
      </w:tr>
    </w:tbl>
    <w:p w:rsidR="00E847D8" w:rsidRDefault="001A5CCD">
      <w:pPr>
        <w:spacing w:before="66"/>
        <w:jc w:val="both"/>
        <w:rPr>
          <w:rFonts w:ascii="仿宋" w:eastAsia="仿宋" w:hAnsi="仿宋" w:cs="仿宋"/>
          <w:color w:val="000000"/>
          <w:lang w:val="en-US"/>
        </w:rPr>
      </w:pPr>
      <w:r>
        <w:rPr>
          <w:rFonts w:ascii="仿宋" w:eastAsia="仿宋" w:hAnsi="仿宋" w:cs="仿宋" w:hint="eastAsia"/>
          <w:color w:val="000000"/>
          <w:lang w:val="en-US"/>
        </w:rPr>
        <w:lastRenderedPageBreak/>
        <w:t>注：本表反映本年度的总收支和年末结转结余情况。本表金额单位转换时可能存在尾数误差。</w:t>
      </w:r>
    </w:p>
    <w:p w:rsidR="00E847D8" w:rsidRDefault="00E847D8">
      <w:pPr>
        <w:spacing w:before="66"/>
        <w:jc w:val="both"/>
        <w:rPr>
          <w:rFonts w:ascii="仿宋" w:eastAsia="仿宋" w:hAnsi="仿宋" w:cs="仿宋"/>
          <w:color w:val="000000"/>
        </w:rPr>
        <w:sectPr w:rsidR="00E847D8">
          <w:footerReference w:type="default" r:id="rId11"/>
          <w:pgSz w:w="11906" w:h="16838"/>
          <w:pgMar w:top="720" w:right="720" w:bottom="720" w:left="720" w:header="170" w:footer="280" w:gutter="0"/>
          <w:pgNumType w:fmt="numberInDash"/>
          <w:cols w:space="720"/>
          <w:formProt w:val="0"/>
          <w:docGrid w:linePitch="100"/>
        </w:sectPr>
      </w:pPr>
    </w:p>
    <w:tbl>
      <w:tblPr>
        <w:tblW w:w="16660" w:type="dxa"/>
        <w:jc w:val="center"/>
        <w:tblLayout w:type="fixed"/>
        <w:tblLook w:val="04A0"/>
      </w:tblPr>
      <w:tblGrid>
        <w:gridCol w:w="1201"/>
        <w:gridCol w:w="3156"/>
        <w:gridCol w:w="1716"/>
        <w:gridCol w:w="1728"/>
        <w:gridCol w:w="1686"/>
        <w:gridCol w:w="1503"/>
        <w:gridCol w:w="1704"/>
        <w:gridCol w:w="1263"/>
        <w:gridCol w:w="1375"/>
        <w:gridCol w:w="1328"/>
      </w:tblGrid>
      <w:tr w:rsidR="00E847D8">
        <w:trPr>
          <w:trHeight w:val="403"/>
          <w:jc w:val="center"/>
        </w:trPr>
        <w:tc>
          <w:tcPr>
            <w:tcW w:w="16660" w:type="dxa"/>
            <w:gridSpan w:val="10"/>
            <w:vAlign w:val="center"/>
          </w:tcPr>
          <w:p w:rsidR="00E847D8" w:rsidRDefault="001A5CCD">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E847D8">
        <w:trPr>
          <w:trHeight w:val="247"/>
          <w:jc w:val="center"/>
        </w:trPr>
        <w:tc>
          <w:tcPr>
            <w:tcW w:w="4357" w:type="dxa"/>
            <w:gridSpan w:val="2"/>
            <w:vAlign w:val="center"/>
          </w:tcPr>
          <w:p w:rsidR="00E847D8" w:rsidRDefault="00E847D8">
            <w:pPr>
              <w:pStyle w:val="TableParagraph"/>
              <w:jc w:val="center"/>
              <w:rPr>
                <w:rFonts w:ascii="仿宋" w:eastAsia="仿宋" w:hAnsi="仿宋" w:cs="仿宋"/>
              </w:rPr>
            </w:pPr>
          </w:p>
        </w:tc>
        <w:tc>
          <w:tcPr>
            <w:tcW w:w="1716" w:type="dxa"/>
            <w:vAlign w:val="center"/>
          </w:tcPr>
          <w:p w:rsidR="00E847D8" w:rsidRDefault="00E847D8">
            <w:pPr>
              <w:pStyle w:val="TableParagraph"/>
              <w:jc w:val="center"/>
              <w:rPr>
                <w:rFonts w:ascii="仿宋" w:eastAsia="仿宋" w:hAnsi="仿宋" w:cs="仿宋"/>
              </w:rPr>
            </w:pPr>
          </w:p>
        </w:tc>
        <w:tc>
          <w:tcPr>
            <w:tcW w:w="1728" w:type="dxa"/>
            <w:vAlign w:val="center"/>
          </w:tcPr>
          <w:p w:rsidR="00E847D8" w:rsidRDefault="00E847D8">
            <w:pPr>
              <w:pStyle w:val="TableParagraph"/>
              <w:jc w:val="center"/>
              <w:rPr>
                <w:rFonts w:ascii="仿宋" w:eastAsia="仿宋" w:hAnsi="仿宋" w:cs="仿宋"/>
              </w:rPr>
            </w:pPr>
          </w:p>
        </w:tc>
        <w:tc>
          <w:tcPr>
            <w:tcW w:w="1686" w:type="dxa"/>
            <w:vAlign w:val="center"/>
          </w:tcPr>
          <w:p w:rsidR="00E847D8" w:rsidRDefault="00E847D8">
            <w:pPr>
              <w:pStyle w:val="TableParagraph"/>
              <w:jc w:val="center"/>
              <w:rPr>
                <w:rFonts w:ascii="仿宋" w:eastAsia="仿宋" w:hAnsi="仿宋" w:cs="仿宋"/>
              </w:rPr>
            </w:pPr>
          </w:p>
        </w:tc>
        <w:tc>
          <w:tcPr>
            <w:tcW w:w="3207" w:type="dxa"/>
            <w:gridSpan w:val="2"/>
            <w:vAlign w:val="center"/>
          </w:tcPr>
          <w:p w:rsidR="00E847D8" w:rsidRDefault="00E847D8">
            <w:pPr>
              <w:pStyle w:val="TableParagraph"/>
              <w:jc w:val="center"/>
              <w:rPr>
                <w:rFonts w:ascii="仿宋" w:eastAsia="仿宋" w:hAnsi="仿宋" w:cs="仿宋"/>
              </w:rPr>
            </w:pPr>
          </w:p>
        </w:tc>
        <w:tc>
          <w:tcPr>
            <w:tcW w:w="1263" w:type="dxa"/>
            <w:vAlign w:val="center"/>
          </w:tcPr>
          <w:p w:rsidR="00E847D8" w:rsidRDefault="00E847D8">
            <w:pPr>
              <w:pStyle w:val="TableParagraph"/>
              <w:jc w:val="center"/>
              <w:rPr>
                <w:rFonts w:ascii="仿宋" w:eastAsia="仿宋" w:hAnsi="仿宋" w:cs="仿宋"/>
              </w:rPr>
            </w:pPr>
          </w:p>
        </w:tc>
        <w:tc>
          <w:tcPr>
            <w:tcW w:w="2703" w:type="dxa"/>
            <w:gridSpan w:val="2"/>
            <w:vAlign w:val="center"/>
          </w:tcPr>
          <w:p w:rsidR="00E847D8" w:rsidRDefault="001A5CC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E847D8">
        <w:trPr>
          <w:trHeight w:val="247"/>
          <w:jc w:val="center"/>
        </w:trPr>
        <w:tc>
          <w:tcPr>
            <w:tcW w:w="13957" w:type="dxa"/>
            <w:gridSpan w:val="8"/>
            <w:vAlign w:val="center"/>
          </w:tcPr>
          <w:p w:rsidR="00E847D8" w:rsidRDefault="001A5CC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2703" w:type="dxa"/>
            <w:gridSpan w:val="2"/>
            <w:vAlign w:val="center"/>
          </w:tcPr>
          <w:p w:rsidR="00E847D8" w:rsidRDefault="001A5CCD">
            <w:pPr>
              <w:pStyle w:val="TableParagraph"/>
              <w:jc w:val="right"/>
              <w:rPr>
                <w:rFonts w:ascii="仿宋" w:eastAsia="仿宋" w:hAnsi="仿宋" w:cs="仿宋"/>
              </w:rPr>
            </w:pPr>
            <w:r>
              <w:rPr>
                <w:rFonts w:ascii="仿宋" w:eastAsia="仿宋" w:hAnsi="仿宋" w:cs="仿宋" w:hint="eastAsia"/>
              </w:rPr>
              <w:t>金额单位：万元</w:t>
            </w:r>
          </w:p>
        </w:tc>
      </w:tr>
      <w:tr w:rsidR="00E847D8">
        <w:trPr>
          <w:cantSplit/>
          <w:trHeight w:val="255"/>
          <w:jc w:val="center"/>
        </w:trPr>
        <w:tc>
          <w:tcPr>
            <w:tcW w:w="4357" w:type="dxa"/>
            <w:gridSpan w:val="2"/>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w:t>
            </w:r>
          </w:p>
        </w:tc>
        <w:tc>
          <w:tcPr>
            <w:tcW w:w="1716"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本年收入合计</w:t>
            </w:r>
          </w:p>
        </w:tc>
        <w:tc>
          <w:tcPr>
            <w:tcW w:w="1728"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财政拨款收入</w:t>
            </w:r>
          </w:p>
        </w:tc>
        <w:tc>
          <w:tcPr>
            <w:tcW w:w="1686"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上级补助收入</w:t>
            </w:r>
          </w:p>
        </w:tc>
        <w:tc>
          <w:tcPr>
            <w:tcW w:w="1503" w:type="dxa"/>
            <w:vMerge w:val="restart"/>
            <w:tcBorders>
              <w:top w:val="single" w:sz="4" w:space="0" w:color="000000"/>
              <w:lef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财政专户管理教育收费</w:t>
            </w:r>
          </w:p>
        </w:tc>
        <w:tc>
          <w:tcPr>
            <w:tcW w:w="1704" w:type="dxa"/>
            <w:vMerge w:val="restart"/>
            <w:tcBorders>
              <w:top w:val="single" w:sz="4" w:space="0" w:color="000000"/>
              <w:lef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263"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经营收入</w:t>
            </w:r>
          </w:p>
        </w:tc>
        <w:tc>
          <w:tcPr>
            <w:tcW w:w="1375"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附属单位上缴收入</w:t>
            </w:r>
          </w:p>
        </w:tc>
        <w:tc>
          <w:tcPr>
            <w:tcW w:w="1328" w:type="dxa"/>
            <w:vMerge w:val="restart"/>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其他收入</w:t>
            </w:r>
          </w:p>
        </w:tc>
      </w:tr>
      <w:tr w:rsidR="00E847D8">
        <w:trPr>
          <w:cantSplit/>
          <w:trHeight w:val="502"/>
          <w:jc w:val="center"/>
        </w:trPr>
        <w:tc>
          <w:tcPr>
            <w:tcW w:w="1201"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功能分类</w:t>
            </w:r>
          </w:p>
          <w:p w:rsidR="00E847D8" w:rsidRDefault="001A5CCD">
            <w:pPr>
              <w:pStyle w:val="TableParagraph"/>
              <w:jc w:val="center"/>
              <w:rPr>
                <w:rFonts w:ascii="仿宋" w:eastAsia="仿宋" w:hAnsi="仿宋" w:cs="仿宋"/>
              </w:rPr>
            </w:pPr>
            <w:r>
              <w:rPr>
                <w:rFonts w:ascii="仿宋" w:eastAsia="仿宋" w:hAnsi="仿宋" w:cs="仿宋" w:hint="eastAsia"/>
              </w:rPr>
              <w:t>科目编码</w:t>
            </w:r>
          </w:p>
        </w:tc>
        <w:tc>
          <w:tcPr>
            <w:tcW w:w="3156"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1716" w:type="dxa"/>
            <w:vMerge/>
            <w:tcBorders>
              <w:left w:val="single" w:sz="4" w:space="0" w:color="000000"/>
              <w:bottom w:val="single" w:sz="4" w:space="0" w:color="000000"/>
            </w:tcBorders>
          </w:tcPr>
          <w:p w:rsidR="00E847D8" w:rsidRDefault="00E847D8">
            <w:pPr>
              <w:rPr>
                <w:rFonts w:ascii="仿宋" w:eastAsia="仿宋" w:hAnsi="仿宋" w:cs="仿宋"/>
              </w:rPr>
            </w:pPr>
          </w:p>
        </w:tc>
        <w:tc>
          <w:tcPr>
            <w:tcW w:w="1728" w:type="dxa"/>
            <w:vMerge/>
            <w:tcBorders>
              <w:left w:val="single" w:sz="4" w:space="0" w:color="000000"/>
              <w:bottom w:val="single" w:sz="4" w:space="0" w:color="000000"/>
            </w:tcBorders>
          </w:tcPr>
          <w:p w:rsidR="00E847D8" w:rsidRDefault="00E847D8">
            <w:pPr>
              <w:rPr>
                <w:rFonts w:ascii="仿宋" w:eastAsia="仿宋" w:hAnsi="仿宋" w:cs="仿宋"/>
              </w:rPr>
            </w:pPr>
          </w:p>
        </w:tc>
        <w:tc>
          <w:tcPr>
            <w:tcW w:w="1686" w:type="dxa"/>
            <w:vMerge/>
            <w:tcBorders>
              <w:left w:val="single" w:sz="4" w:space="0" w:color="000000"/>
              <w:bottom w:val="single" w:sz="4" w:space="0" w:color="000000"/>
            </w:tcBorders>
          </w:tcPr>
          <w:p w:rsidR="00E847D8" w:rsidRDefault="00E847D8">
            <w:pPr>
              <w:rPr>
                <w:rFonts w:ascii="仿宋" w:eastAsia="仿宋" w:hAnsi="仿宋" w:cs="仿宋"/>
              </w:rPr>
            </w:pPr>
          </w:p>
        </w:tc>
        <w:tc>
          <w:tcPr>
            <w:tcW w:w="1503" w:type="dxa"/>
            <w:vMerge/>
            <w:tcBorders>
              <w:left w:val="single" w:sz="4" w:space="0" w:color="000000"/>
              <w:bottom w:val="single" w:sz="4" w:space="0" w:color="000000"/>
            </w:tcBorders>
            <w:vAlign w:val="center"/>
          </w:tcPr>
          <w:p w:rsidR="00E847D8" w:rsidRDefault="00E847D8">
            <w:pPr>
              <w:pStyle w:val="TableParagraph"/>
              <w:jc w:val="center"/>
              <w:rPr>
                <w:rFonts w:ascii="仿宋" w:eastAsia="仿宋" w:hAnsi="仿宋" w:cs="仿宋"/>
              </w:rPr>
            </w:pPr>
          </w:p>
        </w:tc>
        <w:tc>
          <w:tcPr>
            <w:tcW w:w="1704" w:type="dxa"/>
            <w:vMerge/>
            <w:tcBorders>
              <w:left w:val="single" w:sz="4" w:space="0" w:color="000000"/>
              <w:bottom w:val="single" w:sz="4" w:space="0" w:color="000000"/>
            </w:tcBorders>
            <w:vAlign w:val="center"/>
          </w:tcPr>
          <w:p w:rsidR="00E847D8" w:rsidRDefault="00E847D8">
            <w:pPr>
              <w:pStyle w:val="TableParagraph"/>
              <w:jc w:val="center"/>
              <w:rPr>
                <w:rFonts w:ascii="仿宋" w:eastAsia="仿宋" w:hAnsi="仿宋" w:cs="仿宋"/>
              </w:rPr>
            </w:pPr>
          </w:p>
        </w:tc>
        <w:tc>
          <w:tcPr>
            <w:tcW w:w="1263" w:type="dxa"/>
            <w:vMerge/>
            <w:tcBorders>
              <w:left w:val="single" w:sz="4" w:space="0" w:color="000000"/>
              <w:bottom w:val="single" w:sz="4" w:space="0" w:color="000000"/>
            </w:tcBorders>
          </w:tcPr>
          <w:p w:rsidR="00E847D8" w:rsidRDefault="00E847D8">
            <w:pPr>
              <w:rPr>
                <w:rFonts w:ascii="仿宋" w:eastAsia="仿宋" w:hAnsi="仿宋" w:cs="仿宋"/>
              </w:rPr>
            </w:pPr>
          </w:p>
        </w:tc>
        <w:tc>
          <w:tcPr>
            <w:tcW w:w="1375" w:type="dxa"/>
            <w:vMerge/>
            <w:tcBorders>
              <w:left w:val="single" w:sz="4" w:space="0" w:color="000000"/>
              <w:bottom w:val="single" w:sz="4" w:space="0" w:color="000000"/>
            </w:tcBorders>
          </w:tcPr>
          <w:p w:rsidR="00E847D8" w:rsidRDefault="00E847D8">
            <w:pPr>
              <w:rPr>
                <w:rFonts w:ascii="仿宋" w:eastAsia="仿宋" w:hAnsi="仿宋" w:cs="仿宋"/>
              </w:rPr>
            </w:pPr>
          </w:p>
        </w:tc>
        <w:tc>
          <w:tcPr>
            <w:tcW w:w="1328"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rPr>
            </w:pPr>
          </w:p>
        </w:tc>
      </w:tr>
      <w:tr w:rsidR="00E847D8">
        <w:trPr>
          <w:cantSplit/>
          <w:trHeight w:hRule="exact" w:val="267"/>
          <w:jc w:val="center"/>
        </w:trPr>
        <w:tc>
          <w:tcPr>
            <w:tcW w:w="4357"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rPr>
              <w:t>合计</w:t>
            </w:r>
          </w:p>
        </w:tc>
        <w:tc>
          <w:tcPr>
            <w:tcW w:w="1716" w:type="dxa"/>
            <w:tcBorders>
              <w:left w:val="single" w:sz="4" w:space="0" w:color="000000"/>
              <w:bottom w:val="single" w:sz="4" w:space="0" w:color="000000"/>
            </w:tcBorders>
            <w:vAlign w:val="center"/>
          </w:tcPr>
          <w:p w:rsidR="00E847D8" w:rsidRDefault="001A5CCD">
            <w:pPr>
              <w:jc w:val="right"/>
              <w:rPr>
                <w:rFonts w:ascii="仿宋" w:eastAsia="仿宋" w:hAnsi="仿宋" w:cs="仿宋"/>
                <w:sz w:val="20"/>
                <w:szCs w:val="20"/>
              </w:rPr>
            </w:pPr>
            <w:r>
              <w:rPr>
                <w:rFonts w:ascii="仿宋" w:eastAsia="仿宋" w:hAnsi="仿宋" w:cs="仿宋" w:hint="eastAsia"/>
                <w:sz w:val="20"/>
                <w:szCs w:val="20"/>
              </w:rPr>
              <w:t>5,130.04</w:t>
            </w:r>
          </w:p>
        </w:tc>
        <w:tc>
          <w:tcPr>
            <w:tcW w:w="1728" w:type="dxa"/>
            <w:tcBorders>
              <w:left w:val="single" w:sz="4" w:space="0" w:color="000000"/>
              <w:bottom w:val="single" w:sz="4" w:space="0" w:color="000000"/>
            </w:tcBorders>
            <w:vAlign w:val="center"/>
          </w:tcPr>
          <w:p w:rsidR="00E847D8" w:rsidRDefault="001A5CCD">
            <w:pPr>
              <w:jc w:val="right"/>
              <w:rPr>
                <w:rFonts w:ascii="仿宋" w:eastAsia="仿宋" w:hAnsi="仿宋" w:cs="仿宋"/>
                <w:sz w:val="20"/>
                <w:szCs w:val="20"/>
              </w:rPr>
            </w:pPr>
            <w:r>
              <w:rPr>
                <w:rFonts w:ascii="仿宋" w:eastAsia="仿宋" w:hAnsi="仿宋" w:cs="仿宋" w:hint="eastAsia"/>
                <w:sz w:val="20"/>
                <w:szCs w:val="20"/>
              </w:rPr>
              <w:t>5,130.04</w:t>
            </w:r>
          </w:p>
        </w:tc>
        <w:tc>
          <w:tcPr>
            <w:tcW w:w="1686" w:type="dxa"/>
            <w:tcBorders>
              <w:left w:val="single" w:sz="4" w:space="0" w:color="000000"/>
              <w:bottom w:val="single" w:sz="4" w:space="0" w:color="000000"/>
            </w:tcBorders>
            <w:vAlign w:val="center"/>
          </w:tcPr>
          <w:p w:rsidR="00E847D8" w:rsidRDefault="00E847D8">
            <w:pPr>
              <w:jc w:val="right"/>
              <w:rPr>
                <w:rFonts w:ascii="仿宋" w:eastAsia="仿宋" w:hAnsi="仿宋" w:cs="仿宋"/>
                <w:sz w:val="20"/>
                <w:szCs w:val="20"/>
              </w:rPr>
            </w:pPr>
          </w:p>
        </w:tc>
        <w:tc>
          <w:tcPr>
            <w:tcW w:w="1503" w:type="dxa"/>
            <w:tcBorders>
              <w:left w:val="single" w:sz="4" w:space="0" w:color="000000"/>
              <w:bottom w:val="single" w:sz="4" w:space="0" w:color="000000"/>
            </w:tcBorders>
            <w:vAlign w:val="center"/>
          </w:tcPr>
          <w:p w:rsidR="00E847D8" w:rsidRDefault="00E847D8">
            <w:pPr>
              <w:jc w:val="right"/>
              <w:rPr>
                <w:rFonts w:ascii="仿宋" w:eastAsia="仿宋" w:hAnsi="仿宋" w:cs="仿宋"/>
                <w:sz w:val="20"/>
                <w:szCs w:val="20"/>
              </w:rPr>
            </w:pPr>
          </w:p>
        </w:tc>
        <w:tc>
          <w:tcPr>
            <w:tcW w:w="1704" w:type="dxa"/>
            <w:tcBorders>
              <w:left w:val="single" w:sz="4" w:space="0" w:color="000000"/>
              <w:bottom w:val="single" w:sz="4" w:space="0" w:color="000000"/>
            </w:tcBorders>
            <w:vAlign w:val="center"/>
          </w:tcPr>
          <w:p w:rsidR="00E847D8" w:rsidRDefault="00E847D8">
            <w:pPr>
              <w:jc w:val="right"/>
              <w:rPr>
                <w:rFonts w:ascii="仿宋" w:eastAsia="仿宋" w:hAnsi="仿宋" w:cs="仿宋"/>
                <w:sz w:val="20"/>
                <w:szCs w:val="20"/>
              </w:rPr>
            </w:pPr>
          </w:p>
        </w:tc>
        <w:tc>
          <w:tcPr>
            <w:tcW w:w="1263" w:type="dxa"/>
            <w:tcBorders>
              <w:left w:val="single" w:sz="4" w:space="0" w:color="000000"/>
              <w:bottom w:val="single" w:sz="4" w:space="0" w:color="000000"/>
            </w:tcBorders>
            <w:vAlign w:val="center"/>
          </w:tcPr>
          <w:p w:rsidR="00E847D8" w:rsidRDefault="00E847D8">
            <w:pPr>
              <w:jc w:val="right"/>
              <w:rPr>
                <w:rFonts w:ascii="仿宋" w:eastAsia="仿宋" w:hAnsi="仿宋" w:cs="仿宋"/>
                <w:sz w:val="20"/>
                <w:szCs w:val="20"/>
              </w:rPr>
            </w:pPr>
          </w:p>
        </w:tc>
        <w:tc>
          <w:tcPr>
            <w:tcW w:w="1375" w:type="dxa"/>
            <w:tcBorders>
              <w:left w:val="single" w:sz="4" w:space="0" w:color="000000"/>
              <w:bottom w:val="single" w:sz="4" w:space="0" w:color="000000"/>
            </w:tcBorders>
            <w:vAlign w:val="center"/>
          </w:tcPr>
          <w:p w:rsidR="00E847D8" w:rsidRDefault="00E847D8">
            <w:pPr>
              <w:jc w:val="right"/>
              <w:rPr>
                <w:rFonts w:ascii="仿宋" w:eastAsia="仿宋" w:hAnsi="仿宋" w:cs="仿宋"/>
                <w:sz w:val="20"/>
                <w:szCs w:val="20"/>
              </w:rPr>
            </w:pPr>
          </w:p>
        </w:tc>
        <w:tc>
          <w:tcPr>
            <w:tcW w:w="1328" w:type="dxa"/>
            <w:tcBorders>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323.51</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323.51</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250.98</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250.98</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2080505</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167.32</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167.32</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2080506</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83.66</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83.66</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20899</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72.53</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72.53</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72.53</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72.53</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4,029.62</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4,029.62</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21003</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195.00</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195.00</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2100399</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195.00</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195.00</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3,834.62</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3,834.62</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2100403</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3,665.02</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3,665.02</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2100408</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159.45</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159.45</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2100409</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10.15</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10.15</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住房保障支出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776.91</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776.91</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776.91</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776.91</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205.16</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205.16</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2210202</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366.18</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366.18</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r w:rsidR="00E847D8">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2210203</w:t>
            </w:r>
          </w:p>
        </w:tc>
        <w:tc>
          <w:tcPr>
            <w:tcW w:w="315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205.57</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20"/>
                <w:szCs w:val="20"/>
              </w:rPr>
            </w:pPr>
            <w:r>
              <w:rPr>
                <w:rFonts w:ascii="仿宋" w:eastAsia="仿宋" w:hAnsi="仿宋" w:cs="仿宋" w:hint="eastAsia"/>
                <w:sz w:val="20"/>
                <w:szCs w:val="20"/>
              </w:rPr>
              <w:t>205.57</w:t>
            </w:r>
          </w:p>
        </w:tc>
        <w:tc>
          <w:tcPr>
            <w:tcW w:w="168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sz w:val="20"/>
                <w:szCs w:val="20"/>
              </w:rPr>
            </w:pPr>
          </w:p>
        </w:tc>
      </w:tr>
    </w:tbl>
    <w:p w:rsidR="00E847D8" w:rsidRDefault="001A5CCD">
      <w:pPr>
        <w:spacing w:before="66"/>
        <w:jc w:val="both"/>
        <w:rPr>
          <w:rFonts w:ascii="仿宋" w:eastAsia="仿宋" w:hAnsi="仿宋" w:cs="仿宋"/>
        </w:rPr>
      </w:pPr>
      <w:r>
        <w:rPr>
          <w:rFonts w:ascii="仿宋" w:eastAsia="仿宋" w:hAnsi="仿宋" w:cs="仿宋" w:hint="eastAsia"/>
          <w:color w:val="000000"/>
        </w:rPr>
        <w:lastRenderedPageBreak/>
        <w:t>注：</w:t>
      </w:r>
      <w:r>
        <w:rPr>
          <w:rFonts w:ascii="仿宋" w:eastAsia="仿宋" w:hAnsi="仿宋" w:cs="仿宋" w:hint="eastAsia"/>
        </w:rPr>
        <w:t>本表反映本年度取得的各项收入情况。本表金额单位转换时可能存在尾数误差。</w:t>
      </w:r>
    </w:p>
    <w:p w:rsidR="00E847D8" w:rsidRDefault="00E847D8">
      <w:pPr>
        <w:spacing w:before="66"/>
        <w:ind w:left="57" w:firstLineChars="100" w:firstLine="220"/>
        <w:jc w:val="both"/>
        <w:rPr>
          <w:rFonts w:ascii="仿宋" w:eastAsia="仿宋" w:hAnsi="仿宋" w:cs="仿宋"/>
        </w:rPr>
        <w:sectPr w:rsidR="00E847D8">
          <w:footerReference w:type="default" r:id="rId12"/>
          <w:pgSz w:w="16838" w:h="11906" w:orient="landscape"/>
          <w:pgMar w:top="720" w:right="113" w:bottom="720" w:left="113" w:header="170" w:footer="280" w:gutter="0"/>
          <w:pgNumType w:fmt="numberInDash"/>
          <w:cols w:space="720"/>
          <w:formProt w:val="0"/>
          <w:docGrid w:linePitch="100"/>
        </w:sectPr>
      </w:pPr>
    </w:p>
    <w:tbl>
      <w:tblPr>
        <w:tblW w:w="15689" w:type="dxa"/>
        <w:tblInd w:w="63" w:type="dxa"/>
        <w:tblLayout w:type="fixed"/>
        <w:tblCellMar>
          <w:top w:w="55" w:type="dxa"/>
          <w:left w:w="55" w:type="dxa"/>
          <w:bottom w:w="55" w:type="dxa"/>
          <w:right w:w="55" w:type="dxa"/>
        </w:tblCellMar>
        <w:tblLook w:val="04A0"/>
      </w:tblPr>
      <w:tblGrid>
        <w:gridCol w:w="1188"/>
        <w:gridCol w:w="3927"/>
        <w:gridCol w:w="2164"/>
        <w:gridCol w:w="1897"/>
        <w:gridCol w:w="1739"/>
        <w:gridCol w:w="1715"/>
        <w:gridCol w:w="1633"/>
        <w:gridCol w:w="1426"/>
      </w:tblGrid>
      <w:tr w:rsidR="00E847D8">
        <w:trPr>
          <w:trHeight w:val="532"/>
        </w:trPr>
        <w:tc>
          <w:tcPr>
            <w:tcW w:w="15689" w:type="dxa"/>
            <w:gridSpan w:val="8"/>
            <w:vAlign w:val="center"/>
          </w:tcPr>
          <w:p w:rsidR="00E847D8" w:rsidRDefault="001A5CCD">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E847D8">
        <w:trPr>
          <w:trHeight w:val="227"/>
        </w:trPr>
        <w:tc>
          <w:tcPr>
            <w:tcW w:w="5115" w:type="dxa"/>
            <w:gridSpan w:val="2"/>
            <w:vAlign w:val="center"/>
          </w:tcPr>
          <w:p w:rsidR="00E847D8" w:rsidRDefault="00E847D8">
            <w:pPr>
              <w:pStyle w:val="TableParagraph"/>
              <w:jc w:val="center"/>
              <w:rPr>
                <w:rFonts w:ascii="仿宋" w:eastAsia="仿宋" w:hAnsi="仿宋" w:cs="仿宋"/>
              </w:rPr>
            </w:pPr>
          </w:p>
        </w:tc>
        <w:tc>
          <w:tcPr>
            <w:tcW w:w="2164" w:type="dxa"/>
            <w:vAlign w:val="center"/>
          </w:tcPr>
          <w:p w:rsidR="00E847D8" w:rsidRDefault="00E847D8">
            <w:pPr>
              <w:pStyle w:val="TableParagraph"/>
              <w:jc w:val="center"/>
              <w:rPr>
                <w:rFonts w:ascii="仿宋" w:eastAsia="仿宋" w:hAnsi="仿宋" w:cs="仿宋"/>
                <w:sz w:val="20"/>
              </w:rPr>
            </w:pPr>
          </w:p>
        </w:tc>
        <w:tc>
          <w:tcPr>
            <w:tcW w:w="1897" w:type="dxa"/>
            <w:vAlign w:val="center"/>
          </w:tcPr>
          <w:p w:rsidR="00E847D8" w:rsidRDefault="00E847D8">
            <w:pPr>
              <w:pStyle w:val="TableParagraph"/>
              <w:jc w:val="center"/>
              <w:rPr>
                <w:rFonts w:ascii="仿宋" w:eastAsia="仿宋" w:hAnsi="仿宋" w:cs="仿宋"/>
                <w:sz w:val="20"/>
              </w:rPr>
            </w:pPr>
          </w:p>
        </w:tc>
        <w:tc>
          <w:tcPr>
            <w:tcW w:w="1739" w:type="dxa"/>
            <w:vAlign w:val="center"/>
          </w:tcPr>
          <w:p w:rsidR="00E847D8" w:rsidRDefault="00E847D8">
            <w:pPr>
              <w:pStyle w:val="TableParagraph"/>
              <w:jc w:val="center"/>
              <w:rPr>
                <w:rFonts w:ascii="仿宋" w:eastAsia="仿宋" w:hAnsi="仿宋" w:cs="仿宋"/>
                <w:sz w:val="20"/>
              </w:rPr>
            </w:pPr>
          </w:p>
        </w:tc>
        <w:tc>
          <w:tcPr>
            <w:tcW w:w="1715" w:type="dxa"/>
            <w:vAlign w:val="center"/>
          </w:tcPr>
          <w:p w:rsidR="00E847D8" w:rsidRDefault="00E847D8">
            <w:pPr>
              <w:pStyle w:val="TableParagraph"/>
              <w:jc w:val="center"/>
              <w:rPr>
                <w:rFonts w:ascii="仿宋" w:eastAsia="仿宋" w:hAnsi="仿宋" w:cs="仿宋"/>
                <w:sz w:val="20"/>
              </w:rPr>
            </w:pPr>
          </w:p>
        </w:tc>
        <w:tc>
          <w:tcPr>
            <w:tcW w:w="3059" w:type="dxa"/>
            <w:gridSpan w:val="2"/>
            <w:vAlign w:val="center"/>
          </w:tcPr>
          <w:p w:rsidR="00E847D8" w:rsidRDefault="001A5CC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E847D8">
        <w:trPr>
          <w:trHeight w:val="90"/>
        </w:trPr>
        <w:tc>
          <w:tcPr>
            <w:tcW w:w="12630" w:type="dxa"/>
            <w:gridSpan w:val="6"/>
            <w:vAlign w:val="center"/>
          </w:tcPr>
          <w:p w:rsidR="00E847D8" w:rsidRDefault="001A5CC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3059" w:type="dxa"/>
            <w:gridSpan w:val="2"/>
            <w:vAlign w:val="center"/>
          </w:tcPr>
          <w:p w:rsidR="00E847D8" w:rsidRDefault="001A5CCD">
            <w:pPr>
              <w:pStyle w:val="TableParagraph"/>
              <w:jc w:val="right"/>
              <w:rPr>
                <w:rFonts w:ascii="仿宋" w:eastAsia="仿宋" w:hAnsi="仿宋" w:cs="仿宋"/>
              </w:rPr>
            </w:pPr>
            <w:r>
              <w:rPr>
                <w:rFonts w:ascii="仿宋" w:eastAsia="仿宋" w:hAnsi="仿宋" w:cs="仿宋" w:hint="eastAsia"/>
              </w:rPr>
              <w:t>金额单位：万元</w:t>
            </w:r>
          </w:p>
        </w:tc>
      </w:tr>
      <w:tr w:rsidR="00E847D8">
        <w:trPr>
          <w:trHeight w:val="90"/>
        </w:trPr>
        <w:tc>
          <w:tcPr>
            <w:tcW w:w="5115" w:type="dxa"/>
            <w:gridSpan w:val="2"/>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w:t>
            </w:r>
          </w:p>
        </w:tc>
        <w:tc>
          <w:tcPr>
            <w:tcW w:w="2164"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本年支出合计</w:t>
            </w:r>
          </w:p>
        </w:tc>
        <w:tc>
          <w:tcPr>
            <w:tcW w:w="1897"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基本支出</w:t>
            </w:r>
          </w:p>
        </w:tc>
        <w:tc>
          <w:tcPr>
            <w:tcW w:w="1739"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项目支出</w:t>
            </w:r>
          </w:p>
        </w:tc>
        <w:tc>
          <w:tcPr>
            <w:tcW w:w="1715"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上缴上级支出</w:t>
            </w:r>
          </w:p>
        </w:tc>
        <w:tc>
          <w:tcPr>
            <w:tcW w:w="1633" w:type="dxa"/>
            <w:vMerge w:val="restart"/>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经营支出</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对附属单位补助支出</w:t>
            </w:r>
          </w:p>
        </w:tc>
      </w:tr>
      <w:tr w:rsidR="00E847D8">
        <w:trPr>
          <w:trHeight w:val="176"/>
        </w:trPr>
        <w:tc>
          <w:tcPr>
            <w:tcW w:w="1188"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功能分类</w:t>
            </w:r>
          </w:p>
          <w:p w:rsidR="00E847D8" w:rsidRDefault="001A5CCD">
            <w:pPr>
              <w:pStyle w:val="TableParagraph"/>
              <w:jc w:val="center"/>
              <w:rPr>
                <w:rFonts w:ascii="仿宋" w:eastAsia="仿宋" w:hAnsi="仿宋" w:cs="仿宋"/>
              </w:rPr>
            </w:pPr>
            <w:r>
              <w:rPr>
                <w:rFonts w:ascii="仿宋" w:eastAsia="仿宋" w:hAnsi="仿宋" w:cs="仿宋" w:hint="eastAsia"/>
              </w:rPr>
              <w:t>科目编码</w:t>
            </w:r>
          </w:p>
        </w:tc>
        <w:tc>
          <w:tcPr>
            <w:tcW w:w="3927"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2164" w:type="dxa"/>
            <w:vMerge/>
            <w:tcBorders>
              <w:left w:val="single" w:sz="4" w:space="0" w:color="000000"/>
              <w:bottom w:val="single" w:sz="4" w:space="0" w:color="000000"/>
            </w:tcBorders>
          </w:tcPr>
          <w:p w:rsidR="00E847D8" w:rsidRDefault="00E847D8">
            <w:pPr>
              <w:rPr>
                <w:rFonts w:ascii="仿宋" w:eastAsia="仿宋" w:hAnsi="仿宋" w:cs="仿宋"/>
              </w:rPr>
            </w:pPr>
          </w:p>
        </w:tc>
        <w:tc>
          <w:tcPr>
            <w:tcW w:w="1897" w:type="dxa"/>
            <w:vMerge/>
            <w:tcBorders>
              <w:left w:val="single" w:sz="4" w:space="0" w:color="000000"/>
              <w:bottom w:val="single" w:sz="4" w:space="0" w:color="000000"/>
            </w:tcBorders>
          </w:tcPr>
          <w:p w:rsidR="00E847D8" w:rsidRDefault="00E847D8">
            <w:pPr>
              <w:rPr>
                <w:rFonts w:ascii="仿宋" w:eastAsia="仿宋" w:hAnsi="仿宋" w:cs="仿宋"/>
              </w:rPr>
            </w:pPr>
          </w:p>
        </w:tc>
        <w:tc>
          <w:tcPr>
            <w:tcW w:w="1739" w:type="dxa"/>
            <w:vMerge/>
            <w:tcBorders>
              <w:left w:val="single" w:sz="4" w:space="0" w:color="000000"/>
              <w:bottom w:val="single" w:sz="4" w:space="0" w:color="000000"/>
            </w:tcBorders>
          </w:tcPr>
          <w:p w:rsidR="00E847D8" w:rsidRDefault="00E847D8">
            <w:pPr>
              <w:rPr>
                <w:rFonts w:ascii="仿宋" w:eastAsia="仿宋" w:hAnsi="仿宋" w:cs="仿宋"/>
              </w:rPr>
            </w:pPr>
          </w:p>
        </w:tc>
        <w:tc>
          <w:tcPr>
            <w:tcW w:w="1715" w:type="dxa"/>
            <w:vMerge/>
            <w:tcBorders>
              <w:left w:val="single" w:sz="4" w:space="0" w:color="000000"/>
              <w:bottom w:val="single" w:sz="4" w:space="0" w:color="000000"/>
            </w:tcBorders>
          </w:tcPr>
          <w:p w:rsidR="00E847D8" w:rsidRDefault="00E847D8">
            <w:pPr>
              <w:rPr>
                <w:rFonts w:ascii="仿宋" w:eastAsia="仿宋" w:hAnsi="仿宋" w:cs="仿宋"/>
              </w:rPr>
            </w:pPr>
          </w:p>
        </w:tc>
        <w:tc>
          <w:tcPr>
            <w:tcW w:w="1633" w:type="dxa"/>
            <w:vMerge/>
            <w:tcBorders>
              <w:left w:val="single" w:sz="4" w:space="0" w:color="000000"/>
              <w:bottom w:val="single" w:sz="4" w:space="0" w:color="000000"/>
            </w:tcBorders>
          </w:tcPr>
          <w:p w:rsidR="00E847D8" w:rsidRDefault="00E847D8">
            <w:pPr>
              <w:rPr>
                <w:rFonts w:ascii="仿宋" w:eastAsia="仿宋" w:hAnsi="仿宋" w:cs="仿宋"/>
              </w:rPr>
            </w:pPr>
          </w:p>
        </w:tc>
        <w:tc>
          <w:tcPr>
            <w:tcW w:w="1426"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rPr>
            </w:pPr>
          </w:p>
        </w:tc>
      </w:tr>
      <w:tr w:rsidR="00E847D8">
        <w:trPr>
          <w:trHeight w:hRule="exact" w:val="382"/>
        </w:trPr>
        <w:tc>
          <w:tcPr>
            <w:tcW w:w="5115"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rPr>
              <w:t>合计</w:t>
            </w:r>
          </w:p>
        </w:tc>
        <w:tc>
          <w:tcPr>
            <w:tcW w:w="2164" w:type="dxa"/>
            <w:tcBorders>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5,130.04</w:t>
            </w:r>
          </w:p>
        </w:tc>
        <w:tc>
          <w:tcPr>
            <w:tcW w:w="1897" w:type="dxa"/>
            <w:tcBorders>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3,457.07</w:t>
            </w:r>
          </w:p>
        </w:tc>
        <w:tc>
          <w:tcPr>
            <w:tcW w:w="1739" w:type="dxa"/>
            <w:tcBorders>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1,672.97</w:t>
            </w:r>
          </w:p>
        </w:tc>
        <w:tc>
          <w:tcPr>
            <w:tcW w:w="1715" w:type="dxa"/>
            <w:tcBorders>
              <w:left w:val="single" w:sz="4" w:space="0" w:color="000000"/>
              <w:bottom w:val="single" w:sz="4" w:space="0" w:color="000000"/>
            </w:tcBorders>
            <w:vAlign w:val="center"/>
          </w:tcPr>
          <w:p w:rsidR="00E847D8" w:rsidRDefault="00E847D8">
            <w:pPr>
              <w:jc w:val="right"/>
              <w:rPr>
                <w:rFonts w:ascii="仿宋" w:eastAsia="仿宋" w:hAnsi="仿宋" w:cs="仿宋"/>
              </w:rPr>
            </w:pPr>
          </w:p>
        </w:tc>
        <w:tc>
          <w:tcPr>
            <w:tcW w:w="1633" w:type="dxa"/>
            <w:tcBorders>
              <w:left w:val="single" w:sz="4" w:space="0" w:color="000000"/>
              <w:bottom w:val="single" w:sz="4" w:space="0" w:color="000000"/>
            </w:tcBorders>
            <w:vAlign w:val="center"/>
          </w:tcPr>
          <w:p w:rsidR="00E847D8" w:rsidRDefault="00E847D8">
            <w:pPr>
              <w:jc w:val="right"/>
              <w:rPr>
                <w:rFonts w:ascii="仿宋" w:eastAsia="仿宋" w:hAnsi="仿宋" w:cs="仿宋"/>
              </w:rPr>
            </w:pPr>
          </w:p>
        </w:tc>
        <w:tc>
          <w:tcPr>
            <w:tcW w:w="1426" w:type="dxa"/>
            <w:tcBorders>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208</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323.51</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323.51</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20805</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250.98</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250.98</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2080505</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167.32</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167.32</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2080506</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83.66</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83.66</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20899</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72.53</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72.53</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2089999</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72.53</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72.53</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210</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卫生健康支出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4,029.62</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2,356.65</w:t>
            </w:r>
          </w:p>
        </w:tc>
        <w:tc>
          <w:tcPr>
            <w:tcW w:w="1739"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1,672.97</w:t>
            </w: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21003</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195.00</w:t>
            </w:r>
          </w:p>
        </w:tc>
        <w:tc>
          <w:tcPr>
            <w:tcW w:w="1897"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195.00</w:t>
            </w: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2100399</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195.00</w:t>
            </w:r>
          </w:p>
        </w:tc>
        <w:tc>
          <w:tcPr>
            <w:tcW w:w="1897"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195.00</w:t>
            </w: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21004</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3,834.62</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2,356.65</w:t>
            </w:r>
          </w:p>
        </w:tc>
        <w:tc>
          <w:tcPr>
            <w:tcW w:w="1739"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1,477.97</w:t>
            </w: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2100403</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3,665.02</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2,356.65</w:t>
            </w:r>
          </w:p>
        </w:tc>
        <w:tc>
          <w:tcPr>
            <w:tcW w:w="1739"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1,308.37</w:t>
            </w: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2100408</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159.45</w:t>
            </w:r>
          </w:p>
        </w:tc>
        <w:tc>
          <w:tcPr>
            <w:tcW w:w="1897"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159.45</w:t>
            </w: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lastRenderedPageBreak/>
              <w:t>2100409</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10.15</w:t>
            </w:r>
          </w:p>
        </w:tc>
        <w:tc>
          <w:tcPr>
            <w:tcW w:w="1897"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10.15</w:t>
            </w: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221</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住房保障支出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776.91</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776.91</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22102</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776.91</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776.91</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2210201</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205.16</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205.16</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2210202</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366.18</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366.18</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r w:rsidR="00E847D8">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2210203</w:t>
            </w:r>
          </w:p>
        </w:tc>
        <w:tc>
          <w:tcPr>
            <w:tcW w:w="392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164"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205.57</w:t>
            </w:r>
          </w:p>
        </w:tc>
        <w:tc>
          <w:tcPr>
            <w:tcW w:w="1897" w:type="dxa"/>
            <w:tcBorders>
              <w:top w:val="single" w:sz="4" w:space="0" w:color="000000"/>
              <w:left w:val="single" w:sz="4" w:space="0" w:color="000000"/>
              <w:bottom w:val="single" w:sz="4" w:space="0" w:color="000000"/>
              <w:right w:val="single" w:sz="4" w:space="0" w:color="000000"/>
            </w:tcBorders>
          </w:tcPr>
          <w:p w:rsidR="00E847D8" w:rsidRDefault="001A5CCD">
            <w:pPr>
              <w:pStyle w:val="TableParagraph"/>
              <w:spacing w:before="30"/>
              <w:ind w:left="107"/>
              <w:jc w:val="right"/>
              <w:rPr>
                <w:rFonts w:ascii="仿宋" w:eastAsia="仿宋" w:hAnsi="仿宋" w:cs="仿宋"/>
              </w:rPr>
            </w:pPr>
            <w:r>
              <w:rPr>
                <w:rFonts w:ascii="仿宋" w:eastAsia="仿宋" w:hAnsi="仿宋" w:cs="仿宋" w:hint="eastAsia"/>
              </w:rPr>
              <w:t>205.57</w:t>
            </w:r>
          </w:p>
        </w:tc>
        <w:tc>
          <w:tcPr>
            <w:tcW w:w="1739"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E847D8" w:rsidRDefault="00E847D8">
            <w:pPr>
              <w:pStyle w:val="TableParagraph"/>
              <w:spacing w:before="30"/>
              <w:ind w:left="107"/>
              <w:jc w:val="right"/>
              <w:rPr>
                <w:rFonts w:ascii="仿宋" w:eastAsia="仿宋" w:hAnsi="仿宋" w:cs="仿宋"/>
              </w:rPr>
            </w:pPr>
          </w:p>
        </w:tc>
      </w:tr>
    </w:tbl>
    <w:p w:rsidR="00E847D8" w:rsidRDefault="001A5CCD">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E847D8" w:rsidRDefault="00E847D8">
      <w:pPr>
        <w:spacing w:before="59"/>
        <w:ind w:left="57"/>
        <w:rPr>
          <w:rFonts w:ascii="仿宋" w:eastAsia="仿宋" w:hAnsi="仿宋" w:cs="仿宋"/>
        </w:rPr>
        <w:sectPr w:rsidR="00E847D8">
          <w:footerReference w:type="default" r:id="rId13"/>
          <w:pgSz w:w="16838" w:h="11906" w:orient="landscape"/>
          <w:pgMar w:top="720" w:right="567" w:bottom="720" w:left="567"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E847D8">
        <w:trPr>
          <w:trHeight w:val="319"/>
        </w:trPr>
        <w:tc>
          <w:tcPr>
            <w:tcW w:w="15372" w:type="dxa"/>
            <w:gridSpan w:val="10"/>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E847D8">
        <w:trPr>
          <w:trHeight w:val="319"/>
        </w:trPr>
        <w:tc>
          <w:tcPr>
            <w:tcW w:w="5562" w:type="dxa"/>
            <w:gridSpan w:val="2"/>
          </w:tcPr>
          <w:p w:rsidR="00E847D8" w:rsidRDefault="00E847D8">
            <w:pPr>
              <w:pStyle w:val="TableParagraph"/>
              <w:rPr>
                <w:rFonts w:ascii="仿宋" w:eastAsia="仿宋" w:hAnsi="仿宋" w:cs="仿宋"/>
                <w:sz w:val="20"/>
              </w:rPr>
            </w:pPr>
          </w:p>
        </w:tc>
        <w:tc>
          <w:tcPr>
            <w:tcW w:w="847" w:type="dxa"/>
          </w:tcPr>
          <w:p w:rsidR="00E847D8" w:rsidRDefault="00E847D8">
            <w:pPr>
              <w:pStyle w:val="TableParagraph"/>
              <w:rPr>
                <w:rFonts w:ascii="仿宋" w:eastAsia="仿宋" w:hAnsi="仿宋" w:cs="仿宋"/>
                <w:sz w:val="20"/>
              </w:rPr>
            </w:pPr>
          </w:p>
        </w:tc>
        <w:tc>
          <w:tcPr>
            <w:tcW w:w="1913" w:type="dxa"/>
          </w:tcPr>
          <w:p w:rsidR="00E847D8" w:rsidRDefault="00E847D8">
            <w:pPr>
              <w:pStyle w:val="TableParagraph"/>
              <w:rPr>
                <w:rFonts w:ascii="仿宋" w:eastAsia="仿宋" w:hAnsi="仿宋" w:cs="仿宋"/>
                <w:sz w:val="20"/>
              </w:rPr>
            </w:pPr>
          </w:p>
        </w:tc>
        <w:tc>
          <w:tcPr>
            <w:tcW w:w="2635" w:type="dxa"/>
            <w:gridSpan w:val="2"/>
          </w:tcPr>
          <w:p w:rsidR="00E847D8" w:rsidRDefault="00E847D8">
            <w:pPr>
              <w:pStyle w:val="TableParagraph"/>
              <w:rPr>
                <w:rFonts w:ascii="仿宋" w:eastAsia="仿宋" w:hAnsi="仿宋" w:cs="仿宋"/>
                <w:sz w:val="20"/>
              </w:rPr>
            </w:pPr>
          </w:p>
        </w:tc>
        <w:tc>
          <w:tcPr>
            <w:tcW w:w="1194" w:type="dxa"/>
          </w:tcPr>
          <w:p w:rsidR="00E847D8" w:rsidRDefault="00E847D8">
            <w:pPr>
              <w:pStyle w:val="TableParagraph"/>
              <w:rPr>
                <w:rFonts w:ascii="仿宋" w:eastAsia="仿宋" w:hAnsi="仿宋" w:cs="仿宋"/>
                <w:sz w:val="20"/>
              </w:rPr>
            </w:pPr>
          </w:p>
        </w:tc>
        <w:tc>
          <w:tcPr>
            <w:tcW w:w="3221" w:type="dxa"/>
            <w:gridSpan w:val="3"/>
            <w:vAlign w:val="center"/>
          </w:tcPr>
          <w:p w:rsidR="00E847D8" w:rsidRDefault="001A5CC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E847D8">
        <w:trPr>
          <w:trHeight w:val="319"/>
        </w:trPr>
        <w:tc>
          <w:tcPr>
            <w:tcW w:w="12151" w:type="dxa"/>
            <w:gridSpan w:val="7"/>
          </w:tcPr>
          <w:p w:rsidR="00E847D8" w:rsidRDefault="001A5CC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3221" w:type="dxa"/>
            <w:gridSpan w:val="3"/>
            <w:vAlign w:val="center"/>
          </w:tcPr>
          <w:p w:rsidR="00E847D8" w:rsidRDefault="001A5CCD">
            <w:pPr>
              <w:pStyle w:val="TableParagraph"/>
              <w:jc w:val="right"/>
              <w:rPr>
                <w:rFonts w:ascii="仿宋" w:eastAsia="仿宋" w:hAnsi="仿宋" w:cs="仿宋"/>
              </w:rPr>
            </w:pPr>
            <w:r>
              <w:rPr>
                <w:rFonts w:ascii="仿宋" w:eastAsia="仿宋" w:hAnsi="仿宋" w:cs="仿宋" w:hint="eastAsia"/>
              </w:rPr>
              <w:t>金额单位：万元</w:t>
            </w:r>
          </w:p>
        </w:tc>
      </w:tr>
      <w:tr w:rsidR="00E847D8">
        <w:trPr>
          <w:trHeight w:val="162"/>
        </w:trPr>
        <w:tc>
          <w:tcPr>
            <w:tcW w:w="5562" w:type="dxa"/>
            <w:gridSpan w:val="2"/>
            <w:tcBorders>
              <w:top w:val="single" w:sz="4" w:space="0" w:color="000000"/>
              <w:left w:val="single" w:sz="4" w:space="0" w:color="000000"/>
              <w:bottom w:val="single" w:sz="4" w:space="0" w:color="000000"/>
            </w:tcBorders>
          </w:tcPr>
          <w:p w:rsidR="00E847D8" w:rsidRDefault="001A5CCD">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E847D8" w:rsidRDefault="001A5CCD">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E847D8">
        <w:trPr>
          <w:trHeight w:val="199"/>
        </w:trPr>
        <w:tc>
          <w:tcPr>
            <w:tcW w:w="3725" w:type="dxa"/>
            <w:vMerge w:val="restart"/>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E847D8" w:rsidRDefault="001A5CCD">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E847D8" w:rsidRDefault="001A5CCD">
            <w:pPr>
              <w:jc w:val="center"/>
              <w:rPr>
                <w:rFonts w:ascii="仿宋" w:eastAsia="仿宋" w:hAnsi="仿宋" w:cs="仿宋"/>
              </w:rPr>
            </w:pPr>
            <w:r>
              <w:rPr>
                <w:rFonts w:ascii="仿宋" w:eastAsia="仿宋" w:hAnsi="仿宋" w:cs="仿宋" w:hint="eastAsia"/>
              </w:rPr>
              <w:t>决算数</w:t>
            </w:r>
          </w:p>
        </w:tc>
      </w:tr>
      <w:tr w:rsidR="00E847D8">
        <w:trPr>
          <w:trHeight w:val="578"/>
        </w:trPr>
        <w:tc>
          <w:tcPr>
            <w:tcW w:w="3725" w:type="dxa"/>
            <w:vMerge/>
            <w:tcBorders>
              <w:left w:val="single" w:sz="4" w:space="0" w:color="000000"/>
              <w:bottom w:val="single" w:sz="4" w:space="0" w:color="000000"/>
            </w:tcBorders>
          </w:tcPr>
          <w:p w:rsidR="00E847D8" w:rsidRDefault="00E847D8">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E847D8" w:rsidRDefault="00E847D8">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E847D8" w:rsidRDefault="00E847D8">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国有资本经营预算财政拨款</w:t>
            </w: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5,130.04</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323.51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323.51</w:t>
            </w: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4,029.62</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4,029.62</w:t>
            </w: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hRule="exact" w:val="359"/>
        </w:trPr>
        <w:tc>
          <w:tcPr>
            <w:tcW w:w="3725" w:type="dxa"/>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5,130.04</w:t>
            </w:r>
          </w:p>
        </w:tc>
        <w:tc>
          <w:tcPr>
            <w:tcW w:w="3667" w:type="dxa"/>
            <w:gridSpan w:val="3"/>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5,130.04</w:t>
            </w:r>
          </w:p>
        </w:tc>
        <w:tc>
          <w:tcPr>
            <w:tcW w:w="1415" w:type="dxa"/>
            <w:gridSpan w:val="2"/>
            <w:tcBorders>
              <w:top w:val="single" w:sz="4" w:space="0" w:color="000000"/>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5,130.04</w:t>
            </w:r>
          </w:p>
        </w:tc>
        <w:tc>
          <w:tcPr>
            <w:tcW w:w="1500" w:type="dxa"/>
            <w:tcBorders>
              <w:top w:val="single" w:sz="4" w:space="0" w:color="000000"/>
              <w:left w:val="single" w:sz="4" w:space="0" w:color="000000"/>
              <w:bottom w:val="single" w:sz="4" w:space="0" w:color="000000"/>
            </w:tcBorders>
            <w:vAlign w:val="center"/>
          </w:tcPr>
          <w:p w:rsidR="00E847D8" w:rsidRDefault="00E847D8">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trHeight w:val="242"/>
        </w:trPr>
        <w:tc>
          <w:tcPr>
            <w:tcW w:w="3725"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42"/>
        </w:trPr>
        <w:tc>
          <w:tcPr>
            <w:tcW w:w="3725"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E847D8" w:rsidRDefault="00E847D8">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42"/>
        </w:trPr>
        <w:tc>
          <w:tcPr>
            <w:tcW w:w="3725"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E847D8" w:rsidRDefault="00E847D8">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trHeight w:val="242"/>
        </w:trPr>
        <w:tc>
          <w:tcPr>
            <w:tcW w:w="3725"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E847D8" w:rsidRDefault="00E847D8">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hRule="exact" w:val="322"/>
        </w:trPr>
        <w:tc>
          <w:tcPr>
            <w:tcW w:w="3725"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5,130.04</w:t>
            </w:r>
          </w:p>
        </w:tc>
        <w:tc>
          <w:tcPr>
            <w:tcW w:w="3667" w:type="dxa"/>
            <w:gridSpan w:val="3"/>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5,130.04</w:t>
            </w:r>
          </w:p>
        </w:tc>
        <w:tc>
          <w:tcPr>
            <w:tcW w:w="1415" w:type="dxa"/>
            <w:gridSpan w:val="2"/>
            <w:tcBorders>
              <w:left w:val="single" w:sz="4" w:space="0" w:color="000000"/>
              <w:bottom w:val="single" w:sz="4" w:space="0" w:color="000000"/>
            </w:tcBorders>
            <w:vAlign w:val="center"/>
          </w:tcPr>
          <w:p w:rsidR="00E847D8" w:rsidRDefault="001A5CCD">
            <w:pPr>
              <w:jc w:val="right"/>
              <w:rPr>
                <w:rFonts w:ascii="仿宋" w:eastAsia="仿宋" w:hAnsi="仿宋" w:cs="仿宋"/>
              </w:rPr>
            </w:pPr>
            <w:r>
              <w:rPr>
                <w:rFonts w:ascii="仿宋" w:eastAsia="仿宋" w:hAnsi="仿宋" w:cs="仿宋" w:hint="eastAsia"/>
              </w:rPr>
              <w:t>5,130.04</w:t>
            </w:r>
          </w:p>
        </w:tc>
        <w:tc>
          <w:tcPr>
            <w:tcW w:w="1500" w:type="dxa"/>
            <w:tcBorders>
              <w:left w:val="single" w:sz="4" w:space="0" w:color="000000"/>
              <w:bottom w:val="single" w:sz="4" w:space="0" w:color="000000"/>
            </w:tcBorders>
            <w:vAlign w:val="center"/>
          </w:tcPr>
          <w:p w:rsidR="00E847D8" w:rsidRDefault="00E847D8">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bl>
    <w:p w:rsidR="00E847D8" w:rsidRDefault="001A5CCD">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E847D8" w:rsidRDefault="00E847D8">
      <w:pPr>
        <w:jc w:val="both"/>
        <w:rPr>
          <w:rFonts w:ascii="仿宋" w:eastAsia="仿宋" w:hAnsi="仿宋" w:cs="仿宋"/>
        </w:rPr>
        <w:sectPr w:rsidR="00E847D8">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E847D8">
        <w:trPr>
          <w:trHeight w:val="321"/>
        </w:trPr>
        <w:tc>
          <w:tcPr>
            <w:tcW w:w="15417" w:type="dxa"/>
            <w:gridSpan w:val="5"/>
            <w:vAlign w:val="center"/>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E847D8">
        <w:trPr>
          <w:trHeight w:val="321"/>
        </w:trPr>
        <w:tc>
          <w:tcPr>
            <w:tcW w:w="6300" w:type="dxa"/>
            <w:gridSpan w:val="2"/>
          </w:tcPr>
          <w:p w:rsidR="00E847D8" w:rsidRDefault="00E847D8">
            <w:pPr>
              <w:pStyle w:val="TableParagraph"/>
              <w:rPr>
                <w:rFonts w:ascii="仿宋" w:eastAsia="仿宋" w:hAnsi="仿宋" w:cs="仿宋"/>
                <w:sz w:val="20"/>
              </w:rPr>
            </w:pPr>
          </w:p>
        </w:tc>
        <w:tc>
          <w:tcPr>
            <w:tcW w:w="3184" w:type="dxa"/>
          </w:tcPr>
          <w:p w:rsidR="00E847D8" w:rsidRDefault="00E847D8">
            <w:pPr>
              <w:pStyle w:val="TableParagraph"/>
              <w:rPr>
                <w:rFonts w:ascii="仿宋" w:eastAsia="仿宋" w:hAnsi="仿宋" w:cs="仿宋"/>
                <w:sz w:val="27"/>
              </w:rPr>
            </w:pPr>
          </w:p>
        </w:tc>
        <w:tc>
          <w:tcPr>
            <w:tcW w:w="5933" w:type="dxa"/>
            <w:gridSpan w:val="2"/>
            <w:vAlign w:val="center"/>
          </w:tcPr>
          <w:p w:rsidR="00E847D8" w:rsidRDefault="001A5CCD">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E847D8">
        <w:trPr>
          <w:trHeight w:val="288"/>
        </w:trPr>
        <w:tc>
          <w:tcPr>
            <w:tcW w:w="6300" w:type="dxa"/>
            <w:gridSpan w:val="2"/>
          </w:tcPr>
          <w:p w:rsidR="00E847D8" w:rsidRDefault="001A5CC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3184" w:type="dxa"/>
          </w:tcPr>
          <w:p w:rsidR="00E847D8" w:rsidRDefault="00E847D8">
            <w:pPr>
              <w:pStyle w:val="TableParagraph"/>
              <w:rPr>
                <w:rFonts w:ascii="仿宋" w:eastAsia="仿宋" w:hAnsi="仿宋" w:cs="仿宋"/>
                <w:sz w:val="27"/>
              </w:rPr>
            </w:pPr>
          </w:p>
        </w:tc>
        <w:tc>
          <w:tcPr>
            <w:tcW w:w="2778" w:type="dxa"/>
            <w:vAlign w:val="center"/>
          </w:tcPr>
          <w:p w:rsidR="00E847D8" w:rsidRDefault="00E847D8">
            <w:pPr>
              <w:pStyle w:val="TableParagraph"/>
              <w:jc w:val="right"/>
              <w:rPr>
                <w:rFonts w:ascii="仿宋" w:eastAsia="仿宋" w:hAnsi="仿宋" w:cs="仿宋"/>
                <w:sz w:val="27"/>
              </w:rPr>
            </w:pPr>
          </w:p>
        </w:tc>
        <w:tc>
          <w:tcPr>
            <w:tcW w:w="3155" w:type="dxa"/>
            <w:vAlign w:val="center"/>
          </w:tcPr>
          <w:p w:rsidR="00E847D8" w:rsidRDefault="001A5CCD">
            <w:pPr>
              <w:pStyle w:val="TableParagraph"/>
              <w:jc w:val="right"/>
              <w:rPr>
                <w:rFonts w:ascii="仿宋" w:eastAsia="仿宋" w:hAnsi="仿宋" w:cs="仿宋"/>
                <w:sz w:val="27"/>
              </w:rPr>
            </w:pPr>
            <w:r>
              <w:rPr>
                <w:rFonts w:ascii="仿宋" w:eastAsia="仿宋" w:hAnsi="仿宋" w:cs="仿宋" w:hint="eastAsia"/>
              </w:rPr>
              <w:t>金额单位：万元</w:t>
            </w:r>
          </w:p>
        </w:tc>
      </w:tr>
      <w:tr w:rsidR="00E847D8">
        <w:trPr>
          <w:trHeight w:val="319"/>
        </w:trPr>
        <w:tc>
          <w:tcPr>
            <w:tcW w:w="6300" w:type="dxa"/>
            <w:gridSpan w:val="2"/>
            <w:tcBorders>
              <w:top w:val="single" w:sz="6" w:space="0" w:color="000000"/>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项目支出</w:t>
            </w:r>
          </w:p>
        </w:tc>
      </w:tr>
      <w:tr w:rsidR="00E847D8">
        <w:trPr>
          <w:trHeight w:val="341"/>
        </w:trPr>
        <w:tc>
          <w:tcPr>
            <w:tcW w:w="1278"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功能分类</w:t>
            </w:r>
          </w:p>
          <w:p w:rsidR="00E847D8" w:rsidRDefault="001A5CCD">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E847D8" w:rsidRDefault="00E847D8">
            <w:pPr>
              <w:rPr>
                <w:rFonts w:ascii="仿宋" w:eastAsia="仿宋" w:hAnsi="仿宋" w:cs="仿宋"/>
              </w:rPr>
            </w:pPr>
          </w:p>
        </w:tc>
        <w:tc>
          <w:tcPr>
            <w:tcW w:w="2778" w:type="dxa"/>
            <w:vMerge/>
            <w:tcBorders>
              <w:left w:val="single" w:sz="6" w:space="0" w:color="000000"/>
              <w:bottom w:val="single" w:sz="6" w:space="0" w:color="000000"/>
            </w:tcBorders>
          </w:tcPr>
          <w:p w:rsidR="00E847D8" w:rsidRDefault="00E847D8">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E847D8" w:rsidRDefault="00E847D8">
            <w:pPr>
              <w:rPr>
                <w:rFonts w:ascii="仿宋" w:eastAsia="仿宋" w:hAnsi="仿宋" w:cs="仿宋"/>
              </w:rPr>
            </w:pPr>
          </w:p>
        </w:tc>
      </w:tr>
      <w:tr w:rsidR="00E847D8">
        <w:trPr>
          <w:trHeight w:val="275"/>
        </w:trPr>
        <w:tc>
          <w:tcPr>
            <w:tcW w:w="6300" w:type="dxa"/>
            <w:gridSpan w:val="2"/>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3</w:t>
            </w:r>
          </w:p>
        </w:tc>
      </w:tr>
      <w:tr w:rsidR="00E847D8">
        <w:trPr>
          <w:trHeight w:hRule="exact" w:val="374"/>
        </w:trPr>
        <w:tc>
          <w:tcPr>
            <w:tcW w:w="6300" w:type="dxa"/>
            <w:gridSpan w:val="2"/>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E847D8" w:rsidRDefault="001A5CCD">
            <w:pPr>
              <w:pStyle w:val="TableParagraph"/>
              <w:jc w:val="right"/>
              <w:rPr>
                <w:rFonts w:ascii="仿宋" w:eastAsia="仿宋" w:hAnsi="仿宋" w:cs="仿宋"/>
              </w:rPr>
            </w:pPr>
            <w:r>
              <w:rPr>
                <w:rFonts w:ascii="仿宋" w:eastAsia="仿宋" w:hAnsi="仿宋" w:cs="仿宋" w:hint="eastAsia"/>
              </w:rPr>
              <w:t>5,130.04</w:t>
            </w:r>
          </w:p>
        </w:tc>
        <w:tc>
          <w:tcPr>
            <w:tcW w:w="2778" w:type="dxa"/>
            <w:tcBorders>
              <w:left w:val="single" w:sz="6" w:space="0" w:color="000000"/>
              <w:bottom w:val="single" w:sz="6" w:space="0" w:color="000000"/>
            </w:tcBorders>
          </w:tcPr>
          <w:p w:rsidR="00E847D8" w:rsidRDefault="001A5CCD">
            <w:pPr>
              <w:pStyle w:val="TableParagraph"/>
              <w:jc w:val="right"/>
              <w:rPr>
                <w:rFonts w:ascii="仿宋" w:eastAsia="仿宋" w:hAnsi="仿宋" w:cs="仿宋"/>
              </w:rPr>
            </w:pPr>
            <w:r>
              <w:rPr>
                <w:rFonts w:ascii="仿宋" w:eastAsia="仿宋" w:hAnsi="仿宋" w:cs="仿宋" w:hint="eastAsia"/>
              </w:rPr>
              <w:t>3,457.07</w:t>
            </w:r>
          </w:p>
        </w:tc>
        <w:tc>
          <w:tcPr>
            <w:tcW w:w="3155" w:type="dxa"/>
            <w:tcBorders>
              <w:left w:val="single" w:sz="6" w:space="0" w:color="000000"/>
              <w:bottom w:val="single" w:sz="6" w:space="0" w:color="000000"/>
              <w:right w:val="single" w:sz="6" w:space="0" w:color="000000"/>
            </w:tcBorders>
          </w:tcPr>
          <w:p w:rsidR="00E847D8" w:rsidRDefault="001A5CCD">
            <w:pPr>
              <w:pStyle w:val="TableParagraph"/>
              <w:jc w:val="right"/>
              <w:rPr>
                <w:rFonts w:ascii="仿宋" w:eastAsia="仿宋" w:hAnsi="仿宋" w:cs="仿宋"/>
              </w:rPr>
            </w:pPr>
            <w:r>
              <w:rPr>
                <w:rFonts w:ascii="仿宋" w:eastAsia="仿宋" w:hAnsi="仿宋" w:cs="仿宋" w:hint="eastAsia"/>
              </w:rPr>
              <w:t>1,672.97</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323.51</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323.51</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250.98</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250.98</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4,029.62</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2,356.65</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1,672.97</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21003</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2100399</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3,834.62</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2,356.65</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1,477.97</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2100403</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3,665.02</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2,356.65</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1,308.37</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2100408</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159.45</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159.45</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2100409</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10.15</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10.15</w:t>
            </w: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366.18</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366.18</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205.57</w:t>
            </w:r>
          </w:p>
        </w:tc>
        <w:tc>
          <w:tcPr>
            <w:tcW w:w="2778" w:type="dxa"/>
            <w:tcBorders>
              <w:top w:val="single" w:sz="6" w:space="0" w:color="000000"/>
              <w:left w:val="single" w:sz="4" w:space="0" w:color="000000"/>
              <w:bottom w:val="single" w:sz="6"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205.57</w:t>
            </w:r>
          </w:p>
        </w:tc>
        <w:tc>
          <w:tcPr>
            <w:tcW w:w="3155" w:type="dxa"/>
            <w:tcBorders>
              <w:top w:val="single" w:sz="6" w:space="0" w:color="000000"/>
              <w:left w:val="single" w:sz="4"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bl>
    <w:p w:rsidR="00E847D8" w:rsidRDefault="001A5CCD">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E847D8" w:rsidRDefault="00E847D8">
      <w:pPr>
        <w:tabs>
          <w:tab w:val="left" w:pos="55"/>
        </w:tabs>
        <w:jc w:val="both"/>
        <w:rPr>
          <w:rFonts w:ascii="仿宋" w:eastAsia="仿宋" w:hAnsi="仿宋" w:cs="仿宋"/>
        </w:rPr>
        <w:sectPr w:rsidR="00E847D8">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E847D8">
        <w:trPr>
          <w:trHeight w:val="319"/>
        </w:trPr>
        <w:tc>
          <w:tcPr>
            <w:tcW w:w="10515" w:type="dxa"/>
            <w:gridSpan w:val="5"/>
            <w:vAlign w:val="center"/>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E847D8">
        <w:trPr>
          <w:trHeight w:val="319"/>
        </w:trPr>
        <w:tc>
          <w:tcPr>
            <w:tcW w:w="4532" w:type="dxa"/>
            <w:gridSpan w:val="2"/>
          </w:tcPr>
          <w:p w:rsidR="00E847D8" w:rsidRDefault="00E847D8">
            <w:pPr>
              <w:pStyle w:val="TableParagraph"/>
              <w:rPr>
                <w:rFonts w:ascii="仿宋" w:eastAsia="仿宋" w:hAnsi="仿宋" w:cs="仿宋"/>
                <w:sz w:val="20"/>
              </w:rPr>
            </w:pPr>
          </w:p>
        </w:tc>
        <w:tc>
          <w:tcPr>
            <w:tcW w:w="2047" w:type="dxa"/>
          </w:tcPr>
          <w:p w:rsidR="00E847D8" w:rsidRDefault="00E847D8">
            <w:pPr>
              <w:pStyle w:val="TableParagraph"/>
              <w:rPr>
                <w:rFonts w:ascii="仿宋" w:eastAsia="仿宋" w:hAnsi="仿宋" w:cs="仿宋"/>
                <w:sz w:val="20"/>
              </w:rPr>
            </w:pPr>
          </w:p>
        </w:tc>
        <w:tc>
          <w:tcPr>
            <w:tcW w:w="2040" w:type="dxa"/>
          </w:tcPr>
          <w:p w:rsidR="00E847D8" w:rsidRDefault="00E847D8">
            <w:pPr>
              <w:pStyle w:val="TableParagraph"/>
              <w:rPr>
                <w:rFonts w:ascii="仿宋" w:eastAsia="仿宋" w:hAnsi="仿宋" w:cs="仿宋"/>
                <w:sz w:val="20"/>
              </w:rPr>
            </w:pPr>
          </w:p>
        </w:tc>
        <w:tc>
          <w:tcPr>
            <w:tcW w:w="1896" w:type="dxa"/>
            <w:vAlign w:val="center"/>
          </w:tcPr>
          <w:p w:rsidR="00E847D8" w:rsidRDefault="001A5CCD">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E847D8">
        <w:trPr>
          <w:trHeight w:val="319"/>
        </w:trPr>
        <w:tc>
          <w:tcPr>
            <w:tcW w:w="8619" w:type="dxa"/>
            <w:gridSpan w:val="4"/>
          </w:tcPr>
          <w:p w:rsidR="00E847D8" w:rsidRDefault="001A5CC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1896" w:type="dxa"/>
            <w:vAlign w:val="center"/>
          </w:tcPr>
          <w:p w:rsidR="00E847D8" w:rsidRDefault="001A5CCD">
            <w:pPr>
              <w:pStyle w:val="TableParagraph"/>
              <w:jc w:val="right"/>
              <w:rPr>
                <w:rFonts w:ascii="仿宋" w:eastAsia="仿宋" w:hAnsi="仿宋" w:cs="仿宋"/>
                <w:sz w:val="20"/>
              </w:rPr>
            </w:pPr>
            <w:r>
              <w:rPr>
                <w:rFonts w:ascii="仿宋" w:eastAsia="仿宋" w:hAnsi="仿宋" w:cs="仿宋" w:hint="eastAsia"/>
              </w:rPr>
              <w:t>金额单位：万元</w:t>
            </w:r>
          </w:p>
        </w:tc>
      </w:tr>
      <w:tr w:rsidR="00E847D8">
        <w:trPr>
          <w:trHeight w:val="243"/>
        </w:trPr>
        <w:tc>
          <w:tcPr>
            <w:tcW w:w="4532" w:type="dxa"/>
            <w:gridSpan w:val="2"/>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sz w:val="20"/>
              </w:rPr>
            </w:pPr>
            <w:r>
              <w:rPr>
                <w:rFonts w:ascii="仿宋" w:eastAsia="仿宋" w:hAnsi="仿宋" w:cs="仿宋" w:hint="eastAsia"/>
              </w:rPr>
              <w:t>财政拨款基本支出</w:t>
            </w:r>
          </w:p>
        </w:tc>
      </w:tr>
      <w:tr w:rsidR="00E847D8">
        <w:trPr>
          <w:trHeight w:val="483"/>
        </w:trPr>
        <w:tc>
          <w:tcPr>
            <w:tcW w:w="990"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公用经费</w:t>
            </w:r>
          </w:p>
        </w:tc>
      </w:tr>
      <w:tr w:rsidR="00E847D8">
        <w:trPr>
          <w:trHeight w:hRule="exact" w:val="409"/>
        </w:trPr>
        <w:tc>
          <w:tcPr>
            <w:tcW w:w="4532"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3,457.07</w:t>
            </w:r>
          </w:p>
        </w:tc>
        <w:tc>
          <w:tcPr>
            <w:tcW w:w="2040"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3,329.36</w:t>
            </w:r>
          </w:p>
        </w:tc>
        <w:tc>
          <w:tcPr>
            <w:tcW w:w="1896"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127.71</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3,180.04</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3,180.04</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438.11</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438.11</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500.74</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500.74</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50.30</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50.30</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1,278.79</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1,278.79</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11.86</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11.86</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60.66</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60.66</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10.68</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10.68</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372.76</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372.76</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116.57</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116.57</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8.17</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8.17</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1.97</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1.97</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1.68</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1.68</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27.17</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27.17</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3.91</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3.91</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11.22</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11.22</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2.61</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2.61</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4.71</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4.71</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0.70</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0.70</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0.34</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0.34</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1.38</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1.38</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1.00</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3.05</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3.05</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19.58</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19.58</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7.14</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7.14</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21.94</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21.94</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149.32</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149.32</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147.82</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147.82</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1.50</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1.50</w:t>
            </w: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39909</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39910</w:t>
            </w:r>
          </w:p>
        </w:tc>
        <w:tc>
          <w:tcPr>
            <w:tcW w:w="35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bl>
    <w:p w:rsidR="00E847D8" w:rsidRDefault="001A5CCD">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E847D8" w:rsidRDefault="00E847D8">
      <w:pPr>
        <w:spacing w:line="255" w:lineRule="exact"/>
        <w:jc w:val="both"/>
        <w:rPr>
          <w:rFonts w:ascii="仿宋" w:eastAsia="仿宋" w:hAnsi="仿宋" w:cs="仿宋"/>
        </w:rPr>
        <w:sectPr w:rsidR="00E847D8">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E847D8">
        <w:trPr>
          <w:trHeight w:val="560"/>
        </w:trPr>
        <w:tc>
          <w:tcPr>
            <w:tcW w:w="10446" w:type="dxa"/>
            <w:gridSpan w:val="5"/>
            <w:vAlign w:val="center"/>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E847D8">
        <w:trPr>
          <w:trHeight w:val="147"/>
        </w:trPr>
        <w:tc>
          <w:tcPr>
            <w:tcW w:w="5466" w:type="dxa"/>
            <w:gridSpan w:val="2"/>
          </w:tcPr>
          <w:p w:rsidR="00E847D8" w:rsidRDefault="00E847D8">
            <w:pPr>
              <w:pStyle w:val="TableParagraph"/>
              <w:rPr>
                <w:rFonts w:ascii="仿宋" w:eastAsia="仿宋" w:hAnsi="仿宋" w:cs="仿宋"/>
                <w:sz w:val="20"/>
              </w:rPr>
            </w:pPr>
          </w:p>
        </w:tc>
        <w:tc>
          <w:tcPr>
            <w:tcW w:w="1969" w:type="dxa"/>
          </w:tcPr>
          <w:p w:rsidR="00E847D8" w:rsidRDefault="00E847D8">
            <w:pPr>
              <w:pStyle w:val="TableParagraph"/>
              <w:rPr>
                <w:rFonts w:ascii="仿宋" w:eastAsia="仿宋" w:hAnsi="仿宋" w:cs="仿宋"/>
                <w:sz w:val="20"/>
              </w:rPr>
            </w:pPr>
          </w:p>
        </w:tc>
        <w:tc>
          <w:tcPr>
            <w:tcW w:w="1499" w:type="dxa"/>
          </w:tcPr>
          <w:p w:rsidR="00E847D8" w:rsidRDefault="00E847D8">
            <w:pPr>
              <w:pStyle w:val="TableParagraph"/>
              <w:rPr>
                <w:rFonts w:ascii="仿宋" w:eastAsia="仿宋" w:hAnsi="仿宋" w:cs="仿宋"/>
                <w:sz w:val="20"/>
              </w:rPr>
            </w:pPr>
          </w:p>
        </w:tc>
        <w:tc>
          <w:tcPr>
            <w:tcW w:w="1512" w:type="dxa"/>
            <w:vAlign w:val="center"/>
          </w:tcPr>
          <w:p w:rsidR="00E847D8" w:rsidRDefault="001A5CCD">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E847D8">
        <w:trPr>
          <w:trHeight w:val="303"/>
        </w:trPr>
        <w:tc>
          <w:tcPr>
            <w:tcW w:w="7435" w:type="dxa"/>
            <w:gridSpan w:val="3"/>
          </w:tcPr>
          <w:p w:rsidR="00E847D8" w:rsidRDefault="001A5CC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3011" w:type="dxa"/>
            <w:gridSpan w:val="2"/>
          </w:tcPr>
          <w:p w:rsidR="00E847D8" w:rsidRDefault="001A5CCD">
            <w:pPr>
              <w:pStyle w:val="TableParagraph"/>
              <w:jc w:val="right"/>
              <w:rPr>
                <w:rFonts w:ascii="仿宋" w:eastAsia="仿宋" w:hAnsi="仿宋" w:cs="仿宋"/>
              </w:rPr>
            </w:pPr>
            <w:r>
              <w:rPr>
                <w:rFonts w:ascii="仿宋" w:eastAsia="仿宋" w:hAnsi="仿宋" w:cs="仿宋" w:hint="eastAsia"/>
              </w:rPr>
              <w:t>金额单位：万元</w:t>
            </w:r>
          </w:p>
        </w:tc>
      </w:tr>
      <w:tr w:rsidR="00E847D8">
        <w:trPr>
          <w:trHeight w:val="158"/>
        </w:trPr>
        <w:tc>
          <w:tcPr>
            <w:tcW w:w="5466" w:type="dxa"/>
            <w:gridSpan w:val="2"/>
            <w:tcBorders>
              <w:top w:val="single" w:sz="6" w:space="0" w:color="000000"/>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项目支出</w:t>
            </w:r>
          </w:p>
        </w:tc>
      </w:tr>
      <w:tr w:rsidR="00E847D8">
        <w:trPr>
          <w:trHeight w:val="561"/>
        </w:trPr>
        <w:tc>
          <w:tcPr>
            <w:tcW w:w="1134"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E847D8" w:rsidRDefault="00E847D8">
            <w:pPr>
              <w:rPr>
                <w:rFonts w:ascii="仿宋" w:eastAsia="仿宋" w:hAnsi="仿宋" w:cs="仿宋"/>
                <w:sz w:val="2"/>
                <w:szCs w:val="2"/>
              </w:rPr>
            </w:pPr>
          </w:p>
        </w:tc>
        <w:tc>
          <w:tcPr>
            <w:tcW w:w="1499" w:type="dxa"/>
            <w:vMerge/>
            <w:tcBorders>
              <w:left w:val="single" w:sz="6" w:space="0" w:color="000000"/>
              <w:bottom w:val="single" w:sz="6" w:space="0" w:color="000000"/>
            </w:tcBorders>
          </w:tcPr>
          <w:p w:rsidR="00E847D8" w:rsidRDefault="00E847D8">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E847D8" w:rsidRDefault="00E847D8">
            <w:pPr>
              <w:rPr>
                <w:rFonts w:ascii="仿宋" w:eastAsia="仿宋" w:hAnsi="仿宋" w:cs="仿宋"/>
                <w:sz w:val="2"/>
                <w:szCs w:val="2"/>
              </w:rPr>
            </w:pPr>
          </w:p>
        </w:tc>
      </w:tr>
      <w:tr w:rsidR="00E847D8">
        <w:trPr>
          <w:trHeight w:val="152"/>
        </w:trPr>
        <w:tc>
          <w:tcPr>
            <w:tcW w:w="5466" w:type="dxa"/>
            <w:gridSpan w:val="2"/>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3</w:t>
            </w:r>
          </w:p>
        </w:tc>
      </w:tr>
      <w:tr w:rsidR="00E847D8">
        <w:trPr>
          <w:trHeight w:hRule="exact" w:val="298"/>
        </w:trPr>
        <w:tc>
          <w:tcPr>
            <w:tcW w:w="5466" w:type="dxa"/>
            <w:gridSpan w:val="2"/>
            <w:tcBorders>
              <w:left w:val="single" w:sz="6" w:space="0" w:color="000000"/>
              <w:bottom w:val="single" w:sz="6" w:space="0" w:color="000000"/>
            </w:tcBorders>
            <w:vAlign w:val="center"/>
          </w:tcPr>
          <w:p w:rsidR="00E847D8" w:rsidRDefault="001A5CCD">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5,130.04</w:t>
            </w:r>
          </w:p>
        </w:tc>
        <w:tc>
          <w:tcPr>
            <w:tcW w:w="1499" w:type="dxa"/>
            <w:tcBorders>
              <w:left w:val="single" w:sz="6" w:space="0" w:color="000000"/>
              <w:bottom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3,457.07</w:t>
            </w:r>
          </w:p>
        </w:tc>
        <w:tc>
          <w:tcPr>
            <w:tcW w:w="1512" w:type="dxa"/>
            <w:tcBorders>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1,672.97</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323.51</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323.51</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250.98</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250.98</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72.53</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4,029.62</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2,356.65</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1,672.97</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21003</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2100399</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195.00</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3,834.62</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2,356.65</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1,477.97</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2100403</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3,665.02</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2,356.65</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1,308.37</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2100408</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159.45</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159.45</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2100409</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10.15</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10.15</w:t>
            </w: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776.91</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366.18</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366.18</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205.57</w:t>
            </w:r>
          </w:p>
        </w:tc>
        <w:tc>
          <w:tcPr>
            <w:tcW w:w="1499" w:type="dxa"/>
            <w:tcBorders>
              <w:top w:val="single" w:sz="6" w:space="0" w:color="000000"/>
              <w:left w:val="single" w:sz="6" w:space="0" w:color="000000"/>
              <w:bottom w:val="single" w:sz="6" w:space="0" w:color="000000"/>
              <w:right w:val="single" w:sz="6"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205.57</w:t>
            </w:r>
          </w:p>
        </w:tc>
        <w:tc>
          <w:tcPr>
            <w:tcW w:w="1512" w:type="dxa"/>
            <w:tcBorders>
              <w:top w:val="single" w:sz="6" w:space="0" w:color="000000"/>
              <w:left w:val="single" w:sz="6" w:space="0" w:color="000000"/>
              <w:bottom w:val="single" w:sz="6" w:space="0" w:color="000000"/>
              <w:right w:val="single" w:sz="6" w:space="0" w:color="000000"/>
            </w:tcBorders>
            <w:vAlign w:val="center"/>
          </w:tcPr>
          <w:p w:rsidR="00E847D8" w:rsidRDefault="00E847D8">
            <w:pPr>
              <w:pStyle w:val="TableParagraph"/>
              <w:jc w:val="right"/>
              <w:rPr>
                <w:rFonts w:ascii="仿宋" w:eastAsia="仿宋" w:hAnsi="仿宋" w:cs="仿宋"/>
              </w:rPr>
            </w:pPr>
          </w:p>
        </w:tc>
      </w:tr>
    </w:tbl>
    <w:p w:rsidR="00E847D8" w:rsidRDefault="001A5CCD">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E847D8" w:rsidRDefault="00E847D8">
      <w:pPr>
        <w:spacing w:before="25"/>
        <w:jc w:val="both"/>
        <w:rPr>
          <w:rFonts w:ascii="仿宋" w:eastAsia="仿宋" w:hAnsi="仿宋" w:cs="仿宋"/>
        </w:rPr>
        <w:sectPr w:rsidR="00E847D8">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E847D8">
        <w:trPr>
          <w:trHeight w:val="319"/>
        </w:trPr>
        <w:tc>
          <w:tcPr>
            <w:tcW w:w="10473" w:type="dxa"/>
            <w:gridSpan w:val="5"/>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E847D8">
        <w:trPr>
          <w:trHeight w:val="199"/>
        </w:trPr>
        <w:tc>
          <w:tcPr>
            <w:tcW w:w="8595" w:type="dxa"/>
            <w:gridSpan w:val="4"/>
            <w:vAlign w:val="center"/>
          </w:tcPr>
          <w:p w:rsidR="00E847D8" w:rsidRDefault="00E847D8">
            <w:pPr>
              <w:pStyle w:val="TableParagraph"/>
              <w:jc w:val="right"/>
              <w:rPr>
                <w:rFonts w:ascii="仿宋" w:eastAsia="仿宋" w:hAnsi="仿宋" w:cs="仿宋"/>
                <w:color w:val="000000"/>
              </w:rPr>
            </w:pPr>
          </w:p>
        </w:tc>
        <w:tc>
          <w:tcPr>
            <w:tcW w:w="1878" w:type="dxa"/>
            <w:vAlign w:val="center"/>
          </w:tcPr>
          <w:p w:rsidR="00E847D8" w:rsidRDefault="001A5CC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E847D8">
        <w:trPr>
          <w:trHeight w:val="320"/>
        </w:trPr>
        <w:tc>
          <w:tcPr>
            <w:tcW w:w="8595" w:type="dxa"/>
            <w:gridSpan w:val="4"/>
            <w:vAlign w:val="center"/>
          </w:tcPr>
          <w:p w:rsidR="00E847D8" w:rsidRDefault="001A5CC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1878" w:type="dxa"/>
            <w:vAlign w:val="center"/>
          </w:tcPr>
          <w:p w:rsidR="00E847D8" w:rsidRDefault="001A5CCD">
            <w:pPr>
              <w:pStyle w:val="TableParagraph"/>
              <w:jc w:val="right"/>
              <w:rPr>
                <w:rFonts w:ascii="仿宋" w:eastAsia="仿宋" w:hAnsi="仿宋" w:cs="仿宋"/>
                <w:sz w:val="20"/>
              </w:rPr>
            </w:pPr>
            <w:r>
              <w:rPr>
                <w:rFonts w:ascii="仿宋" w:eastAsia="仿宋" w:hAnsi="仿宋" w:cs="仿宋" w:hint="eastAsia"/>
              </w:rPr>
              <w:t>金额单位：万元</w:t>
            </w:r>
          </w:p>
        </w:tc>
      </w:tr>
      <w:tr w:rsidR="00E847D8">
        <w:trPr>
          <w:trHeight w:val="180"/>
        </w:trPr>
        <w:tc>
          <w:tcPr>
            <w:tcW w:w="4687" w:type="dxa"/>
            <w:gridSpan w:val="2"/>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E847D8">
        <w:trPr>
          <w:trHeight w:val="474"/>
        </w:trPr>
        <w:tc>
          <w:tcPr>
            <w:tcW w:w="1121"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公用经费</w:t>
            </w:r>
          </w:p>
        </w:tc>
      </w:tr>
      <w:tr w:rsidR="00E847D8">
        <w:trPr>
          <w:trHeight w:hRule="exact" w:val="394"/>
        </w:trPr>
        <w:tc>
          <w:tcPr>
            <w:tcW w:w="4687"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3,457.07</w:t>
            </w:r>
          </w:p>
        </w:tc>
        <w:tc>
          <w:tcPr>
            <w:tcW w:w="1708"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3,329.36</w:t>
            </w:r>
          </w:p>
        </w:tc>
        <w:tc>
          <w:tcPr>
            <w:tcW w:w="1878"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127.71</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3,180.04</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3,180.04</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438.11</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438.11</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500.74</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500.74</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50.30</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50.30</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1,278.79</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1,278.79</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167.32</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83.66</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11.86</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11.86</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60.66</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60.66</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205.16</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10.68</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10.68</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372.76</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372.76</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116.57</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116.57</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8.17</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8.17</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1.97</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1.97</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1.68</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1.68</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27.17</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27.17</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3.91</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3.91</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11.22</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11.22</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2.61</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2.61</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4.71</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4.71</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0.70</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0.70</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0.34</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0.34</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1.38</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1.38</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1.00</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1.00</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3.05</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3.05</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19.58</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19.58</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7.14</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7.14</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21.94</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21.94</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149.32</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149.32</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147.82</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147.82</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1.50</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1.50</w:t>
            </w: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11.14</w:t>
            </w: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39909</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39910</w:t>
            </w:r>
          </w:p>
        </w:tc>
        <w:tc>
          <w:tcPr>
            <w:tcW w:w="3566"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bl>
    <w:p w:rsidR="00E847D8" w:rsidRDefault="001A5CCD">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w:t>
      </w:r>
      <w:r>
        <w:rPr>
          <w:rFonts w:ascii="仿宋" w:eastAsia="仿宋" w:hAnsi="仿宋" w:cs="仿宋" w:hint="eastAsia"/>
        </w:rPr>
        <w:t>本表金额单位转换时可能存在尾数误差。</w:t>
      </w:r>
    </w:p>
    <w:p w:rsidR="00E847D8" w:rsidRDefault="00E847D8">
      <w:pPr>
        <w:spacing w:before="25"/>
        <w:jc w:val="both"/>
        <w:rPr>
          <w:rFonts w:ascii="仿宋" w:eastAsia="仿宋" w:hAnsi="仿宋" w:cs="仿宋"/>
        </w:rPr>
        <w:sectPr w:rsidR="00E847D8">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E847D8">
        <w:trPr>
          <w:trHeight w:val="321"/>
        </w:trPr>
        <w:tc>
          <w:tcPr>
            <w:tcW w:w="16486" w:type="dxa"/>
            <w:gridSpan w:val="16"/>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val="en-US"/>
              </w:rPr>
              <w:lastRenderedPageBreak/>
              <w:t>财政拨款“三公”经费、会议费和培训费支出决算表</w:t>
            </w:r>
            <w:bookmarkStart w:id="0" w:name="_GoBack"/>
            <w:bookmarkEnd w:id="0"/>
          </w:p>
        </w:tc>
      </w:tr>
      <w:tr w:rsidR="00E847D8">
        <w:trPr>
          <w:trHeight w:val="207"/>
        </w:trPr>
        <w:tc>
          <w:tcPr>
            <w:tcW w:w="16486" w:type="dxa"/>
            <w:gridSpan w:val="16"/>
          </w:tcPr>
          <w:p w:rsidR="00E847D8" w:rsidRDefault="001A5CCD">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E847D8">
        <w:trPr>
          <w:trHeight w:val="103"/>
        </w:trPr>
        <w:tc>
          <w:tcPr>
            <w:tcW w:w="8212" w:type="dxa"/>
            <w:gridSpan w:val="8"/>
            <w:tcBorders>
              <w:bottom w:val="single" w:sz="4" w:space="0" w:color="auto"/>
            </w:tcBorders>
          </w:tcPr>
          <w:p w:rsidR="00E847D8" w:rsidRDefault="001A5CC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8274" w:type="dxa"/>
            <w:gridSpan w:val="8"/>
            <w:tcBorders>
              <w:bottom w:val="single" w:sz="4" w:space="0" w:color="auto"/>
            </w:tcBorders>
          </w:tcPr>
          <w:p w:rsidR="00E847D8" w:rsidRDefault="001A5CCD">
            <w:pPr>
              <w:pStyle w:val="TableParagraph"/>
              <w:jc w:val="right"/>
              <w:rPr>
                <w:rFonts w:ascii="仿宋" w:eastAsia="仿宋" w:hAnsi="仿宋" w:cs="仿宋"/>
              </w:rPr>
            </w:pPr>
            <w:r>
              <w:rPr>
                <w:rFonts w:ascii="仿宋" w:eastAsia="仿宋" w:hAnsi="仿宋" w:cs="仿宋" w:hint="eastAsia"/>
              </w:rPr>
              <w:t>金额单位：万元</w:t>
            </w:r>
          </w:p>
        </w:tc>
      </w:tr>
      <w:tr w:rsidR="00E847D8">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E847D8" w:rsidRDefault="001A5CCD">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E847D8" w:rsidRDefault="001A5CCD">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E847D8">
        <w:trPr>
          <w:trHeight w:val="179"/>
        </w:trPr>
        <w:tc>
          <w:tcPr>
            <w:tcW w:w="6159" w:type="dxa"/>
            <w:gridSpan w:val="6"/>
            <w:tcBorders>
              <w:top w:val="single" w:sz="4" w:space="0" w:color="auto"/>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培训费</w:t>
            </w:r>
          </w:p>
        </w:tc>
      </w:tr>
      <w:tr w:rsidR="00E847D8">
        <w:trPr>
          <w:trHeight w:val="297"/>
        </w:trPr>
        <w:tc>
          <w:tcPr>
            <w:tcW w:w="1044" w:type="dxa"/>
            <w:vMerge w:val="restart"/>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公务</w:t>
            </w:r>
          </w:p>
          <w:p w:rsidR="00E847D8" w:rsidRDefault="001A5CCD">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E847D8" w:rsidRDefault="00E847D8">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E847D8" w:rsidRDefault="00E847D8">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E847D8" w:rsidRDefault="001A5CCD">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E847D8" w:rsidRDefault="001A5CCD">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公务</w:t>
            </w:r>
          </w:p>
          <w:p w:rsidR="00E847D8" w:rsidRDefault="001A5CCD">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E847D8" w:rsidRDefault="00E847D8">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E847D8" w:rsidRDefault="00E847D8">
            <w:pPr>
              <w:jc w:val="center"/>
              <w:rPr>
                <w:rFonts w:ascii="仿宋" w:eastAsia="仿宋" w:hAnsi="仿宋" w:cs="仿宋"/>
                <w:sz w:val="20"/>
              </w:rPr>
            </w:pPr>
          </w:p>
        </w:tc>
      </w:tr>
      <w:tr w:rsidR="00E847D8">
        <w:trPr>
          <w:trHeight w:hRule="exact" w:val="621"/>
        </w:trPr>
        <w:tc>
          <w:tcPr>
            <w:tcW w:w="1044" w:type="dxa"/>
            <w:vMerge/>
            <w:tcBorders>
              <w:left w:val="single" w:sz="4" w:space="0" w:color="000000"/>
              <w:bottom w:val="single" w:sz="4" w:space="0" w:color="000000"/>
            </w:tcBorders>
          </w:tcPr>
          <w:p w:rsidR="00E847D8" w:rsidRDefault="00E847D8">
            <w:pPr>
              <w:rPr>
                <w:rFonts w:ascii="仿宋" w:eastAsia="仿宋" w:hAnsi="仿宋" w:cs="仿宋"/>
                <w:sz w:val="2"/>
                <w:szCs w:val="2"/>
              </w:rPr>
            </w:pPr>
          </w:p>
        </w:tc>
        <w:tc>
          <w:tcPr>
            <w:tcW w:w="1042" w:type="dxa"/>
            <w:vMerge/>
            <w:tcBorders>
              <w:left w:val="single" w:sz="4" w:space="0" w:color="000000"/>
              <w:bottom w:val="single" w:sz="4" w:space="0" w:color="000000"/>
            </w:tcBorders>
          </w:tcPr>
          <w:p w:rsidR="00E847D8" w:rsidRDefault="00E847D8">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E847D8" w:rsidRDefault="00E847D8">
            <w:pPr>
              <w:rPr>
                <w:rFonts w:ascii="仿宋" w:eastAsia="仿宋" w:hAnsi="仿宋" w:cs="仿宋"/>
                <w:sz w:val="2"/>
                <w:szCs w:val="2"/>
              </w:rPr>
            </w:pPr>
          </w:p>
        </w:tc>
        <w:tc>
          <w:tcPr>
            <w:tcW w:w="1043" w:type="dxa"/>
            <w:vMerge/>
            <w:tcBorders>
              <w:left w:val="single" w:sz="4" w:space="0" w:color="000000"/>
              <w:bottom w:val="single" w:sz="4" w:space="0" w:color="000000"/>
            </w:tcBorders>
          </w:tcPr>
          <w:p w:rsidR="00E847D8" w:rsidRDefault="00E847D8">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sz w:val="2"/>
                <w:szCs w:val="2"/>
              </w:rPr>
            </w:pPr>
          </w:p>
        </w:tc>
      </w:tr>
      <w:tr w:rsidR="00E847D8">
        <w:trPr>
          <w:cantSplit/>
          <w:trHeight w:val="380"/>
        </w:trPr>
        <w:tc>
          <w:tcPr>
            <w:tcW w:w="1044"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9.50</w:t>
            </w:r>
          </w:p>
        </w:tc>
        <w:tc>
          <w:tcPr>
            <w:tcW w:w="1042"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8.10</w:t>
            </w:r>
          </w:p>
        </w:tc>
        <w:tc>
          <w:tcPr>
            <w:tcW w:w="1029"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8.10</w:t>
            </w:r>
          </w:p>
        </w:tc>
        <w:tc>
          <w:tcPr>
            <w:tcW w:w="1026"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1.40</w:t>
            </w:r>
          </w:p>
        </w:tc>
        <w:tc>
          <w:tcPr>
            <w:tcW w:w="1043" w:type="dxa"/>
            <w:tcBorders>
              <w:left w:val="single" w:sz="4" w:space="0" w:color="000000"/>
              <w:bottom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0.70</w:t>
            </w:r>
          </w:p>
        </w:tc>
        <w:tc>
          <w:tcPr>
            <w:tcW w:w="1010"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1.40</w:t>
            </w:r>
          </w:p>
        </w:tc>
        <w:tc>
          <w:tcPr>
            <w:tcW w:w="1058"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8.52</w:t>
            </w:r>
          </w:p>
        </w:tc>
        <w:tc>
          <w:tcPr>
            <w:tcW w:w="1010"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7.14</w:t>
            </w:r>
          </w:p>
        </w:tc>
        <w:tc>
          <w:tcPr>
            <w:tcW w:w="1089"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7.14</w:t>
            </w:r>
          </w:p>
        </w:tc>
        <w:tc>
          <w:tcPr>
            <w:tcW w:w="1043"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1.38</w:t>
            </w:r>
          </w:p>
        </w:tc>
        <w:tc>
          <w:tcPr>
            <w:tcW w:w="1057"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0.70</w:t>
            </w:r>
          </w:p>
        </w:tc>
        <w:tc>
          <w:tcPr>
            <w:tcW w:w="1027" w:type="dxa"/>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sz w:val="18"/>
                <w:szCs w:val="18"/>
              </w:rPr>
            </w:pPr>
            <w:r>
              <w:rPr>
                <w:rFonts w:ascii="仿宋" w:eastAsia="仿宋" w:hAnsi="仿宋" w:cs="仿宋" w:hint="eastAsia"/>
                <w:sz w:val="18"/>
                <w:szCs w:val="18"/>
              </w:rPr>
              <w:t>0.34</w:t>
            </w:r>
          </w:p>
        </w:tc>
      </w:tr>
    </w:tbl>
    <w:p w:rsidR="00E847D8" w:rsidRDefault="001A5CCD">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E847D8">
        <w:trPr>
          <w:cantSplit/>
          <w:trHeight w:val="214"/>
        </w:trPr>
        <w:tc>
          <w:tcPr>
            <w:tcW w:w="4028" w:type="dxa"/>
            <w:tcBorders>
              <w:top w:val="single" w:sz="4" w:space="0" w:color="auto"/>
              <w:left w:val="single" w:sz="4" w:space="0" w:color="auto"/>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统计数</w:t>
            </w:r>
          </w:p>
        </w:tc>
      </w:tr>
      <w:tr w:rsidR="00E847D8">
        <w:trPr>
          <w:cantSplit/>
          <w:trHeight w:val="190"/>
        </w:trPr>
        <w:tc>
          <w:tcPr>
            <w:tcW w:w="4028" w:type="dxa"/>
            <w:tcBorders>
              <w:top w:val="single" w:sz="4" w:space="0" w:color="auto"/>
              <w:left w:val="single" w:sz="4" w:space="0" w:color="auto"/>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0</w:t>
            </w:r>
          </w:p>
        </w:tc>
      </w:tr>
      <w:tr w:rsidR="00E847D8">
        <w:trPr>
          <w:cantSplit/>
          <w:trHeight w:val="190"/>
        </w:trPr>
        <w:tc>
          <w:tcPr>
            <w:tcW w:w="4028" w:type="dxa"/>
            <w:tcBorders>
              <w:top w:val="single" w:sz="4" w:space="0" w:color="auto"/>
              <w:left w:val="single" w:sz="4" w:space="0" w:color="auto"/>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3</w:t>
            </w:r>
          </w:p>
        </w:tc>
      </w:tr>
      <w:tr w:rsidR="00E847D8">
        <w:trPr>
          <w:cantSplit/>
          <w:trHeight w:val="190"/>
        </w:trPr>
        <w:tc>
          <w:tcPr>
            <w:tcW w:w="4028" w:type="dxa"/>
            <w:tcBorders>
              <w:top w:val="single" w:sz="4" w:space="0" w:color="auto"/>
              <w:left w:val="single" w:sz="4" w:space="0" w:color="auto"/>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25</w:t>
            </w:r>
          </w:p>
        </w:tc>
        <w:tc>
          <w:tcPr>
            <w:tcW w:w="3908"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180</w:t>
            </w:r>
          </w:p>
        </w:tc>
      </w:tr>
      <w:tr w:rsidR="00E847D8">
        <w:trPr>
          <w:cantSplit/>
          <w:trHeight w:val="190"/>
        </w:trPr>
        <w:tc>
          <w:tcPr>
            <w:tcW w:w="4028" w:type="dxa"/>
            <w:tcBorders>
              <w:top w:val="single" w:sz="4" w:space="0" w:color="auto"/>
              <w:left w:val="single" w:sz="4" w:space="0" w:color="auto"/>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0</w:t>
            </w:r>
          </w:p>
        </w:tc>
      </w:tr>
      <w:tr w:rsidR="00E847D8">
        <w:trPr>
          <w:cantSplit/>
          <w:trHeight w:val="190"/>
        </w:trPr>
        <w:tc>
          <w:tcPr>
            <w:tcW w:w="4028" w:type="dxa"/>
            <w:tcBorders>
              <w:top w:val="single" w:sz="4" w:space="0" w:color="auto"/>
              <w:left w:val="single" w:sz="4" w:space="0" w:color="auto"/>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200</w:t>
            </w:r>
          </w:p>
        </w:tc>
      </w:tr>
      <w:tr w:rsidR="00E847D8">
        <w:trPr>
          <w:cantSplit/>
          <w:trHeight w:val="190"/>
        </w:trPr>
        <w:tc>
          <w:tcPr>
            <w:tcW w:w="4028" w:type="dxa"/>
            <w:tcBorders>
              <w:top w:val="single" w:sz="4" w:space="0" w:color="auto"/>
              <w:left w:val="single" w:sz="4" w:space="0" w:color="auto"/>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9</w:t>
            </w:r>
          </w:p>
        </w:tc>
        <w:tc>
          <w:tcPr>
            <w:tcW w:w="3908" w:type="dxa"/>
            <w:tcBorders>
              <w:top w:val="single" w:sz="4" w:space="0" w:color="auto"/>
              <w:left w:val="single" w:sz="4" w:space="0" w:color="000000"/>
              <w:bottom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17</w:t>
            </w:r>
          </w:p>
        </w:tc>
      </w:tr>
    </w:tbl>
    <w:p w:rsidR="00E847D8" w:rsidRDefault="001A5CCD">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ascii="仿宋" w:eastAsia="仿宋" w:hAnsi="仿宋" w:cs="仿宋" w:hint="eastAsia"/>
        </w:rPr>
        <w:t>。</w:t>
      </w:r>
    </w:p>
    <w:p w:rsidR="00E847D8" w:rsidRDefault="00E847D8">
      <w:pPr>
        <w:ind w:left="227" w:firstLineChars="100" w:firstLine="220"/>
        <w:jc w:val="both"/>
        <w:rPr>
          <w:rFonts w:ascii="仿宋" w:eastAsia="仿宋" w:hAnsi="仿宋" w:cs="仿宋"/>
        </w:rPr>
        <w:sectPr w:rsidR="00E847D8">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E847D8">
        <w:trPr>
          <w:trHeight w:val="395"/>
        </w:trPr>
        <w:tc>
          <w:tcPr>
            <w:tcW w:w="15400" w:type="dxa"/>
            <w:gridSpan w:val="5"/>
            <w:vAlign w:val="center"/>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E847D8">
        <w:trPr>
          <w:trHeight w:val="323"/>
        </w:trPr>
        <w:tc>
          <w:tcPr>
            <w:tcW w:w="8426" w:type="dxa"/>
            <w:gridSpan w:val="2"/>
          </w:tcPr>
          <w:p w:rsidR="00E847D8" w:rsidRDefault="00E847D8">
            <w:pPr>
              <w:pStyle w:val="TableParagraph"/>
              <w:rPr>
                <w:rFonts w:ascii="仿宋" w:eastAsia="仿宋" w:hAnsi="仿宋" w:cs="仿宋"/>
                <w:sz w:val="20"/>
              </w:rPr>
            </w:pPr>
          </w:p>
        </w:tc>
        <w:tc>
          <w:tcPr>
            <w:tcW w:w="2684" w:type="dxa"/>
          </w:tcPr>
          <w:p w:rsidR="00E847D8" w:rsidRDefault="00E847D8">
            <w:pPr>
              <w:pStyle w:val="TableParagraph"/>
              <w:rPr>
                <w:rFonts w:ascii="仿宋" w:eastAsia="仿宋" w:hAnsi="仿宋" w:cs="仿宋"/>
                <w:sz w:val="27"/>
              </w:rPr>
            </w:pPr>
          </w:p>
        </w:tc>
        <w:tc>
          <w:tcPr>
            <w:tcW w:w="2432" w:type="dxa"/>
          </w:tcPr>
          <w:p w:rsidR="00E847D8" w:rsidRDefault="00E847D8">
            <w:pPr>
              <w:pStyle w:val="TableParagraph"/>
              <w:rPr>
                <w:rFonts w:ascii="仿宋" w:eastAsia="仿宋" w:hAnsi="仿宋" w:cs="仿宋"/>
                <w:sz w:val="20"/>
              </w:rPr>
            </w:pPr>
          </w:p>
        </w:tc>
        <w:tc>
          <w:tcPr>
            <w:tcW w:w="1858" w:type="dxa"/>
            <w:vAlign w:val="center"/>
          </w:tcPr>
          <w:p w:rsidR="00E847D8" w:rsidRDefault="001A5CCD">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E847D8">
        <w:trPr>
          <w:trHeight w:val="152"/>
        </w:trPr>
        <w:tc>
          <w:tcPr>
            <w:tcW w:w="13542" w:type="dxa"/>
            <w:gridSpan w:val="4"/>
            <w:vAlign w:val="center"/>
          </w:tcPr>
          <w:p w:rsidR="00E847D8" w:rsidRDefault="001A5CC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1858" w:type="dxa"/>
            <w:vAlign w:val="center"/>
          </w:tcPr>
          <w:p w:rsidR="00E847D8" w:rsidRDefault="001A5CCD">
            <w:pPr>
              <w:pStyle w:val="TableParagraph"/>
              <w:jc w:val="right"/>
              <w:rPr>
                <w:rFonts w:ascii="仿宋" w:eastAsia="仿宋" w:hAnsi="仿宋" w:cs="仿宋"/>
                <w:sz w:val="27"/>
              </w:rPr>
            </w:pPr>
            <w:r>
              <w:rPr>
                <w:rFonts w:ascii="仿宋" w:eastAsia="仿宋" w:hAnsi="仿宋" w:cs="仿宋" w:hint="eastAsia"/>
              </w:rPr>
              <w:t>金额单位：万元</w:t>
            </w:r>
          </w:p>
        </w:tc>
      </w:tr>
      <w:tr w:rsidR="00E847D8">
        <w:trPr>
          <w:trHeight w:val="267"/>
        </w:trPr>
        <w:tc>
          <w:tcPr>
            <w:tcW w:w="8426" w:type="dxa"/>
            <w:gridSpan w:val="2"/>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项目支出</w:t>
            </w:r>
          </w:p>
        </w:tc>
      </w:tr>
      <w:tr w:rsidR="00E847D8">
        <w:trPr>
          <w:trHeight w:val="427"/>
        </w:trPr>
        <w:tc>
          <w:tcPr>
            <w:tcW w:w="1431"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功能分类</w:t>
            </w:r>
          </w:p>
          <w:p w:rsidR="00E847D8" w:rsidRDefault="001A5CCD">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E847D8" w:rsidRDefault="00E847D8">
            <w:pPr>
              <w:rPr>
                <w:rFonts w:ascii="仿宋" w:eastAsia="仿宋" w:hAnsi="仿宋" w:cs="仿宋"/>
              </w:rPr>
            </w:pPr>
          </w:p>
        </w:tc>
        <w:tc>
          <w:tcPr>
            <w:tcW w:w="2432" w:type="dxa"/>
            <w:vMerge/>
            <w:tcBorders>
              <w:left w:val="single" w:sz="4" w:space="0" w:color="000000"/>
              <w:bottom w:val="single" w:sz="4" w:space="0" w:color="000000"/>
            </w:tcBorders>
            <w:vAlign w:val="center"/>
          </w:tcPr>
          <w:p w:rsidR="00E847D8" w:rsidRDefault="00E847D8">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rPr>
            </w:pPr>
          </w:p>
        </w:tc>
      </w:tr>
      <w:tr w:rsidR="00E847D8">
        <w:trPr>
          <w:trHeight w:val="275"/>
        </w:trPr>
        <w:tc>
          <w:tcPr>
            <w:tcW w:w="8426"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lang w:val="en-US"/>
              </w:rPr>
            </w:pPr>
            <w:r>
              <w:rPr>
                <w:rFonts w:ascii="仿宋" w:eastAsia="仿宋" w:hAnsi="仿宋" w:cs="仿宋" w:hint="eastAsia"/>
                <w:lang w:val="en-US"/>
              </w:rPr>
              <w:t>3</w:t>
            </w:r>
          </w:p>
        </w:tc>
      </w:tr>
      <w:tr w:rsidR="00E847D8">
        <w:trPr>
          <w:trHeight w:hRule="exact" w:val="389"/>
        </w:trPr>
        <w:tc>
          <w:tcPr>
            <w:tcW w:w="8426"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bl>
    <w:p w:rsidR="00E847D8" w:rsidRDefault="001A5CCD">
      <w:pPr>
        <w:spacing w:before="25"/>
        <w:jc w:val="both"/>
        <w:rPr>
          <w:rFonts w:ascii="仿宋" w:eastAsia="仿宋" w:hAnsi="仿宋" w:cs="仿宋"/>
        </w:rPr>
      </w:pPr>
      <w:r>
        <w:rPr>
          <w:rFonts w:ascii="仿宋" w:eastAsia="仿宋" w:hAnsi="仿宋" w:cs="仿宋" w:hint="eastAsia"/>
        </w:rPr>
        <w:t>注：本表反映本年度政府性基金预算财政拨款支出情况。</w:t>
      </w:r>
    </w:p>
    <w:p w:rsidR="00E847D8" w:rsidRDefault="001A5CCD">
      <w:pPr>
        <w:spacing w:before="25"/>
        <w:ind w:leftChars="200" w:left="440"/>
        <w:jc w:val="both"/>
        <w:rPr>
          <w:rFonts w:ascii="仿宋" w:eastAsia="仿宋" w:hAnsi="仿宋" w:cs="仿宋"/>
          <w:lang w:val="en-US"/>
        </w:rPr>
      </w:pPr>
      <w:r>
        <w:rPr>
          <w:rFonts w:ascii="仿宋" w:eastAsia="仿宋" w:hAnsi="仿宋" w:cs="仿宋"/>
        </w:rPr>
        <w:t>本单位无政府性基金预算收入支出决算，故本表为空。</w:t>
      </w:r>
    </w:p>
    <w:p w:rsidR="00E847D8" w:rsidRDefault="00E847D8">
      <w:pPr>
        <w:spacing w:before="25"/>
        <w:jc w:val="both"/>
        <w:rPr>
          <w:rFonts w:ascii="仿宋" w:eastAsia="仿宋" w:hAnsi="仿宋" w:cs="仿宋"/>
          <w:lang w:val="en-US"/>
        </w:rPr>
        <w:sectPr w:rsidR="00E847D8">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E847D8">
        <w:trPr>
          <w:trHeight w:val="395"/>
        </w:trPr>
        <w:tc>
          <w:tcPr>
            <w:tcW w:w="15400" w:type="dxa"/>
            <w:gridSpan w:val="5"/>
            <w:vAlign w:val="center"/>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E847D8">
        <w:trPr>
          <w:trHeight w:val="323"/>
        </w:trPr>
        <w:tc>
          <w:tcPr>
            <w:tcW w:w="8520" w:type="dxa"/>
            <w:gridSpan w:val="2"/>
          </w:tcPr>
          <w:p w:rsidR="00E847D8" w:rsidRDefault="00E847D8">
            <w:pPr>
              <w:pStyle w:val="TableParagraph"/>
              <w:rPr>
                <w:rFonts w:ascii="仿宋" w:eastAsia="仿宋" w:hAnsi="仿宋" w:cs="仿宋"/>
                <w:sz w:val="20"/>
              </w:rPr>
            </w:pPr>
          </w:p>
        </w:tc>
        <w:tc>
          <w:tcPr>
            <w:tcW w:w="2510" w:type="dxa"/>
          </w:tcPr>
          <w:p w:rsidR="00E847D8" w:rsidRDefault="00E847D8">
            <w:pPr>
              <w:pStyle w:val="TableParagraph"/>
              <w:rPr>
                <w:rFonts w:ascii="仿宋" w:eastAsia="仿宋" w:hAnsi="仿宋" w:cs="仿宋"/>
                <w:sz w:val="27"/>
              </w:rPr>
            </w:pPr>
          </w:p>
        </w:tc>
        <w:tc>
          <w:tcPr>
            <w:tcW w:w="2309" w:type="dxa"/>
          </w:tcPr>
          <w:p w:rsidR="00E847D8" w:rsidRDefault="00E847D8">
            <w:pPr>
              <w:pStyle w:val="TableParagraph"/>
              <w:rPr>
                <w:rFonts w:ascii="仿宋" w:eastAsia="仿宋" w:hAnsi="仿宋" w:cs="仿宋"/>
                <w:sz w:val="20"/>
              </w:rPr>
            </w:pPr>
          </w:p>
        </w:tc>
        <w:tc>
          <w:tcPr>
            <w:tcW w:w="2061" w:type="dxa"/>
            <w:vAlign w:val="center"/>
          </w:tcPr>
          <w:p w:rsidR="00E847D8" w:rsidRDefault="001A5CCD">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E847D8">
        <w:trPr>
          <w:trHeight w:val="152"/>
        </w:trPr>
        <w:tc>
          <w:tcPr>
            <w:tcW w:w="13339" w:type="dxa"/>
            <w:gridSpan w:val="4"/>
            <w:vAlign w:val="center"/>
          </w:tcPr>
          <w:p w:rsidR="00E847D8" w:rsidRDefault="001A5CC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2061" w:type="dxa"/>
            <w:vAlign w:val="center"/>
          </w:tcPr>
          <w:p w:rsidR="00E847D8" w:rsidRDefault="001A5CCD">
            <w:pPr>
              <w:pStyle w:val="TableParagraph"/>
              <w:jc w:val="right"/>
              <w:rPr>
                <w:rFonts w:ascii="仿宋" w:eastAsia="仿宋" w:hAnsi="仿宋" w:cs="仿宋"/>
                <w:sz w:val="27"/>
              </w:rPr>
            </w:pPr>
            <w:r>
              <w:rPr>
                <w:rFonts w:ascii="仿宋" w:eastAsia="仿宋" w:hAnsi="仿宋" w:cs="仿宋" w:hint="eastAsia"/>
              </w:rPr>
              <w:t>金额单位：万元</w:t>
            </w:r>
          </w:p>
        </w:tc>
      </w:tr>
      <w:tr w:rsidR="00E847D8">
        <w:trPr>
          <w:trHeight w:val="267"/>
        </w:trPr>
        <w:tc>
          <w:tcPr>
            <w:tcW w:w="8520" w:type="dxa"/>
            <w:gridSpan w:val="2"/>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项目支出</w:t>
            </w:r>
          </w:p>
        </w:tc>
      </w:tr>
      <w:tr w:rsidR="00E847D8">
        <w:trPr>
          <w:trHeight w:val="427"/>
        </w:trPr>
        <w:tc>
          <w:tcPr>
            <w:tcW w:w="1462"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功能分类</w:t>
            </w:r>
          </w:p>
          <w:p w:rsidR="00E847D8" w:rsidRDefault="001A5CCD">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E847D8" w:rsidRDefault="00E847D8">
            <w:pPr>
              <w:rPr>
                <w:rFonts w:ascii="仿宋" w:eastAsia="仿宋" w:hAnsi="仿宋" w:cs="仿宋"/>
              </w:rPr>
            </w:pPr>
          </w:p>
        </w:tc>
        <w:tc>
          <w:tcPr>
            <w:tcW w:w="2309" w:type="dxa"/>
            <w:vMerge/>
            <w:tcBorders>
              <w:left w:val="single" w:sz="4" w:space="0" w:color="000000"/>
              <w:bottom w:val="single" w:sz="4" w:space="0" w:color="000000"/>
            </w:tcBorders>
            <w:vAlign w:val="center"/>
          </w:tcPr>
          <w:p w:rsidR="00E847D8" w:rsidRDefault="00E847D8">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rPr>
            </w:pPr>
          </w:p>
        </w:tc>
      </w:tr>
      <w:tr w:rsidR="00E847D8">
        <w:trPr>
          <w:trHeight w:val="275"/>
        </w:trPr>
        <w:tc>
          <w:tcPr>
            <w:tcW w:w="8520"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lang w:val="en-US"/>
              </w:rPr>
            </w:pPr>
            <w:r>
              <w:rPr>
                <w:rFonts w:ascii="仿宋" w:eastAsia="仿宋" w:hAnsi="仿宋" w:cs="仿宋" w:hint="eastAsia"/>
                <w:lang w:val="en-US"/>
              </w:rPr>
              <w:t>3</w:t>
            </w:r>
          </w:p>
        </w:tc>
      </w:tr>
      <w:tr w:rsidR="00E847D8">
        <w:trPr>
          <w:trHeight w:hRule="exact" w:val="389"/>
        </w:trPr>
        <w:tc>
          <w:tcPr>
            <w:tcW w:w="8520"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E847D8" w:rsidRDefault="00E847D8">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E847D8" w:rsidRDefault="00E847D8">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bl>
    <w:p w:rsidR="00E847D8" w:rsidRDefault="001A5CCD">
      <w:pPr>
        <w:jc w:val="both"/>
        <w:rPr>
          <w:rFonts w:ascii="仿宋" w:eastAsia="仿宋" w:hAnsi="仿宋" w:cs="仿宋"/>
        </w:rPr>
      </w:pPr>
      <w:r>
        <w:rPr>
          <w:rFonts w:ascii="仿宋" w:eastAsia="仿宋" w:hAnsi="仿宋" w:cs="仿宋" w:hint="eastAsia"/>
        </w:rPr>
        <w:t>注：本表反映本年度国有资本经营预算财政拨款支出情况。</w:t>
      </w:r>
    </w:p>
    <w:p w:rsidR="00E847D8" w:rsidRDefault="001A5CCD">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E847D8" w:rsidRDefault="00E847D8">
      <w:pPr>
        <w:spacing w:before="25"/>
        <w:ind w:leftChars="-100" w:left="-220"/>
        <w:jc w:val="both"/>
        <w:rPr>
          <w:rFonts w:ascii="仿宋" w:eastAsia="仿宋" w:hAnsi="仿宋" w:cs="仿宋"/>
          <w:lang w:val="en-US"/>
        </w:rPr>
        <w:sectPr w:rsidR="00E847D8">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E847D8">
        <w:trPr>
          <w:trHeight w:val="319"/>
        </w:trPr>
        <w:tc>
          <w:tcPr>
            <w:tcW w:w="10466" w:type="dxa"/>
            <w:gridSpan w:val="3"/>
          </w:tcPr>
          <w:p w:rsidR="00E847D8" w:rsidRDefault="001A5CCD">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val="en-US" w:eastAsia="ar-SA"/>
              </w:rPr>
              <w:lastRenderedPageBreak/>
              <w:t>财政拨款</w:t>
            </w:r>
            <w:r>
              <w:rPr>
                <w:rFonts w:hint="eastAsia"/>
                <w:b/>
                <w:bCs/>
                <w:color w:val="000000"/>
                <w:sz w:val="36"/>
                <w:szCs w:val="36"/>
                <w:lang w:eastAsia="ar-SA"/>
              </w:rPr>
              <w:t>机关运行经费支出决算表</w:t>
            </w:r>
          </w:p>
        </w:tc>
      </w:tr>
      <w:tr w:rsidR="00E847D8">
        <w:trPr>
          <w:trHeight w:val="90"/>
        </w:trPr>
        <w:tc>
          <w:tcPr>
            <w:tcW w:w="6632" w:type="dxa"/>
            <w:gridSpan w:val="2"/>
          </w:tcPr>
          <w:p w:rsidR="00E847D8" w:rsidRDefault="00E847D8">
            <w:pPr>
              <w:pStyle w:val="TableParagraph"/>
              <w:rPr>
                <w:rFonts w:ascii="仿宋" w:eastAsia="仿宋" w:hAnsi="仿宋" w:cs="仿宋"/>
                <w:sz w:val="20"/>
              </w:rPr>
            </w:pPr>
          </w:p>
        </w:tc>
        <w:tc>
          <w:tcPr>
            <w:tcW w:w="3834" w:type="dxa"/>
            <w:vAlign w:val="center"/>
          </w:tcPr>
          <w:p w:rsidR="00E847D8" w:rsidRDefault="001A5CC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E847D8">
        <w:trPr>
          <w:trHeight w:val="90"/>
        </w:trPr>
        <w:tc>
          <w:tcPr>
            <w:tcW w:w="6632" w:type="dxa"/>
            <w:gridSpan w:val="2"/>
            <w:vAlign w:val="center"/>
          </w:tcPr>
          <w:p w:rsidR="00E847D8" w:rsidRDefault="001A5CC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3834" w:type="dxa"/>
            <w:vAlign w:val="center"/>
          </w:tcPr>
          <w:p w:rsidR="00E847D8" w:rsidRDefault="001A5CCD">
            <w:pPr>
              <w:pStyle w:val="TableParagraph"/>
              <w:jc w:val="right"/>
              <w:rPr>
                <w:rFonts w:ascii="仿宋" w:eastAsia="仿宋" w:hAnsi="仿宋" w:cs="仿宋"/>
                <w:sz w:val="27"/>
              </w:rPr>
            </w:pPr>
            <w:r>
              <w:rPr>
                <w:rFonts w:ascii="仿宋" w:eastAsia="仿宋" w:hAnsi="仿宋" w:cs="仿宋" w:hint="eastAsia"/>
              </w:rPr>
              <w:t>金额单位：万元</w:t>
            </w:r>
          </w:p>
        </w:tc>
      </w:tr>
      <w:tr w:rsidR="00E847D8">
        <w:trPr>
          <w:trHeight w:val="319"/>
        </w:trPr>
        <w:tc>
          <w:tcPr>
            <w:tcW w:w="6632" w:type="dxa"/>
            <w:gridSpan w:val="2"/>
            <w:tcBorders>
              <w:top w:val="single" w:sz="4" w:space="0" w:color="000000"/>
              <w:left w:val="single" w:sz="4" w:space="0" w:color="000000"/>
              <w:bottom w:val="single" w:sz="4" w:space="0" w:color="000000"/>
            </w:tcBorders>
          </w:tcPr>
          <w:p w:rsidR="00E847D8" w:rsidRDefault="001A5CC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机关运行经费支出决算</w:t>
            </w:r>
          </w:p>
        </w:tc>
      </w:tr>
      <w:tr w:rsidR="00E847D8">
        <w:trPr>
          <w:trHeight w:val="363"/>
        </w:trPr>
        <w:tc>
          <w:tcPr>
            <w:tcW w:w="1642"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E847D8" w:rsidRDefault="00E847D8">
            <w:pPr>
              <w:rPr>
                <w:rFonts w:ascii="仿宋" w:eastAsia="仿宋" w:hAnsi="仿宋" w:cs="仿宋"/>
              </w:rPr>
            </w:pPr>
          </w:p>
        </w:tc>
      </w:tr>
      <w:tr w:rsidR="00E847D8">
        <w:trPr>
          <w:trHeight w:val="229"/>
        </w:trPr>
        <w:tc>
          <w:tcPr>
            <w:tcW w:w="6632" w:type="dxa"/>
            <w:gridSpan w:val="2"/>
            <w:tcBorders>
              <w:left w:val="single" w:sz="4" w:space="0" w:color="000000"/>
              <w:bottom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lastRenderedPageBreak/>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r w:rsidR="00E847D8">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E847D8" w:rsidRDefault="00E847D8">
            <w:pPr>
              <w:jc w:val="right"/>
              <w:rPr>
                <w:rFonts w:ascii="仿宋" w:eastAsia="仿宋" w:hAnsi="仿宋" w:cs="仿宋"/>
              </w:rPr>
            </w:pPr>
          </w:p>
        </w:tc>
      </w:tr>
    </w:tbl>
    <w:p w:rsidR="00E847D8" w:rsidRDefault="001A5CCD">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w:t>
      </w:r>
      <w:r>
        <w:rPr>
          <w:rFonts w:ascii="仿宋" w:eastAsia="仿宋" w:hAnsi="仿宋" w:cs="仿宋" w:hint="eastAsia"/>
          <w:lang w:val="en-US"/>
        </w:rPr>
        <w:t>财政拨款</w:t>
      </w:r>
      <w:r>
        <w:rPr>
          <w:rFonts w:ascii="仿宋" w:eastAsia="仿宋" w:hAnsi="仿宋" w:cs="仿宋" w:hint="eastAsia"/>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E847D8" w:rsidRDefault="001A5CCD">
      <w:pPr>
        <w:tabs>
          <w:tab w:val="left" w:pos="440"/>
        </w:tabs>
        <w:spacing w:before="25"/>
        <w:ind w:leftChars="200" w:left="440"/>
        <w:jc w:val="both"/>
        <w:rPr>
          <w:rFonts w:ascii="仿宋" w:eastAsia="仿宋" w:hAnsi="仿宋" w:cs="仿宋"/>
        </w:rPr>
      </w:pPr>
      <w:r>
        <w:rPr>
          <w:rFonts w:ascii="仿宋" w:eastAsia="仿宋" w:hAnsi="仿宋" w:cs="仿宋" w:hint="eastAsia"/>
        </w:rPr>
        <w:t>本</w:t>
      </w:r>
      <w:r>
        <w:rPr>
          <w:rFonts w:ascii="仿宋" w:eastAsia="仿宋" w:hAnsi="仿宋" w:cs="仿宋"/>
        </w:rPr>
        <w:t>单位</w:t>
      </w:r>
      <w:r>
        <w:rPr>
          <w:rFonts w:ascii="仿宋" w:eastAsia="仿宋" w:hAnsi="仿宋" w:cs="仿宋" w:hint="eastAsia"/>
        </w:rPr>
        <w:t>无</w:t>
      </w:r>
      <w:r>
        <w:rPr>
          <w:rFonts w:ascii="仿宋" w:eastAsia="仿宋" w:hAnsi="仿宋" w:cs="仿宋" w:hint="eastAsia"/>
          <w:lang w:val="en-US"/>
        </w:rPr>
        <w:t>财政拨款</w:t>
      </w:r>
      <w:r>
        <w:rPr>
          <w:rFonts w:ascii="仿宋" w:eastAsia="仿宋" w:hAnsi="仿宋" w:cs="仿宋" w:hint="eastAsia"/>
        </w:rPr>
        <w:t>机关运行经费支出决算，故本表为空。</w:t>
      </w:r>
    </w:p>
    <w:p w:rsidR="00E847D8" w:rsidRDefault="00E847D8">
      <w:pPr>
        <w:tabs>
          <w:tab w:val="left" w:pos="440"/>
        </w:tabs>
        <w:spacing w:before="25"/>
        <w:ind w:leftChars="200" w:left="440"/>
        <w:jc w:val="both"/>
        <w:rPr>
          <w:rFonts w:ascii="仿宋" w:eastAsia="仿宋" w:hAnsi="仿宋" w:cs="仿宋"/>
          <w:lang w:val="en-US"/>
        </w:rPr>
        <w:sectPr w:rsidR="00E847D8">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E847D8">
        <w:trPr>
          <w:trHeight w:val="333"/>
        </w:trPr>
        <w:tc>
          <w:tcPr>
            <w:tcW w:w="10459" w:type="dxa"/>
            <w:gridSpan w:val="4"/>
            <w:vAlign w:val="center"/>
          </w:tcPr>
          <w:p w:rsidR="00E847D8" w:rsidRDefault="001A5CC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E847D8">
        <w:trPr>
          <w:trHeight w:val="333"/>
        </w:trPr>
        <w:tc>
          <w:tcPr>
            <w:tcW w:w="4472" w:type="dxa"/>
          </w:tcPr>
          <w:p w:rsidR="00E847D8" w:rsidRDefault="00E847D8">
            <w:pPr>
              <w:pStyle w:val="TableParagraph"/>
              <w:rPr>
                <w:rFonts w:ascii="仿宋" w:eastAsia="仿宋" w:hAnsi="仿宋" w:cs="仿宋"/>
              </w:rPr>
            </w:pPr>
          </w:p>
        </w:tc>
        <w:tc>
          <w:tcPr>
            <w:tcW w:w="722" w:type="dxa"/>
          </w:tcPr>
          <w:p w:rsidR="00E847D8" w:rsidRDefault="00E847D8">
            <w:pPr>
              <w:pStyle w:val="TableParagraph"/>
              <w:rPr>
                <w:rFonts w:ascii="仿宋" w:eastAsia="仿宋" w:hAnsi="仿宋" w:cs="仿宋"/>
              </w:rPr>
            </w:pPr>
          </w:p>
        </w:tc>
        <w:tc>
          <w:tcPr>
            <w:tcW w:w="1992" w:type="dxa"/>
          </w:tcPr>
          <w:p w:rsidR="00E847D8" w:rsidRDefault="00E847D8">
            <w:pPr>
              <w:pStyle w:val="TableParagraph"/>
              <w:rPr>
                <w:rFonts w:ascii="仿宋" w:eastAsia="仿宋" w:hAnsi="仿宋" w:cs="仿宋"/>
              </w:rPr>
            </w:pPr>
          </w:p>
        </w:tc>
        <w:tc>
          <w:tcPr>
            <w:tcW w:w="3273" w:type="dxa"/>
            <w:vAlign w:val="center"/>
          </w:tcPr>
          <w:p w:rsidR="00E847D8" w:rsidRDefault="001A5CC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E847D8">
        <w:trPr>
          <w:trHeight w:val="90"/>
        </w:trPr>
        <w:tc>
          <w:tcPr>
            <w:tcW w:w="7186" w:type="dxa"/>
            <w:gridSpan w:val="3"/>
          </w:tcPr>
          <w:p w:rsidR="00E847D8" w:rsidRDefault="001A5CC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江阴市妇幼保健院</w:t>
            </w:r>
          </w:p>
        </w:tc>
        <w:tc>
          <w:tcPr>
            <w:tcW w:w="3273" w:type="dxa"/>
            <w:vAlign w:val="center"/>
          </w:tcPr>
          <w:p w:rsidR="00E847D8" w:rsidRDefault="001A5CCD">
            <w:pPr>
              <w:pStyle w:val="TableParagraph"/>
              <w:jc w:val="right"/>
              <w:rPr>
                <w:rFonts w:ascii="仿宋" w:eastAsia="仿宋" w:hAnsi="仿宋" w:cs="仿宋"/>
              </w:rPr>
            </w:pPr>
            <w:r>
              <w:rPr>
                <w:rFonts w:ascii="仿宋" w:eastAsia="仿宋" w:hAnsi="仿宋" w:cs="仿宋" w:hint="eastAsia"/>
              </w:rPr>
              <w:t>单位：万元</w:t>
            </w:r>
          </w:p>
        </w:tc>
      </w:tr>
      <w:tr w:rsidR="00E847D8">
        <w:trPr>
          <w:trHeight w:val="244"/>
        </w:trPr>
        <w:tc>
          <w:tcPr>
            <w:tcW w:w="4472" w:type="dxa"/>
            <w:tcBorders>
              <w:top w:val="single" w:sz="4" w:space="0" w:color="000000"/>
              <w:left w:val="single" w:sz="4" w:space="0" w:color="000000"/>
              <w:bottom w:val="single" w:sz="4" w:space="0" w:color="000000"/>
            </w:tcBorders>
            <w:vAlign w:val="center"/>
          </w:tcPr>
          <w:p w:rsidR="00E847D8" w:rsidRDefault="001A5CCD">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E847D8" w:rsidRDefault="001A5CCD">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E847D8">
        <w:trPr>
          <w:cantSplit/>
          <w:trHeight w:val="277"/>
        </w:trPr>
        <w:tc>
          <w:tcPr>
            <w:tcW w:w="4472"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1,388.40</w:t>
            </w:r>
          </w:p>
        </w:tc>
      </w:tr>
      <w:tr w:rsidR="00E847D8">
        <w:trPr>
          <w:cantSplit/>
          <w:trHeight w:val="277"/>
        </w:trPr>
        <w:tc>
          <w:tcPr>
            <w:tcW w:w="4472"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1,008.40</w:t>
            </w:r>
          </w:p>
        </w:tc>
      </w:tr>
      <w:tr w:rsidR="00E847D8">
        <w:trPr>
          <w:cantSplit/>
          <w:trHeight w:val="277"/>
        </w:trPr>
        <w:tc>
          <w:tcPr>
            <w:tcW w:w="4472"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7"/>
        </w:trPr>
        <w:tc>
          <w:tcPr>
            <w:tcW w:w="4472"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E847D8" w:rsidRDefault="001A5CCD">
            <w:pPr>
              <w:pStyle w:val="TableParagraph"/>
              <w:jc w:val="right"/>
              <w:rPr>
                <w:rFonts w:ascii="仿宋" w:eastAsia="仿宋" w:hAnsi="仿宋" w:cs="仿宋"/>
              </w:rPr>
            </w:pPr>
            <w:r>
              <w:rPr>
                <w:rFonts w:ascii="仿宋" w:eastAsia="仿宋" w:hAnsi="仿宋" w:cs="仿宋" w:hint="eastAsia"/>
              </w:rPr>
              <w:t>380.00</w:t>
            </w:r>
          </w:p>
        </w:tc>
      </w:tr>
      <w:tr w:rsidR="00E847D8">
        <w:trPr>
          <w:cantSplit/>
          <w:trHeight w:val="277"/>
        </w:trPr>
        <w:tc>
          <w:tcPr>
            <w:tcW w:w="4472"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r w:rsidR="00E847D8">
        <w:trPr>
          <w:cantSplit/>
          <w:trHeight w:val="277"/>
        </w:trPr>
        <w:tc>
          <w:tcPr>
            <w:tcW w:w="4472" w:type="dxa"/>
            <w:tcBorders>
              <w:left w:val="single" w:sz="4" w:space="0" w:color="000000"/>
              <w:bottom w:val="single" w:sz="4" w:space="0" w:color="000000"/>
            </w:tcBorders>
            <w:vAlign w:val="center"/>
          </w:tcPr>
          <w:p w:rsidR="00E847D8" w:rsidRDefault="001A5CC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E847D8" w:rsidRDefault="00E847D8">
            <w:pPr>
              <w:pStyle w:val="TableParagraph"/>
              <w:jc w:val="right"/>
              <w:rPr>
                <w:rFonts w:ascii="仿宋" w:eastAsia="仿宋" w:hAnsi="仿宋" w:cs="仿宋"/>
              </w:rPr>
            </w:pPr>
          </w:p>
        </w:tc>
      </w:tr>
    </w:tbl>
    <w:p w:rsidR="00E847D8" w:rsidRDefault="001A5CCD">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E847D8" w:rsidRDefault="00E847D8">
      <w:pPr>
        <w:ind w:leftChars="200" w:left="440"/>
        <w:jc w:val="both"/>
        <w:rPr>
          <w:rFonts w:ascii="仿宋" w:eastAsia="仿宋" w:hAnsi="仿宋" w:cs="仿宋"/>
        </w:rPr>
        <w:sectPr w:rsidR="00E847D8">
          <w:pgSz w:w="11906" w:h="16838"/>
          <w:pgMar w:top="720" w:right="720" w:bottom="720" w:left="720" w:header="170" w:footer="280" w:gutter="0"/>
          <w:pgNumType w:fmt="numberInDash"/>
          <w:cols w:space="720"/>
          <w:formProt w:val="0"/>
          <w:docGrid w:linePitch="100"/>
        </w:sectPr>
      </w:pPr>
    </w:p>
    <w:p w:rsidR="00E847D8" w:rsidRDefault="001A5CCD">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2022</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E847D8" w:rsidRDefault="00E847D8">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一、收入支出决算总体情况说明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年度收入、支出决算总计</w:t>
      </w:r>
      <w:r>
        <w:rPr>
          <w:rFonts w:ascii="仿宋" w:eastAsia="仿宋" w:hAnsi="仿宋" w:cs="仿宋"/>
        </w:rPr>
        <w:t>5,130.04</w:t>
      </w:r>
      <w:r>
        <w:rPr>
          <w:rFonts w:ascii="仿宋" w:eastAsia="仿宋" w:hAnsi="仿宋" w:cs="仿宋"/>
        </w:rPr>
        <w:t>万元。与上年相比，收、支总计各增加</w:t>
      </w:r>
      <w:r>
        <w:rPr>
          <w:rFonts w:ascii="仿宋" w:eastAsia="仿宋" w:hAnsi="仿宋" w:cs="仿宋"/>
        </w:rPr>
        <w:t>455.54</w:t>
      </w:r>
      <w:r>
        <w:rPr>
          <w:rFonts w:ascii="仿宋" w:eastAsia="仿宋" w:hAnsi="仿宋" w:cs="仿宋"/>
        </w:rPr>
        <w:t>万元，增长</w:t>
      </w:r>
      <w:r>
        <w:rPr>
          <w:rFonts w:ascii="仿宋" w:eastAsia="仿宋" w:hAnsi="仿宋" w:cs="仿宋"/>
        </w:rPr>
        <w:t>9.75%</w:t>
      </w:r>
      <w:r>
        <w:rPr>
          <w:rFonts w:ascii="仿宋" w:eastAsia="仿宋" w:hAnsi="仿宋" w:cs="仿宋"/>
        </w:rPr>
        <w:t>。其中：</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5,130.04</w:t>
      </w:r>
      <w:r>
        <w:rPr>
          <w:rFonts w:ascii="仿宋" w:eastAsia="仿宋" w:hAnsi="仿宋" w:cs="仿宋"/>
          <w:b/>
        </w:rPr>
        <w:t>万元。包括：</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5,130.04</w:t>
      </w:r>
      <w:r>
        <w:rPr>
          <w:rFonts w:ascii="仿宋" w:eastAsia="仿宋" w:hAnsi="仿宋" w:cs="仿宋"/>
        </w:rPr>
        <w:t>万元。与上年相比，增加</w:t>
      </w:r>
      <w:r>
        <w:rPr>
          <w:rFonts w:ascii="仿宋" w:eastAsia="仿宋" w:hAnsi="仿宋" w:cs="仿宋"/>
        </w:rPr>
        <w:t>457.13</w:t>
      </w:r>
      <w:r>
        <w:rPr>
          <w:rFonts w:ascii="仿宋" w:eastAsia="仿宋" w:hAnsi="仿宋" w:cs="仿宋"/>
        </w:rPr>
        <w:t>万元，增长</w:t>
      </w:r>
      <w:r>
        <w:rPr>
          <w:rFonts w:ascii="仿宋" w:eastAsia="仿宋" w:hAnsi="仿宋" w:cs="仿宋"/>
        </w:rPr>
        <w:t>9.78%</w:t>
      </w:r>
      <w:r>
        <w:rPr>
          <w:rFonts w:ascii="仿宋" w:eastAsia="仿宋" w:hAnsi="仿宋" w:cs="仿宋"/>
        </w:rPr>
        <w:t>，变动原因：追加专用成本材料费收入、增加</w:t>
      </w:r>
      <w:r>
        <w:rPr>
          <w:rFonts w:ascii="仿宋" w:eastAsia="仿宋" w:hAnsi="仿宋" w:cs="仿宋"/>
        </w:rPr>
        <w:t>“</w:t>
      </w:r>
      <w:r>
        <w:rPr>
          <w:rFonts w:ascii="仿宋" w:eastAsia="仿宋" w:hAnsi="仿宋" w:cs="仿宋"/>
        </w:rPr>
        <w:t>医疗服务与保障能力提升</w:t>
      </w:r>
      <w:r>
        <w:rPr>
          <w:rFonts w:ascii="仿宋" w:eastAsia="仿宋" w:hAnsi="仿宋" w:cs="仿宋"/>
        </w:rPr>
        <w:t>”</w:t>
      </w:r>
      <w:r>
        <w:rPr>
          <w:rFonts w:ascii="仿宋" w:eastAsia="仿宋" w:hAnsi="仿宋" w:cs="仿宋"/>
        </w:rPr>
        <w:t>专项经费收入、编外用工经费核定总额提高、非税收入超收奖励经费增加。</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0</w:t>
      </w:r>
      <w:r>
        <w:rPr>
          <w:rFonts w:ascii="仿宋" w:eastAsia="仿宋" w:hAnsi="仿宋" w:cs="仿宋"/>
        </w:rPr>
        <w:t>万元。与上年相比，减少</w:t>
      </w:r>
      <w:r>
        <w:rPr>
          <w:rFonts w:ascii="仿宋" w:eastAsia="仿宋" w:hAnsi="仿宋" w:cs="仿宋"/>
        </w:rPr>
        <w:t>1.59</w:t>
      </w:r>
      <w:r>
        <w:rPr>
          <w:rFonts w:ascii="仿宋" w:eastAsia="仿宋" w:hAnsi="仿宋" w:cs="仿宋"/>
        </w:rPr>
        <w:t>万元，减少</w:t>
      </w:r>
      <w:r>
        <w:rPr>
          <w:rFonts w:ascii="仿宋" w:eastAsia="仿宋" w:hAnsi="仿宋" w:cs="仿宋"/>
        </w:rPr>
        <w:t>100%</w:t>
      </w:r>
      <w:r>
        <w:rPr>
          <w:rFonts w:ascii="仿宋" w:eastAsia="仿宋" w:hAnsi="仿宋" w:cs="仿宋"/>
        </w:rPr>
        <w:t>，变动原因：</w:t>
      </w:r>
      <w:r>
        <w:rPr>
          <w:rFonts w:ascii="仿宋" w:eastAsia="仿宋" w:hAnsi="仿宋" w:cs="仿宋"/>
        </w:rPr>
        <w:t>2020</w:t>
      </w:r>
      <w:r>
        <w:rPr>
          <w:rFonts w:ascii="仿宋" w:eastAsia="仿宋" w:hAnsi="仿宋" w:cs="仿宋"/>
        </w:rPr>
        <w:t>年底代扣款余额未及时托收完毕。</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5,130.04</w:t>
      </w:r>
      <w:r>
        <w:rPr>
          <w:rFonts w:ascii="仿宋" w:eastAsia="仿宋" w:hAnsi="仿宋" w:cs="仿宋"/>
          <w:b/>
        </w:rPr>
        <w:t>万元。包括：</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5,130.04</w:t>
      </w:r>
      <w:r>
        <w:rPr>
          <w:rFonts w:ascii="仿宋" w:eastAsia="仿宋" w:hAnsi="仿宋" w:cs="仿宋"/>
        </w:rPr>
        <w:t>万元。与上年相比，增加</w:t>
      </w:r>
      <w:r>
        <w:rPr>
          <w:rFonts w:ascii="仿宋" w:eastAsia="仿宋" w:hAnsi="仿宋" w:cs="仿宋"/>
        </w:rPr>
        <w:t>455.54</w:t>
      </w:r>
      <w:r>
        <w:rPr>
          <w:rFonts w:ascii="仿宋" w:eastAsia="仿宋" w:hAnsi="仿宋" w:cs="仿宋"/>
        </w:rPr>
        <w:t>万元，增长</w:t>
      </w:r>
      <w:r>
        <w:rPr>
          <w:rFonts w:ascii="仿宋" w:eastAsia="仿宋" w:hAnsi="仿宋" w:cs="仿宋"/>
        </w:rPr>
        <w:t>9.75%</w:t>
      </w:r>
      <w:r>
        <w:rPr>
          <w:rFonts w:ascii="仿宋" w:eastAsia="仿宋" w:hAnsi="仿宋" w:cs="仿宋"/>
        </w:rPr>
        <w:t>，变动原因：追加专用成本材料费收</w:t>
      </w:r>
      <w:r>
        <w:rPr>
          <w:rFonts w:ascii="仿宋" w:eastAsia="仿宋" w:hAnsi="仿宋" w:cs="仿宋"/>
        </w:rPr>
        <w:lastRenderedPageBreak/>
        <w:t>入、增加</w:t>
      </w:r>
      <w:r>
        <w:rPr>
          <w:rFonts w:ascii="仿宋" w:eastAsia="仿宋" w:hAnsi="仿宋" w:cs="仿宋"/>
        </w:rPr>
        <w:t>“</w:t>
      </w:r>
      <w:r>
        <w:rPr>
          <w:rFonts w:ascii="仿宋" w:eastAsia="仿宋" w:hAnsi="仿宋" w:cs="仿宋"/>
        </w:rPr>
        <w:t>医疗服务与保障能力提升</w:t>
      </w:r>
      <w:r>
        <w:rPr>
          <w:rFonts w:ascii="仿宋" w:eastAsia="仿宋" w:hAnsi="仿宋" w:cs="仿宋"/>
        </w:rPr>
        <w:t>”</w:t>
      </w:r>
      <w:r>
        <w:rPr>
          <w:rFonts w:ascii="仿宋" w:eastAsia="仿宋" w:hAnsi="仿宋" w:cs="仿宋"/>
        </w:rPr>
        <w:t>专项经费收入、编外用工经费核定总额提高、非税收入超收奖励经费增加。</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0</w:t>
      </w:r>
      <w:r>
        <w:rPr>
          <w:rFonts w:ascii="仿宋" w:eastAsia="仿宋" w:hAnsi="仿宋" w:cs="仿宋"/>
        </w:rPr>
        <w:t>万元。与上年决算数相同。</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二、收入决算情况说明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年度本年收入决算合计</w:t>
      </w:r>
      <w:r>
        <w:rPr>
          <w:rFonts w:ascii="仿宋" w:eastAsia="仿宋" w:hAnsi="仿宋" w:cs="仿宋"/>
        </w:rPr>
        <w:t>5,130.04</w:t>
      </w:r>
      <w:r>
        <w:rPr>
          <w:rFonts w:ascii="仿宋" w:eastAsia="仿宋" w:hAnsi="仿宋" w:cs="仿宋"/>
        </w:rPr>
        <w:t>万元，其中：财政拨款收入</w:t>
      </w:r>
      <w:r>
        <w:rPr>
          <w:rFonts w:ascii="仿宋" w:eastAsia="仿宋" w:hAnsi="仿宋" w:cs="仿宋"/>
        </w:rPr>
        <w:t>5,130.</w:t>
      </w:r>
      <w:r>
        <w:rPr>
          <w:rFonts w:ascii="仿宋" w:eastAsia="仿宋" w:hAnsi="仿宋" w:cs="仿宋"/>
        </w:rPr>
        <w:t>04</w:t>
      </w:r>
      <w:r>
        <w:rPr>
          <w:rFonts w:ascii="仿宋" w:eastAsia="仿宋" w:hAnsi="仿宋" w:cs="仿宋"/>
        </w:rPr>
        <w:t>万元，占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847D8" w:rsidRDefault="001A5CC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cstate="print"/>
                    <a:stretch>
                      <a:fillRect/>
                    </a:stretch>
                  </pic:blipFill>
                  <pic:spPr>
                    <a:xfrm>
                      <a:off x="0" y="0"/>
                      <a:ext cx="6134100" cy="3429000"/>
                    </a:xfrm>
                    <a:prstGeom prst="rect">
                      <a:avLst/>
                    </a:prstGeom>
                  </pic:spPr>
                </pic:pic>
              </a:graphicData>
            </a:graphic>
          </wp:inline>
        </w:drawing>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年度本年支出决算合计</w:t>
      </w:r>
      <w:r>
        <w:rPr>
          <w:rFonts w:ascii="仿宋" w:eastAsia="仿宋" w:hAnsi="仿宋" w:cs="仿宋"/>
        </w:rPr>
        <w:t>5,130.04</w:t>
      </w:r>
      <w:r>
        <w:rPr>
          <w:rFonts w:ascii="仿宋" w:eastAsia="仿宋" w:hAnsi="仿宋" w:cs="仿宋"/>
        </w:rPr>
        <w:t>万元，其中：基本支出</w:t>
      </w:r>
      <w:r>
        <w:rPr>
          <w:rFonts w:ascii="仿宋" w:eastAsia="仿宋" w:hAnsi="仿宋" w:cs="仿宋"/>
        </w:rPr>
        <w:t>3,457.07</w:t>
      </w:r>
      <w:r>
        <w:rPr>
          <w:rFonts w:ascii="仿宋" w:eastAsia="仿宋" w:hAnsi="仿宋" w:cs="仿宋"/>
        </w:rPr>
        <w:t>万元，占</w:t>
      </w:r>
      <w:r>
        <w:rPr>
          <w:rFonts w:ascii="仿宋" w:eastAsia="仿宋" w:hAnsi="仿宋" w:cs="仿宋"/>
        </w:rPr>
        <w:t>67.39%</w:t>
      </w:r>
      <w:r>
        <w:rPr>
          <w:rFonts w:ascii="仿宋" w:eastAsia="仿宋" w:hAnsi="仿宋" w:cs="仿宋"/>
        </w:rPr>
        <w:t>；项目支出</w:t>
      </w:r>
      <w:r>
        <w:rPr>
          <w:rFonts w:ascii="仿宋" w:eastAsia="仿宋" w:hAnsi="仿宋" w:cs="仿宋"/>
        </w:rPr>
        <w:t>1,672.97</w:t>
      </w:r>
      <w:r>
        <w:rPr>
          <w:rFonts w:ascii="仿宋" w:eastAsia="仿宋" w:hAnsi="仿宋" w:cs="仿宋"/>
        </w:rPr>
        <w:t>万元，占</w:t>
      </w:r>
      <w:r>
        <w:rPr>
          <w:rFonts w:ascii="仿宋" w:eastAsia="仿宋" w:hAnsi="仿宋" w:cs="仿宋"/>
        </w:rPr>
        <w:t>32.61%</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E847D8" w:rsidRDefault="001A5CC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四、财政拨款收入支出决算总体情况说明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年度财政拨款收入、支出决算总计</w:t>
      </w:r>
      <w:r>
        <w:rPr>
          <w:rFonts w:ascii="仿宋" w:eastAsia="仿宋" w:hAnsi="仿宋" w:cs="仿宋"/>
        </w:rPr>
        <w:t>5,130.04</w:t>
      </w:r>
      <w:r>
        <w:rPr>
          <w:rFonts w:ascii="仿宋" w:eastAsia="仿宋" w:hAnsi="仿宋" w:cs="仿宋"/>
        </w:rPr>
        <w:t>万元。与上年相比，收、支总计各增加</w:t>
      </w:r>
      <w:r>
        <w:rPr>
          <w:rFonts w:ascii="仿宋" w:eastAsia="仿宋" w:hAnsi="仿宋" w:cs="仿宋"/>
        </w:rPr>
        <w:t>455.54</w:t>
      </w:r>
      <w:r>
        <w:rPr>
          <w:rFonts w:ascii="仿宋" w:eastAsia="仿宋" w:hAnsi="仿宋" w:cs="仿宋"/>
        </w:rPr>
        <w:t>万元，增长</w:t>
      </w:r>
      <w:r>
        <w:rPr>
          <w:rFonts w:ascii="仿宋" w:eastAsia="仿宋" w:hAnsi="仿宋" w:cs="仿宋"/>
        </w:rPr>
        <w:t>9.75%</w:t>
      </w:r>
      <w:r>
        <w:rPr>
          <w:rFonts w:ascii="仿宋" w:eastAsia="仿宋" w:hAnsi="仿宋" w:cs="仿宋"/>
        </w:rPr>
        <w:t>，变动原因：追加专用成本材料费收入、增加</w:t>
      </w:r>
      <w:r>
        <w:rPr>
          <w:rFonts w:ascii="仿宋" w:eastAsia="仿宋" w:hAnsi="仿宋" w:cs="仿宋"/>
        </w:rPr>
        <w:t>“</w:t>
      </w:r>
      <w:r>
        <w:rPr>
          <w:rFonts w:ascii="仿宋" w:eastAsia="仿宋" w:hAnsi="仿宋" w:cs="仿宋"/>
        </w:rPr>
        <w:t>医疗服务与保障能力提升</w:t>
      </w:r>
      <w:r>
        <w:rPr>
          <w:rFonts w:ascii="仿宋" w:eastAsia="仿宋" w:hAnsi="仿宋" w:cs="仿宋"/>
        </w:rPr>
        <w:t>”</w:t>
      </w:r>
      <w:r>
        <w:rPr>
          <w:rFonts w:ascii="仿宋" w:eastAsia="仿宋" w:hAnsi="仿宋" w:cs="仿宋"/>
        </w:rPr>
        <w:t>专项经费收入、编外用工经费核定总额提高、非税收入超收奖励经费增加。</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五、财政拨款支出决算情况说明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w:t>
      </w:r>
      <w:r>
        <w:rPr>
          <w:rFonts w:ascii="仿宋" w:eastAsia="仿宋" w:hAnsi="仿宋" w:cs="仿宋"/>
        </w:rPr>
        <w:lastRenderedPageBreak/>
        <w:t>度财政拨款结转资金发生的支出。</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年度财政拨款支出决算</w:t>
      </w:r>
      <w:r>
        <w:rPr>
          <w:rFonts w:ascii="仿宋" w:eastAsia="仿宋" w:hAnsi="仿宋" w:cs="仿宋"/>
        </w:rPr>
        <w:t>5,130.04</w:t>
      </w:r>
      <w:r>
        <w:rPr>
          <w:rFonts w:ascii="仿宋" w:eastAsia="仿宋" w:hAnsi="仿宋" w:cs="仿宋"/>
        </w:rPr>
        <w:t>万元，占本年支出合计的</w:t>
      </w:r>
      <w:r>
        <w:rPr>
          <w:rFonts w:ascii="仿宋" w:eastAsia="仿宋" w:hAnsi="仿宋" w:cs="仿宋"/>
        </w:rPr>
        <w:t>100%</w:t>
      </w:r>
      <w:r>
        <w:rPr>
          <w:rFonts w:ascii="仿宋" w:eastAsia="仿宋" w:hAnsi="仿宋" w:cs="仿宋"/>
        </w:rPr>
        <w:t>。与</w:t>
      </w:r>
      <w:r>
        <w:rPr>
          <w:rFonts w:ascii="仿宋" w:eastAsia="仿宋" w:hAnsi="仿宋" w:cs="仿宋"/>
        </w:rPr>
        <w:t>2022</w:t>
      </w:r>
      <w:r>
        <w:rPr>
          <w:rFonts w:ascii="仿宋" w:eastAsia="仿宋" w:hAnsi="仿宋" w:cs="仿宋"/>
        </w:rPr>
        <w:t>年度财政拨款支出年初预算</w:t>
      </w:r>
      <w:r>
        <w:rPr>
          <w:rFonts w:ascii="仿宋" w:eastAsia="仿宋" w:hAnsi="仿宋" w:cs="仿宋"/>
        </w:rPr>
        <w:t>4,740.85</w:t>
      </w:r>
      <w:r>
        <w:rPr>
          <w:rFonts w:ascii="仿宋" w:eastAsia="仿宋" w:hAnsi="仿宋" w:cs="仿宋"/>
        </w:rPr>
        <w:t>万元相比，完成年初预算的</w:t>
      </w:r>
      <w:r>
        <w:rPr>
          <w:rFonts w:ascii="仿宋" w:eastAsia="仿宋" w:hAnsi="仿宋" w:cs="仿宋"/>
        </w:rPr>
        <w:t>108.21%</w:t>
      </w:r>
      <w:r>
        <w:rPr>
          <w:rFonts w:ascii="仿宋" w:eastAsia="仿宋" w:hAnsi="仿宋" w:cs="仿宋"/>
        </w:rPr>
        <w:t>。其中：</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（一）社会保障和就业支出（类）</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173.87</w:t>
      </w:r>
      <w:r>
        <w:rPr>
          <w:rFonts w:ascii="仿宋" w:eastAsia="仿宋" w:hAnsi="仿宋" w:cs="仿宋"/>
        </w:rPr>
        <w:t>万元，支出决算</w:t>
      </w:r>
      <w:r>
        <w:rPr>
          <w:rFonts w:ascii="仿宋" w:eastAsia="仿宋" w:hAnsi="仿宋" w:cs="仿宋"/>
        </w:rPr>
        <w:t>167.32</w:t>
      </w:r>
      <w:r>
        <w:rPr>
          <w:rFonts w:ascii="仿宋" w:eastAsia="仿宋" w:hAnsi="仿宋" w:cs="仿宋"/>
        </w:rPr>
        <w:t>万元，完成年初预算的</w:t>
      </w:r>
      <w:r>
        <w:rPr>
          <w:rFonts w:ascii="仿宋" w:eastAsia="仿宋" w:hAnsi="仿宋" w:cs="仿宋"/>
        </w:rPr>
        <w:t>96.23%</w:t>
      </w:r>
      <w:r>
        <w:rPr>
          <w:rFonts w:ascii="仿宋" w:eastAsia="仿宋" w:hAnsi="仿宋" w:cs="仿宋"/>
        </w:rPr>
        <w:t>。决算数与年初预算数的差异原因：人员进出变化及缴费基数调整，养老保险缴费支出减少。</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w:t>
      </w:r>
      <w:r>
        <w:rPr>
          <w:rFonts w:ascii="仿宋" w:eastAsia="仿宋" w:hAnsi="仿宋" w:cs="仿宋"/>
        </w:rPr>
        <w:t>86.94</w:t>
      </w:r>
      <w:r>
        <w:rPr>
          <w:rFonts w:ascii="仿宋" w:eastAsia="仿宋" w:hAnsi="仿宋" w:cs="仿宋"/>
        </w:rPr>
        <w:t>万元，支出决算</w:t>
      </w:r>
      <w:r>
        <w:rPr>
          <w:rFonts w:ascii="仿宋" w:eastAsia="仿宋" w:hAnsi="仿宋" w:cs="仿宋"/>
        </w:rPr>
        <w:t>83.66</w:t>
      </w:r>
      <w:r>
        <w:rPr>
          <w:rFonts w:ascii="仿宋" w:eastAsia="仿宋" w:hAnsi="仿宋" w:cs="仿宋"/>
        </w:rPr>
        <w:t>万元，完成年初预算的</w:t>
      </w:r>
      <w:r>
        <w:rPr>
          <w:rFonts w:ascii="仿宋" w:eastAsia="仿宋" w:hAnsi="仿宋" w:cs="仿宋"/>
        </w:rPr>
        <w:t>96.23%</w:t>
      </w:r>
      <w:r>
        <w:rPr>
          <w:rFonts w:ascii="仿宋" w:eastAsia="仿宋" w:hAnsi="仿宋" w:cs="仿宋"/>
        </w:rPr>
        <w:t>。决算数与年初预算数的差异原因：人员进出变化及缴费基数调整，职业年金缴费支出减少。</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其他社会保障和就业支出（款）其他社会保障和就业支出（项）。年初预算</w:t>
      </w:r>
      <w:r>
        <w:rPr>
          <w:rFonts w:ascii="仿宋" w:eastAsia="仿宋" w:hAnsi="仿宋" w:cs="仿宋"/>
        </w:rPr>
        <w:t>80.22</w:t>
      </w:r>
      <w:r>
        <w:rPr>
          <w:rFonts w:ascii="仿宋" w:eastAsia="仿宋" w:hAnsi="仿宋" w:cs="仿宋"/>
        </w:rPr>
        <w:t>万元，支出决算</w:t>
      </w:r>
      <w:r>
        <w:rPr>
          <w:rFonts w:ascii="仿宋" w:eastAsia="仿宋" w:hAnsi="仿宋" w:cs="仿宋"/>
        </w:rPr>
        <w:t>72.53</w:t>
      </w:r>
      <w:r>
        <w:rPr>
          <w:rFonts w:ascii="仿宋" w:eastAsia="仿宋" w:hAnsi="仿宋" w:cs="仿宋"/>
        </w:rPr>
        <w:t>万元，完成年初预算的</w:t>
      </w:r>
      <w:r>
        <w:rPr>
          <w:rFonts w:ascii="仿宋" w:eastAsia="仿宋" w:hAnsi="仿宋" w:cs="仿宋"/>
        </w:rPr>
        <w:t>90.41%</w:t>
      </w:r>
      <w:r>
        <w:rPr>
          <w:rFonts w:ascii="仿宋" w:eastAsia="仿宋" w:hAnsi="仿宋" w:cs="仿宋"/>
        </w:rPr>
        <w:t>。决算数与年初预算数的差异原因：人员进出变化及缴费基数调整，社保和就业支出减少。</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（二）卫生健康支出（类）</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基层医疗卫生机构（款）其他基层医疗卫生机构支出（项）。年初预算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195</w:t>
      </w:r>
      <w:r>
        <w:rPr>
          <w:rFonts w:ascii="仿宋" w:eastAsia="仿宋" w:hAnsi="仿宋" w:cs="仿宋"/>
        </w:rPr>
        <w:t>万元，（年初预算数为</w:t>
      </w:r>
      <w:r>
        <w:rPr>
          <w:rFonts w:ascii="仿宋" w:eastAsia="仿宋" w:hAnsi="仿宋" w:cs="仿宋"/>
        </w:rPr>
        <w:t>0</w:t>
      </w:r>
      <w:r>
        <w:rPr>
          <w:rFonts w:ascii="仿宋" w:eastAsia="仿宋" w:hAnsi="仿宋" w:cs="仿宋"/>
        </w:rPr>
        <w:t>万元，无</w:t>
      </w:r>
      <w:r>
        <w:rPr>
          <w:rFonts w:ascii="仿宋" w:eastAsia="仿宋" w:hAnsi="仿宋" w:cs="仿宋"/>
        </w:rPr>
        <w:t>法计算完成比率）决算数与年初预算数的差异原因：当年增加</w:t>
      </w:r>
      <w:r>
        <w:rPr>
          <w:rFonts w:ascii="仿宋" w:eastAsia="仿宋" w:hAnsi="仿宋" w:cs="仿宋"/>
        </w:rPr>
        <w:t>“</w:t>
      </w:r>
      <w:r>
        <w:rPr>
          <w:rFonts w:ascii="仿宋" w:eastAsia="仿宋" w:hAnsi="仿宋" w:cs="仿宋"/>
        </w:rPr>
        <w:t>医疗服务与保障能力提升</w:t>
      </w:r>
      <w:r>
        <w:rPr>
          <w:rFonts w:ascii="仿宋" w:eastAsia="仿宋" w:hAnsi="仿宋" w:cs="仿宋"/>
        </w:rPr>
        <w:t>”</w:t>
      </w:r>
      <w:r>
        <w:rPr>
          <w:rFonts w:ascii="仿宋" w:eastAsia="仿宋" w:hAnsi="仿宋" w:cs="仿宋"/>
        </w:rPr>
        <w:t>专项经费。</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公共卫生（款）妇幼保健机构（项）。年初预算</w:t>
      </w:r>
      <w:r>
        <w:rPr>
          <w:rFonts w:ascii="仿宋" w:eastAsia="仿宋" w:hAnsi="仿宋" w:cs="仿宋"/>
        </w:rPr>
        <w:t>3,615.95</w:t>
      </w:r>
      <w:r>
        <w:rPr>
          <w:rFonts w:ascii="仿宋" w:eastAsia="仿宋" w:hAnsi="仿宋" w:cs="仿宋"/>
        </w:rPr>
        <w:t>万元，支出决算</w:t>
      </w:r>
      <w:r>
        <w:rPr>
          <w:rFonts w:ascii="仿宋" w:eastAsia="仿宋" w:hAnsi="仿宋" w:cs="仿宋"/>
        </w:rPr>
        <w:t>3,665.02</w:t>
      </w:r>
      <w:r>
        <w:rPr>
          <w:rFonts w:ascii="仿宋" w:eastAsia="仿宋" w:hAnsi="仿宋" w:cs="仿宋"/>
        </w:rPr>
        <w:t>万元，完成年初预算的</w:t>
      </w:r>
      <w:r>
        <w:rPr>
          <w:rFonts w:ascii="仿宋" w:eastAsia="仿宋" w:hAnsi="仿宋" w:cs="仿宋"/>
        </w:rPr>
        <w:t>101.36%</w:t>
      </w:r>
      <w:r>
        <w:rPr>
          <w:rFonts w:ascii="仿宋" w:eastAsia="仿宋" w:hAnsi="仿宋" w:cs="仿宋"/>
        </w:rPr>
        <w:t>。决算数与年初预算数的差异原因：当年增加</w:t>
      </w:r>
      <w:r>
        <w:rPr>
          <w:rFonts w:ascii="仿宋" w:eastAsia="仿宋" w:hAnsi="仿宋" w:cs="仿宋"/>
        </w:rPr>
        <w:t>“</w:t>
      </w:r>
      <w:r>
        <w:rPr>
          <w:rFonts w:ascii="仿宋" w:eastAsia="仿宋" w:hAnsi="仿宋" w:cs="仿宋"/>
        </w:rPr>
        <w:t>医疗服务与保障能力提升</w:t>
      </w:r>
      <w:r>
        <w:rPr>
          <w:rFonts w:ascii="仿宋" w:eastAsia="仿宋" w:hAnsi="仿宋" w:cs="仿宋"/>
        </w:rPr>
        <w:t>”</w:t>
      </w:r>
      <w:r>
        <w:rPr>
          <w:rFonts w:ascii="仿宋" w:eastAsia="仿宋" w:hAnsi="仿宋" w:cs="仿宋"/>
        </w:rPr>
        <w:t>专项经费。</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公共卫生（款）基本公共卫生服务（项）。年初预算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159.45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万元，无法计算完成比率）决算数与年初预算数的差异原因：基本公共卫生服务经费由市</w:t>
      </w:r>
      <w:r w:rsidR="00C23FF1">
        <w:rPr>
          <w:rFonts w:ascii="仿宋" w:eastAsia="仿宋" w:hAnsi="仿宋" w:cs="仿宋"/>
        </w:rPr>
        <w:t>卫生健康委</w:t>
      </w:r>
      <w:r>
        <w:rPr>
          <w:rFonts w:ascii="仿宋" w:eastAsia="仿宋" w:hAnsi="仿宋" w:cs="仿宋"/>
        </w:rPr>
        <w:t>统一编制预算。</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公共卫生（款</w:t>
      </w:r>
      <w:r>
        <w:rPr>
          <w:rFonts w:ascii="仿宋" w:eastAsia="仿宋" w:hAnsi="仿宋" w:cs="仿宋"/>
        </w:rPr>
        <w:t>）重大公共卫生服务（项）。年初预算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10.15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万元，无法计算完成比率）决算数与年初预算数的差异原因：重大公共卫生服务经费由市</w:t>
      </w:r>
      <w:r w:rsidR="00C23FF1">
        <w:rPr>
          <w:rFonts w:ascii="仿宋" w:eastAsia="仿宋" w:hAnsi="仿宋" w:cs="仿宋"/>
        </w:rPr>
        <w:t>卫生健康委</w:t>
      </w:r>
      <w:r>
        <w:rPr>
          <w:rFonts w:ascii="仿宋" w:eastAsia="仿宋" w:hAnsi="仿宋" w:cs="仿宋"/>
        </w:rPr>
        <w:t>统一编制预算。</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（三）住房保障支出（类）</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208.22</w:t>
      </w:r>
      <w:r>
        <w:rPr>
          <w:rFonts w:ascii="仿宋" w:eastAsia="仿宋" w:hAnsi="仿宋" w:cs="仿宋"/>
        </w:rPr>
        <w:t>万元，支出决算</w:t>
      </w:r>
      <w:r>
        <w:rPr>
          <w:rFonts w:ascii="仿宋" w:eastAsia="仿宋" w:hAnsi="仿宋" w:cs="仿宋"/>
        </w:rPr>
        <w:t>205.16</w:t>
      </w:r>
      <w:r>
        <w:rPr>
          <w:rFonts w:ascii="仿宋" w:eastAsia="仿宋" w:hAnsi="仿宋" w:cs="仿宋"/>
        </w:rPr>
        <w:t>万元，完成年初预算的</w:t>
      </w:r>
      <w:r>
        <w:rPr>
          <w:rFonts w:ascii="仿宋" w:eastAsia="仿宋" w:hAnsi="仿宋" w:cs="仿宋"/>
        </w:rPr>
        <w:t>98.53%</w:t>
      </w:r>
      <w:r>
        <w:rPr>
          <w:rFonts w:ascii="仿宋" w:eastAsia="仿宋" w:hAnsi="仿宋" w:cs="仿宋"/>
        </w:rPr>
        <w:t>。决算数与年初预算数的差异原因：人员进出，住房公积金基数总额减少，相应支出减少。</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w:t>
      </w:r>
      <w:r>
        <w:rPr>
          <w:rFonts w:ascii="仿宋" w:eastAsia="仿宋" w:hAnsi="仿宋" w:cs="仿宋"/>
        </w:rPr>
        <w:t>373.91</w:t>
      </w:r>
      <w:r>
        <w:rPr>
          <w:rFonts w:ascii="仿宋" w:eastAsia="仿宋" w:hAnsi="仿宋" w:cs="仿宋"/>
        </w:rPr>
        <w:t>万元，支出决算</w:t>
      </w:r>
      <w:r>
        <w:rPr>
          <w:rFonts w:ascii="仿宋" w:eastAsia="仿宋" w:hAnsi="仿宋" w:cs="仿宋"/>
        </w:rPr>
        <w:t>366.18</w:t>
      </w:r>
      <w:r>
        <w:rPr>
          <w:rFonts w:ascii="仿宋" w:eastAsia="仿宋" w:hAnsi="仿宋" w:cs="仿宋"/>
        </w:rPr>
        <w:t>万元，完成年初预算的</w:t>
      </w:r>
      <w:r>
        <w:rPr>
          <w:rFonts w:ascii="仿宋" w:eastAsia="仿宋" w:hAnsi="仿宋" w:cs="仿宋"/>
        </w:rPr>
        <w:t>97.93%</w:t>
      </w:r>
      <w:r>
        <w:rPr>
          <w:rFonts w:ascii="仿宋" w:eastAsia="仿宋" w:hAnsi="仿宋" w:cs="仿宋"/>
        </w:rPr>
        <w:t>。决算数与年初预算数的差异原因：人员进出，提租补贴基数总额减少，相应支出减少。</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201.74</w:t>
      </w:r>
      <w:r>
        <w:rPr>
          <w:rFonts w:ascii="仿宋" w:eastAsia="仿宋" w:hAnsi="仿宋" w:cs="仿宋"/>
        </w:rPr>
        <w:t>万元，支出决算</w:t>
      </w:r>
      <w:r>
        <w:rPr>
          <w:rFonts w:ascii="仿宋" w:eastAsia="仿宋" w:hAnsi="仿宋" w:cs="仿宋"/>
        </w:rPr>
        <w:t>205.57</w:t>
      </w:r>
      <w:r>
        <w:rPr>
          <w:rFonts w:ascii="仿宋" w:eastAsia="仿宋" w:hAnsi="仿宋" w:cs="仿宋"/>
        </w:rPr>
        <w:t>万元，完成年初预算的</w:t>
      </w:r>
      <w:r>
        <w:rPr>
          <w:rFonts w:ascii="仿宋" w:eastAsia="仿宋" w:hAnsi="仿宋" w:cs="仿宋"/>
        </w:rPr>
        <w:t>101.9%</w:t>
      </w:r>
      <w:r>
        <w:rPr>
          <w:rFonts w:ascii="仿宋" w:eastAsia="仿宋" w:hAnsi="仿宋" w:cs="仿宋"/>
        </w:rPr>
        <w:t>。决算数与年初预算数的差异原因：人员进出，购房补贴基数总额增加，相应支出增加。</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六、财政拨款基本支出决算情况说明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年度财政拨款基本支出决算</w:t>
      </w:r>
      <w:r>
        <w:rPr>
          <w:rFonts w:ascii="仿宋" w:eastAsia="仿宋" w:hAnsi="仿宋" w:cs="仿宋"/>
        </w:rPr>
        <w:t>3,457.07</w:t>
      </w:r>
      <w:r>
        <w:rPr>
          <w:rFonts w:ascii="仿宋" w:eastAsia="仿宋" w:hAnsi="仿宋" w:cs="仿宋"/>
        </w:rPr>
        <w:t>万元，其中：</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3,329.36</w:t>
      </w:r>
      <w:r>
        <w:rPr>
          <w:rFonts w:ascii="楷体" w:eastAsia="楷体" w:hAnsi="楷体" w:cs="楷体"/>
        </w:rPr>
        <w:t>万元。</w:t>
      </w:r>
      <w:r>
        <w:rPr>
          <w:rFonts w:ascii="仿宋" w:eastAsia="仿宋" w:hAnsi="仿宋" w:cs="仿宋"/>
        </w:rPr>
        <w:t>主要包括：基本工资、津贴补贴、伙食补助费、绩效工资、机关事业单位基本养老保险</w:t>
      </w:r>
      <w:r>
        <w:rPr>
          <w:rFonts w:ascii="仿宋" w:eastAsia="仿宋" w:hAnsi="仿宋" w:cs="仿宋"/>
        </w:rPr>
        <w:lastRenderedPageBreak/>
        <w:t>缴费、职业年金缴费、公务员医疗补助缴费、其他社会保障缴费、住房公积金、医疗费、其他工资福利支出、退休费、其他对个人和家庭的补助。</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127.71</w:t>
      </w:r>
      <w:r>
        <w:rPr>
          <w:rFonts w:ascii="楷体" w:eastAsia="楷体" w:hAnsi="楷体" w:cs="楷体"/>
        </w:rPr>
        <w:t>万元。</w:t>
      </w:r>
      <w:r>
        <w:rPr>
          <w:rFonts w:ascii="仿宋" w:eastAsia="仿宋" w:hAnsi="仿宋" w:cs="仿宋"/>
        </w:rPr>
        <w:t>主要包括：办公费、印刷费、水费、电费、邮电费、物业管理费、差旅费、维修（护）费、会议费、培训费、公务接待费、专用燃料费、劳务费、工会经费、公务用车运行维护费、其他商品和服务支出、办公设备购置。</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七、一般公共预算支出决算情况说明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年度一般公共预算财政拨款支出决算</w:t>
      </w:r>
      <w:r>
        <w:rPr>
          <w:rFonts w:ascii="仿宋" w:eastAsia="仿宋" w:hAnsi="仿宋" w:cs="仿宋"/>
        </w:rPr>
        <w:t>5,1</w:t>
      </w:r>
      <w:r>
        <w:rPr>
          <w:rFonts w:ascii="仿宋" w:eastAsia="仿宋" w:hAnsi="仿宋" w:cs="仿宋"/>
        </w:rPr>
        <w:t>30.04</w:t>
      </w:r>
      <w:r>
        <w:rPr>
          <w:rFonts w:ascii="仿宋" w:eastAsia="仿宋" w:hAnsi="仿宋" w:cs="仿宋"/>
        </w:rPr>
        <w:t>万元。与上年相比，增加</w:t>
      </w:r>
      <w:r>
        <w:rPr>
          <w:rFonts w:ascii="仿宋" w:eastAsia="仿宋" w:hAnsi="仿宋" w:cs="仿宋"/>
        </w:rPr>
        <w:t>455.54</w:t>
      </w:r>
      <w:r>
        <w:rPr>
          <w:rFonts w:ascii="仿宋" w:eastAsia="仿宋" w:hAnsi="仿宋" w:cs="仿宋"/>
        </w:rPr>
        <w:t>万元，增长</w:t>
      </w:r>
      <w:r>
        <w:rPr>
          <w:rFonts w:ascii="仿宋" w:eastAsia="仿宋" w:hAnsi="仿宋" w:cs="仿宋"/>
        </w:rPr>
        <w:t>9.75%</w:t>
      </w:r>
      <w:r>
        <w:rPr>
          <w:rFonts w:ascii="仿宋" w:eastAsia="仿宋" w:hAnsi="仿宋" w:cs="仿宋"/>
        </w:rPr>
        <w:t>，变动原因：追加专用成本材料费收入、增加</w:t>
      </w:r>
      <w:r>
        <w:rPr>
          <w:rFonts w:ascii="仿宋" w:eastAsia="仿宋" w:hAnsi="仿宋" w:cs="仿宋"/>
        </w:rPr>
        <w:t>“</w:t>
      </w:r>
      <w:r>
        <w:rPr>
          <w:rFonts w:ascii="仿宋" w:eastAsia="仿宋" w:hAnsi="仿宋" w:cs="仿宋"/>
        </w:rPr>
        <w:t>医疗服务与保障能力提升</w:t>
      </w:r>
      <w:r>
        <w:rPr>
          <w:rFonts w:ascii="仿宋" w:eastAsia="仿宋" w:hAnsi="仿宋" w:cs="仿宋"/>
        </w:rPr>
        <w:t>”</w:t>
      </w:r>
      <w:r>
        <w:rPr>
          <w:rFonts w:ascii="仿宋" w:eastAsia="仿宋" w:hAnsi="仿宋" w:cs="仿宋"/>
        </w:rPr>
        <w:t>专项经费收入、编外用工经费核定总额提高、非税收入超收奖励经费增加。</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八、一般公共预算基本支出决算情况说明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年度一般公共预算财政拨款基本支出决算</w:t>
      </w:r>
      <w:r>
        <w:rPr>
          <w:rFonts w:ascii="仿宋" w:eastAsia="仿宋" w:hAnsi="仿宋" w:cs="仿宋"/>
        </w:rPr>
        <w:t>3,457.07</w:t>
      </w:r>
      <w:r>
        <w:rPr>
          <w:rFonts w:ascii="仿宋" w:eastAsia="仿宋" w:hAnsi="仿宋" w:cs="仿宋"/>
        </w:rPr>
        <w:t>万元，其中：</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lastRenderedPageBreak/>
        <w:t>（一）人员经费</w:t>
      </w:r>
      <w:r>
        <w:rPr>
          <w:rFonts w:ascii="楷体" w:eastAsia="楷体" w:hAnsi="楷体" w:cs="楷体"/>
        </w:rPr>
        <w:t>3,329.36</w:t>
      </w:r>
      <w:r>
        <w:rPr>
          <w:rFonts w:ascii="楷体" w:eastAsia="楷体" w:hAnsi="楷体" w:cs="楷体"/>
        </w:rPr>
        <w:t>万元。</w:t>
      </w:r>
      <w:r>
        <w:rPr>
          <w:rFonts w:ascii="仿宋" w:eastAsia="仿宋" w:hAnsi="仿宋" w:cs="仿宋"/>
        </w:rPr>
        <w:t>主要包括：基本工资、津贴补贴、伙食补助费、绩效工资、机关事业单位基本养老保险缴费、职业年金缴费、公务员医疗补助缴费、其他社会保障缴费、住房公积金、医疗费、其他工资福利</w:t>
      </w:r>
      <w:r>
        <w:rPr>
          <w:rFonts w:ascii="仿宋" w:eastAsia="仿宋" w:hAnsi="仿宋" w:cs="仿宋"/>
        </w:rPr>
        <w:t>支出、退休费、其他对个人和家庭的补助。</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127.71</w:t>
      </w:r>
      <w:r>
        <w:rPr>
          <w:rFonts w:ascii="楷体" w:eastAsia="楷体" w:hAnsi="楷体" w:cs="楷体"/>
        </w:rPr>
        <w:t>万元。</w:t>
      </w:r>
      <w:r>
        <w:rPr>
          <w:rFonts w:ascii="仿宋" w:eastAsia="仿宋" w:hAnsi="仿宋" w:cs="仿宋"/>
        </w:rPr>
        <w:t>主要包括：办公费、印刷费、水费、电费、邮电费、物业管理费、差旅费、维修（护）费、会议费、培训费、公务接待费、专用燃料费、劳务费、工会经费、公务用车运行维护费、其他商品和服务支出、办公设备购置。</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九、财政拨款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经费、会议费和培训费支出情况说明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8.52</w:t>
      </w:r>
      <w:r>
        <w:rPr>
          <w:rFonts w:ascii="仿宋" w:eastAsia="仿宋" w:hAnsi="仿宋" w:cs="仿宋"/>
        </w:rPr>
        <w:t>万元（其中：一般公共预算支出</w:t>
      </w:r>
      <w:r>
        <w:rPr>
          <w:rFonts w:ascii="仿宋" w:eastAsia="仿宋" w:hAnsi="仿宋" w:cs="仿宋"/>
        </w:rPr>
        <w:t>8.52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w:t>
      </w:r>
      <w:r>
        <w:rPr>
          <w:rFonts w:ascii="仿宋" w:eastAsia="仿宋" w:hAnsi="仿宋" w:cs="仿宋"/>
        </w:rPr>
        <w:t>与上年相比，增加</w:t>
      </w:r>
      <w:r>
        <w:rPr>
          <w:rFonts w:ascii="仿宋" w:eastAsia="仿宋" w:hAnsi="仿宋" w:cs="仿宋"/>
        </w:rPr>
        <w:t>1.44</w:t>
      </w:r>
      <w:r>
        <w:rPr>
          <w:rFonts w:ascii="仿宋" w:eastAsia="仿宋" w:hAnsi="仿宋" w:cs="仿宋"/>
        </w:rPr>
        <w:t>万元，变动原因：车辆年久，维修费较上年增加。条线疫情防</w:t>
      </w:r>
      <w:r>
        <w:rPr>
          <w:rFonts w:ascii="仿宋" w:eastAsia="仿宋" w:hAnsi="仿宋" w:cs="仿宋"/>
        </w:rPr>
        <w:lastRenderedPageBreak/>
        <w:t>控指导检查接待增加。其中，因公出国（境）费支出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7.14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83.8%</w:t>
      </w:r>
      <w:r>
        <w:rPr>
          <w:rFonts w:ascii="仿宋" w:eastAsia="仿宋" w:hAnsi="仿宋" w:cs="仿宋"/>
        </w:rPr>
        <w:t>；公务接待费支出</w:t>
      </w:r>
      <w:r>
        <w:rPr>
          <w:rFonts w:ascii="仿宋" w:eastAsia="仿宋" w:hAnsi="仿宋" w:cs="仿宋"/>
        </w:rPr>
        <w:t>1.38</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16.2%</w:t>
      </w:r>
      <w:r>
        <w:rPr>
          <w:rFonts w:ascii="仿宋" w:eastAsia="仿宋" w:hAnsi="仿宋" w:cs="仿宋"/>
        </w:rPr>
        <w:t>。</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，决算数与预算数相同。全年使用财政拨款涉及的出国（境）团组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8.1</w:t>
      </w:r>
      <w:r>
        <w:rPr>
          <w:rFonts w:ascii="仿宋" w:eastAsia="仿宋" w:hAnsi="仿宋" w:cs="仿宋"/>
        </w:rPr>
        <w:t>万元（其中：一般公共预算支出</w:t>
      </w:r>
      <w:r>
        <w:rPr>
          <w:rFonts w:ascii="仿宋" w:eastAsia="仿宋" w:hAnsi="仿宋" w:cs="仿宋"/>
        </w:rPr>
        <w:t>8.1</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7.14</w:t>
      </w:r>
      <w:r>
        <w:rPr>
          <w:rFonts w:ascii="仿宋" w:eastAsia="仿宋" w:hAnsi="仿宋" w:cs="仿宋"/>
        </w:rPr>
        <w:t>万元（其中：一般公共预算支出</w:t>
      </w:r>
      <w:r>
        <w:rPr>
          <w:rFonts w:ascii="仿宋" w:eastAsia="仿宋" w:hAnsi="仿宋" w:cs="仿宋"/>
        </w:rPr>
        <w:t>7.</w:t>
      </w:r>
      <w:r>
        <w:rPr>
          <w:rFonts w:ascii="仿宋" w:eastAsia="仿宋" w:hAnsi="仿宋" w:cs="仿宋"/>
        </w:rPr>
        <w:t>14</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88.15%</w:t>
      </w:r>
      <w:r>
        <w:rPr>
          <w:rFonts w:ascii="仿宋" w:eastAsia="仿宋" w:hAnsi="仿宋" w:cs="仿宋"/>
        </w:rPr>
        <w:t>，决算数与预算数的差异原因：受疫情影响，公出相对减少。其</w:t>
      </w:r>
      <w:r>
        <w:rPr>
          <w:rFonts w:ascii="仿宋" w:eastAsia="仿宋" w:hAnsi="仿宋" w:cs="仿宋"/>
        </w:rPr>
        <w:lastRenderedPageBreak/>
        <w:t>中：</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万元。本年度使用财政拨款购置公务用车</w:t>
      </w:r>
      <w:r>
        <w:rPr>
          <w:rFonts w:ascii="仿宋" w:eastAsia="仿宋" w:hAnsi="仿宋" w:cs="仿宋"/>
        </w:rPr>
        <w:t>0</w:t>
      </w:r>
      <w:r>
        <w:rPr>
          <w:rFonts w:ascii="仿宋" w:eastAsia="仿宋" w:hAnsi="仿宋" w:cs="仿宋"/>
        </w:rPr>
        <w:t>辆。</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7.14</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日，使用财政拨款开支的公务用车保有量为</w:t>
      </w:r>
      <w:r>
        <w:rPr>
          <w:rFonts w:ascii="仿宋" w:eastAsia="仿宋" w:hAnsi="仿宋" w:cs="仿宋"/>
        </w:rPr>
        <w:t>3</w:t>
      </w:r>
      <w:r>
        <w:rPr>
          <w:rFonts w:ascii="仿宋" w:eastAsia="仿宋" w:hAnsi="仿宋" w:cs="仿宋"/>
        </w:rPr>
        <w:t>辆。</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1.4</w:t>
      </w:r>
      <w:r>
        <w:rPr>
          <w:rFonts w:ascii="仿宋" w:eastAsia="仿宋" w:hAnsi="仿宋" w:cs="仿宋"/>
        </w:rPr>
        <w:t>万元（其中：一般公共预算支出</w:t>
      </w:r>
      <w:r>
        <w:rPr>
          <w:rFonts w:ascii="仿宋" w:eastAsia="仿宋" w:hAnsi="仿宋" w:cs="仿宋"/>
        </w:rPr>
        <w:t>1.4</w:t>
      </w:r>
      <w:r>
        <w:rPr>
          <w:rFonts w:ascii="仿宋" w:eastAsia="仿宋" w:hAnsi="仿宋" w:cs="仿宋"/>
        </w:rPr>
        <w:t>万</w:t>
      </w:r>
      <w:r>
        <w:rPr>
          <w:rFonts w:ascii="仿宋" w:eastAsia="仿宋" w:hAnsi="仿宋" w:cs="仿宋"/>
        </w:rPr>
        <w:t>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1.38</w:t>
      </w:r>
      <w:r>
        <w:rPr>
          <w:rFonts w:ascii="仿宋" w:eastAsia="仿宋" w:hAnsi="仿宋" w:cs="仿宋"/>
        </w:rPr>
        <w:t>万元（其中：一般公共预算支出</w:t>
      </w:r>
      <w:r>
        <w:rPr>
          <w:rFonts w:ascii="仿宋" w:eastAsia="仿宋" w:hAnsi="仿宋" w:cs="仿宋"/>
        </w:rPr>
        <w:t>1.38</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98.57%</w:t>
      </w:r>
      <w:r>
        <w:rPr>
          <w:rFonts w:ascii="仿宋" w:eastAsia="仿宋" w:hAnsi="仿宋" w:cs="仿宋"/>
        </w:rPr>
        <w:t>，决算数与预算数的差异原因：受疫情影响，接待相对减少。其中：国内公务接待支出</w:t>
      </w:r>
      <w:r>
        <w:rPr>
          <w:rFonts w:ascii="仿宋" w:eastAsia="仿宋" w:hAnsi="仿宋" w:cs="仿宋"/>
        </w:rPr>
        <w:t>1.38</w:t>
      </w:r>
      <w:r>
        <w:rPr>
          <w:rFonts w:ascii="仿宋" w:eastAsia="仿宋" w:hAnsi="仿宋" w:cs="仿宋"/>
        </w:rPr>
        <w:t>万元，接待</w:t>
      </w:r>
      <w:r>
        <w:rPr>
          <w:rFonts w:ascii="仿宋" w:eastAsia="仿宋" w:hAnsi="仿宋" w:cs="仿宋"/>
        </w:rPr>
        <w:t>25</w:t>
      </w:r>
      <w:r>
        <w:rPr>
          <w:rFonts w:ascii="仿宋" w:eastAsia="仿宋" w:hAnsi="仿宋" w:cs="仿宋"/>
        </w:rPr>
        <w:t>批次，</w:t>
      </w:r>
      <w:r>
        <w:rPr>
          <w:rFonts w:ascii="仿宋" w:eastAsia="仿宋" w:hAnsi="仿宋" w:cs="仿宋"/>
        </w:rPr>
        <w:t>180</w:t>
      </w:r>
      <w:r>
        <w:rPr>
          <w:rFonts w:ascii="仿宋" w:eastAsia="仿宋" w:hAnsi="仿宋" w:cs="仿宋"/>
        </w:rPr>
        <w:t>人次，开支内容：接待用餐费等；国（境）外公务接待支出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（三）财政拨款会议费支出决算情况说明。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2022</w:t>
      </w:r>
      <w:r>
        <w:rPr>
          <w:rFonts w:ascii="仿宋" w:eastAsia="仿宋" w:hAnsi="仿宋" w:cs="仿宋"/>
        </w:rPr>
        <w:t>年度财政拨款会议费支出预算</w:t>
      </w:r>
      <w:r>
        <w:rPr>
          <w:rFonts w:ascii="仿宋" w:eastAsia="仿宋" w:hAnsi="仿宋" w:cs="仿宋"/>
        </w:rPr>
        <w:t>0.7</w:t>
      </w:r>
      <w:r>
        <w:rPr>
          <w:rFonts w:ascii="仿宋" w:eastAsia="仿宋" w:hAnsi="仿宋" w:cs="仿宋"/>
        </w:rPr>
        <w:t>万元（其中：一般公共预算支出</w:t>
      </w:r>
      <w:r>
        <w:rPr>
          <w:rFonts w:ascii="仿宋" w:eastAsia="仿宋" w:hAnsi="仿宋" w:cs="仿宋"/>
        </w:rPr>
        <w:t>0.7</w:t>
      </w:r>
      <w:r>
        <w:rPr>
          <w:rFonts w:ascii="仿宋" w:eastAsia="仿宋" w:hAnsi="仿宋" w:cs="仿宋"/>
        </w:rPr>
        <w:t>万元；</w:t>
      </w:r>
      <w:r>
        <w:rPr>
          <w:rFonts w:ascii="仿宋" w:eastAsia="仿宋" w:hAnsi="仿宋" w:cs="仿宋"/>
        </w:rPr>
        <w:t>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0.7</w:t>
      </w:r>
      <w:r>
        <w:rPr>
          <w:rFonts w:ascii="仿宋" w:eastAsia="仿宋" w:hAnsi="仿宋" w:cs="仿宋"/>
        </w:rPr>
        <w:t>万元（其中：一般公共预算支出</w:t>
      </w:r>
      <w:r>
        <w:rPr>
          <w:rFonts w:ascii="仿宋" w:eastAsia="仿宋" w:hAnsi="仿宋" w:cs="仿宋"/>
        </w:rPr>
        <w:t>0.7</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w:t>
      </w:r>
      <w:r>
        <w:rPr>
          <w:rFonts w:ascii="仿宋" w:eastAsia="仿宋" w:hAnsi="仿宋" w:cs="仿宋"/>
        </w:rPr>
        <w:t>2022</w:t>
      </w:r>
      <w:r>
        <w:rPr>
          <w:rFonts w:ascii="仿宋" w:eastAsia="仿宋" w:hAnsi="仿宋" w:cs="仿宋"/>
        </w:rPr>
        <w:t>年度全年召开会议</w:t>
      </w:r>
      <w:r>
        <w:rPr>
          <w:rFonts w:ascii="仿宋" w:eastAsia="仿宋" w:hAnsi="仿宋" w:cs="仿宋"/>
        </w:rPr>
        <w:t>1</w:t>
      </w:r>
      <w:r>
        <w:rPr>
          <w:rFonts w:ascii="仿宋" w:eastAsia="仿宋" w:hAnsi="仿宋" w:cs="仿宋"/>
        </w:rPr>
        <w:t>个，参加会议</w:t>
      </w:r>
      <w:r>
        <w:rPr>
          <w:rFonts w:ascii="仿宋" w:eastAsia="仿宋" w:hAnsi="仿宋" w:cs="仿宋"/>
        </w:rPr>
        <w:t>200</w:t>
      </w:r>
      <w:r>
        <w:rPr>
          <w:rFonts w:ascii="仿宋" w:eastAsia="仿宋" w:hAnsi="仿宋" w:cs="仿宋"/>
        </w:rPr>
        <w:t>人次，开支内容：全市医疗卫生单位业务培训会议费。</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（四）财政拨款培训费支出决算情况说明。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年度财政拨款培训费支出预算</w:t>
      </w:r>
      <w:r>
        <w:rPr>
          <w:rFonts w:ascii="仿宋" w:eastAsia="仿宋" w:hAnsi="仿宋" w:cs="仿宋"/>
        </w:rPr>
        <w:t>1.4</w:t>
      </w:r>
      <w:r>
        <w:rPr>
          <w:rFonts w:ascii="仿宋" w:eastAsia="仿宋" w:hAnsi="仿宋" w:cs="仿宋"/>
        </w:rPr>
        <w:t>万元（其中：一般公共预算支出</w:t>
      </w:r>
      <w:r>
        <w:rPr>
          <w:rFonts w:ascii="仿宋" w:eastAsia="仿宋" w:hAnsi="仿宋" w:cs="仿宋"/>
        </w:rPr>
        <w:t>1.4</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0.34</w:t>
      </w:r>
      <w:r>
        <w:rPr>
          <w:rFonts w:ascii="仿宋" w:eastAsia="仿宋" w:hAnsi="仿宋" w:cs="仿宋"/>
        </w:rPr>
        <w:t>万元（其中：一</w:t>
      </w:r>
      <w:r>
        <w:rPr>
          <w:rFonts w:ascii="仿宋" w:eastAsia="仿宋" w:hAnsi="仿宋" w:cs="仿宋"/>
        </w:rPr>
        <w:t>般公共预算支出</w:t>
      </w:r>
      <w:r>
        <w:rPr>
          <w:rFonts w:ascii="仿宋" w:eastAsia="仿宋" w:hAnsi="仿宋" w:cs="仿宋"/>
        </w:rPr>
        <w:t>0.34</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24.29%</w:t>
      </w:r>
      <w:r>
        <w:rPr>
          <w:rFonts w:ascii="仿宋" w:eastAsia="仿宋" w:hAnsi="仿宋" w:cs="仿宋"/>
        </w:rPr>
        <w:t>，决算数与预算数的差异原因：疫情影响，外出业务培训减少。</w:t>
      </w:r>
      <w:r>
        <w:rPr>
          <w:rFonts w:ascii="仿宋" w:eastAsia="仿宋" w:hAnsi="仿宋" w:cs="仿宋"/>
        </w:rPr>
        <w:t>2022</w:t>
      </w:r>
      <w:r>
        <w:rPr>
          <w:rFonts w:ascii="仿宋" w:eastAsia="仿宋" w:hAnsi="仿宋" w:cs="仿宋"/>
        </w:rPr>
        <w:t>年度全年组织培训</w:t>
      </w:r>
      <w:r>
        <w:rPr>
          <w:rFonts w:ascii="仿宋" w:eastAsia="仿宋" w:hAnsi="仿宋" w:cs="仿宋"/>
        </w:rPr>
        <w:t>9</w:t>
      </w:r>
      <w:r>
        <w:rPr>
          <w:rFonts w:ascii="仿宋" w:eastAsia="仿宋" w:hAnsi="仿宋" w:cs="仿宋"/>
        </w:rPr>
        <w:t>个，组织培训</w:t>
      </w:r>
      <w:r>
        <w:rPr>
          <w:rFonts w:ascii="仿宋" w:eastAsia="仿宋" w:hAnsi="仿宋" w:cs="仿宋"/>
        </w:rPr>
        <w:t>17</w:t>
      </w:r>
      <w:r>
        <w:rPr>
          <w:rFonts w:ascii="仿宋" w:eastAsia="仿宋" w:hAnsi="仿宋" w:cs="仿宋"/>
        </w:rPr>
        <w:t>人次，开支内容：外出业务培训学习。</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十、政府性基金预算财政拨款支出决算情况说明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2022</w:t>
      </w:r>
      <w:r>
        <w:rPr>
          <w:rFonts w:ascii="仿宋" w:eastAsia="仿宋" w:hAnsi="仿宋" w:cs="仿宋"/>
        </w:rPr>
        <w:t>年度政府性基金预算财政拨款支出决算</w:t>
      </w:r>
      <w:r>
        <w:rPr>
          <w:rFonts w:ascii="仿宋" w:eastAsia="仿宋" w:hAnsi="仿宋" w:cs="仿宋"/>
        </w:rPr>
        <w:t>0</w:t>
      </w:r>
      <w:r>
        <w:rPr>
          <w:rFonts w:ascii="仿宋" w:eastAsia="仿宋" w:hAnsi="仿宋" w:cs="仿宋"/>
        </w:rPr>
        <w:t>万元。与上年决算数相同。</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十一、国有资本经营预算财政拨款支出决算情况说明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十二、财政拨款机关运行经费支出决算情况说明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年度机关运行经费支出决算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万元）。与上年决算数相同。</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十三、政府采购支出决算情况说明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年度政府采购支出总额</w:t>
      </w:r>
      <w:r>
        <w:rPr>
          <w:rFonts w:ascii="仿宋" w:eastAsia="仿宋" w:hAnsi="仿宋" w:cs="仿宋"/>
        </w:rPr>
        <w:t>1,388.4</w:t>
      </w:r>
      <w:r>
        <w:rPr>
          <w:rFonts w:ascii="仿宋" w:eastAsia="仿宋" w:hAnsi="仿宋" w:cs="仿宋"/>
        </w:rPr>
        <w:t>万元，其中：政府采购货物支出</w:t>
      </w:r>
      <w:r>
        <w:rPr>
          <w:rFonts w:ascii="仿宋" w:eastAsia="仿宋" w:hAnsi="仿宋" w:cs="仿宋"/>
        </w:rPr>
        <w:t>1,008.4</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万元、政府采购服务支出</w:t>
      </w:r>
      <w:r>
        <w:rPr>
          <w:rFonts w:ascii="仿宋" w:eastAsia="仿宋" w:hAnsi="仿宋" w:cs="仿宋"/>
        </w:rPr>
        <w:t>380</w:t>
      </w:r>
      <w:r>
        <w:rPr>
          <w:rFonts w:ascii="仿宋" w:eastAsia="仿宋" w:hAnsi="仿宋" w:cs="仿宋"/>
        </w:rPr>
        <w:t>万元。政府采购授予中小企业合同金额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，其中：授予小微企业合同金额</w:t>
      </w:r>
      <w:r>
        <w:rPr>
          <w:rFonts w:ascii="仿宋" w:eastAsia="仿宋" w:hAnsi="仿宋" w:cs="仿宋"/>
        </w:rPr>
        <w:t>0</w:t>
      </w:r>
      <w:r>
        <w:rPr>
          <w:rFonts w:ascii="仿宋" w:eastAsia="仿宋" w:hAnsi="仿宋" w:cs="仿宋"/>
        </w:rPr>
        <w:t>万元。</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十四、国有资产占用情况说明</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w:t>
      </w:r>
      <w:r>
        <w:rPr>
          <w:rFonts w:ascii="仿宋" w:eastAsia="仿宋" w:hAnsi="仿宋" w:cs="仿宋"/>
        </w:rPr>
        <w:t>1</w:t>
      </w:r>
      <w:r>
        <w:rPr>
          <w:rFonts w:ascii="仿宋" w:eastAsia="仿宋" w:hAnsi="仿宋" w:cs="仿宋"/>
        </w:rPr>
        <w:t>日，本单位共有车辆</w:t>
      </w:r>
      <w:r>
        <w:rPr>
          <w:rFonts w:ascii="仿宋" w:eastAsia="仿宋" w:hAnsi="仿宋" w:cs="仿宋"/>
        </w:rPr>
        <w:t>3</w:t>
      </w:r>
      <w:r>
        <w:rPr>
          <w:rFonts w:ascii="仿宋" w:eastAsia="仿宋" w:hAnsi="仿宋" w:cs="仿宋"/>
        </w:rPr>
        <w:t>辆，其中：</w:t>
      </w:r>
      <w:r>
        <w:rPr>
          <w:rFonts w:ascii="仿宋" w:eastAsia="仿宋" w:hAnsi="仿宋" w:cs="仿宋"/>
        </w:rPr>
        <w:lastRenderedPageBreak/>
        <w:t>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3</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6</w:t>
      </w:r>
      <w:r>
        <w:rPr>
          <w:rFonts w:ascii="仿宋" w:eastAsia="仿宋" w:hAnsi="仿宋" w:cs="仿宋"/>
        </w:rPr>
        <w:t>台（套）。</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十五、预算绩效评价工作开展情况</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E847D8" w:rsidRDefault="001A5CC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6</w:t>
      </w:r>
      <w:r>
        <w:rPr>
          <w:rFonts w:ascii="仿宋" w:eastAsia="仿宋" w:hAnsi="仿宋" w:cs="仿宋"/>
        </w:rPr>
        <w:t>个项目开展了绩效</w:t>
      </w:r>
      <w:r>
        <w:rPr>
          <w:rFonts w:ascii="仿宋" w:eastAsia="仿宋" w:hAnsi="仿宋" w:cs="仿宋"/>
        </w:rPr>
        <w:t>自评价，涉及财政性资金合计</w:t>
      </w:r>
      <w:r>
        <w:rPr>
          <w:rFonts w:ascii="仿宋" w:eastAsia="仿宋" w:hAnsi="仿宋" w:cs="仿宋"/>
        </w:rPr>
        <w:t>1,173.26</w:t>
      </w:r>
      <w:r>
        <w:rPr>
          <w:rFonts w:ascii="仿宋" w:eastAsia="仿宋" w:hAnsi="仿宋" w:cs="仿宋"/>
        </w:rPr>
        <w:t>万元；本单位共开展</w:t>
      </w:r>
      <w:r>
        <w:rPr>
          <w:rFonts w:ascii="仿宋" w:eastAsia="仿宋" w:hAnsi="仿宋" w:cs="仿宋"/>
        </w:rPr>
        <w:t>1</w:t>
      </w:r>
      <w:r>
        <w:rPr>
          <w:rFonts w:ascii="仿宋" w:eastAsia="仿宋" w:hAnsi="仿宋" w:cs="仿宋"/>
        </w:rPr>
        <w:t>项单位整体支出绩效自评价，涉及财政性资金合计</w:t>
      </w:r>
      <w:r>
        <w:rPr>
          <w:rFonts w:ascii="仿宋" w:eastAsia="仿宋" w:hAnsi="仿宋" w:cs="仿宋"/>
        </w:rPr>
        <w:t>4,630.33</w:t>
      </w:r>
      <w:r>
        <w:rPr>
          <w:rFonts w:ascii="仿宋" w:eastAsia="仿宋" w:hAnsi="仿宋" w:cs="仿宋"/>
        </w:rPr>
        <w:t>万元。</w:t>
      </w:r>
    </w:p>
    <w:p w:rsidR="00E847D8" w:rsidRDefault="001A5CCD">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E847D8" w:rsidRDefault="00E847D8">
      <w:pPr>
        <w:pStyle w:val="a4"/>
        <w:tabs>
          <w:tab w:val="left" w:pos="3864"/>
          <w:tab w:val="left" w:pos="6248"/>
          <w:tab w:val="left" w:pos="7386"/>
        </w:tabs>
        <w:ind w:leftChars="200" w:left="440" w:firstLineChars="206" w:firstLine="659"/>
        <w:jc w:val="both"/>
        <w:rPr>
          <w:rFonts w:ascii="仿宋" w:eastAsia="仿宋" w:hAnsi="仿宋" w:cs="仿宋"/>
        </w:rPr>
      </w:pP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w:t>
      </w:r>
      <w:r>
        <w:rPr>
          <w:rFonts w:ascii="仿宋" w:eastAsia="仿宋" w:hAnsi="仿宋" w:cs="仿宋" w:hint="eastAsia"/>
        </w:rPr>
        <w:t>位在专业业务活动及其辅助活动之外开展非独立核算经营活动发生的支出。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指部门用财政拨款安排的因公出国</w:t>
      </w:r>
      <w:r>
        <w:rPr>
          <w:rFonts w:ascii="仿宋" w:eastAsia="仿宋" w:hAnsi="仿宋" w:cs="仿宋" w:hint="eastAsia"/>
        </w:rPr>
        <w:lastRenderedPageBreak/>
        <w:t>（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w:t>
      </w:r>
      <w:r>
        <w:rPr>
          <w:rFonts w:ascii="仿宋" w:eastAsia="仿宋" w:hAnsi="仿宋" w:cs="仿宋" w:hint="eastAsia"/>
        </w:rPr>
        <w:t>支出；公务接待费反映单位按规定开支的各类公务接待（含外宾接待）费用。</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w:t>
      </w: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lastRenderedPageBreak/>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基层医疗卫生机构</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其他基层医疗卫生机构支出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反映除上述项目以外的其他用于基层医疗卫生机构的支出。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妇幼保健机构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反映卫生健康部门所属妇幼保健机构的支出。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基本公共卫生服务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反映基本公共卫生服务支出。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重大公共卫生服务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反映重大疾病、重大传染病预防控制等重大公共卫生服务项目支出。</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w:t>
      </w:r>
      <w:r>
        <w:rPr>
          <w:rFonts w:ascii="仿宋" w:eastAsia="仿宋" w:hAnsi="仿宋" w:cs="仿宋" w:hint="eastAsia"/>
        </w:rPr>
        <w:lastRenderedPageBreak/>
        <w:t>定的基本工资和津贴补贴以及规定比例为职工缴纳的住房公积金。</w:t>
      </w:r>
    </w:p>
    <w:p w:rsidR="00E847D8" w:rsidRDefault="001A5CCD" w:rsidP="00C23FF1">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二十七、住房保障支出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w:t>
      </w:r>
      <w:r>
        <w:rPr>
          <w:rFonts w:ascii="仿宋" w:eastAsia="仿宋" w:hAnsi="仿宋" w:cs="仿宋" w:hint="eastAsia"/>
        </w:rPr>
        <w:t>准，行政事业单位向职工（含离退休人员）发放的租金补贴。</w:t>
      </w:r>
    </w:p>
    <w:p w:rsidR="00E847D8" w:rsidRDefault="001A5CCD" w:rsidP="00E847D8">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二十八、住房保障支出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E847D8" w:rsidSect="00E847D8">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CD" w:rsidRDefault="001A5CCD" w:rsidP="00E847D8">
      <w:r>
        <w:separator/>
      </w:r>
    </w:p>
  </w:endnote>
  <w:endnote w:type="continuationSeparator" w:id="0">
    <w:p w:rsidR="001A5CCD" w:rsidRDefault="001A5CCD" w:rsidP="00E8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华文中宋"/>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altName w:val="微软雅黑"/>
    <w:panose1 w:val="02010609060101010101"/>
    <w:charset w:val="86"/>
    <w:family w:val="auto"/>
    <w:pitch w:val="default"/>
    <w:sig w:usb0="00000000" w:usb1="38CF7CFA" w:usb2="00000016" w:usb3="00000000" w:csb0="00040001" w:csb1="00000000"/>
  </w:font>
  <w:font w:name="华文仿宋">
    <w:altName w:val="华文中宋"/>
    <w:panose1 w:val="02010600040101010101"/>
    <w:charset w:val="86"/>
    <w:family w:val="roman"/>
    <w:pitch w:val="default"/>
    <w:sig w:usb0="00000000" w:usb1="080F0000" w:usb2="00000000" w:usb3="00000000" w:csb0="0004009F" w:csb1="DFD70000"/>
  </w:font>
  <w:font w:name="黑体">
    <w:altName w:val="SimHei"/>
    <w:panose1 w:val="02010609060101010101"/>
    <w:charset w:val="86"/>
    <w:family w:val="auto"/>
    <w:pitch w:val="variable"/>
    <w:sig w:usb0="00000001" w:usb1="080E0000" w:usb2="00000010" w:usb3="00000000" w:csb0="00040000" w:csb1="00000000"/>
  </w:font>
  <w:font w:name="楷体">
    <w:altName w:val="微软雅黑"/>
    <w:panose1 w:val="02010609060101010101"/>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rPr>
        <w:rFonts w:ascii="黑体" w:eastAsia="黑体" w:hAnsi="黑体" w:cs="黑体"/>
      </w:rPr>
    </w:pPr>
    <w:r w:rsidRPr="00E847D8">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E847D8" w:rsidRDefault="00E847D8">
                <w:pPr>
                  <w:pStyle w:val="a5"/>
                  <w:rPr>
                    <w:rFonts w:ascii="黑体" w:eastAsia="黑体" w:hAnsi="黑体" w:cs="黑体"/>
                  </w:rPr>
                </w:pPr>
                <w:r>
                  <w:rPr>
                    <w:rFonts w:ascii="黑体" w:eastAsia="黑体" w:hAnsi="黑体" w:cs="黑体" w:hint="eastAsia"/>
                  </w:rPr>
                  <w:fldChar w:fldCharType="begin"/>
                </w:r>
                <w:r w:rsidR="001A5CCD">
                  <w:rPr>
                    <w:rFonts w:ascii="黑体" w:eastAsia="黑体" w:hAnsi="黑体" w:cs="黑体" w:hint="eastAsia"/>
                  </w:rPr>
                  <w:instrText xml:space="preserve"> PAGE  \* MERGEFORMAT </w:instrText>
                </w:r>
                <w:r>
                  <w:rPr>
                    <w:rFonts w:ascii="黑体" w:eastAsia="黑体" w:hAnsi="黑体" w:cs="黑体" w:hint="eastAsia"/>
                  </w:rPr>
                  <w:fldChar w:fldCharType="separate"/>
                </w:r>
                <w:r w:rsidR="00C23FF1">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- 37 -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- 38 -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- 40 -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- 49 -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rPr>
        <w:rFonts w:ascii="黑体" w:eastAsia="黑体" w:hAnsi="黑体" w:cs="黑体"/>
      </w:rPr>
    </w:pPr>
    <w:r w:rsidRPr="00E847D8">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E847D8" w:rsidRDefault="00E847D8">
                <w:pPr>
                  <w:pStyle w:val="a5"/>
                  <w:rPr>
                    <w:rFonts w:ascii="黑体" w:eastAsia="黑体" w:hAnsi="黑体" w:cs="黑体"/>
                  </w:rPr>
                </w:pPr>
                <w:r>
                  <w:rPr>
                    <w:rFonts w:ascii="黑体" w:eastAsia="黑体" w:hAnsi="黑体" w:cs="黑体" w:hint="eastAsia"/>
                  </w:rPr>
                  <w:fldChar w:fldCharType="begin"/>
                </w:r>
                <w:r w:rsidR="001A5CCD">
                  <w:rPr>
                    <w:rFonts w:ascii="黑体" w:eastAsia="黑体" w:hAnsi="黑体" w:cs="黑体" w:hint="eastAsia"/>
                  </w:rPr>
                  <w:instrText xml:space="preserve"> PAG</w:instrText>
                </w:r>
                <w:r w:rsidR="001A5CCD">
                  <w:rPr>
                    <w:rFonts w:ascii="黑体" w:eastAsia="黑体" w:hAnsi="黑体" w:cs="黑体" w:hint="eastAsia"/>
                  </w:rPr>
                  <w:instrText xml:space="preserve">E  \* MERGEFORMAT </w:instrText>
                </w:r>
                <w:r>
                  <w:rPr>
                    <w:rFonts w:ascii="黑体" w:eastAsia="黑体" w:hAnsi="黑体" w:cs="黑体" w:hint="eastAsia"/>
                  </w:rPr>
                  <w:fldChar w:fldCharType="separate"/>
                </w:r>
                <w:r w:rsidR="00C23FF1">
                  <w:rPr>
                    <w:rFonts w:ascii="黑体" w:eastAsia="黑体" w:hAnsi="黑体" w:cs="黑体"/>
                    <w:noProof/>
                  </w:rPr>
                  <w:t>- 17 -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- 19 -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- 22 -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- 24 -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- 26 -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- 28 -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- 32 -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5"/>
      <w:jc w:val="center"/>
    </w:pPr>
    <w:r w:rsidRPr="00E847D8">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E847D8" w:rsidRDefault="00E847D8">
                <w:pPr>
                  <w:pStyle w:val="a5"/>
                </w:pPr>
                <w:r>
                  <w:rPr>
                    <w:rFonts w:hint="eastAsia"/>
                  </w:rPr>
                  <w:fldChar w:fldCharType="begin"/>
                </w:r>
                <w:r w:rsidR="001A5CCD">
                  <w:rPr>
                    <w:rFonts w:hint="eastAsia"/>
                  </w:rPr>
                  <w:instrText xml:space="preserve"> PAGE  \* MERGEFORMAT </w:instrText>
                </w:r>
                <w:r>
                  <w:rPr>
                    <w:rFonts w:hint="eastAsia"/>
                  </w:rPr>
                  <w:fldChar w:fldCharType="separate"/>
                </w:r>
                <w:r w:rsidR="00C23FF1">
                  <w:rPr>
                    <w:noProof/>
                  </w:rPr>
                  <w:t>- 33 -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CD" w:rsidRDefault="001A5CCD">
      <w:r>
        <w:separator/>
      </w:r>
    </w:p>
  </w:footnote>
  <w:footnote w:type="continuationSeparator" w:id="0">
    <w:p w:rsidR="001A5CCD" w:rsidRDefault="001A5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1A5CCD">
    <w:pPr>
      <w:pStyle w:val="a6"/>
      <w:pBdr>
        <w:bottom w:val="single" w:sz="4" w:space="1" w:color="000000"/>
      </w:pBdr>
      <w:jc w:val="both"/>
      <w:rPr>
        <w:lang w:val="en-US"/>
      </w:rPr>
    </w:pPr>
    <w:r>
      <w:rPr>
        <w:rFonts w:hint="eastAsia"/>
        <w:lang w:val="en-US"/>
      </w:rPr>
      <w:t>江阴市妇幼保健院</w:t>
    </w:r>
    <w:r>
      <w:t>2022</w:t>
    </w:r>
    <w:r>
      <w:t>年度单位决算公开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E847D8"/>
    <w:rsid w:val="DBEED555"/>
    <w:rsid w:val="00064984"/>
    <w:rsid w:val="00071789"/>
    <w:rsid w:val="000C024B"/>
    <w:rsid w:val="000F12AB"/>
    <w:rsid w:val="001A5CCD"/>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23FF1"/>
    <w:rsid w:val="00C82582"/>
    <w:rsid w:val="00E847D8"/>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847D8"/>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E847D8"/>
    <w:pPr>
      <w:ind w:left="-40"/>
      <w:outlineLvl w:val="0"/>
    </w:pPr>
    <w:rPr>
      <w:sz w:val="52"/>
      <w:szCs w:val="52"/>
    </w:rPr>
  </w:style>
  <w:style w:type="paragraph" w:styleId="2">
    <w:name w:val="heading 2"/>
    <w:basedOn w:val="a"/>
    <w:next w:val="a"/>
    <w:uiPriority w:val="1"/>
    <w:qFormat/>
    <w:rsid w:val="00E847D8"/>
    <w:pPr>
      <w:ind w:right="18"/>
      <w:jc w:val="center"/>
      <w:outlineLvl w:val="1"/>
    </w:pPr>
    <w:rPr>
      <w:sz w:val="44"/>
      <w:szCs w:val="44"/>
    </w:rPr>
  </w:style>
  <w:style w:type="paragraph" w:styleId="3">
    <w:name w:val="heading 3"/>
    <w:basedOn w:val="a"/>
    <w:next w:val="a"/>
    <w:uiPriority w:val="1"/>
    <w:qFormat/>
    <w:rsid w:val="00E847D8"/>
    <w:pPr>
      <w:ind w:left="1"/>
      <w:jc w:val="center"/>
      <w:outlineLvl w:val="2"/>
    </w:pPr>
    <w:rPr>
      <w:sz w:val="40"/>
      <w:szCs w:val="40"/>
    </w:rPr>
  </w:style>
  <w:style w:type="paragraph" w:styleId="4">
    <w:name w:val="heading 4"/>
    <w:basedOn w:val="a"/>
    <w:next w:val="a"/>
    <w:uiPriority w:val="1"/>
    <w:qFormat/>
    <w:rsid w:val="00E847D8"/>
    <w:pPr>
      <w:jc w:val="center"/>
      <w:outlineLvl w:val="3"/>
    </w:pPr>
    <w:rPr>
      <w:sz w:val="36"/>
      <w:szCs w:val="36"/>
    </w:rPr>
  </w:style>
  <w:style w:type="paragraph" w:styleId="5">
    <w:name w:val="heading 5"/>
    <w:basedOn w:val="a"/>
    <w:next w:val="a"/>
    <w:uiPriority w:val="1"/>
    <w:qFormat/>
    <w:rsid w:val="00E847D8"/>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847D8"/>
    <w:pPr>
      <w:suppressLineNumbers/>
      <w:spacing w:before="120" w:after="120"/>
    </w:pPr>
    <w:rPr>
      <w:i/>
      <w:iCs/>
      <w:sz w:val="24"/>
      <w:szCs w:val="24"/>
    </w:rPr>
  </w:style>
  <w:style w:type="paragraph" w:styleId="a4">
    <w:name w:val="Body Text"/>
    <w:basedOn w:val="a"/>
    <w:uiPriority w:val="1"/>
    <w:qFormat/>
    <w:rsid w:val="00E847D8"/>
    <w:rPr>
      <w:sz w:val="32"/>
      <w:szCs w:val="32"/>
    </w:rPr>
  </w:style>
  <w:style w:type="paragraph" w:styleId="a5">
    <w:name w:val="footer"/>
    <w:basedOn w:val="a"/>
    <w:qFormat/>
    <w:rsid w:val="00E847D8"/>
    <w:pPr>
      <w:tabs>
        <w:tab w:val="center" w:pos="4153"/>
        <w:tab w:val="right" w:pos="8306"/>
      </w:tabs>
      <w:snapToGrid w:val="0"/>
    </w:pPr>
    <w:rPr>
      <w:sz w:val="18"/>
      <w:szCs w:val="18"/>
    </w:rPr>
  </w:style>
  <w:style w:type="paragraph" w:styleId="a6">
    <w:name w:val="header"/>
    <w:basedOn w:val="a"/>
    <w:qFormat/>
    <w:rsid w:val="00E847D8"/>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E847D8"/>
  </w:style>
  <w:style w:type="table" w:styleId="a8">
    <w:name w:val="Table Grid"/>
    <w:basedOn w:val="a1"/>
    <w:qFormat/>
    <w:rsid w:val="00E847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E847D8"/>
  </w:style>
  <w:style w:type="character" w:customStyle="1" w:styleId="aa">
    <w:name w:val="页眉 字符"/>
    <w:basedOn w:val="a0"/>
    <w:qFormat/>
    <w:rsid w:val="00E847D8"/>
    <w:rPr>
      <w:rFonts w:ascii="Arial Unicode MS" w:eastAsia="Arial Unicode MS" w:hAnsi="Arial Unicode MS" w:cs="Arial Unicode MS"/>
      <w:sz w:val="18"/>
      <w:szCs w:val="18"/>
      <w:lang w:val="zh-CN" w:bidi="zh-CN"/>
    </w:rPr>
  </w:style>
  <w:style w:type="character" w:customStyle="1" w:styleId="ab">
    <w:name w:val="页脚 字符"/>
    <w:basedOn w:val="a0"/>
    <w:qFormat/>
    <w:rsid w:val="00E847D8"/>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E847D8"/>
    <w:pPr>
      <w:keepNext/>
      <w:spacing w:before="240" w:after="120"/>
    </w:pPr>
    <w:rPr>
      <w:rFonts w:ascii="Liberation Sans" w:hAnsi="Liberation Sans"/>
      <w:sz w:val="28"/>
      <w:szCs w:val="28"/>
    </w:rPr>
  </w:style>
  <w:style w:type="paragraph" w:customStyle="1" w:styleId="ad">
    <w:name w:val="索引"/>
    <w:basedOn w:val="a"/>
    <w:qFormat/>
    <w:rsid w:val="00E847D8"/>
    <w:pPr>
      <w:suppressLineNumbers/>
    </w:pPr>
  </w:style>
  <w:style w:type="paragraph" w:customStyle="1" w:styleId="ae">
    <w:name w:val="页眉与页脚"/>
    <w:basedOn w:val="a"/>
    <w:qFormat/>
    <w:rsid w:val="00E847D8"/>
  </w:style>
  <w:style w:type="paragraph" w:customStyle="1" w:styleId="10">
    <w:name w:val="列出段落1"/>
    <w:basedOn w:val="a"/>
    <w:uiPriority w:val="1"/>
    <w:qFormat/>
    <w:rsid w:val="00E847D8"/>
    <w:pPr>
      <w:ind w:left="2039" w:hanging="782"/>
    </w:pPr>
  </w:style>
  <w:style w:type="paragraph" w:customStyle="1" w:styleId="TableParagraph">
    <w:name w:val="Table Paragraph"/>
    <w:basedOn w:val="a"/>
    <w:uiPriority w:val="1"/>
    <w:qFormat/>
    <w:rsid w:val="00E847D8"/>
    <w:rPr>
      <w:rFonts w:ascii="宋体" w:eastAsia="宋体" w:hAnsi="宋体" w:cs="宋体"/>
    </w:rPr>
  </w:style>
  <w:style w:type="paragraph" w:customStyle="1" w:styleId="af">
    <w:name w:val="表格内容"/>
    <w:basedOn w:val="a"/>
    <w:qFormat/>
    <w:rsid w:val="00E847D8"/>
    <w:pPr>
      <w:suppressLineNumbers/>
    </w:pPr>
  </w:style>
  <w:style w:type="paragraph" w:customStyle="1" w:styleId="af0">
    <w:name w:val="表格标题"/>
    <w:basedOn w:val="af"/>
    <w:qFormat/>
    <w:rsid w:val="00E847D8"/>
    <w:pPr>
      <w:jc w:val="center"/>
    </w:pPr>
    <w:rPr>
      <w:b/>
      <w:bCs/>
    </w:rPr>
  </w:style>
  <w:style w:type="paragraph" w:customStyle="1" w:styleId="af1">
    <w:name w:val="预格式化的文本"/>
    <w:basedOn w:val="a"/>
    <w:qFormat/>
    <w:rsid w:val="00E847D8"/>
    <w:rPr>
      <w:rFonts w:ascii="Liberation Mono" w:eastAsia="新宋体" w:hAnsi="Liberation Mono" w:cs="Liberation Mono"/>
      <w:sz w:val="20"/>
      <w:szCs w:val="20"/>
    </w:rPr>
  </w:style>
  <w:style w:type="table" w:customStyle="1" w:styleId="TableNormal">
    <w:name w:val="Table Normal"/>
    <w:uiPriority w:val="2"/>
    <w:unhideWhenUsed/>
    <w:qFormat/>
    <w:rsid w:val="00E847D8"/>
    <w:tblPr>
      <w:tblCellMar>
        <w:top w:w="0" w:type="dxa"/>
        <w:left w:w="0" w:type="dxa"/>
        <w:bottom w:w="0" w:type="dxa"/>
        <w:right w:w="0" w:type="dxa"/>
      </w:tblCellMar>
    </w:tblPr>
  </w:style>
  <w:style w:type="paragraph" w:styleId="af2">
    <w:name w:val="Balloon Text"/>
    <w:basedOn w:val="a"/>
    <w:link w:val="Char"/>
    <w:rsid w:val="00C23FF1"/>
    <w:rPr>
      <w:sz w:val="18"/>
      <w:szCs w:val="18"/>
    </w:rPr>
  </w:style>
  <w:style w:type="character" w:customStyle="1" w:styleId="Char">
    <w:name w:val="批注框文本 Char"/>
    <w:basedOn w:val="a0"/>
    <w:link w:val="af2"/>
    <w:rsid w:val="00C23FF1"/>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3797</Words>
  <Characters>21646</Characters>
  <Application>Microsoft Office Word</Application>
  <DocSecurity>0</DocSecurity>
  <Lines>180</Lines>
  <Paragraphs>50</Paragraphs>
  <ScaleCrop>false</ScaleCrop>
  <Company/>
  <LinksUpToDate>false</LinksUpToDate>
  <CharactersWithSpaces>25393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176</cp:revision>
  <dcterms:created xsi:type="dcterms:W3CDTF">2021-04-16T03:22:00Z</dcterms:created>
  <dcterms:modified xsi:type="dcterms:W3CDTF">2023-11-08T07:36:00Z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