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楷体_GB2312" w:hAnsi="华文中宋" w:eastAsia="楷体_GB2312"/>
          <w:bCs/>
          <w:spacing w:val="20"/>
          <w:sz w:val="72"/>
        </w:rPr>
      </w:pPr>
    </w:p>
    <w:p>
      <w:pPr>
        <w:spacing w:line="400" w:lineRule="exact"/>
        <w:jc w:val="center"/>
        <w:rPr>
          <w:rFonts w:ascii="楷体_GB2312" w:hAnsi="华文中宋" w:eastAsia="楷体_GB2312"/>
          <w:bCs/>
          <w:spacing w:val="20"/>
          <w:sz w:val="72"/>
        </w:rPr>
      </w:pPr>
    </w:p>
    <w:p>
      <w:pPr>
        <w:tabs>
          <w:tab w:val="left" w:pos="9000"/>
        </w:tabs>
        <w:jc w:val="distribute"/>
        <w:rPr>
          <w:rFonts w:ascii="黑体" w:hAnsi="黑体" w:eastAsia="黑体"/>
          <w:b/>
          <w:kern w:val="0"/>
          <w:sz w:val="36"/>
          <w:szCs w:val="36"/>
        </w:rPr>
      </w:pPr>
    </w:p>
    <w:p>
      <w:pPr>
        <w:spacing w:line="360" w:lineRule="auto"/>
        <w:jc w:val="center"/>
        <w:rPr>
          <w:rFonts w:ascii="宋体" w:hAnsi="宋体"/>
          <w:bCs/>
          <w:kern w:val="0"/>
          <w:sz w:val="32"/>
          <w:szCs w:val="20"/>
        </w:rPr>
      </w:pPr>
      <w:r>
        <w:rPr>
          <w:rFonts w:hint="eastAsia" w:ascii="黑体" w:hAnsi="黑体" w:eastAsia="黑体"/>
          <w:bCs/>
          <w:spacing w:val="-20"/>
          <w:kern w:val="0"/>
          <w:sz w:val="52"/>
          <w:szCs w:val="48"/>
        </w:rPr>
        <w:t>2024年度试剂、耗材供应商遴选项目</w:t>
      </w:r>
    </w:p>
    <w:p>
      <w:pPr>
        <w:spacing w:line="360" w:lineRule="auto"/>
        <w:rPr>
          <w:rFonts w:ascii="宋体" w:hAnsi="宋体"/>
          <w:bCs/>
          <w:kern w:val="0"/>
          <w:sz w:val="30"/>
          <w:szCs w:val="20"/>
        </w:rPr>
      </w:pPr>
    </w:p>
    <w:p>
      <w:pPr>
        <w:spacing w:line="360" w:lineRule="auto"/>
        <w:rPr>
          <w:rFonts w:ascii="宋体" w:hAnsi="宋体"/>
          <w:bCs/>
          <w:kern w:val="0"/>
          <w:sz w:val="30"/>
          <w:szCs w:val="20"/>
        </w:rPr>
      </w:pPr>
    </w:p>
    <w:p>
      <w:pPr>
        <w:spacing w:line="360" w:lineRule="auto"/>
        <w:jc w:val="center"/>
        <w:rPr>
          <w:rFonts w:ascii="黑体" w:hAnsi="黑体" w:eastAsia="黑体"/>
          <w:bCs/>
          <w:spacing w:val="20"/>
          <w:kern w:val="0"/>
          <w:sz w:val="56"/>
          <w:szCs w:val="52"/>
        </w:rPr>
      </w:pPr>
      <w:r>
        <w:rPr>
          <w:rFonts w:ascii="黑体" w:hAnsi="黑体" w:eastAsia="黑体"/>
          <w:bCs/>
          <w:spacing w:val="20"/>
          <w:kern w:val="0"/>
          <w:sz w:val="56"/>
          <w:szCs w:val="5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197485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15.55pt;height:0pt;width:0.05pt;z-index:251659264;mso-width-relative:page;mso-height-relative:page;" filled="f" stroked="t" coordsize="21600,21600" o:allowincell="f" o:gfxdata="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0mk91wAAAAkBAAAP&#10;AAAAAAAAAAEAIAAAACIAAABkcnMvZG93bnJldi54bWxQSwECFAAUAAAACACHTuJArQVAEuABAACm&#10;AwAADgAAAAAAAAABACAAAAAmAQAAZHJzL2Uyb0RvYy54bWxQSwUGAAAAAAYABgBZAQAAeAUAAAAA&#10;">
                <v:fill on="f" focussize="0,0"/>
                <v:stroke color="#000000" joinstyle="round"/>
                <v:imagedata o:title=""/>
                <o:lock v:ext="edit" aspectratio="f"/>
              </v:line>
            </w:pict>
          </mc:Fallback>
        </mc:AlternateContent>
      </w:r>
      <w:r>
        <w:rPr>
          <w:rFonts w:hint="eastAsia" w:ascii="黑体" w:hAnsi="黑体" w:eastAsia="黑体"/>
          <w:bCs/>
          <w:spacing w:val="20"/>
          <w:kern w:val="0"/>
          <w:sz w:val="56"/>
          <w:szCs w:val="52"/>
        </w:rPr>
        <w:t xml:space="preserve">招  </w:t>
      </w:r>
    </w:p>
    <w:p>
      <w:pPr>
        <w:spacing w:line="360" w:lineRule="auto"/>
        <w:jc w:val="center"/>
        <w:rPr>
          <w:rFonts w:ascii="黑体" w:hAnsi="黑体" w:eastAsia="黑体"/>
          <w:bCs/>
          <w:spacing w:val="20"/>
          <w:kern w:val="0"/>
          <w:sz w:val="56"/>
          <w:szCs w:val="52"/>
        </w:rPr>
      </w:pPr>
      <w:r>
        <w:rPr>
          <w:rFonts w:hint="eastAsia" w:ascii="黑体" w:hAnsi="黑体" w:eastAsia="黑体"/>
          <w:bCs/>
          <w:spacing w:val="20"/>
          <w:kern w:val="0"/>
          <w:sz w:val="56"/>
          <w:szCs w:val="52"/>
        </w:rPr>
        <w:t xml:space="preserve">标  </w:t>
      </w:r>
    </w:p>
    <w:p>
      <w:pPr>
        <w:spacing w:line="360" w:lineRule="auto"/>
        <w:jc w:val="center"/>
        <w:rPr>
          <w:rFonts w:ascii="黑体" w:hAnsi="黑体" w:eastAsia="黑体"/>
          <w:bCs/>
          <w:spacing w:val="20"/>
          <w:kern w:val="0"/>
          <w:sz w:val="56"/>
          <w:szCs w:val="52"/>
        </w:rPr>
      </w:pPr>
      <w:r>
        <w:rPr>
          <w:rFonts w:hint="eastAsia" w:ascii="黑体" w:hAnsi="黑体" w:eastAsia="黑体"/>
          <w:bCs/>
          <w:spacing w:val="20"/>
          <w:kern w:val="0"/>
          <w:sz w:val="56"/>
          <w:szCs w:val="52"/>
        </w:rPr>
        <w:t xml:space="preserve">文  </w:t>
      </w:r>
    </w:p>
    <w:p>
      <w:pPr>
        <w:spacing w:line="360" w:lineRule="auto"/>
        <w:jc w:val="center"/>
        <w:rPr>
          <w:rFonts w:ascii="黑体" w:hAnsi="黑体" w:eastAsia="黑体"/>
          <w:bCs/>
          <w:spacing w:val="20"/>
          <w:kern w:val="0"/>
          <w:sz w:val="56"/>
          <w:szCs w:val="52"/>
        </w:rPr>
      </w:pPr>
      <w:r>
        <w:rPr>
          <w:rFonts w:hint="eastAsia" w:ascii="黑体" w:hAnsi="黑体" w:eastAsia="黑体"/>
          <w:bCs/>
          <w:spacing w:val="20"/>
          <w:kern w:val="0"/>
          <w:sz w:val="56"/>
          <w:szCs w:val="52"/>
        </w:rPr>
        <w:t>件</w:t>
      </w:r>
    </w:p>
    <w:p>
      <w:pPr>
        <w:rPr>
          <w:rFonts w:ascii="宋体" w:hAnsi="宋体"/>
          <w:bCs/>
          <w:kern w:val="0"/>
          <w:sz w:val="24"/>
          <w:szCs w:val="20"/>
        </w:rPr>
      </w:pPr>
    </w:p>
    <w:p>
      <w:pPr>
        <w:rPr>
          <w:rFonts w:ascii="宋体" w:hAnsi="宋体"/>
          <w:bCs/>
          <w:kern w:val="0"/>
          <w:sz w:val="24"/>
          <w:szCs w:val="20"/>
        </w:rPr>
      </w:pPr>
    </w:p>
    <w:p>
      <w:pPr>
        <w:rPr>
          <w:rFonts w:ascii="宋体" w:hAnsi="宋体"/>
          <w:bCs/>
          <w:kern w:val="0"/>
          <w:sz w:val="24"/>
          <w:szCs w:val="20"/>
        </w:rPr>
      </w:pPr>
    </w:p>
    <w:p>
      <w:pPr>
        <w:spacing w:line="800" w:lineRule="exact"/>
        <w:ind w:left="174" w:leftChars="83"/>
        <w:rPr>
          <w:rFonts w:ascii="黑体" w:hAnsi="黑体" w:eastAsia="黑体"/>
          <w:bCs/>
          <w:kern w:val="0"/>
          <w:sz w:val="32"/>
          <w:szCs w:val="30"/>
          <w:u w:val="single"/>
        </w:rPr>
      </w:pPr>
      <w:r>
        <w:rPr>
          <w:rFonts w:hint="eastAsia" w:ascii="黑体" w:hAnsi="黑体" w:eastAsia="黑体"/>
          <w:bCs/>
          <w:kern w:val="0"/>
          <w:sz w:val="32"/>
          <w:szCs w:val="30"/>
        </w:rPr>
        <w:t>项  目 编 号：</w:t>
      </w:r>
      <w:r>
        <w:rPr>
          <w:rFonts w:hint="eastAsia" w:ascii="黑体" w:hAnsi="黑体" w:eastAsia="黑体"/>
          <w:bCs/>
          <w:kern w:val="0"/>
          <w:sz w:val="32"/>
          <w:szCs w:val="30"/>
          <w:u w:val="single"/>
        </w:rPr>
        <w:t xml:space="preserve">               </w:t>
      </w:r>
      <w:r>
        <w:rPr>
          <w:rFonts w:hint="eastAsia" w:ascii="黑体" w:hAnsi="黑体" w:eastAsia="黑体"/>
          <w:bCs/>
          <w:kern w:val="0"/>
          <w:sz w:val="28"/>
          <w:u w:val="single"/>
        </w:rPr>
        <w:t xml:space="preserve">JYSP2023Z001 </w:t>
      </w:r>
      <w:r>
        <w:rPr>
          <w:rFonts w:hint="eastAsia" w:ascii="黑体" w:hAnsi="黑体" w:eastAsia="黑体"/>
          <w:bCs/>
          <w:kern w:val="0"/>
          <w:sz w:val="32"/>
          <w:szCs w:val="30"/>
          <w:u w:val="single"/>
        </w:rPr>
        <w:t xml:space="preserve">                  </w:t>
      </w:r>
    </w:p>
    <w:p>
      <w:pPr>
        <w:spacing w:line="800" w:lineRule="exact"/>
        <w:ind w:left="2414" w:leftChars="83" w:hanging="2240" w:hangingChars="700"/>
        <w:rPr>
          <w:rFonts w:ascii="黑体" w:hAnsi="黑体" w:eastAsia="黑体"/>
          <w:bCs/>
          <w:kern w:val="0"/>
          <w:sz w:val="32"/>
          <w:szCs w:val="30"/>
        </w:rPr>
      </w:pPr>
      <w:r>
        <w:rPr>
          <w:rFonts w:hint="eastAsia" w:ascii="黑体" w:hAnsi="黑体" w:eastAsia="黑体"/>
          <w:bCs/>
          <w:kern w:val="0"/>
          <w:sz w:val="32"/>
          <w:szCs w:val="30"/>
        </w:rPr>
        <w:t>项  目 名 称：</w:t>
      </w:r>
      <w:r>
        <w:rPr>
          <w:rFonts w:hint="eastAsia" w:ascii="黑体" w:hAnsi="黑体" w:eastAsia="黑体"/>
          <w:bCs/>
          <w:kern w:val="0"/>
          <w:sz w:val="32"/>
          <w:szCs w:val="30"/>
          <w:u w:val="single"/>
        </w:rPr>
        <w:t xml:space="preserve">       </w:t>
      </w:r>
      <w:r>
        <w:rPr>
          <w:rFonts w:hint="eastAsia" w:ascii="黑体" w:hAnsi="黑体" w:eastAsia="黑体"/>
          <w:bCs/>
          <w:kern w:val="0"/>
          <w:sz w:val="28"/>
          <w:u w:val="single"/>
        </w:rPr>
        <w:t xml:space="preserve">2024年度试剂、耗材供应商遴选项目         </w:t>
      </w:r>
    </w:p>
    <w:p>
      <w:pPr>
        <w:spacing w:line="800" w:lineRule="exact"/>
        <w:ind w:left="174" w:leftChars="83"/>
        <w:rPr>
          <w:rFonts w:ascii="黑体" w:hAnsi="黑体" w:eastAsia="黑体"/>
          <w:bCs/>
          <w:kern w:val="0"/>
          <w:sz w:val="32"/>
          <w:szCs w:val="30"/>
          <w:u w:val="single"/>
        </w:rPr>
      </w:pPr>
      <w:r>
        <w:rPr>
          <w:rFonts w:hint="eastAsia" w:ascii="黑体" w:hAnsi="黑体" w:eastAsia="黑体"/>
          <w:bCs/>
          <w:kern w:val="0"/>
          <w:sz w:val="32"/>
          <w:szCs w:val="30"/>
        </w:rPr>
        <w:t>采   购   人：</w:t>
      </w:r>
      <w:r>
        <w:rPr>
          <w:rFonts w:hint="eastAsia" w:ascii="黑体" w:hAnsi="黑体" w:eastAsia="黑体"/>
          <w:bCs/>
          <w:kern w:val="0"/>
          <w:sz w:val="32"/>
          <w:szCs w:val="30"/>
          <w:u w:val="single"/>
        </w:rPr>
        <w:t xml:space="preserve">           </w:t>
      </w:r>
      <w:r>
        <w:rPr>
          <w:rFonts w:hint="eastAsia" w:ascii="黑体" w:hAnsi="黑体" w:eastAsia="黑体"/>
          <w:bCs/>
          <w:kern w:val="0"/>
          <w:sz w:val="28"/>
          <w:u w:val="single"/>
        </w:rPr>
        <w:t>江阴市食品安全检测中心</w:t>
      </w:r>
      <w:r>
        <w:rPr>
          <w:rFonts w:hint="eastAsia" w:ascii="黑体" w:hAnsi="黑体" w:eastAsia="黑体"/>
          <w:bCs/>
          <w:kern w:val="0"/>
          <w:sz w:val="32"/>
          <w:szCs w:val="30"/>
          <w:u w:val="single"/>
        </w:rPr>
        <w:t xml:space="preserve">              </w:t>
      </w:r>
    </w:p>
    <w:p>
      <w:pPr>
        <w:spacing w:line="276" w:lineRule="auto"/>
        <w:ind w:left="174" w:leftChars="83"/>
        <w:rPr>
          <w:rFonts w:ascii="黑体" w:hAnsi="黑体" w:eastAsia="黑体"/>
          <w:bCs/>
          <w:kern w:val="0"/>
          <w:sz w:val="30"/>
          <w:szCs w:val="30"/>
        </w:rPr>
      </w:pPr>
    </w:p>
    <w:p>
      <w:pPr>
        <w:jc w:val="center"/>
        <w:rPr>
          <w:rFonts w:ascii="宋体" w:hAnsi="宋体"/>
          <w:bCs/>
          <w:kern w:val="0"/>
          <w:sz w:val="44"/>
          <w:szCs w:val="44"/>
        </w:rPr>
      </w:pPr>
    </w:p>
    <w:p>
      <w:pPr>
        <w:jc w:val="center"/>
        <w:rPr>
          <w:rFonts w:ascii="黑体" w:hAnsi="黑体" w:eastAsia="黑体"/>
          <w:bCs/>
          <w:kern w:val="0"/>
          <w:sz w:val="32"/>
          <w:szCs w:val="32"/>
        </w:rPr>
      </w:pPr>
      <w:r>
        <w:rPr>
          <w:rFonts w:hint="eastAsia" w:ascii="黑体" w:hAnsi="黑体" w:eastAsia="黑体"/>
          <w:bCs/>
          <w:kern w:val="0"/>
          <w:sz w:val="32"/>
          <w:szCs w:val="32"/>
        </w:rPr>
        <w:t>二○二三年九月</w:t>
      </w:r>
    </w:p>
    <w:p>
      <w:pPr>
        <w:spacing w:line="60" w:lineRule="auto"/>
        <w:rPr>
          <w:rFonts w:ascii="仿宋_GB2312" w:eastAsia="仿宋_GB2312"/>
          <w:kern w:val="0"/>
          <w:sz w:val="32"/>
          <w:szCs w:val="20"/>
        </w:rPr>
      </w:pPr>
      <w:r>
        <w:rPr>
          <w:rFonts w:ascii="仿宋_GB2312" w:eastAsia="仿宋_GB2312"/>
          <w:kern w:val="0"/>
          <w:sz w:val="32"/>
          <w:szCs w:val="20"/>
        </w:rPr>
        <w:br w:type="page"/>
      </w:r>
    </w:p>
    <w:p>
      <w:pPr>
        <w:jc w:val="center"/>
        <w:rPr>
          <w:rStyle w:val="94"/>
          <w:rFonts w:ascii="楷体_GB2312" w:eastAsia="楷体_GB2312"/>
          <w:bCs/>
          <w:color w:val="auto"/>
          <w:sz w:val="48"/>
        </w:rPr>
        <w:sectPr>
          <w:headerReference r:id="rId4" w:type="first"/>
          <w:headerReference r:id="rId3" w:type="default"/>
          <w:footerReference r:id="rId5" w:type="default"/>
          <w:footerReference r:id="rId6" w:type="even"/>
          <w:pgSz w:w="11906" w:h="16838"/>
          <w:pgMar w:top="1253" w:right="1247" w:bottom="1440" w:left="1247" w:header="567" w:footer="992" w:gutter="0"/>
          <w:pgNumType w:start="0"/>
          <w:cols w:space="720" w:num="1"/>
          <w:titlePg/>
          <w:docGrid w:linePitch="312" w:charSpace="0"/>
        </w:sectPr>
      </w:pPr>
    </w:p>
    <w:p>
      <w:pPr>
        <w:spacing w:line="360" w:lineRule="auto"/>
        <w:jc w:val="center"/>
        <w:rPr>
          <w:rStyle w:val="94"/>
          <w:rFonts w:ascii="黑体" w:eastAsia="黑体"/>
          <w:bCs/>
          <w:color w:val="auto"/>
          <w:sz w:val="44"/>
          <w:szCs w:val="44"/>
          <w:u w:val="none"/>
        </w:rPr>
      </w:pPr>
      <w:bookmarkStart w:id="0" w:name="_Toc251268358"/>
    </w:p>
    <w:p>
      <w:pPr>
        <w:spacing w:line="360" w:lineRule="auto"/>
        <w:jc w:val="center"/>
        <w:rPr>
          <w:rStyle w:val="94"/>
          <w:rFonts w:ascii="黑体" w:eastAsia="黑体"/>
          <w:bCs/>
          <w:color w:val="auto"/>
          <w:sz w:val="44"/>
          <w:szCs w:val="44"/>
          <w:u w:val="none"/>
        </w:rPr>
      </w:pPr>
      <w:r>
        <w:rPr>
          <w:rStyle w:val="94"/>
          <w:rFonts w:hint="eastAsia" w:ascii="黑体" w:eastAsia="黑体"/>
          <w:bCs/>
          <w:color w:val="auto"/>
          <w:sz w:val="44"/>
          <w:szCs w:val="44"/>
          <w:u w:val="none"/>
        </w:rPr>
        <w:t>总　目　录</w:t>
      </w:r>
    </w:p>
    <w:p>
      <w:pPr>
        <w:spacing w:line="360" w:lineRule="auto"/>
        <w:rPr>
          <w:rStyle w:val="94"/>
          <w:rFonts w:ascii="楷体_GB2312" w:eastAsia="楷体_GB2312"/>
          <w:bCs/>
          <w:color w:val="auto"/>
          <w:sz w:val="30"/>
          <w:szCs w:val="48"/>
        </w:rPr>
      </w:pPr>
    </w:p>
    <w:p>
      <w:pPr>
        <w:spacing w:line="720" w:lineRule="auto"/>
        <w:rPr>
          <w:rStyle w:val="94"/>
          <w:rFonts w:ascii="楷体_GB2312" w:eastAsia="楷体_GB2312"/>
          <w:bCs/>
          <w:color w:val="auto"/>
          <w:sz w:val="28"/>
          <w:szCs w:val="28"/>
          <w:u w:val="none"/>
        </w:rPr>
      </w:pPr>
      <w:r>
        <w:rPr>
          <w:rStyle w:val="94"/>
          <w:rFonts w:hint="eastAsia" w:ascii="黑体" w:eastAsia="黑体"/>
          <w:bCs/>
          <w:color w:val="auto"/>
          <w:sz w:val="28"/>
          <w:szCs w:val="28"/>
          <w:u w:val="none"/>
        </w:rPr>
        <w:t>第一章　　</w:t>
      </w:r>
      <w:r>
        <w:rPr>
          <w:rStyle w:val="94"/>
          <w:rFonts w:hint="eastAsia" w:asciiTheme="minorEastAsia" w:hAnsiTheme="minorEastAsia" w:eastAsiaTheme="minorEastAsia"/>
          <w:bCs/>
          <w:color w:val="auto"/>
          <w:sz w:val="28"/>
          <w:szCs w:val="28"/>
          <w:u w:val="none"/>
        </w:rPr>
        <w:t>投标邀请————————————————————第2页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第二章　　</w:t>
      </w:r>
      <w:r>
        <w:rPr>
          <w:rStyle w:val="94"/>
          <w:rFonts w:hint="eastAsia" w:asciiTheme="minorEastAsia" w:hAnsiTheme="minorEastAsia" w:eastAsiaTheme="minorEastAsia"/>
          <w:bCs/>
          <w:color w:val="auto"/>
          <w:sz w:val="28"/>
          <w:szCs w:val="28"/>
          <w:u w:val="none"/>
        </w:rPr>
        <w:t>投标人须知前附表————————————————第4页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第三章　　</w:t>
      </w:r>
      <w:r>
        <w:rPr>
          <w:rStyle w:val="94"/>
          <w:rFonts w:hint="eastAsia" w:asciiTheme="minorEastAsia" w:hAnsiTheme="minorEastAsia" w:eastAsiaTheme="minorEastAsia"/>
          <w:bCs/>
          <w:color w:val="auto"/>
          <w:sz w:val="28"/>
          <w:szCs w:val="28"/>
          <w:u w:val="none"/>
        </w:rPr>
        <w:t>投标人须知———————————————————第5页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第四章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项目要求和有关说明———————————————第11页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第五章</w:t>
      </w:r>
      <w:r>
        <w:rPr>
          <w:rStyle w:val="94"/>
          <w:rFonts w:hint="eastAsia" w:ascii="楷体_GB2312" w:eastAsia="楷体_GB2312"/>
          <w:bCs/>
          <w:color w:val="auto"/>
          <w:sz w:val="28"/>
          <w:szCs w:val="28"/>
          <w:u w:val="none"/>
        </w:rPr>
        <w:t>　　</w:t>
      </w:r>
      <w:r>
        <w:rPr>
          <w:rFonts w:hint="eastAsia" w:asciiTheme="minorEastAsia" w:hAnsiTheme="minorEastAsia" w:eastAsiaTheme="minorEastAsia"/>
          <w:bCs/>
          <w:sz w:val="28"/>
          <w:szCs w:val="28"/>
        </w:rPr>
        <w:t>评标方法和评标标准</w:t>
      </w:r>
      <w:r>
        <w:rPr>
          <w:rStyle w:val="94"/>
          <w:rFonts w:hint="eastAsia" w:asciiTheme="minorEastAsia" w:hAnsiTheme="minorEastAsia" w:eastAsiaTheme="minorEastAsia"/>
          <w:bCs/>
          <w:color w:val="auto"/>
          <w:sz w:val="28"/>
          <w:szCs w:val="28"/>
          <w:u w:val="none"/>
        </w:rPr>
        <w:t>———————————————第13页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第六章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合同书（格式）—————————————————第15页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第七章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投标文件的组成和格式——————————————第18页</w:t>
      </w: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第一章　</w:t>
      </w:r>
      <w:bookmarkEnd w:id="0"/>
      <w:r>
        <w:rPr>
          <w:rFonts w:hint="eastAsia" w:ascii="黑体" w:eastAsia="黑体"/>
          <w:bCs/>
          <w:sz w:val="30"/>
        </w:rPr>
        <w:t>投标邀请</w:t>
      </w:r>
    </w:p>
    <w:p>
      <w:pPr>
        <w:spacing w:line="400" w:lineRule="exact"/>
        <w:jc w:val="center"/>
        <w:outlineLvl w:val="0"/>
        <w:rPr>
          <w:rFonts w:ascii="黑体" w:eastAsia="黑体"/>
          <w:bCs/>
          <w:sz w:val="30"/>
        </w:rPr>
      </w:pPr>
    </w:p>
    <w:p>
      <w:pPr>
        <w:spacing w:line="400" w:lineRule="exact"/>
        <w:rPr>
          <w:rFonts w:ascii="宋体" w:hAnsi="宋体"/>
          <w:b/>
          <w:sz w:val="24"/>
        </w:rPr>
      </w:pPr>
      <w:r>
        <w:rPr>
          <w:rFonts w:hint="eastAsia" w:ascii="宋体" w:hAnsi="宋体"/>
          <w:b/>
          <w:sz w:val="24"/>
        </w:rPr>
        <w:t>项目概况</w:t>
      </w:r>
    </w:p>
    <w:p>
      <w:pPr>
        <w:spacing w:line="400" w:lineRule="exact"/>
        <w:ind w:firstLine="480" w:firstLineChars="200"/>
        <w:rPr>
          <w:rFonts w:ascii="宋体" w:hAnsi="宋体"/>
          <w:sz w:val="24"/>
        </w:rPr>
      </w:pPr>
      <w:r>
        <w:rPr>
          <w:rFonts w:hint="eastAsia" w:asciiTheme="minorEastAsia" w:hAnsiTheme="minorEastAsia" w:eastAsiaTheme="minorEastAsia"/>
          <w:sz w:val="24"/>
        </w:rPr>
        <w:t>2024年度试剂、耗材供应商遴选项目的潜在投标人应在江阴市公共资源交易中心网免费下载招标文件，并于2023年10</w:t>
      </w:r>
      <w:r>
        <w:rPr>
          <w:rFonts w:hint="eastAsia" w:ascii="宋体" w:hAnsi="宋体"/>
          <w:sz w:val="24"/>
        </w:rPr>
        <w:t>月25日上午9:30（北京时间）前递交投标文件。</w:t>
      </w:r>
    </w:p>
    <w:p>
      <w:pPr>
        <w:spacing w:line="400" w:lineRule="exact"/>
        <w:rPr>
          <w:rFonts w:ascii="宋体" w:hAnsi="宋体"/>
          <w:b/>
          <w:sz w:val="24"/>
        </w:rPr>
      </w:pPr>
      <w:r>
        <w:rPr>
          <w:rFonts w:hint="eastAsia" w:ascii="宋体" w:hAnsi="宋体"/>
          <w:b/>
          <w:sz w:val="24"/>
        </w:rPr>
        <w:t>一、项目基本情况：</w:t>
      </w:r>
    </w:p>
    <w:p>
      <w:pPr>
        <w:spacing w:line="400" w:lineRule="exact"/>
        <w:ind w:firstLine="480" w:firstLineChars="200"/>
        <w:rPr>
          <w:rFonts w:ascii="宋体" w:hAnsi="宋体"/>
          <w:sz w:val="24"/>
        </w:rPr>
      </w:pPr>
      <w:r>
        <w:rPr>
          <w:rFonts w:hint="eastAsia" w:ascii="宋体" w:hAnsi="宋体"/>
          <w:sz w:val="24"/>
        </w:rPr>
        <w:t>1、项目编号：</w:t>
      </w:r>
      <w:r>
        <w:rPr>
          <w:rFonts w:ascii="宋体" w:hAnsi="宋体"/>
          <w:sz w:val="24"/>
        </w:rPr>
        <w:t>JYSP2023Z001</w:t>
      </w:r>
    </w:p>
    <w:p>
      <w:pPr>
        <w:spacing w:line="400" w:lineRule="exact"/>
        <w:ind w:firstLine="480" w:firstLineChars="200"/>
        <w:rPr>
          <w:rFonts w:asciiTheme="minorEastAsia" w:hAnsiTheme="minorEastAsia" w:eastAsiaTheme="minorEastAsia"/>
          <w:sz w:val="24"/>
        </w:rPr>
      </w:pPr>
      <w:r>
        <w:rPr>
          <w:rFonts w:hint="eastAsia" w:ascii="宋体" w:hAnsi="宋体"/>
          <w:sz w:val="24"/>
        </w:rPr>
        <w:t>2、项目名称：2024年度试剂、耗材供应商遴选项目</w:t>
      </w:r>
    </w:p>
    <w:p>
      <w:pPr>
        <w:spacing w:line="400" w:lineRule="exact"/>
        <w:ind w:firstLine="480" w:firstLineChars="200"/>
        <w:rPr>
          <w:rFonts w:ascii="宋体" w:hAnsi="宋体"/>
          <w:sz w:val="24"/>
        </w:rPr>
      </w:pPr>
      <w:bookmarkStart w:id="1" w:name="_Toc35393622"/>
      <w:bookmarkStart w:id="2" w:name="_Toc28359080"/>
      <w:bookmarkStart w:id="3" w:name="_Toc35393791"/>
      <w:bookmarkStart w:id="4" w:name="_Toc28359003"/>
      <w:r>
        <w:rPr>
          <w:rFonts w:hint="eastAsia" w:ascii="宋体" w:hAnsi="宋体"/>
          <w:sz w:val="24"/>
        </w:rPr>
        <w:t>3、预算金额：约100万元</w:t>
      </w:r>
    </w:p>
    <w:p>
      <w:pPr>
        <w:spacing w:line="400" w:lineRule="exact"/>
        <w:ind w:firstLine="480" w:firstLineChars="200"/>
        <w:rPr>
          <w:rFonts w:ascii="宋体" w:hAnsi="宋体"/>
          <w:sz w:val="24"/>
        </w:rPr>
      </w:pPr>
      <w:r>
        <w:rPr>
          <w:rFonts w:hint="eastAsia" w:ascii="宋体" w:hAnsi="宋体"/>
          <w:sz w:val="24"/>
        </w:rPr>
        <w:t>4、采购需求：本项目为江阴市食品安全检测中心的2024年度试剂、耗材供应商遴选项目,包括：</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4278"/>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spacing w:line="400" w:lineRule="exact"/>
              <w:jc w:val="center"/>
              <w:rPr>
                <w:rFonts w:ascii="宋体" w:hAnsi="宋体"/>
                <w:b/>
                <w:sz w:val="24"/>
              </w:rPr>
            </w:pPr>
            <w:r>
              <w:rPr>
                <w:rFonts w:hint="eastAsia" w:ascii="宋体" w:hAnsi="宋体"/>
                <w:b/>
                <w:sz w:val="24"/>
              </w:rPr>
              <w:t>包  号</w:t>
            </w:r>
          </w:p>
        </w:tc>
        <w:tc>
          <w:tcPr>
            <w:tcW w:w="0" w:type="auto"/>
          </w:tcPr>
          <w:p>
            <w:pPr>
              <w:spacing w:line="400" w:lineRule="exact"/>
              <w:jc w:val="center"/>
              <w:rPr>
                <w:rFonts w:ascii="宋体" w:hAnsi="宋体"/>
                <w:b/>
                <w:sz w:val="24"/>
              </w:rPr>
            </w:pPr>
            <w:r>
              <w:rPr>
                <w:rFonts w:hint="eastAsia" w:ascii="宋体" w:hAnsi="宋体"/>
                <w:b/>
                <w:sz w:val="24"/>
              </w:rPr>
              <w:t>名  称</w:t>
            </w:r>
          </w:p>
        </w:tc>
        <w:tc>
          <w:tcPr>
            <w:tcW w:w="0" w:type="auto"/>
          </w:tcPr>
          <w:p>
            <w:pPr>
              <w:spacing w:line="400" w:lineRule="exact"/>
              <w:jc w:val="center"/>
              <w:rPr>
                <w:rFonts w:ascii="宋体" w:hAnsi="宋体"/>
                <w:b/>
                <w:sz w:val="24"/>
              </w:rPr>
            </w:pPr>
            <w:r>
              <w:rPr>
                <w:rFonts w:hint="eastAsia" w:ascii="宋体" w:hAnsi="宋体"/>
                <w:b/>
                <w:sz w:val="24"/>
              </w:rPr>
              <w:t>入围供应商数量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第一包</w:t>
            </w:r>
          </w:p>
        </w:tc>
        <w:tc>
          <w:tcPr>
            <w:tcW w:w="0" w:type="auto"/>
          </w:tcPr>
          <w:p>
            <w:pPr>
              <w:spacing w:line="400" w:lineRule="exact"/>
              <w:jc w:val="center"/>
              <w:rPr>
                <w:rFonts w:ascii="宋体" w:hAnsi="宋体"/>
                <w:sz w:val="24"/>
              </w:rPr>
            </w:pPr>
            <w:r>
              <w:rPr>
                <w:rFonts w:hint="eastAsia" w:ascii="宋体" w:hAnsi="宋体"/>
                <w:sz w:val="24"/>
              </w:rPr>
              <w:t>试剂类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第二包</w:t>
            </w:r>
          </w:p>
        </w:tc>
        <w:tc>
          <w:tcPr>
            <w:tcW w:w="0" w:type="auto"/>
          </w:tcPr>
          <w:p>
            <w:pPr>
              <w:spacing w:line="400" w:lineRule="exact"/>
              <w:jc w:val="center"/>
              <w:rPr>
                <w:rFonts w:ascii="宋体" w:hAnsi="宋体"/>
                <w:sz w:val="24"/>
              </w:rPr>
            </w:pPr>
            <w:r>
              <w:rPr>
                <w:rFonts w:hint="eastAsia" w:ascii="宋体" w:hAnsi="宋体"/>
                <w:sz w:val="24"/>
              </w:rPr>
              <w:t>标准物质类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第三包</w:t>
            </w:r>
          </w:p>
        </w:tc>
        <w:tc>
          <w:tcPr>
            <w:tcW w:w="0" w:type="auto"/>
          </w:tcPr>
          <w:p>
            <w:pPr>
              <w:spacing w:line="400" w:lineRule="exact"/>
              <w:jc w:val="center"/>
              <w:rPr>
                <w:rFonts w:ascii="宋体" w:hAnsi="宋体"/>
                <w:sz w:val="24"/>
              </w:rPr>
            </w:pPr>
            <w:r>
              <w:rPr>
                <w:rFonts w:hint="eastAsia" w:ascii="宋体" w:hAnsi="宋体"/>
                <w:sz w:val="24"/>
              </w:rPr>
              <w:t>耗材类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第四包</w:t>
            </w:r>
          </w:p>
        </w:tc>
        <w:tc>
          <w:tcPr>
            <w:tcW w:w="0" w:type="auto"/>
          </w:tcPr>
          <w:p>
            <w:pPr>
              <w:spacing w:line="400" w:lineRule="exact"/>
              <w:jc w:val="center"/>
              <w:rPr>
                <w:rFonts w:ascii="宋体" w:hAnsi="宋体"/>
                <w:sz w:val="24"/>
              </w:rPr>
            </w:pPr>
            <w:r>
              <w:rPr>
                <w:rFonts w:hint="eastAsia" w:ascii="宋体" w:hAnsi="宋体"/>
                <w:sz w:val="24"/>
              </w:rPr>
              <w:t>微生物试剂及菌株类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第五包</w:t>
            </w:r>
          </w:p>
        </w:tc>
        <w:tc>
          <w:tcPr>
            <w:tcW w:w="0" w:type="auto"/>
          </w:tcPr>
          <w:p>
            <w:pPr>
              <w:spacing w:line="400" w:lineRule="exact"/>
              <w:jc w:val="center"/>
              <w:rPr>
                <w:rFonts w:ascii="宋体" w:hAnsi="宋体"/>
                <w:sz w:val="24"/>
              </w:rPr>
            </w:pPr>
            <w:r>
              <w:rPr>
                <w:rFonts w:hint="eastAsia" w:ascii="宋体" w:hAnsi="宋体"/>
                <w:sz w:val="24"/>
              </w:rPr>
              <w:t>易制毒危化品类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第六包</w:t>
            </w:r>
          </w:p>
        </w:tc>
        <w:tc>
          <w:tcPr>
            <w:tcW w:w="0" w:type="auto"/>
          </w:tcPr>
          <w:p>
            <w:pPr>
              <w:spacing w:line="400" w:lineRule="exact"/>
              <w:jc w:val="center"/>
              <w:rPr>
                <w:rFonts w:ascii="宋体" w:hAnsi="宋体"/>
                <w:sz w:val="24"/>
              </w:rPr>
            </w:pPr>
            <w:r>
              <w:rPr>
                <w:rFonts w:hint="eastAsia" w:ascii="宋体" w:hAnsi="宋体"/>
                <w:sz w:val="24"/>
              </w:rPr>
              <w:t>易制爆危化品类</w:t>
            </w:r>
          </w:p>
        </w:tc>
        <w:tc>
          <w:tcPr>
            <w:tcW w:w="0" w:type="auto"/>
          </w:tcPr>
          <w:p>
            <w:pPr>
              <w:spacing w:line="400" w:lineRule="exact"/>
              <w:jc w:val="center"/>
              <w:rPr>
                <w:rFonts w:ascii="宋体" w:hAnsi="宋体"/>
                <w:sz w:val="24"/>
              </w:rPr>
            </w:pPr>
            <w:r>
              <w:rPr>
                <w:rFonts w:hint="eastAsia" w:ascii="宋体" w:hAnsi="宋体"/>
                <w:sz w:val="24"/>
              </w:rPr>
              <w:t>不超过3家</w:t>
            </w:r>
          </w:p>
        </w:tc>
      </w:tr>
    </w:tbl>
    <w:p>
      <w:pPr>
        <w:spacing w:line="400" w:lineRule="exact"/>
        <w:ind w:firstLine="480" w:firstLineChars="200"/>
        <w:rPr>
          <w:rFonts w:ascii="宋体" w:hAnsi="宋体"/>
          <w:sz w:val="24"/>
        </w:rPr>
      </w:pPr>
      <w:r>
        <w:rPr>
          <w:rFonts w:hint="eastAsia" w:ascii="宋体" w:hAnsi="宋体"/>
          <w:sz w:val="24"/>
        </w:rPr>
        <w:t>本项目共六个包，投标人可全投也可选投。（详见招标文件）</w:t>
      </w:r>
    </w:p>
    <w:p>
      <w:pPr>
        <w:adjustRightInd w:val="0"/>
        <w:snapToGrid w:val="0"/>
        <w:spacing w:line="400" w:lineRule="exact"/>
        <w:ind w:firstLine="480" w:firstLineChars="200"/>
        <w:rPr>
          <w:rFonts w:ascii="宋体" w:hAnsi="宋体"/>
          <w:sz w:val="24"/>
        </w:rPr>
      </w:pPr>
      <w:r>
        <w:rPr>
          <w:rFonts w:hint="eastAsia" w:ascii="宋体" w:hAnsi="宋体"/>
          <w:sz w:val="24"/>
        </w:rPr>
        <w:t>5、合同履行期限：一年（2024年1月1日至2024年12月31日）。</w:t>
      </w:r>
    </w:p>
    <w:p>
      <w:pPr>
        <w:spacing w:line="400" w:lineRule="exact"/>
        <w:ind w:firstLine="480" w:firstLineChars="200"/>
        <w:rPr>
          <w:rFonts w:ascii="宋体" w:hAnsi="宋体"/>
          <w:sz w:val="24"/>
        </w:rPr>
      </w:pPr>
      <w:r>
        <w:rPr>
          <w:rFonts w:hint="eastAsia" w:ascii="宋体" w:hAnsi="宋体"/>
          <w:sz w:val="24"/>
        </w:rPr>
        <w:t>6、本项目不接受联合体投标。</w:t>
      </w:r>
    </w:p>
    <w:p>
      <w:pPr>
        <w:spacing w:line="400" w:lineRule="exact"/>
        <w:rPr>
          <w:rFonts w:ascii="宋体" w:hAnsi="宋体"/>
          <w:b/>
          <w:sz w:val="24"/>
        </w:rPr>
      </w:pPr>
      <w:r>
        <w:rPr>
          <w:rFonts w:hint="eastAsia" w:ascii="宋体" w:hAnsi="宋体"/>
          <w:b/>
          <w:sz w:val="24"/>
        </w:rPr>
        <w:t>二、申请人的资格要求：</w:t>
      </w:r>
      <w:bookmarkEnd w:id="1"/>
      <w:bookmarkEnd w:id="2"/>
      <w:bookmarkEnd w:id="3"/>
      <w:bookmarkEnd w:id="4"/>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bookmarkStart w:id="5" w:name="_Toc28359004"/>
      <w:bookmarkStart w:id="6" w:name="_Toc28359081"/>
      <w:r>
        <w:rPr>
          <w:rFonts w:hint="eastAsia" w:ascii="宋体" w:hAnsi="宋体"/>
          <w:sz w:val="24"/>
        </w:rPr>
        <w:t>2、未被“信用中国”网站、“中国政府采购网”列入失信被执行人、重大税收违法失信主体、政府采购严重违法失信行为信息记录名单；</w:t>
      </w:r>
    </w:p>
    <w:p>
      <w:pPr>
        <w:spacing w:line="400" w:lineRule="exact"/>
        <w:ind w:firstLine="480" w:firstLineChars="200"/>
        <w:rPr>
          <w:rFonts w:ascii="宋体" w:hAnsi="宋体"/>
          <w:sz w:val="24"/>
        </w:rPr>
      </w:pPr>
      <w:r>
        <w:rPr>
          <w:rFonts w:hint="eastAsia" w:ascii="宋体" w:hAnsi="宋体"/>
          <w:sz w:val="24"/>
        </w:rPr>
        <w:t>3、落实政府采购政策需满足的资格要求：详见招标文件；</w:t>
      </w:r>
    </w:p>
    <w:p>
      <w:pPr>
        <w:spacing w:line="400" w:lineRule="exact"/>
        <w:ind w:firstLine="480" w:firstLineChars="200"/>
        <w:rPr>
          <w:rFonts w:ascii="宋体" w:hAnsi="宋体"/>
          <w:sz w:val="24"/>
        </w:rPr>
      </w:pPr>
      <w:r>
        <w:rPr>
          <w:rFonts w:hint="eastAsia" w:ascii="宋体" w:hAnsi="宋体"/>
          <w:sz w:val="24"/>
        </w:rPr>
        <w:t>4、本项目的特定资格要求：</w:t>
      </w:r>
      <w:bookmarkStart w:id="7" w:name="_Toc35393792"/>
      <w:bookmarkStart w:id="8" w:name="_Toc35393623"/>
    </w:p>
    <w:p>
      <w:pPr>
        <w:spacing w:line="400" w:lineRule="exact"/>
        <w:ind w:firstLine="480" w:firstLineChars="200"/>
        <w:rPr>
          <w:rFonts w:ascii="宋体" w:hAnsi="宋体"/>
          <w:sz w:val="24"/>
        </w:rPr>
      </w:pPr>
      <w:r>
        <w:rPr>
          <w:rFonts w:hint="eastAsia" w:ascii="宋体" w:hAnsi="宋体"/>
          <w:sz w:val="24"/>
        </w:rPr>
        <w:t>第一、二、三、四包：无；</w:t>
      </w:r>
    </w:p>
    <w:p>
      <w:pPr>
        <w:spacing w:line="400" w:lineRule="exact"/>
        <w:ind w:firstLine="480" w:firstLineChars="200"/>
        <w:rPr>
          <w:rFonts w:ascii="宋体" w:hAnsi="宋体"/>
          <w:sz w:val="24"/>
        </w:rPr>
      </w:pPr>
      <w:r>
        <w:rPr>
          <w:rFonts w:hint="eastAsia" w:ascii="宋体" w:hAnsi="宋体"/>
          <w:sz w:val="24"/>
        </w:rPr>
        <w:t>第五包：投标人须具有《易制毒危险化学品经营许可证》，且所投产品均在经营范围内；</w:t>
      </w:r>
    </w:p>
    <w:p>
      <w:pPr>
        <w:spacing w:line="400" w:lineRule="exact"/>
        <w:ind w:firstLine="480" w:firstLineChars="200"/>
        <w:rPr>
          <w:rFonts w:ascii="宋体" w:hAnsi="宋体"/>
          <w:sz w:val="24"/>
        </w:rPr>
      </w:pPr>
      <w:r>
        <w:rPr>
          <w:rFonts w:hint="eastAsia" w:ascii="宋体" w:hAnsi="宋体"/>
          <w:sz w:val="24"/>
        </w:rPr>
        <w:t>第六包：投标人须具有《易制爆危险化学品经营许可证》，且所投产品均在经营范围内。</w:t>
      </w:r>
    </w:p>
    <w:p>
      <w:pPr>
        <w:spacing w:line="400" w:lineRule="exact"/>
        <w:rPr>
          <w:rFonts w:ascii="宋体" w:hAnsi="宋体"/>
          <w:b/>
          <w:sz w:val="24"/>
        </w:rPr>
      </w:pPr>
      <w:r>
        <w:rPr>
          <w:rFonts w:hint="eastAsia" w:ascii="宋体" w:hAnsi="宋体"/>
          <w:b/>
          <w:sz w:val="24"/>
        </w:rPr>
        <w:t>三、获取招标文件</w:t>
      </w:r>
      <w:bookmarkEnd w:id="5"/>
      <w:bookmarkEnd w:id="6"/>
      <w:bookmarkEnd w:id="7"/>
      <w:bookmarkEnd w:id="8"/>
      <w:r>
        <w:rPr>
          <w:rFonts w:hint="eastAsia" w:ascii="宋体" w:hAnsi="宋体"/>
          <w:b/>
          <w:sz w:val="24"/>
        </w:rPr>
        <w:t>：</w:t>
      </w:r>
    </w:p>
    <w:p>
      <w:pPr>
        <w:spacing w:line="400" w:lineRule="exact"/>
        <w:ind w:firstLine="480" w:firstLineChars="200"/>
        <w:rPr>
          <w:rFonts w:ascii="宋体" w:hAnsi="宋体" w:cs="宋体"/>
          <w:sz w:val="24"/>
        </w:rPr>
      </w:pPr>
      <w:r>
        <w:rPr>
          <w:rFonts w:hint="eastAsia" w:ascii="宋体" w:hAnsi="宋体" w:cs="宋体"/>
          <w:sz w:val="24"/>
        </w:rPr>
        <w:t>供应商可于开标时间前至江阴市公共资源交易中心网站国企采购专栏中免费下载采购文件。</w:t>
      </w:r>
    </w:p>
    <w:p>
      <w:pPr>
        <w:spacing w:line="400" w:lineRule="exact"/>
        <w:rPr>
          <w:rFonts w:ascii="宋体" w:hAnsi="宋体"/>
          <w:b/>
          <w:sz w:val="24"/>
        </w:rPr>
      </w:pPr>
      <w:bookmarkStart w:id="9" w:name="_Toc28359005"/>
      <w:bookmarkStart w:id="10" w:name="_Toc28359082"/>
      <w:bookmarkStart w:id="11" w:name="_Toc35393793"/>
      <w:bookmarkStart w:id="12" w:name="_Toc35393624"/>
      <w:r>
        <w:rPr>
          <w:rFonts w:hint="eastAsia" w:ascii="宋体" w:hAnsi="宋体"/>
          <w:b/>
          <w:sz w:val="24"/>
        </w:rPr>
        <w:t>四、提</w:t>
      </w:r>
      <w:bookmarkEnd w:id="9"/>
      <w:bookmarkEnd w:id="10"/>
      <w:bookmarkEnd w:id="11"/>
      <w:bookmarkEnd w:id="12"/>
      <w:r>
        <w:rPr>
          <w:rFonts w:hint="eastAsia" w:ascii="宋体" w:hAnsi="宋体"/>
          <w:b/>
          <w:sz w:val="24"/>
        </w:rPr>
        <w:t>交投标文件截止时间、开标时间和地点：</w:t>
      </w:r>
    </w:p>
    <w:p>
      <w:pPr>
        <w:spacing w:line="400" w:lineRule="exact"/>
        <w:ind w:firstLine="480" w:firstLineChars="200"/>
        <w:rPr>
          <w:rFonts w:ascii="宋体" w:hAnsi="宋体" w:cs="宋体"/>
          <w:sz w:val="24"/>
        </w:rPr>
      </w:pPr>
      <w:r>
        <w:rPr>
          <w:rFonts w:hint="eastAsia" w:ascii="宋体" w:hAnsi="宋体" w:cs="宋体"/>
          <w:sz w:val="24"/>
        </w:rPr>
        <w:t>1、提交投标文件开始时间：2023年10月25日上午9:00（北京时间）</w:t>
      </w:r>
    </w:p>
    <w:p>
      <w:pPr>
        <w:spacing w:line="400" w:lineRule="exact"/>
        <w:ind w:firstLine="480" w:firstLineChars="200"/>
        <w:rPr>
          <w:rFonts w:ascii="宋体" w:hAnsi="宋体" w:cs="宋体"/>
          <w:sz w:val="24"/>
        </w:rPr>
      </w:pPr>
      <w:r>
        <w:rPr>
          <w:rFonts w:hint="eastAsia" w:ascii="宋体" w:hAnsi="宋体" w:cs="宋体"/>
          <w:sz w:val="24"/>
        </w:rPr>
        <w:t>2、提交投标文件截止时间：2023年10月25日上午9:30（北京时间）</w:t>
      </w:r>
    </w:p>
    <w:p>
      <w:pPr>
        <w:spacing w:line="400" w:lineRule="exact"/>
        <w:ind w:firstLine="480" w:firstLineChars="200"/>
        <w:rPr>
          <w:rFonts w:ascii="宋体" w:hAnsi="宋体" w:cs="宋体"/>
          <w:sz w:val="24"/>
        </w:rPr>
      </w:pPr>
      <w:r>
        <w:rPr>
          <w:rFonts w:hint="eastAsia" w:ascii="宋体" w:hAnsi="宋体" w:cs="宋体"/>
          <w:sz w:val="24"/>
        </w:rPr>
        <w:t>3、开标时间：2023年10月25日上午9:30（北京时间）</w:t>
      </w:r>
    </w:p>
    <w:p>
      <w:pPr>
        <w:spacing w:line="400" w:lineRule="exact"/>
        <w:ind w:firstLine="480" w:firstLineChars="200"/>
        <w:rPr>
          <w:rFonts w:ascii="宋体" w:hAnsi="宋体" w:cs="宋体"/>
          <w:sz w:val="24"/>
        </w:rPr>
      </w:pPr>
      <w:r>
        <w:rPr>
          <w:rFonts w:hint="eastAsia" w:ascii="宋体" w:hAnsi="宋体" w:cs="宋体"/>
          <w:sz w:val="24"/>
        </w:rPr>
        <w:t>4、提交投标文件及开标地点：江阴市长江路188号江阴市政务服务中心四楼第二开标室</w:t>
      </w:r>
    </w:p>
    <w:p>
      <w:pPr>
        <w:spacing w:line="400" w:lineRule="exact"/>
        <w:rPr>
          <w:rFonts w:ascii="宋体" w:hAnsi="宋体"/>
          <w:b/>
          <w:sz w:val="24"/>
        </w:rPr>
      </w:pPr>
      <w:bookmarkStart w:id="13" w:name="_Toc35393625"/>
      <w:bookmarkStart w:id="14" w:name="_Toc35393794"/>
      <w:bookmarkStart w:id="15" w:name="_Toc28359084"/>
      <w:bookmarkStart w:id="16" w:name="_Toc28359007"/>
      <w:r>
        <w:rPr>
          <w:rFonts w:hint="eastAsia" w:ascii="宋体" w:hAnsi="宋体"/>
          <w:b/>
          <w:sz w:val="24"/>
        </w:rPr>
        <w:t>五、公告期限</w:t>
      </w:r>
      <w:bookmarkEnd w:id="13"/>
      <w:bookmarkEnd w:id="14"/>
      <w:bookmarkEnd w:id="15"/>
      <w:bookmarkEnd w:id="16"/>
      <w:r>
        <w:rPr>
          <w:rFonts w:hint="eastAsia" w:ascii="宋体" w:hAnsi="宋体"/>
          <w:b/>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17" w:name="_Toc35393627"/>
      <w:bookmarkStart w:id="18" w:name="_Toc28359085"/>
      <w:bookmarkStart w:id="19" w:name="_Toc35393796"/>
      <w:bookmarkStart w:id="20" w:name="_Toc28359008"/>
      <w:r>
        <w:rPr>
          <w:rFonts w:hint="eastAsia" w:ascii="宋体" w:hAnsi="宋体"/>
          <w:b/>
          <w:sz w:val="24"/>
        </w:rPr>
        <w:t>六、对本次招标提出询问，请按以下方式联系</w:t>
      </w:r>
      <w:bookmarkEnd w:id="17"/>
      <w:bookmarkEnd w:id="18"/>
      <w:bookmarkEnd w:id="19"/>
      <w:bookmarkEnd w:id="20"/>
      <w:r>
        <w:rPr>
          <w:rFonts w:hint="eastAsia" w:ascii="宋体" w:hAnsi="宋体"/>
          <w:b/>
          <w:sz w:val="24"/>
        </w:rPr>
        <w:t>：</w:t>
      </w:r>
    </w:p>
    <w:p>
      <w:pPr>
        <w:spacing w:line="400" w:lineRule="exact"/>
        <w:ind w:firstLine="482" w:firstLineChars="200"/>
        <w:jc w:val="left"/>
        <w:rPr>
          <w:rFonts w:ascii="宋体" w:hAnsi="宋体" w:cs="宋体"/>
          <w:b/>
          <w:sz w:val="24"/>
        </w:rPr>
      </w:pPr>
      <w:bookmarkStart w:id="21" w:name="_Toc28359009"/>
      <w:bookmarkStart w:id="22" w:name="_Toc28359086"/>
      <w:r>
        <w:rPr>
          <w:rFonts w:hint="eastAsia" w:ascii="宋体" w:hAnsi="宋体" w:cs="宋体"/>
          <w:b/>
          <w:sz w:val="24"/>
        </w:rPr>
        <w:t>江阴市食品安全检测中心</w:t>
      </w:r>
    </w:p>
    <w:p>
      <w:pPr>
        <w:spacing w:line="400" w:lineRule="exact"/>
        <w:ind w:firstLine="480" w:firstLineChars="200"/>
        <w:jc w:val="left"/>
        <w:rPr>
          <w:rFonts w:ascii="宋体" w:hAnsi="宋体" w:cs="宋体"/>
          <w:sz w:val="24"/>
        </w:rPr>
      </w:pPr>
      <w:r>
        <w:rPr>
          <w:rFonts w:hint="eastAsia" w:ascii="宋体" w:hAnsi="宋体" w:cs="宋体"/>
          <w:sz w:val="24"/>
        </w:rPr>
        <w:t>地  址：江阴市东外环路188号</w:t>
      </w:r>
    </w:p>
    <w:p>
      <w:pPr>
        <w:spacing w:line="400" w:lineRule="exact"/>
        <w:ind w:firstLine="480" w:firstLineChars="200"/>
        <w:rPr>
          <w:rFonts w:ascii="宋体" w:hAnsi="宋体"/>
          <w:sz w:val="24"/>
        </w:rPr>
      </w:pPr>
      <w:r>
        <w:rPr>
          <w:rFonts w:hint="eastAsia" w:ascii="宋体" w:hAnsi="宋体"/>
          <w:sz w:val="24"/>
        </w:rPr>
        <w:t>项目联系人：胡先生</w:t>
      </w:r>
    </w:p>
    <w:p>
      <w:pPr>
        <w:spacing w:line="400" w:lineRule="exact"/>
        <w:ind w:firstLine="480" w:firstLineChars="200"/>
        <w:jc w:val="left"/>
        <w:rPr>
          <w:rFonts w:ascii="宋体" w:hAnsi="宋体"/>
          <w:sz w:val="24"/>
        </w:rPr>
      </w:pPr>
      <w:r>
        <w:rPr>
          <w:rFonts w:hint="eastAsia" w:ascii="宋体" w:hAnsi="宋体"/>
          <w:sz w:val="24"/>
        </w:rPr>
        <w:t>联系电话：</w:t>
      </w:r>
      <w:r>
        <w:rPr>
          <w:rFonts w:ascii="宋体" w:hAnsi="宋体"/>
          <w:sz w:val="24"/>
        </w:rPr>
        <w:t>18068362282</w:t>
      </w:r>
    </w:p>
    <w:p>
      <w:pPr>
        <w:spacing w:line="400" w:lineRule="exact"/>
        <w:ind w:firstLine="480" w:firstLineChars="200"/>
        <w:jc w:val="left"/>
        <w:rPr>
          <w:rFonts w:ascii="宋体" w:hAnsi="宋体"/>
          <w:sz w:val="24"/>
        </w:rPr>
      </w:pPr>
    </w:p>
    <w:bookmarkEnd w:id="21"/>
    <w:bookmarkEnd w:id="22"/>
    <w:p>
      <w:pPr>
        <w:adjustRightInd w:val="0"/>
        <w:snapToGrid w:val="0"/>
        <w:spacing w:line="400" w:lineRule="exact"/>
        <w:ind w:right="120" w:firstLine="480" w:firstLineChars="200"/>
        <w:jc w:val="right"/>
        <w:rPr>
          <w:rFonts w:ascii="宋体" w:hAnsi="宋体"/>
          <w:sz w:val="24"/>
        </w:rPr>
      </w:pPr>
      <w:r>
        <w:rPr>
          <w:rFonts w:hint="eastAsia" w:ascii="宋体" w:hAnsi="宋体"/>
          <w:sz w:val="24"/>
        </w:rPr>
        <w:t>江阴市食品安全检测中心</w:t>
      </w:r>
    </w:p>
    <w:p>
      <w:pPr>
        <w:adjustRightInd w:val="0"/>
        <w:snapToGrid w:val="0"/>
        <w:spacing w:line="400" w:lineRule="exact"/>
        <w:ind w:right="240" w:firstLine="480" w:firstLineChars="200"/>
        <w:jc w:val="right"/>
        <w:rPr>
          <w:rFonts w:ascii="宋体" w:hAnsi="宋体"/>
          <w:sz w:val="24"/>
        </w:rPr>
      </w:pPr>
      <w:r>
        <w:rPr>
          <w:rFonts w:hint="eastAsia" w:ascii="宋体" w:hAnsi="宋体"/>
          <w:sz w:val="24"/>
        </w:rPr>
        <w:t>2023年9月28日</w:t>
      </w:r>
    </w:p>
    <w:p>
      <w:pPr>
        <w:pStyle w:val="34"/>
        <w:spacing w:line="400" w:lineRule="exact"/>
        <w:jc w:val="center"/>
        <w:rPr>
          <w:rFonts w:ascii="黑体" w:eastAsia="黑体"/>
          <w:sz w:val="24"/>
        </w:rPr>
      </w:pPr>
    </w:p>
    <w:p>
      <w:pPr>
        <w:adjustRightInd w:val="0"/>
        <w:snapToGrid w:val="0"/>
        <w:spacing w:line="400" w:lineRule="exact"/>
        <w:jc w:val="center"/>
        <w:rPr>
          <w:rFonts w:ascii="黑体" w:eastAsia="黑体"/>
          <w:sz w:val="30"/>
          <w:szCs w:val="30"/>
        </w:rPr>
      </w:pPr>
      <w:bookmarkStart w:id="23" w:name="_Toc251268359"/>
      <w:bookmarkStart w:id="24" w:name="_Toc251268360"/>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r>
        <w:rPr>
          <w:rFonts w:hint="eastAsia" w:ascii="黑体" w:eastAsia="黑体"/>
          <w:sz w:val="30"/>
          <w:szCs w:val="30"/>
        </w:rPr>
        <w:t>第二章　投标人须知前附表</w:t>
      </w:r>
      <w:bookmarkEnd w:id="23"/>
    </w:p>
    <w:p>
      <w:pPr>
        <w:adjustRightInd w:val="0"/>
        <w:snapToGrid w:val="0"/>
        <w:spacing w:line="400" w:lineRule="exact"/>
        <w:jc w:val="center"/>
        <w:rPr>
          <w:rFonts w:ascii="黑体" w:eastAsia="黑体"/>
          <w:sz w:val="30"/>
          <w:szCs w:val="30"/>
        </w:rPr>
      </w:pPr>
    </w:p>
    <w:tbl>
      <w:tblPr>
        <w:tblStyle w:val="88"/>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8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tcPr>
          <w:p>
            <w:pPr>
              <w:spacing w:line="400" w:lineRule="exact"/>
              <w:jc w:val="center"/>
              <w:rPr>
                <w:rFonts w:ascii="黑体" w:hAnsi="宋体" w:eastAsia="黑体"/>
                <w:bCs/>
                <w:sz w:val="24"/>
              </w:rPr>
            </w:pPr>
            <w:r>
              <w:rPr>
                <w:rFonts w:hint="eastAsia" w:ascii="黑体" w:hAnsi="宋体" w:eastAsia="黑体"/>
                <w:bCs/>
                <w:sz w:val="24"/>
              </w:rPr>
              <w:t>序号</w:t>
            </w:r>
          </w:p>
        </w:tc>
        <w:tc>
          <w:tcPr>
            <w:tcW w:w="8889" w:type="dxa"/>
            <w:vAlign w:val="center"/>
          </w:tcPr>
          <w:p>
            <w:pPr>
              <w:spacing w:line="400" w:lineRule="exact"/>
              <w:jc w:val="center"/>
              <w:rPr>
                <w:rFonts w:ascii="黑体" w:hAnsi="宋体" w:eastAsia="黑体"/>
                <w:bCs/>
                <w:sz w:val="24"/>
              </w:rPr>
            </w:pPr>
            <w:r>
              <w:rPr>
                <w:rFonts w:hint="eastAsia" w:ascii="黑体" w:hAnsi="宋体" w:eastAsia="黑体"/>
                <w:bCs/>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889" w:type="dxa"/>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项目名称：2024年度试剂、耗材供应商遴选项目</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项目编号：JYSP2023Z001</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 购 人：</w:t>
            </w:r>
            <w:r>
              <w:rPr>
                <w:rFonts w:hint="eastAsia" w:ascii="宋体" w:hAnsi="宋体" w:cs="宋体"/>
                <w:sz w:val="24"/>
              </w:rPr>
              <w:t>江阴市食品安全检测中心</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采购方式：公开招标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投标保证金：</w:t>
            </w:r>
            <w:r>
              <w:rPr>
                <w:rFonts w:hint="eastAsia" w:ascii="宋体" w:hAnsi="宋体" w:cs="宋体"/>
                <w:sz w:val="24"/>
              </w:rPr>
              <w:t>本项目免收投标保证金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889"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投标有效期：开标后90天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投标文件接收时间：2023年10月25日  上午9:00 —— 9:30 止</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投标文件接收地点：江阴市长江路188号江阴市政务服务中心四楼第二开标室</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截止期后的投标文件，恕不接受。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开标时间：2023年10月25日  上午9:30起 </w:t>
            </w:r>
          </w:p>
          <w:p>
            <w:pPr>
              <w:spacing w:line="400" w:lineRule="exact"/>
              <w:rPr>
                <w:rFonts w:asciiTheme="minorEastAsia" w:hAnsiTheme="minorEastAsia" w:eastAsiaTheme="minorEastAsia"/>
                <w:b/>
                <w:sz w:val="24"/>
              </w:rPr>
            </w:pPr>
            <w:r>
              <w:rPr>
                <w:rFonts w:hint="eastAsia" w:asciiTheme="minorEastAsia" w:hAnsiTheme="minorEastAsia" w:eastAsiaTheme="minorEastAsia"/>
                <w:sz w:val="24"/>
              </w:rPr>
              <w:t>地点：江阴市长江路188号江阴市政务服务中心四楼第二开标室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确定中标单位时间：评审结束后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投标文件正本份数：1份</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投标文件副本份数：4份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889" w:type="dxa"/>
          </w:tcPr>
          <w:p>
            <w:pPr>
              <w:spacing w:line="400" w:lineRule="exact"/>
              <w:jc w:val="left"/>
              <w:rPr>
                <w:rFonts w:ascii="宋体" w:hAnsi="宋体" w:cs="宋体"/>
                <w:sz w:val="24"/>
              </w:rPr>
            </w:pPr>
            <w:r>
              <w:rPr>
                <w:rFonts w:hint="eastAsia" w:ascii="宋体" w:hAnsi="宋体" w:cs="宋体"/>
                <w:sz w:val="24"/>
              </w:rPr>
              <w:t>江阴市食品安全检测中心</w:t>
            </w:r>
          </w:p>
          <w:p>
            <w:pPr>
              <w:spacing w:line="400" w:lineRule="exact"/>
              <w:jc w:val="left"/>
              <w:rPr>
                <w:rFonts w:ascii="宋体" w:hAnsi="宋体" w:cs="宋体"/>
                <w:sz w:val="24"/>
              </w:rPr>
            </w:pPr>
            <w:r>
              <w:rPr>
                <w:rFonts w:hint="eastAsia" w:ascii="宋体" w:hAnsi="宋体" w:cs="宋体"/>
                <w:sz w:val="24"/>
              </w:rPr>
              <w:t>地  址：江阴市东外环路188号</w:t>
            </w:r>
          </w:p>
          <w:p>
            <w:pPr>
              <w:spacing w:line="400" w:lineRule="exact"/>
              <w:rPr>
                <w:rFonts w:ascii="宋体" w:hAnsi="宋体"/>
                <w:sz w:val="24"/>
              </w:rPr>
            </w:pPr>
            <w:r>
              <w:rPr>
                <w:rFonts w:hint="eastAsia" w:ascii="宋体" w:hAnsi="宋体"/>
                <w:sz w:val="24"/>
              </w:rPr>
              <w:t>项目联系人：胡先生</w:t>
            </w:r>
          </w:p>
          <w:p>
            <w:pPr>
              <w:spacing w:line="400" w:lineRule="exact"/>
              <w:jc w:val="left"/>
              <w:rPr>
                <w:rFonts w:ascii="宋体" w:hAnsi="宋体"/>
                <w:sz w:val="24"/>
              </w:rPr>
            </w:pPr>
            <w:r>
              <w:rPr>
                <w:rFonts w:hint="eastAsia" w:ascii="宋体" w:hAnsi="宋体"/>
                <w:sz w:val="24"/>
              </w:rPr>
              <w:t>联系电话：</w:t>
            </w:r>
            <w:r>
              <w:rPr>
                <w:rFonts w:ascii="宋体" w:hAnsi="宋体"/>
                <w:sz w:val="24"/>
              </w:rPr>
              <w:t>18068362282</w:t>
            </w:r>
          </w:p>
        </w:tc>
      </w:tr>
    </w:tbl>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outlineLvl w:val="0"/>
        <w:rPr>
          <w:rFonts w:ascii="黑体" w:eastAsia="黑体"/>
          <w:sz w:val="30"/>
          <w:szCs w:val="30"/>
        </w:rPr>
      </w:pPr>
    </w:p>
    <w:p>
      <w:pPr>
        <w:spacing w:line="400" w:lineRule="exact"/>
        <w:jc w:val="center"/>
        <w:outlineLvl w:val="0"/>
        <w:rPr>
          <w:rFonts w:ascii="黑体" w:eastAsia="黑体"/>
          <w:sz w:val="30"/>
          <w:szCs w:val="30"/>
        </w:rPr>
      </w:pPr>
      <w:r>
        <w:rPr>
          <w:rFonts w:hint="eastAsia" w:ascii="黑体" w:eastAsia="黑体"/>
          <w:sz w:val="30"/>
          <w:szCs w:val="30"/>
        </w:rPr>
        <w:t>第三章　投标人须知</w:t>
      </w:r>
      <w:bookmarkEnd w:id="24"/>
    </w:p>
    <w:p>
      <w:pPr>
        <w:spacing w:line="400" w:lineRule="exact"/>
        <w:rPr>
          <w:rFonts w:ascii="黑体" w:eastAsia="黑体"/>
          <w:sz w:val="28"/>
        </w:rPr>
      </w:pPr>
    </w:p>
    <w:p>
      <w:pPr>
        <w:spacing w:line="600" w:lineRule="exact"/>
        <w:rPr>
          <w:rFonts w:ascii="黑体" w:eastAsia="黑体"/>
          <w:sz w:val="28"/>
        </w:rPr>
      </w:pPr>
      <w:r>
        <w:rPr>
          <w:rFonts w:hint="eastAsia" w:ascii="黑体" w:eastAsia="黑体"/>
          <w:sz w:val="28"/>
        </w:rPr>
        <w:t>一、总体要求及遵循原则：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公开透明原则、公平竞争原则、公正原则和诚实信用原则。</w:t>
      </w:r>
    </w:p>
    <w:p>
      <w:pPr>
        <w:spacing w:line="600" w:lineRule="exact"/>
        <w:rPr>
          <w:rFonts w:ascii="黑体" w:eastAsia="黑体"/>
          <w:sz w:val="24"/>
        </w:rPr>
      </w:pPr>
      <w:r>
        <w:rPr>
          <w:rFonts w:hint="eastAsia" w:ascii="黑体" w:eastAsia="黑体"/>
          <w:sz w:val="28"/>
        </w:rPr>
        <w:t>二、招标文件：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1、招标文件包括本文件目录所列全部内容，投标人应仔细阅读，并在投标文件中充分反映招标文件的所有要求。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2、招标文件中的“法定代表人”是指投标人的营业执照或相关部门的有效登记证明文件中的“法定代表人”或“负责人”。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3、投标人应在江阴市公共资源交易中心网站免费下载招标文件及有关资料，按招标文件要求提交全部资料并对招标文件各项内容做出实质性响应，否则投标无效。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4、投标人一旦参加本项目，即被认为接受了本招标文件中的所有条件和规定。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5、招标文件仅作为本次采购投标使用。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6、本文件的最终解释权归采购人。</w:t>
      </w:r>
    </w:p>
    <w:p>
      <w:pPr>
        <w:spacing w:line="600" w:lineRule="exact"/>
        <w:rPr>
          <w:rFonts w:ascii="黑体" w:eastAsia="黑体"/>
          <w:sz w:val="28"/>
        </w:rPr>
      </w:pPr>
      <w:r>
        <w:rPr>
          <w:rFonts w:hint="eastAsia" w:ascii="黑体" w:eastAsia="黑体"/>
          <w:sz w:val="28"/>
        </w:rPr>
        <w:t>三、投标文件的要求：</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投标文件由下列部分组成：</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w:t>
      </w:r>
      <w:r>
        <w:rPr>
          <w:rFonts w:hint="eastAsia" w:asciiTheme="minorEastAsia" w:hAnsiTheme="minorEastAsia" w:eastAsiaTheme="minorEastAsia"/>
          <w:b/>
          <w:sz w:val="24"/>
        </w:rPr>
        <w:t>*</w:t>
      </w:r>
      <w:r>
        <w:rPr>
          <w:rFonts w:hint="eastAsia" w:asciiTheme="minorEastAsia" w:hAnsiTheme="minorEastAsia" w:eastAsiaTheme="minorEastAsia"/>
          <w:sz w:val="24"/>
        </w:rPr>
        <w:t>投标函；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报价明细表；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商务、</w:t>
      </w:r>
      <w:r>
        <w:rPr>
          <w:rFonts w:hint="eastAsia" w:asciiTheme="minorEastAsia" w:hAnsiTheme="minorEastAsia" w:eastAsiaTheme="minorEastAsia"/>
          <w:bCs/>
          <w:sz w:val="24"/>
        </w:rPr>
        <w:t>技术要求响应及偏离表；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b/>
          <w:sz w:val="24"/>
        </w:rPr>
        <w:t>*</w:t>
      </w:r>
      <w:r>
        <w:rPr>
          <w:rFonts w:hint="eastAsia" w:asciiTheme="minorEastAsia" w:hAnsiTheme="minorEastAsia" w:eastAsiaTheme="minorEastAsia"/>
          <w:sz w:val="24"/>
        </w:rPr>
        <w:t>项目实施方案及需要说明的其他内容；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b/>
          <w:sz w:val="24"/>
        </w:rPr>
        <w:t>*</w:t>
      </w:r>
      <w:r>
        <w:rPr>
          <w:rFonts w:hint="eastAsia" w:asciiTheme="minorEastAsia" w:hAnsiTheme="minorEastAsia" w:eastAsiaTheme="minorEastAsia"/>
          <w:sz w:val="24"/>
        </w:rPr>
        <w:t>投标人综合实力；</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（7）</w:t>
      </w:r>
      <w:r>
        <w:rPr>
          <w:rFonts w:hint="eastAsia" w:asciiTheme="minorEastAsia" w:hAnsiTheme="minorEastAsia" w:eastAsiaTheme="minorEastAsia"/>
          <w:b/>
          <w:sz w:val="24"/>
        </w:rPr>
        <w:t>*</w:t>
      </w:r>
      <w:r>
        <w:rPr>
          <w:rFonts w:hint="eastAsia" w:asciiTheme="minorEastAsia" w:hAnsiTheme="minorEastAsia" w:eastAsiaTheme="minorEastAsia"/>
          <w:sz w:val="24"/>
        </w:rPr>
        <w:t>资格证明文件：</w:t>
      </w:r>
    </w:p>
    <w:p>
      <w:pPr>
        <w:spacing w:line="400" w:lineRule="exact"/>
        <w:ind w:firstLine="964" w:firstLineChars="4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文件1：</w:t>
      </w:r>
      <w:r>
        <w:rPr>
          <w:rFonts w:hint="eastAsia" w:asciiTheme="minorEastAsia" w:hAnsiTheme="minorEastAsia" w:eastAsiaTheme="minorEastAsia"/>
          <w:bCs/>
          <w:sz w:val="24"/>
          <w:szCs w:val="28"/>
        </w:rPr>
        <w:t>提供格式条款《关于资格的声明函》</w:t>
      </w:r>
    </w:p>
    <w:p>
      <w:pPr>
        <w:spacing w:line="400" w:lineRule="exact"/>
        <w:ind w:firstLine="964" w:firstLineChars="400"/>
        <w:rPr>
          <w:rFonts w:asciiTheme="minorEastAsia" w:hAnsiTheme="minorEastAsia" w:eastAsiaTheme="minorEastAsia"/>
          <w:bCs/>
          <w:sz w:val="24"/>
          <w:szCs w:val="28"/>
        </w:rPr>
      </w:pPr>
      <w:r>
        <w:rPr>
          <w:rFonts w:hint="eastAsia" w:asciiTheme="minorEastAsia" w:hAnsiTheme="minorEastAsia" w:eastAsiaTheme="minorEastAsia"/>
          <w:b/>
          <w:bCs/>
          <w:sz w:val="24"/>
        </w:rPr>
        <w:t>文件2：</w:t>
      </w:r>
      <w:r>
        <w:rPr>
          <w:rFonts w:hint="eastAsia" w:asciiTheme="minorEastAsia" w:hAnsiTheme="minorEastAsia" w:eastAsiaTheme="minorEastAsia"/>
          <w:bCs/>
          <w:sz w:val="24"/>
        </w:rPr>
        <w:t>法定代表人授权委托书（法定代表人签署投标文件且亲自参与的不需提供）【授权委托人必须提供本单位</w:t>
      </w:r>
      <w:r>
        <w:rPr>
          <w:rFonts w:hint="eastAsia" w:asciiTheme="minorEastAsia" w:hAnsiTheme="minorEastAsia" w:eastAsiaTheme="minorEastAsia"/>
          <w:b/>
          <w:bCs/>
          <w:sz w:val="24"/>
        </w:rPr>
        <w:t>连续6个月</w:t>
      </w:r>
      <w:r>
        <w:rPr>
          <w:rFonts w:hint="eastAsia" w:asciiTheme="minorEastAsia" w:hAnsiTheme="minorEastAsia" w:eastAsiaTheme="minorEastAsia"/>
          <w:bCs/>
          <w:sz w:val="24"/>
        </w:rPr>
        <w:t>（且至少包含近3个月中任意1个月份&lt;不含投标当</w:t>
      </w:r>
      <w:r>
        <w:rPr>
          <w:rFonts w:hint="eastAsia" w:asciiTheme="minorEastAsia" w:hAnsiTheme="minorEastAsia" w:eastAsiaTheme="minorEastAsia"/>
          <w:bCs/>
          <w:sz w:val="24"/>
          <w:szCs w:val="28"/>
        </w:rPr>
        <w:t>月&gt;）为其缴纳社保的证明复印件】</w:t>
      </w:r>
    </w:p>
    <w:p>
      <w:pPr>
        <w:spacing w:line="400" w:lineRule="exact"/>
        <w:ind w:firstLine="964" w:firstLineChars="4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文件3：</w:t>
      </w:r>
      <w:r>
        <w:rPr>
          <w:rFonts w:hint="eastAsia" w:asciiTheme="minorEastAsia" w:hAnsiTheme="minorEastAsia" w:eastAsiaTheme="minorEastAsia"/>
          <w:bCs/>
          <w:sz w:val="24"/>
          <w:szCs w:val="28"/>
        </w:rPr>
        <w:t>第五包：投标人须具有《易制毒危险化学品经营许可证》，且所投产品均在经营范围内；第六包：投标人须具有《易制爆危险化学品经营许可证》，且所投产品均在经营范围内。</w:t>
      </w:r>
      <w:r>
        <w:rPr>
          <w:rFonts w:hint="eastAsia" w:asciiTheme="minorEastAsia" w:hAnsiTheme="minorEastAsia" w:eastAsiaTheme="minorEastAsia"/>
          <w:b/>
          <w:bCs/>
          <w:sz w:val="24"/>
          <w:szCs w:val="28"/>
        </w:rPr>
        <w:t>（复印件，并在证书上醒目标注产品名称）</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（7）</w:t>
      </w:r>
      <w:r>
        <w:rPr>
          <w:rFonts w:hint="eastAsia" w:asciiTheme="minorEastAsia" w:hAnsiTheme="minorEastAsia" w:eastAsiaTheme="minorEastAsia"/>
          <w:bCs/>
          <w:sz w:val="24"/>
          <w:szCs w:val="28"/>
        </w:rPr>
        <w:t>评分标准中对应的其它所需证明材料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（8）投标人</w:t>
      </w:r>
      <w:r>
        <w:rPr>
          <w:rFonts w:asciiTheme="minorEastAsia" w:hAnsiTheme="minorEastAsia" w:eastAsiaTheme="minorEastAsia"/>
          <w:sz w:val="24"/>
          <w:szCs w:val="28"/>
        </w:rPr>
        <w:t>认为需要提供的其他证明文件</w:t>
      </w:r>
    </w:p>
    <w:p>
      <w:pPr>
        <w:spacing w:line="40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①其中加“*”项目若有缺失或无效，将作为无效投标文件。</w:t>
      </w:r>
    </w:p>
    <w:p>
      <w:pPr>
        <w:spacing w:line="400" w:lineRule="exact"/>
        <w:ind w:firstLine="470" w:firstLineChars="196"/>
        <w:rPr>
          <w:rFonts w:ascii="Tahoma" w:hAnsi="Tahoma" w:cs="Tahoma"/>
          <w:sz w:val="24"/>
        </w:rPr>
      </w:pPr>
      <w:r>
        <w:rPr>
          <w:rFonts w:hint="eastAsia" w:asciiTheme="minorEastAsia" w:hAnsiTheme="minorEastAsia" w:eastAsiaTheme="minorEastAsia"/>
          <w:sz w:val="24"/>
        </w:rPr>
        <w:t>②</w:t>
      </w:r>
      <w:r>
        <w:rPr>
          <w:rFonts w:hint="eastAsia" w:ascii="Tahoma" w:hAnsi="Tahoma" w:cs="Tahoma"/>
          <w:sz w:val="24"/>
        </w:rPr>
        <w:t>如上述资格证明文件若遇年检、换证等未能提供的情况，则必须提供法定年检、换证单位出具的有效证明。如上述资格证明文件遇有国家相关政策规定可不具备的，必须提供相关政策规定或相关单位出具的有效证明。</w:t>
      </w:r>
    </w:p>
    <w:p>
      <w:pPr>
        <w:spacing w:line="400" w:lineRule="exact"/>
        <w:ind w:firstLine="480" w:firstLineChars="200"/>
        <w:rPr>
          <w:rFonts w:ascii="Tahoma" w:hAnsi="Tahoma" w:cs="Tahoma"/>
          <w:sz w:val="24"/>
        </w:rPr>
      </w:pPr>
      <w:r>
        <w:rPr>
          <w:rFonts w:hint="eastAsia" w:asciiTheme="minorEastAsia" w:hAnsiTheme="minorEastAsia" w:eastAsiaTheme="minorEastAsia"/>
          <w:sz w:val="24"/>
        </w:rPr>
        <w:t>③</w:t>
      </w:r>
      <w:r>
        <w:rPr>
          <w:rFonts w:hint="eastAsia" w:asciiTheme="minorEastAsia" w:hAnsiTheme="minorEastAsia" w:eastAsiaTheme="minorEastAsia"/>
          <w:b/>
          <w:sz w:val="24"/>
        </w:rPr>
        <w:t>授权委托人提供以人事代理、控股子公司等代收代缴形式缴纳社保的证明，属于无效证明文件。</w:t>
      </w:r>
      <w:r>
        <w:rPr>
          <w:rFonts w:hint="eastAsia" w:ascii="Tahoma" w:hAnsi="Tahoma" w:cs="Tahoma"/>
          <w:sz w:val="24"/>
        </w:rPr>
        <w:t>新成立的单位若不能提供</w:t>
      </w:r>
      <w:r>
        <w:rPr>
          <w:rFonts w:hint="eastAsia" w:asciiTheme="minorEastAsia" w:hAnsiTheme="minorEastAsia" w:eastAsiaTheme="minorEastAsia"/>
          <w:bCs/>
          <w:sz w:val="24"/>
        </w:rPr>
        <w:t>授权委托人的社保缴纳证明</w:t>
      </w:r>
      <w:r>
        <w:rPr>
          <w:rFonts w:hint="eastAsia" w:ascii="Tahoma" w:hAnsi="Tahoma" w:cs="Tahoma"/>
          <w:sz w:val="24"/>
        </w:rPr>
        <w:t>，可提供自成立以来的相关证明。新成立的单位是指营业执照颁发日期在本项目开标之日前六个月内。</w:t>
      </w:r>
    </w:p>
    <w:p>
      <w:pPr>
        <w:spacing w:line="400" w:lineRule="exact"/>
        <w:rPr>
          <w:rFonts w:ascii="黑体" w:eastAsia="黑体"/>
          <w:sz w:val="28"/>
        </w:rPr>
      </w:pPr>
      <w:r>
        <w:rPr>
          <w:rFonts w:hint="eastAsia" w:ascii="黑体" w:eastAsia="黑体"/>
          <w:sz w:val="28"/>
        </w:rPr>
        <w:t>四、投标文件的制作：</w:t>
      </w:r>
    </w:p>
    <w:p>
      <w:pPr>
        <w:tabs>
          <w:tab w:val="left" w:pos="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1、所有文件、往来函件均应使用简体中文（规格、型号辅助符号例外）。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2、投标文件由投标单位按给定格式如实填写（编写），须有法人、法定代表人或法定代表人授权委托人签字（盖章），方为有效，未尽事宜可自行补充。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3、投标单位投标一律以人民币为投标结算货币,结算单位为“元”。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4、投标文件格式部分，应由投标单位按给定格式提供，不得更改。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5、投标文件应打印或用不褪色的黑色墨水书写。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文件可用A4纸装订成册并加以密封。份数为正本一份，副本四份。正本副本不一致时，以正本为准。密封袋表面注明项目名称、项目编号、投标单位名称，并加盖投标人公章。任何单位和个人不得在开标前开启投标文件。逾期送达或者未密封的投标文件，将予以拒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7、投标书不应有涂改、增删和潦草之处，如有必须修改时，修改处必须有法人、法定代表人或法定代表人授权委托人的签章。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9、投标的有效期为开标后90天。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10、投标费用自理。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11、投标人所递交的全部投标文件均按保密文件处理，不予退还。</w:t>
      </w:r>
    </w:p>
    <w:p>
      <w:pPr>
        <w:spacing w:line="600" w:lineRule="exact"/>
        <w:rPr>
          <w:rFonts w:ascii="黑体" w:eastAsia="黑体"/>
          <w:sz w:val="28"/>
        </w:rPr>
      </w:pPr>
      <w:r>
        <w:rPr>
          <w:rFonts w:hint="eastAsia" w:ascii="黑体" w:eastAsia="黑体"/>
          <w:sz w:val="28"/>
        </w:rPr>
        <w:t>五、无效投标文件的确认：</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（一）投标人存在下列情况之一的，其投标无效：</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1、投标文件未按招标文件要求签署、盖章的；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2、不具备招标文件中规定的资格要求的，未提供格式条款《关于资格的声明函》承诺书或者对该承诺书作实质性修改的；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3、投标文件含有采购人不能接受的附加条件的；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4、投标文件未按规定的期限、地点送达的；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5、投标文件内容未实质性响应或不符合法律法规和招标文件中规定的其它实质性要求的；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6、投标文件中同一方案有选择性报价且未声明以哪一个为准的；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7、不响应招标文件中的付款方式的。</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（二）投标人有下列情形之一的，视为串通投标，其投标无效，并参照《政府采购法》第七十七条规定追究法律责任：</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1、投标单位直接或间接从采购人或采购代理机构处获得其他投标单位的投标情况，并修改其投标文件；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2、评审活动开始前投标单位直接或间接从采购人或采购代理机构处获得评标委员会组成人员情况；</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3、投标单位接受采购人或采购代理机构授意撤换、修改投标文件；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4、投标单位之间协商投标报价、技术方案等投标文件实质性内容；</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5、属于同一集团、协会、商会等组织成员的投标单位按照该组织要求协同投标；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6、投标单位之间事先约定由某一特定投标单位中标；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7、投标单位之间商定部分投标单位放弃投标或者放弃中标；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8、投标单位与采购人或采购代理机构之间、投标单位相互之间为谋求特定投标单位中标成交或者排斥其他投标单位的其他串通行为；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9、不同投标人的投标文件由同一单位或者个人编制；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10、不同投标人委托同一单位或者个人办理投标事宜；</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11、不同投标人的投标文件载明的项目管理成员为同一人；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12、不同投标人的投标文件异常一致或者投标报价呈规律性差异；</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13、不同投标人的投标文件相互混装。</w:t>
      </w:r>
    </w:p>
    <w:p>
      <w:pPr>
        <w:spacing w:line="600" w:lineRule="exact"/>
        <w:rPr>
          <w:rFonts w:ascii="黑体" w:eastAsia="黑体"/>
          <w:sz w:val="28"/>
        </w:rPr>
      </w:pPr>
      <w:r>
        <w:rPr>
          <w:rFonts w:hint="eastAsia" w:ascii="黑体" w:eastAsia="黑体"/>
          <w:sz w:val="28"/>
        </w:rPr>
        <w:t>六、开标、评标：</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（一）开标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bCs/>
          <w:sz w:val="24"/>
        </w:rPr>
        <w:t>开标由采购人主持，并请投标人代表查验投标文件的密封情况，经确认无误后，由工作人员当众拆封，宣读、记录各投标人《开标一览表》。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开标过程由</w:t>
      </w:r>
      <w:r>
        <w:rPr>
          <w:rFonts w:hint="eastAsia" w:asciiTheme="minorEastAsia" w:hAnsiTheme="minorEastAsia" w:eastAsiaTheme="minorEastAsia"/>
          <w:bCs/>
          <w:sz w:val="24"/>
        </w:rPr>
        <w:t>采购人</w:t>
      </w:r>
      <w:r>
        <w:rPr>
          <w:rFonts w:asciiTheme="minorEastAsia" w:hAnsiTheme="minorEastAsia" w:eastAsiaTheme="minorEastAsia"/>
          <w:sz w:val="24"/>
        </w:rPr>
        <w:t>负责记录，</w:t>
      </w:r>
      <w:r>
        <w:rPr>
          <w:rFonts w:hint="eastAsia" w:asciiTheme="minorEastAsia" w:hAnsiTheme="minorEastAsia" w:eastAsiaTheme="minorEastAsia"/>
          <w:sz w:val="24"/>
        </w:rPr>
        <w:t>并</w:t>
      </w:r>
      <w:r>
        <w:rPr>
          <w:rFonts w:asciiTheme="minorEastAsia" w:hAnsiTheme="minorEastAsia" w:eastAsiaTheme="minorEastAsia"/>
          <w:sz w:val="24"/>
        </w:rPr>
        <w:t>由参加开标的各投标人代表和相关工作人员签字确认。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投标人未参加开标的，视同认可开标结果。</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1、评标工作由</w:t>
      </w:r>
      <w:r>
        <w:rPr>
          <w:rFonts w:hint="eastAsia" w:asciiTheme="minorEastAsia" w:hAnsiTheme="minorEastAsia" w:eastAsiaTheme="minorEastAsia"/>
          <w:bCs/>
          <w:sz w:val="24"/>
        </w:rPr>
        <w:t>采购人</w:t>
      </w:r>
      <w:r>
        <w:rPr>
          <w:rFonts w:hint="eastAsia" w:asciiTheme="minorEastAsia" w:hAnsiTheme="minorEastAsia" w:eastAsiaTheme="minorEastAsia"/>
          <w:sz w:val="24"/>
        </w:rPr>
        <w:t>负责组织，具体评标事务由依法组建的评标委员会负责。</w:t>
      </w:r>
      <w:r>
        <w:rPr>
          <w:rFonts w:hint="eastAsia" w:asciiTheme="minorEastAsia" w:hAnsiTheme="minorEastAsia" w:eastAsiaTheme="minorEastAsia"/>
          <w:bCs/>
          <w:sz w:val="24"/>
        </w:rPr>
        <w:t>采购人</w:t>
      </w:r>
      <w:r>
        <w:rPr>
          <w:rFonts w:hint="eastAsia" w:asciiTheme="minorEastAsia" w:hAnsiTheme="minorEastAsia" w:eastAsiaTheme="minorEastAsia"/>
          <w:sz w:val="24"/>
        </w:rPr>
        <w:t>依法组建资格审查小组，对投标人的资格进行审查。采购人代表和评审专家依法组建评标委员会，评审专家实行回避制度。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2、投标文件初审。初审分为资格性检查和符合性检查。</w:t>
      </w:r>
    </w:p>
    <w:p>
      <w:pPr>
        <w:spacing w:line="400" w:lineRule="exact"/>
        <w:ind w:firstLine="480" w:firstLineChars="200"/>
        <w:rPr>
          <w:rFonts w:ascii="宋体" w:hAnsi="宋体"/>
          <w:sz w:val="24"/>
        </w:rPr>
      </w:pPr>
      <w:r>
        <w:rPr>
          <w:rFonts w:hint="eastAsia" w:ascii="宋体" w:hAnsi="宋体"/>
          <w:sz w:val="24"/>
        </w:rPr>
        <w:t>A、资格性检查：</w:t>
      </w:r>
    </w:p>
    <w:p>
      <w:pPr>
        <w:spacing w:line="400" w:lineRule="exact"/>
        <w:ind w:firstLine="480" w:firstLineChars="200"/>
        <w:rPr>
          <w:rFonts w:ascii="宋体" w:hAnsi="宋体"/>
          <w:sz w:val="24"/>
        </w:rPr>
      </w:pPr>
      <w:r>
        <w:rPr>
          <w:rFonts w:hint="eastAsia" w:ascii="宋体" w:hAnsi="宋体"/>
          <w:sz w:val="24"/>
        </w:rPr>
        <w:t>（1）依据法律法规和招标文件的规定，资格审查小组对投标文件组成中的资格证明文件（文件1-文件3）等进行审查，以确定投标单位是否具备投标资格。</w:t>
      </w:r>
    </w:p>
    <w:p>
      <w:pPr>
        <w:spacing w:line="400" w:lineRule="exact"/>
        <w:ind w:firstLine="480" w:firstLineChars="200"/>
        <w:rPr>
          <w:rFonts w:asciiTheme="minorEastAsia" w:hAnsiTheme="minorEastAsia" w:eastAsiaTheme="minorEastAsia"/>
          <w:sz w:val="24"/>
        </w:rPr>
      </w:pPr>
      <w:r>
        <w:rPr>
          <w:rFonts w:hint="eastAsia" w:ascii="宋体" w:hAnsi="宋体"/>
          <w:bCs/>
          <w:sz w:val="24"/>
        </w:rPr>
        <w:t>（2）</w:t>
      </w:r>
      <w:r>
        <w:rPr>
          <w:rFonts w:ascii="宋体" w:hAnsi="宋体"/>
          <w:bCs/>
          <w:sz w:val="24"/>
        </w:rPr>
        <w:t>通过“信用中国”网站、中国政府采购网查询投标供应商在投标截止时间之前，是否被列入失信被执行人、重大税收违法失信主体、政府采购严重违法失信行为记录名单，以确定投标供应商是否具备投标资格。信用查询结果以网页打印的形式留存并归档。</w:t>
      </w:r>
      <w:r>
        <w:rPr>
          <w:rFonts w:hint="eastAsia" w:ascii="宋体" w:hAnsi="宋体"/>
          <w:sz w:val="24"/>
        </w:rPr>
        <w:t>接受联合体的项目，两个以上的自然人、法人或者其他组织组成一个联合体，</w:t>
      </w:r>
      <w:r>
        <w:rPr>
          <w:rFonts w:hint="eastAsia" w:asciiTheme="minorEastAsia" w:hAnsiTheme="minorEastAsia" w:eastAsiaTheme="minorEastAsia"/>
          <w:sz w:val="24"/>
        </w:rPr>
        <w:t>以一个投标单位的身份共同参加政府采购活动的，联合体成员存在不良信用记录的，视同联合体存在不良应用记录。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（1）评标委员会依据招标文件的规定，从投标文件的有效性、完整性和对招标文件的响应程度进行审查，以确定是否对招标文件的实质性要求作出响应。</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（a）投标文件没有投标单位法定代表人或授权委托人签字和加盖公章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（b）投标文件载明的采购项目的完成期限超过招标文件规定的期限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（c）投标文件严重背离招标文件中确定的技术功能要求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（d）投标文件附有采购人不能接受的商务条件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（e）不符合招标文件中规定的其他实质性要求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确定投标文件的响应性只根据投标文件本身的内容，而不寻求外部证据。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如果投标文件没有实质上响应招标文件的要求，</w:t>
      </w:r>
      <w:r>
        <w:rPr>
          <w:rFonts w:hint="eastAsia" w:asciiTheme="minorEastAsia" w:hAnsiTheme="minorEastAsia" w:eastAsiaTheme="minorEastAsia"/>
          <w:bCs/>
          <w:sz w:val="24"/>
        </w:rPr>
        <w:t>评标委员会</w:t>
      </w:r>
      <w:r>
        <w:rPr>
          <w:rFonts w:hint="eastAsia" w:asciiTheme="minorEastAsia" w:hAnsiTheme="minorEastAsia" w:eastAsiaTheme="minorEastAsia"/>
          <w:sz w:val="24"/>
        </w:rPr>
        <w:t>将予以拒绝。投标人不得通过修正或撤消不合要求的偏离或保留从而使其投标成为实质上响应的投标。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投标供应商通过初审的，方可进入比较与评价程序。</w:t>
      </w:r>
      <w:r>
        <w:rPr>
          <w:rFonts w:asciiTheme="minorEastAsia" w:hAnsiTheme="minorEastAsia" w:eastAsiaTheme="minorEastAsia"/>
          <w:sz w:val="24"/>
        </w:rPr>
        <w:t>评标委员会应当按照招标文件中规定的评标方法和标准，对符合性审查合格的投标文件进行商务和技术评估，综合比较与评价。</w:t>
      </w:r>
      <w:r>
        <w:rPr>
          <w:rFonts w:hint="eastAsia" w:asciiTheme="minorEastAsia" w:hAnsiTheme="minorEastAsia" w:eastAsiaTheme="minorEastAsia"/>
          <w:sz w:val="24"/>
        </w:rPr>
        <w:t>具体办法和标准详见招标文件第五章《评标方法和评标标准》。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4、投标文件的澄清：</w:t>
      </w:r>
      <w:r>
        <w:rPr>
          <w:rFonts w:asciiTheme="minorEastAsia" w:hAnsiTheme="minorEastAsia" w:eastAsiaTheme="minorEastAsia"/>
          <w:sz w:val="24"/>
        </w:rPr>
        <w:t>对于投标文件中含义不明确、同类问题表述不一致或者有明显文字和计算错误的内容，评标委员会应当以书面形式要求投标人作出必要的澄清、说明或者补正。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投标人的澄清、说明或者补正应当采用书面形式，并加盖公章，或者由法定代表人或其授权</w:t>
      </w:r>
      <w:r>
        <w:rPr>
          <w:rFonts w:hint="eastAsia" w:asciiTheme="minorEastAsia" w:hAnsiTheme="minorEastAsia" w:eastAsiaTheme="minorEastAsia"/>
          <w:sz w:val="24"/>
        </w:rPr>
        <w:t>委托人</w:t>
      </w:r>
      <w:r>
        <w:rPr>
          <w:rFonts w:asciiTheme="minorEastAsia" w:hAnsiTheme="minorEastAsia" w:eastAsiaTheme="minorEastAsia"/>
          <w:sz w:val="24"/>
        </w:rPr>
        <w:t>签字。投标人的澄清、说明或者补正不得超出投标文件的范围或者改变投标文件的实质性内容。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投标文件报价出现前后不一致的，按照下列规定修正：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（一）投标文件中开标一览表（报价表）内容与投标文件中相应内容不一致的，以开标一览表（报价表）为准；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（二）大写金额和小写金额不一致的，以大写金额为准；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（三）单价金额小数点或者百分比有明显错位的，以开标一览表的总价为准，并修改单价；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（四）总价金额与按单价汇总金额不一致的，以单价金额计算结果为准。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同时出现两种以上不一致的，按照前款规定的顺序修正。修正后的报价</w:t>
      </w:r>
      <w:r>
        <w:rPr>
          <w:rFonts w:hint="eastAsia" w:asciiTheme="minorEastAsia" w:hAnsiTheme="minorEastAsia" w:eastAsiaTheme="minorEastAsia"/>
          <w:sz w:val="24"/>
        </w:rPr>
        <w:t>参</w:t>
      </w:r>
      <w:r>
        <w:rPr>
          <w:rFonts w:asciiTheme="minorEastAsia" w:hAnsiTheme="minorEastAsia" w:eastAsiaTheme="minorEastAsia"/>
          <w:sz w:val="24"/>
        </w:rPr>
        <w:t>照</w:t>
      </w:r>
      <w:r>
        <w:rPr>
          <w:rFonts w:hint="eastAsia" w:asciiTheme="minorEastAsia" w:hAnsiTheme="minorEastAsia" w:eastAsiaTheme="minorEastAsia"/>
          <w:sz w:val="24"/>
        </w:rPr>
        <w:t>《政府采购货物和服务招标投标管理办法》</w:t>
      </w:r>
      <w:r>
        <w:rPr>
          <w:rFonts w:asciiTheme="minorEastAsia" w:hAnsiTheme="minorEastAsia" w:eastAsiaTheme="minorEastAsia"/>
          <w:sz w:val="24"/>
        </w:rPr>
        <w:t>第五十一条第二款的规定经投标人确认后产生约束力，投标人不确认的，其投标无效。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600" w:lineRule="exact"/>
        <w:rPr>
          <w:rFonts w:ascii="黑体" w:eastAsia="黑体"/>
          <w:sz w:val="28"/>
        </w:rPr>
      </w:pPr>
      <w:r>
        <w:rPr>
          <w:rFonts w:hint="eastAsia" w:ascii="黑体" w:eastAsia="黑体"/>
          <w:sz w:val="28"/>
        </w:rPr>
        <w:t>七、确定中标单位：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1、评标委员会根据</w:t>
      </w:r>
      <w:r>
        <w:rPr>
          <w:rFonts w:hint="eastAsia" w:asciiTheme="minorEastAsia" w:hAnsiTheme="minorEastAsia" w:eastAsiaTheme="minorEastAsia"/>
          <w:bCs/>
          <w:sz w:val="24"/>
        </w:rPr>
        <w:t>评标方法和评标标准确定</w:t>
      </w:r>
      <w:r>
        <w:rPr>
          <w:rFonts w:hint="eastAsia" w:asciiTheme="minorEastAsia" w:hAnsiTheme="minorEastAsia" w:eastAsiaTheme="minorEastAsia"/>
          <w:sz w:val="24"/>
        </w:rPr>
        <w:t>中标候选单位。采购人将评选结果通知所有参加评标的未中标单位，并宣布中标单位。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2、确定中标单位2个工作日内发布中标公告，并向中标单位发出中标通知书。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3、采购人不负责向任何投标单位说明中标或不中标的原因。</w:t>
      </w:r>
    </w:p>
    <w:p>
      <w:pPr>
        <w:spacing w:line="600" w:lineRule="exact"/>
        <w:rPr>
          <w:rFonts w:ascii="黑体" w:eastAsia="黑体"/>
          <w:sz w:val="28"/>
        </w:rPr>
      </w:pPr>
      <w:r>
        <w:rPr>
          <w:rFonts w:hint="eastAsia" w:ascii="黑体" w:eastAsia="黑体"/>
          <w:sz w:val="28"/>
        </w:rPr>
        <w:t>八、质疑处理：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质疑参照《中华人民共和国政府采购法》、《中华人民共和国政府采购法实施条例》、《政府采购货物和服务招标投标管理办法》、《政府采购质疑和投诉办法》、《江苏省政府采购供应商监督管理暂行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2、投标单位认为采购文件、采购过程和中标结果使自己的权益受到损害的，可以在知道或者应知其权益受到损害之日起七个工作日内，以书面形式向采购人提出质疑。</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3、投标单位提出质疑应当提交质疑函和必要的证明材料。质疑函应当包括下列内容：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（1）投标单位的姓名或者名称、地址、邮编、联系人及联系电话；</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（2）质疑项目的名称、编号；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（3）具体、明确的质疑事项和与质疑事项相关的请求；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（4）事实依据；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（5）必要的法律依据；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（6）提出质疑的日期。</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（7）未按上述要求提交的质疑函（仅限于原件）采购人有权不予受理。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4、投标单位须在法定质疑期内一次性提出针对同一采购程序环节的质疑。提出质疑的投标单位应当是参与所质疑项目采购活动的投标单位。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7、投标单位提出质疑的应当有明确的请求和必要的证明材料，投标人提出书面质疑必须有理、有据，不得恶意质疑或提交虚假质疑。</w:t>
      </w:r>
    </w:p>
    <w:p>
      <w:pPr>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sz w:val="24"/>
        </w:rPr>
        <w:t xml:space="preserve">8、采购人将在收到投标单位的有效书面质疑函后七个工作日内作出答复，并以书面形式通知质疑投标单位和其他有关投标单位，但答复的内容不得涉及商业秘密。 </w:t>
      </w:r>
    </w:p>
    <w:p>
      <w:pPr>
        <w:spacing w:line="600" w:lineRule="exact"/>
        <w:rPr>
          <w:rFonts w:ascii="黑体" w:eastAsia="黑体"/>
          <w:sz w:val="28"/>
        </w:rPr>
      </w:pPr>
      <w:r>
        <w:rPr>
          <w:rFonts w:hint="eastAsia" w:ascii="黑体" w:eastAsia="黑体"/>
          <w:sz w:val="28"/>
        </w:rPr>
        <w:t>九、采购项目的废标：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在评标采购中，出现下列情况之一的，应予废标；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1、符合专业条件的投标人或者对招标文件作出实质性响应的投标人不足三家的；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3、投标单位的报价均超过采购预算，采购人不能支付的；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pacing w:line="600" w:lineRule="exact"/>
        <w:rPr>
          <w:rFonts w:asciiTheme="minorEastAsia" w:hAnsiTheme="minorEastAsia" w:eastAsiaTheme="minorEastAsia"/>
          <w:bCs/>
          <w:sz w:val="24"/>
        </w:rPr>
      </w:pPr>
      <w:r>
        <w:rPr>
          <w:rFonts w:hint="eastAsia" w:ascii="黑体" w:eastAsia="黑体"/>
          <w:sz w:val="28"/>
        </w:rPr>
        <w:t>十、投标保证金：</w:t>
      </w:r>
      <w:r>
        <w:rPr>
          <w:rFonts w:hint="eastAsia" w:asciiTheme="minorEastAsia" w:hAnsiTheme="minorEastAsia" w:eastAsiaTheme="minorEastAsia"/>
          <w:bCs/>
          <w:sz w:val="24"/>
        </w:rPr>
        <w:t>本项目免收投标保证金。</w:t>
      </w:r>
    </w:p>
    <w:p>
      <w:pPr>
        <w:spacing w:line="600" w:lineRule="exact"/>
        <w:rPr>
          <w:rFonts w:asciiTheme="minorEastAsia" w:hAnsiTheme="minorEastAsia" w:eastAsiaTheme="minorEastAsia"/>
          <w:bCs/>
          <w:sz w:val="24"/>
        </w:rPr>
      </w:pPr>
      <w:r>
        <w:rPr>
          <w:rFonts w:hint="eastAsia" w:ascii="黑体" w:eastAsia="黑体"/>
          <w:sz w:val="28"/>
        </w:rPr>
        <w:t>十一、履约保证金：</w:t>
      </w:r>
      <w:r>
        <w:rPr>
          <w:rFonts w:hint="eastAsia" w:asciiTheme="minorEastAsia" w:hAnsiTheme="minorEastAsia" w:eastAsiaTheme="minorEastAsia"/>
          <w:bCs/>
          <w:sz w:val="24"/>
        </w:rPr>
        <w:t>本项目免收履约保证金。</w:t>
      </w:r>
    </w:p>
    <w:p>
      <w:pPr>
        <w:spacing w:line="600" w:lineRule="exact"/>
        <w:rPr>
          <w:rFonts w:ascii="黑体" w:eastAsia="黑体"/>
          <w:sz w:val="28"/>
        </w:rPr>
      </w:pPr>
      <w:r>
        <w:rPr>
          <w:rFonts w:hint="eastAsia" w:ascii="黑体" w:eastAsia="黑体"/>
          <w:sz w:val="28"/>
        </w:rPr>
        <w:t>十二、签订合同：</w:t>
      </w:r>
    </w:p>
    <w:p>
      <w:pPr>
        <w:pStyle w:val="35"/>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w:t>
      </w:r>
    </w:p>
    <w:p>
      <w:pPr>
        <w:spacing w:line="600" w:lineRule="exact"/>
        <w:rPr>
          <w:rFonts w:ascii="黑体" w:eastAsia="黑体"/>
          <w:sz w:val="28"/>
        </w:rPr>
      </w:pPr>
      <w:r>
        <w:rPr>
          <w:rFonts w:hint="eastAsia" w:ascii="黑体" w:eastAsia="黑体"/>
          <w:sz w:val="28"/>
        </w:rPr>
        <w:t>十三、中标服务费：</w:t>
      </w:r>
    </w:p>
    <w:p>
      <w:pPr>
        <w:pStyle w:val="35"/>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本项目免收</w:t>
      </w:r>
      <w:bookmarkStart w:id="25" w:name="_Toc251268361"/>
      <w:r>
        <w:rPr>
          <w:rFonts w:hint="eastAsia" w:asciiTheme="minorEastAsia" w:hAnsiTheme="minorEastAsia" w:eastAsiaTheme="minorEastAsia"/>
          <w:sz w:val="24"/>
        </w:rPr>
        <w:t>中标服务费。项目评审专家费用由所有中标单位均摊，领取中标通知书时按实结算。</w:t>
      </w:r>
    </w:p>
    <w:p>
      <w:pPr>
        <w:spacing w:line="400" w:lineRule="exact"/>
        <w:jc w:val="center"/>
        <w:outlineLvl w:val="0"/>
        <w:rPr>
          <w:rFonts w:ascii="黑体" w:hAnsi="楷体_GB2312" w:eastAsia="黑体"/>
          <w:sz w:val="30"/>
          <w:szCs w:val="30"/>
        </w:rPr>
      </w:pPr>
    </w:p>
    <w:p>
      <w:pPr>
        <w:spacing w:line="400" w:lineRule="exact"/>
        <w:jc w:val="center"/>
        <w:outlineLvl w:val="0"/>
        <w:rPr>
          <w:rFonts w:ascii="楷体_GB2312" w:eastAsia="楷体_GB2312"/>
          <w:b/>
          <w:sz w:val="28"/>
          <w:szCs w:val="28"/>
        </w:rPr>
      </w:pPr>
      <w:r>
        <w:rPr>
          <w:rFonts w:hint="eastAsia" w:ascii="黑体" w:hAnsi="楷体_GB2312" w:eastAsia="黑体"/>
          <w:sz w:val="30"/>
          <w:szCs w:val="30"/>
        </w:rPr>
        <w:t>第四章　项目要求</w:t>
      </w:r>
    </w:p>
    <w:p>
      <w:pPr>
        <w:spacing w:line="400" w:lineRule="exact"/>
        <w:rPr>
          <w:rFonts w:ascii="宋体" w:hAnsi="宋体"/>
          <w:bCs/>
          <w:sz w:val="24"/>
        </w:rPr>
      </w:pPr>
    </w:p>
    <w:p>
      <w:pPr>
        <w:spacing w:line="400" w:lineRule="exact"/>
        <w:rPr>
          <w:rFonts w:ascii="黑体" w:hAnsi="黑体" w:eastAsia="黑体"/>
          <w:sz w:val="28"/>
          <w:szCs w:val="28"/>
        </w:rPr>
      </w:pPr>
      <w:r>
        <w:rPr>
          <w:rFonts w:hint="eastAsia" w:ascii="黑体" w:hAnsi="黑体" w:eastAsia="黑体"/>
          <w:sz w:val="28"/>
          <w:szCs w:val="28"/>
        </w:rPr>
        <w:t>一、项目概述：</w:t>
      </w:r>
    </w:p>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江阴市食品安全检测中心根据工作需要，决定对食品检验检测工作开展所需试剂、耗材等物品供应商进行遴选。</w:t>
      </w:r>
    </w:p>
    <w:p>
      <w:pPr>
        <w:spacing w:line="400" w:lineRule="exact"/>
        <w:ind w:firstLine="480" w:firstLineChars="200"/>
        <w:rPr>
          <w:rFonts w:ascii="宋体" w:hAnsi="宋体" w:cs="仿宋_GB2312"/>
          <w:spacing w:val="8"/>
          <w:sz w:val="24"/>
          <w:shd w:val="clear" w:color="auto" w:fill="FFFFFF"/>
        </w:rPr>
      </w:pPr>
      <w:r>
        <w:rPr>
          <w:rFonts w:hint="eastAsia" w:ascii="宋体" w:hAnsi="宋体"/>
          <w:sz w:val="24"/>
        </w:rPr>
        <w:t>包括：</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4278"/>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b/>
                <w:sz w:val="24"/>
              </w:rPr>
            </w:pPr>
            <w:r>
              <w:rPr>
                <w:rFonts w:hint="eastAsia" w:ascii="宋体" w:hAnsi="宋体"/>
                <w:b/>
                <w:sz w:val="24"/>
              </w:rPr>
              <w:t>包  号</w:t>
            </w:r>
          </w:p>
        </w:tc>
        <w:tc>
          <w:tcPr>
            <w:tcW w:w="0" w:type="auto"/>
          </w:tcPr>
          <w:p>
            <w:pPr>
              <w:spacing w:line="400" w:lineRule="exact"/>
              <w:jc w:val="center"/>
              <w:rPr>
                <w:rFonts w:ascii="宋体" w:hAnsi="宋体"/>
                <w:b/>
                <w:sz w:val="24"/>
              </w:rPr>
            </w:pPr>
            <w:r>
              <w:rPr>
                <w:rFonts w:hint="eastAsia" w:ascii="宋体" w:hAnsi="宋体"/>
                <w:b/>
                <w:sz w:val="24"/>
              </w:rPr>
              <w:t>名  称</w:t>
            </w:r>
          </w:p>
        </w:tc>
        <w:tc>
          <w:tcPr>
            <w:tcW w:w="0" w:type="auto"/>
          </w:tcPr>
          <w:p>
            <w:pPr>
              <w:spacing w:line="400" w:lineRule="exact"/>
              <w:jc w:val="center"/>
              <w:rPr>
                <w:rFonts w:ascii="宋体" w:hAnsi="宋体"/>
                <w:b/>
                <w:sz w:val="24"/>
              </w:rPr>
            </w:pPr>
            <w:r>
              <w:rPr>
                <w:rFonts w:hint="eastAsia" w:ascii="宋体" w:hAnsi="宋体"/>
                <w:b/>
                <w:sz w:val="24"/>
              </w:rPr>
              <w:t>入围供应商数量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第一包</w:t>
            </w:r>
          </w:p>
        </w:tc>
        <w:tc>
          <w:tcPr>
            <w:tcW w:w="0" w:type="auto"/>
          </w:tcPr>
          <w:p>
            <w:pPr>
              <w:spacing w:line="400" w:lineRule="exact"/>
              <w:jc w:val="center"/>
              <w:rPr>
                <w:rFonts w:ascii="宋体" w:hAnsi="宋体"/>
                <w:sz w:val="24"/>
              </w:rPr>
            </w:pPr>
            <w:r>
              <w:rPr>
                <w:rFonts w:hint="eastAsia" w:ascii="宋体" w:hAnsi="宋体"/>
                <w:sz w:val="24"/>
              </w:rPr>
              <w:t>试剂类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第二包</w:t>
            </w:r>
          </w:p>
        </w:tc>
        <w:tc>
          <w:tcPr>
            <w:tcW w:w="0" w:type="auto"/>
          </w:tcPr>
          <w:p>
            <w:pPr>
              <w:spacing w:line="400" w:lineRule="exact"/>
              <w:jc w:val="center"/>
              <w:rPr>
                <w:rFonts w:ascii="宋体" w:hAnsi="宋体"/>
                <w:sz w:val="24"/>
              </w:rPr>
            </w:pPr>
            <w:r>
              <w:rPr>
                <w:rFonts w:hint="eastAsia" w:ascii="宋体" w:hAnsi="宋体"/>
                <w:sz w:val="24"/>
              </w:rPr>
              <w:t>标准物质类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第三包</w:t>
            </w:r>
          </w:p>
        </w:tc>
        <w:tc>
          <w:tcPr>
            <w:tcW w:w="0" w:type="auto"/>
          </w:tcPr>
          <w:p>
            <w:pPr>
              <w:spacing w:line="400" w:lineRule="exact"/>
              <w:jc w:val="center"/>
              <w:rPr>
                <w:rFonts w:ascii="宋体" w:hAnsi="宋体"/>
                <w:sz w:val="24"/>
              </w:rPr>
            </w:pPr>
            <w:r>
              <w:rPr>
                <w:rFonts w:hint="eastAsia" w:ascii="宋体" w:hAnsi="宋体"/>
                <w:sz w:val="24"/>
              </w:rPr>
              <w:t>耗材类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第四包</w:t>
            </w:r>
          </w:p>
        </w:tc>
        <w:tc>
          <w:tcPr>
            <w:tcW w:w="0" w:type="auto"/>
          </w:tcPr>
          <w:p>
            <w:pPr>
              <w:spacing w:line="400" w:lineRule="exact"/>
              <w:jc w:val="center"/>
              <w:rPr>
                <w:rFonts w:ascii="宋体" w:hAnsi="宋体"/>
                <w:sz w:val="24"/>
              </w:rPr>
            </w:pPr>
            <w:r>
              <w:rPr>
                <w:rFonts w:hint="eastAsia" w:ascii="宋体" w:hAnsi="宋体"/>
                <w:sz w:val="24"/>
              </w:rPr>
              <w:t>微生物试剂及菌株类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第五包</w:t>
            </w:r>
          </w:p>
        </w:tc>
        <w:tc>
          <w:tcPr>
            <w:tcW w:w="0" w:type="auto"/>
          </w:tcPr>
          <w:p>
            <w:pPr>
              <w:spacing w:line="400" w:lineRule="exact"/>
              <w:jc w:val="center"/>
              <w:rPr>
                <w:rFonts w:ascii="宋体" w:hAnsi="宋体"/>
                <w:sz w:val="24"/>
              </w:rPr>
            </w:pPr>
            <w:r>
              <w:rPr>
                <w:rFonts w:hint="eastAsia" w:ascii="宋体" w:hAnsi="宋体"/>
                <w:sz w:val="24"/>
              </w:rPr>
              <w:t>易制毒危化品类</w:t>
            </w:r>
          </w:p>
        </w:tc>
        <w:tc>
          <w:tcPr>
            <w:tcW w:w="0" w:type="auto"/>
          </w:tcPr>
          <w:p>
            <w:pPr>
              <w:spacing w:line="400" w:lineRule="exact"/>
              <w:jc w:val="center"/>
              <w:rPr>
                <w:rFonts w:ascii="宋体" w:hAnsi="宋体"/>
                <w:sz w:val="24"/>
              </w:rPr>
            </w:pPr>
            <w:r>
              <w:rPr>
                <w:rFonts w:hint="eastAsia" w:ascii="宋体" w:hAnsi="宋体"/>
                <w:sz w:val="24"/>
              </w:rPr>
              <w:t>不超过3家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00" w:lineRule="exact"/>
              <w:jc w:val="center"/>
              <w:rPr>
                <w:rFonts w:ascii="宋体" w:hAnsi="宋体"/>
                <w:sz w:val="24"/>
              </w:rPr>
            </w:pPr>
            <w:r>
              <w:rPr>
                <w:rFonts w:hint="eastAsia" w:ascii="宋体" w:hAnsi="宋体"/>
                <w:sz w:val="24"/>
              </w:rPr>
              <w:t>第六包</w:t>
            </w:r>
          </w:p>
        </w:tc>
        <w:tc>
          <w:tcPr>
            <w:tcW w:w="0" w:type="auto"/>
          </w:tcPr>
          <w:p>
            <w:pPr>
              <w:spacing w:line="400" w:lineRule="exact"/>
              <w:jc w:val="center"/>
              <w:rPr>
                <w:rFonts w:ascii="宋体" w:hAnsi="宋体"/>
                <w:sz w:val="24"/>
              </w:rPr>
            </w:pPr>
            <w:r>
              <w:rPr>
                <w:rFonts w:hint="eastAsia" w:ascii="宋体" w:hAnsi="宋体"/>
                <w:sz w:val="24"/>
              </w:rPr>
              <w:t>易制爆危化品类</w:t>
            </w:r>
          </w:p>
        </w:tc>
        <w:tc>
          <w:tcPr>
            <w:tcW w:w="0" w:type="auto"/>
          </w:tcPr>
          <w:p>
            <w:pPr>
              <w:spacing w:line="400" w:lineRule="exact"/>
              <w:jc w:val="center"/>
              <w:rPr>
                <w:rFonts w:ascii="宋体" w:hAnsi="宋体"/>
                <w:sz w:val="24"/>
              </w:rPr>
            </w:pPr>
            <w:r>
              <w:rPr>
                <w:rFonts w:hint="eastAsia" w:ascii="宋体" w:hAnsi="宋体"/>
                <w:sz w:val="24"/>
              </w:rPr>
              <w:t>不超过3家</w:t>
            </w:r>
          </w:p>
        </w:tc>
      </w:tr>
    </w:tbl>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本项目共六个包，投标人可全投也可选投。</w:t>
      </w:r>
    </w:p>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服务期限（</w:t>
      </w:r>
      <w:r>
        <w:rPr>
          <w:rFonts w:hint="eastAsia" w:ascii="宋体" w:hAnsi="宋体" w:cs="仿宋_GB2312"/>
          <w:kern w:val="0"/>
          <w:sz w:val="24"/>
          <w:lang w:val="zh-CN"/>
        </w:rPr>
        <w:t>供货周期</w:t>
      </w:r>
      <w:r>
        <w:rPr>
          <w:rFonts w:hint="eastAsia" w:ascii="宋体" w:hAnsi="宋体" w:cs="仿宋_GB2312"/>
          <w:spacing w:val="8"/>
          <w:sz w:val="24"/>
          <w:shd w:val="clear" w:color="auto" w:fill="FFFFFF"/>
        </w:rPr>
        <w:t>）：</w:t>
      </w:r>
      <w:r>
        <w:rPr>
          <w:rFonts w:hint="eastAsia" w:ascii="宋体" w:hAnsi="宋体"/>
          <w:sz w:val="24"/>
        </w:rPr>
        <w:t>2024年1月1日至2024年12月31日。</w:t>
      </w:r>
    </w:p>
    <w:p>
      <w:pPr>
        <w:spacing w:line="400" w:lineRule="exact"/>
        <w:ind w:firstLine="512" w:firstLineChars="200"/>
        <w:rPr>
          <w:rFonts w:ascii="宋体" w:hAnsi="宋体" w:cs="仿宋_GB2312"/>
          <w:spacing w:val="8"/>
          <w:sz w:val="24"/>
          <w:shd w:val="clear" w:color="auto" w:fill="FFFFFF"/>
        </w:rPr>
      </w:pPr>
    </w:p>
    <w:p>
      <w:pPr>
        <w:spacing w:line="400" w:lineRule="exact"/>
        <w:rPr>
          <w:rFonts w:ascii="黑体" w:hAnsi="黑体" w:eastAsia="黑体"/>
          <w:sz w:val="28"/>
          <w:szCs w:val="28"/>
        </w:rPr>
      </w:pPr>
      <w:r>
        <w:rPr>
          <w:rFonts w:hint="eastAsia" w:ascii="黑体" w:hAnsi="黑体" w:eastAsia="黑体"/>
          <w:sz w:val="28"/>
          <w:szCs w:val="28"/>
        </w:rPr>
        <w:t>二、采购清单：</w:t>
      </w:r>
    </w:p>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各包清单见附件《江阴市食品安全检测中心常用试剂耗材清单》。</w:t>
      </w:r>
    </w:p>
    <w:p>
      <w:pPr>
        <w:autoSpaceDE w:val="0"/>
        <w:autoSpaceDN w:val="0"/>
        <w:adjustRightInd w:val="0"/>
        <w:spacing w:line="400" w:lineRule="exact"/>
        <w:jc w:val="left"/>
        <w:rPr>
          <w:rFonts w:ascii="宋体" w:hAnsi="宋体" w:cs="仿宋_GB2312"/>
          <w:b/>
          <w:spacing w:val="8"/>
          <w:sz w:val="24"/>
          <w:shd w:val="clear" w:color="auto" w:fill="FFFFFF"/>
        </w:rPr>
      </w:pPr>
      <w:r>
        <w:rPr>
          <w:rFonts w:hint="eastAsia" w:ascii="宋体" w:hAnsi="宋体" w:cs="仿宋_GB2312"/>
          <w:b/>
          <w:spacing w:val="8"/>
          <w:sz w:val="24"/>
          <w:shd w:val="clear" w:color="auto" w:fill="FFFFFF"/>
        </w:rPr>
        <w:t>注：</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1、</w:t>
      </w:r>
      <w:r>
        <w:rPr>
          <w:rFonts w:hint="eastAsia" w:ascii="宋体" w:hAnsi="宋体" w:cs="仿宋_GB2312"/>
          <w:b/>
          <w:kern w:val="0"/>
          <w:sz w:val="24"/>
          <w:lang w:val="zh-CN"/>
        </w:rPr>
        <w:t>投标人须对所投项目包采购清单中所有产品全部响应，不得遗漏，否则作为无效投标处理。</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2、</w:t>
      </w:r>
      <w:r>
        <w:rPr>
          <w:rFonts w:hint="eastAsia" w:ascii="宋体" w:hAnsi="宋体" w:cs="仿宋_GB2312"/>
          <w:b/>
          <w:kern w:val="0"/>
          <w:sz w:val="24"/>
          <w:lang w:val="zh-CN"/>
        </w:rPr>
        <w:t>投标人须按采购清单中所列的产品规格进行报价，不得更改，否则作为无效投标处理。</w:t>
      </w:r>
      <w:r>
        <w:rPr>
          <w:rFonts w:hint="eastAsia" w:ascii="宋体" w:hAnsi="宋体" w:cs="仿宋_GB2312"/>
          <w:kern w:val="0"/>
          <w:sz w:val="24"/>
          <w:lang w:val="zh-CN"/>
        </w:rPr>
        <w:t>如投标人所投品牌无相同规格产品，需将相同技术指标的其他规格产品价格折算后进行报价，并在《技术要求响应及偏离表》中作为偏离内容详细列明。</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3、投标人须在《报价明细表》中明确所投货物品牌、型号规格、生产厂家、有效期、综合单价等信息。</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4、所报综合单价，应包括货物、运输、保险、劳保、利润、税金、验收及合同包含的所有风险、责任等各项应有的全部费用。所报综合单价为具体批次项目采购时各中标供应商单价报价的最高限价。</w:t>
      </w:r>
    </w:p>
    <w:p>
      <w:pPr>
        <w:spacing w:line="400" w:lineRule="exact"/>
        <w:rPr>
          <w:rFonts w:ascii="黑体" w:hAnsi="黑体" w:eastAsia="黑体"/>
          <w:sz w:val="28"/>
          <w:szCs w:val="28"/>
        </w:rPr>
      </w:pPr>
    </w:p>
    <w:p>
      <w:pPr>
        <w:spacing w:line="400" w:lineRule="exact"/>
        <w:rPr>
          <w:rFonts w:ascii="黑体" w:hAnsi="黑体" w:eastAsia="黑体"/>
          <w:sz w:val="28"/>
          <w:szCs w:val="28"/>
        </w:rPr>
      </w:pPr>
      <w:r>
        <w:rPr>
          <w:rFonts w:hint="eastAsia" w:ascii="黑体" w:hAnsi="黑体" w:eastAsia="黑体"/>
          <w:sz w:val="28"/>
          <w:szCs w:val="28"/>
        </w:rPr>
        <w:t>三、项目实施要求：</w:t>
      </w:r>
    </w:p>
    <w:p>
      <w:pPr>
        <w:spacing w:line="400" w:lineRule="exact"/>
        <w:ind w:firstLine="666"/>
        <w:rPr>
          <w:rFonts w:ascii="宋体" w:hAnsi="宋体" w:cs="仿宋_GB2312"/>
          <w:spacing w:val="8"/>
          <w:sz w:val="24"/>
          <w:shd w:val="clear" w:color="auto" w:fill="FFFFFF"/>
          <w:lang w:val="zh-CN"/>
        </w:rPr>
      </w:pPr>
      <w:r>
        <w:rPr>
          <w:rFonts w:hint="eastAsia" w:ascii="宋体" w:hAnsi="宋体" w:cs="仿宋_GB2312"/>
          <w:spacing w:val="8"/>
          <w:sz w:val="24"/>
          <w:shd w:val="clear" w:color="auto" w:fill="FFFFFF"/>
        </w:rPr>
        <w:t>1、</w:t>
      </w:r>
      <w:r>
        <w:rPr>
          <w:rFonts w:hint="eastAsia" w:ascii="宋体" w:hAnsi="宋体" w:cs="仿宋_GB2312"/>
          <w:spacing w:val="8"/>
          <w:sz w:val="24"/>
          <w:shd w:val="clear" w:color="auto" w:fill="FFFFFF"/>
          <w:lang w:val="zh-CN"/>
        </w:rPr>
        <w:t>配送时间：根据采购单位需要通知送货。</w:t>
      </w:r>
    </w:p>
    <w:p>
      <w:pPr>
        <w:spacing w:line="400" w:lineRule="exact"/>
        <w:ind w:firstLine="666"/>
        <w:rPr>
          <w:rFonts w:ascii="宋体" w:hAnsi="宋体" w:cs="仿宋_GB2312"/>
          <w:spacing w:val="8"/>
          <w:sz w:val="24"/>
          <w:shd w:val="clear" w:color="auto" w:fill="FFFFFF"/>
          <w:lang w:val="zh-CN"/>
        </w:rPr>
      </w:pPr>
      <w:r>
        <w:rPr>
          <w:rFonts w:hint="eastAsia" w:ascii="宋体" w:hAnsi="宋体" w:cs="仿宋_GB2312"/>
          <w:spacing w:val="8"/>
          <w:sz w:val="24"/>
          <w:shd w:val="clear" w:color="auto" w:fill="FFFFFF"/>
        </w:rPr>
        <w:t>2、</w:t>
      </w:r>
      <w:r>
        <w:rPr>
          <w:rFonts w:hint="eastAsia" w:ascii="宋体" w:hAnsi="宋体" w:cs="仿宋_GB2312"/>
          <w:spacing w:val="8"/>
          <w:sz w:val="24"/>
          <w:shd w:val="clear" w:color="auto" w:fill="FFFFFF"/>
          <w:lang w:val="zh-CN"/>
        </w:rPr>
        <w:t>配送地点：江阴市东外环路</w:t>
      </w:r>
      <w:r>
        <w:rPr>
          <w:rFonts w:hint="eastAsia" w:ascii="宋体" w:hAnsi="宋体" w:cs="仿宋_GB2312"/>
          <w:spacing w:val="8"/>
          <w:sz w:val="24"/>
          <w:shd w:val="clear" w:color="auto" w:fill="FFFFFF"/>
        </w:rPr>
        <w:t>188号</w:t>
      </w:r>
      <w:r>
        <w:rPr>
          <w:rFonts w:hint="eastAsia" w:ascii="宋体" w:hAnsi="宋体" w:cs="仿宋_GB2312"/>
          <w:spacing w:val="8"/>
          <w:sz w:val="24"/>
          <w:shd w:val="clear" w:color="auto" w:fill="FFFFFF"/>
          <w:lang w:val="zh-CN"/>
        </w:rPr>
        <w:t>。</w:t>
      </w:r>
    </w:p>
    <w:p>
      <w:pPr>
        <w:spacing w:line="400" w:lineRule="exact"/>
        <w:ind w:firstLine="666"/>
        <w:rPr>
          <w:rFonts w:ascii="宋体" w:hAnsi="宋体" w:cs="仿宋_GB2312"/>
          <w:spacing w:val="8"/>
          <w:sz w:val="24"/>
          <w:shd w:val="clear" w:color="auto" w:fill="FFFFFF"/>
          <w:lang w:val="zh-CN"/>
        </w:rPr>
      </w:pPr>
      <w:r>
        <w:rPr>
          <w:rFonts w:hint="eastAsia" w:ascii="宋体" w:hAnsi="宋体" w:cs="仿宋_GB2312"/>
          <w:kern w:val="0"/>
          <w:sz w:val="24"/>
        </w:rPr>
        <w:t>3、</w:t>
      </w:r>
      <w:r>
        <w:rPr>
          <w:rFonts w:hint="eastAsia" w:ascii="宋体" w:hAnsi="宋体" w:cs="仿宋_GB2312"/>
          <w:kern w:val="0"/>
          <w:sz w:val="24"/>
          <w:lang w:val="zh-CN"/>
        </w:rPr>
        <w:t>配送时限：按需方要求的时间配送（签订购销合同后，</w:t>
      </w:r>
      <w:r>
        <w:rPr>
          <w:rFonts w:hint="eastAsia" w:ascii="宋体" w:hAnsi="宋体" w:cs="仿宋_GB2312"/>
          <w:kern w:val="0"/>
          <w:sz w:val="24"/>
        </w:rPr>
        <w:t>5</w:t>
      </w:r>
      <w:r>
        <w:rPr>
          <w:rFonts w:hint="eastAsia" w:ascii="宋体" w:hAnsi="宋体" w:cs="仿宋_GB2312"/>
          <w:kern w:val="0"/>
          <w:sz w:val="24"/>
          <w:lang w:val="zh-CN"/>
        </w:rPr>
        <w:t>个工作日内到货），满足应急配送要求（收到应急配送计划，要求24小时到货），如涉及到部分产品对于配送时限不能满足以上要求的，供应商须取得采购人同意后，按照新的配送时限完成配送。</w:t>
      </w:r>
    </w:p>
    <w:p>
      <w:pPr>
        <w:autoSpaceDE w:val="0"/>
        <w:autoSpaceDN w:val="0"/>
        <w:adjustRightInd w:val="0"/>
        <w:spacing w:line="400" w:lineRule="exact"/>
        <w:ind w:firstLine="420"/>
        <w:jc w:val="left"/>
        <w:rPr>
          <w:rFonts w:ascii="宋体" w:hAnsi="宋体" w:cs="仿宋_GB2312"/>
          <w:b/>
          <w:bCs/>
          <w:spacing w:val="8"/>
          <w:sz w:val="24"/>
          <w:shd w:val="clear" w:color="auto" w:fill="FFFFFF"/>
        </w:rPr>
      </w:pPr>
    </w:p>
    <w:p>
      <w:pPr>
        <w:autoSpaceDE w:val="0"/>
        <w:autoSpaceDN w:val="0"/>
        <w:adjustRightInd w:val="0"/>
        <w:spacing w:line="400" w:lineRule="exact"/>
        <w:jc w:val="left"/>
        <w:rPr>
          <w:rFonts w:ascii="黑体" w:hAnsi="黑体" w:eastAsia="黑体"/>
          <w:sz w:val="28"/>
          <w:szCs w:val="28"/>
        </w:rPr>
      </w:pPr>
      <w:r>
        <w:rPr>
          <w:rFonts w:hint="eastAsia" w:ascii="黑体" w:hAnsi="黑体" w:eastAsia="黑体"/>
          <w:sz w:val="28"/>
          <w:szCs w:val="28"/>
        </w:rPr>
        <w:t>四、售后服务要求：</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rPr>
        <w:t>1、</w:t>
      </w:r>
      <w:r>
        <w:rPr>
          <w:rFonts w:hint="eastAsia" w:ascii="宋体" w:hAnsi="宋体" w:cs="仿宋_GB2312"/>
          <w:kern w:val="0"/>
          <w:sz w:val="24"/>
          <w:lang w:val="zh-CN"/>
        </w:rPr>
        <w:t>免费送货上门，免费提供有关技术咨询和技术培训，定期上门回访。</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2、所供货物送到需方后，其产品有效期不少于该产品总有效期的2/3。在有效期内货品出现质量问题（人为除外），无条件更换。</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rPr>
        <w:t>3、</w:t>
      </w:r>
      <w:r>
        <w:rPr>
          <w:rFonts w:hint="eastAsia" w:ascii="宋体" w:hAnsi="宋体" w:cs="仿宋_GB2312"/>
          <w:kern w:val="0"/>
          <w:sz w:val="24"/>
          <w:lang w:val="zh-CN"/>
        </w:rPr>
        <w:t>响应时间：供应商在接到用户请求后1小时内响应，需上门的售后问题须24小时内到达现场解决问题。</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rPr>
        <w:t>4、</w:t>
      </w:r>
      <w:r>
        <w:rPr>
          <w:rFonts w:hint="eastAsia" w:ascii="宋体" w:hAnsi="宋体" w:cs="仿宋_GB2312"/>
          <w:kern w:val="0"/>
          <w:sz w:val="24"/>
          <w:lang w:val="zh-CN"/>
        </w:rPr>
        <w:t>其余按厂家承诺和相关法律法规执行。</w:t>
      </w:r>
    </w:p>
    <w:p>
      <w:pPr>
        <w:autoSpaceDE w:val="0"/>
        <w:autoSpaceDN w:val="0"/>
        <w:adjustRightInd w:val="0"/>
        <w:spacing w:line="400" w:lineRule="exact"/>
        <w:ind w:firstLine="420"/>
        <w:jc w:val="left"/>
        <w:rPr>
          <w:rFonts w:ascii="宋体" w:hAnsi="宋体" w:cs="仿宋_GB2312"/>
          <w:kern w:val="0"/>
          <w:sz w:val="24"/>
          <w:lang w:val="zh-CN"/>
        </w:rPr>
      </w:pPr>
    </w:p>
    <w:p>
      <w:pPr>
        <w:autoSpaceDE w:val="0"/>
        <w:autoSpaceDN w:val="0"/>
        <w:adjustRightInd w:val="0"/>
        <w:spacing w:line="400" w:lineRule="exact"/>
        <w:jc w:val="left"/>
        <w:rPr>
          <w:rFonts w:ascii="黑体" w:hAnsi="黑体" w:eastAsia="黑体"/>
          <w:sz w:val="28"/>
          <w:szCs w:val="28"/>
        </w:rPr>
      </w:pPr>
      <w:r>
        <w:rPr>
          <w:rFonts w:hint="eastAsia" w:ascii="黑体" w:hAnsi="黑体" w:eastAsia="黑体"/>
          <w:sz w:val="28"/>
          <w:szCs w:val="28"/>
        </w:rPr>
        <w:t>六、验收标准及考核机制：</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rPr>
        <w:t>1、</w:t>
      </w:r>
      <w:r>
        <w:rPr>
          <w:rFonts w:hint="eastAsia" w:ascii="宋体" w:hAnsi="宋体" w:cs="仿宋_GB2312"/>
          <w:kern w:val="0"/>
          <w:sz w:val="24"/>
          <w:lang w:val="zh-CN"/>
        </w:rPr>
        <w:t>验收标准：采购方按有效国家标准进行质量验收。</w:t>
      </w:r>
    </w:p>
    <w:p>
      <w:pPr>
        <w:autoSpaceDE w:val="0"/>
        <w:autoSpaceDN w:val="0"/>
        <w:adjustRightInd w:val="0"/>
        <w:spacing w:line="400" w:lineRule="exact"/>
        <w:ind w:firstLine="420"/>
        <w:jc w:val="left"/>
        <w:rPr>
          <w:rFonts w:ascii="宋体" w:hAnsi="宋体" w:cs="仿宋_GB2312"/>
          <w:kern w:val="0"/>
          <w:sz w:val="24"/>
        </w:rPr>
      </w:pPr>
      <w:r>
        <w:rPr>
          <w:rFonts w:hint="eastAsia" w:ascii="宋体" w:hAnsi="宋体" w:cs="仿宋_GB2312"/>
          <w:kern w:val="0"/>
          <w:sz w:val="24"/>
        </w:rPr>
        <w:t>2、</w:t>
      </w:r>
      <w:r>
        <w:rPr>
          <w:rFonts w:hint="eastAsia" w:ascii="宋体" w:hAnsi="宋体" w:cs="仿宋_GB2312"/>
          <w:bCs/>
          <w:kern w:val="0"/>
          <w:sz w:val="24"/>
          <w:lang w:val="zh-CN"/>
        </w:rPr>
        <w:t>考核机制：中标</w:t>
      </w:r>
      <w:r>
        <w:rPr>
          <w:rFonts w:hint="eastAsia" w:ascii="宋体" w:hAnsi="宋体" w:cs="仿宋_GB2312"/>
          <w:kern w:val="0"/>
          <w:sz w:val="24"/>
          <w:lang w:val="zh-CN"/>
        </w:rPr>
        <w:t>供应商应接受采购方考核，原则上半年开展一次。采购方将从货物质量、交货情况、退换货情况、异常处理、结算情况等方面对供应商进行考核，考核评分不足</w:t>
      </w:r>
      <w:r>
        <w:rPr>
          <w:rFonts w:hint="eastAsia" w:ascii="宋体" w:hAnsi="宋体" w:cs="仿宋_GB2312"/>
          <w:kern w:val="0"/>
          <w:sz w:val="24"/>
        </w:rPr>
        <w:t>60分者为不合格供应商，取消其供货资格。</w:t>
      </w:r>
    </w:p>
    <w:p>
      <w:pPr>
        <w:spacing w:line="400" w:lineRule="exact"/>
        <w:ind w:firstLine="666"/>
        <w:rPr>
          <w:rFonts w:ascii="宋体" w:hAnsi="宋体" w:cs="仿宋_GB2312"/>
          <w:spacing w:val="8"/>
          <w:sz w:val="24"/>
          <w:shd w:val="clear" w:color="auto" w:fill="FFFFFF"/>
        </w:rPr>
      </w:pPr>
    </w:p>
    <w:p>
      <w:pPr>
        <w:spacing w:line="400" w:lineRule="exact"/>
        <w:rPr>
          <w:rFonts w:ascii="黑体" w:hAnsi="黑体" w:eastAsia="黑体"/>
          <w:sz w:val="28"/>
          <w:szCs w:val="28"/>
        </w:rPr>
      </w:pPr>
      <w:r>
        <w:rPr>
          <w:rFonts w:hint="eastAsia" w:ascii="黑体" w:hAnsi="黑体" w:eastAsia="黑体"/>
          <w:sz w:val="28"/>
          <w:szCs w:val="28"/>
        </w:rPr>
        <w:t>七、付款方式：</w:t>
      </w:r>
    </w:p>
    <w:p>
      <w:pPr>
        <w:autoSpaceDE w:val="0"/>
        <w:autoSpaceDN w:val="0"/>
        <w:adjustRightInd w:val="0"/>
        <w:spacing w:line="400" w:lineRule="exact"/>
        <w:ind w:firstLine="420"/>
        <w:jc w:val="left"/>
        <w:rPr>
          <w:rFonts w:ascii="宋体" w:hAnsi="宋体" w:cs="仿宋_GB2312"/>
          <w:kern w:val="0"/>
          <w:sz w:val="24"/>
          <w:lang w:val="zh-CN"/>
        </w:rPr>
      </w:pPr>
      <w:r>
        <w:rPr>
          <w:rFonts w:hint="eastAsia" w:ascii="宋体" w:hAnsi="宋体" w:cs="仿宋_GB2312"/>
          <w:kern w:val="0"/>
          <w:sz w:val="24"/>
          <w:lang w:val="zh-CN"/>
        </w:rPr>
        <w:t>按实结算，原则上每个月支付一次。</w:t>
      </w:r>
    </w:p>
    <w:p>
      <w:pPr>
        <w:spacing w:line="400" w:lineRule="exact"/>
        <w:ind w:firstLine="512" w:firstLineChars="200"/>
        <w:rPr>
          <w:rFonts w:ascii="宋体" w:hAnsi="宋体" w:cs="仿宋_GB2312"/>
          <w:spacing w:val="8"/>
          <w:sz w:val="24"/>
          <w:shd w:val="clear" w:color="auto" w:fill="FFFFFF"/>
        </w:rPr>
      </w:pPr>
    </w:p>
    <w:p>
      <w:pPr>
        <w:spacing w:line="400" w:lineRule="exact"/>
        <w:rPr>
          <w:rFonts w:ascii="黑体" w:hAnsi="黑体" w:eastAsia="黑体"/>
          <w:sz w:val="28"/>
          <w:szCs w:val="28"/>
        </w:rPr>
      </w:pPr>
      <w:r>
        <w:rPr>
          <w:rFonts w:hint="eastAsia" w:ascii="黑体" w:hAnsi="黑体" w:eastAsia="黑体"/>
          <w:sz w:val="28"/>
          <w:szCs w:val="28"/>
        </w:rPr>
        <w:t>八、中标规则及后续确定供应商方式：</w:t>
      </w:r>
    </w:p>
    <w:p>
      <w:pPr>
        <w:spacing w:line="400" w:lineRule="exact"/>
        <w:ind w:firstLine="514" w:firstLineChars="200"/>
        <w:rPr>
          <w:rFonts w:ascii="宋体" w:hAnsi="宋体" w:cs="仿宋_GB2312"/>
          <w:b/>
          <w:spacing w:val="8"/>
          <w:sz w:val="24"/>
          <w:shd w:val="clear" w:color="auto" w:fill="FFFFFF"/>
        </w:rPr>
      </w:pPr>
      <w:r>
        <w:rPr>
          <w:rFonts w:hint="eastAsia" w:ascii="宋体" w:hAnsi="宋体" w:cs="仿宋_GB2312"/>
          <w:b/>
          <w:spacing w:val="8"/>
          <w:sz w:val="24"/>
          <w:shd w:val="clear" w:color="auto" w:fill="FFFFFF"/>
        </w:rPr>
        <w:t>1、各包中标规则</w:t>
      </w:r>
    </w:p>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评标委员会根据各中标人的得分高低情况确定中标人的名次排名。如有效投标人＞3家，则确定排名前3名单位为中标人；有效投标人＝3家，则确定排名前2名单位为中标人；如有效投标人＜3家，则该包项目废标。</w:t>
      </w:r>
    </w:p>
    <w:p>
      <w:pPr>
        <w:spacing w:line="400" w:lineRule="exact"/>
        <w:ind w:firstLine="514" w:firstLineChars="200"/>
        <w:rPr>
          <w:rFonts w:ascii="宋体" w:hAnsi="宋体" w:cs="仿宋_GB2312"/>
          <w:b/>
          <w:spacing w:val="8"/>
          <w:sz w:val="24"/>
          <w:shd w:val="clear" w:color="auto" w:fill="FFFFFF"/>
        </w:rPr>
      </w:pPr>
      <w:r>
        <w:rPr>
          <w:rFonts w:hint="eastAsia" w:ascii="宋体" w:hAnsi="宋体" w:cs="仿宋_GB2312"/>
          <w:b/>
          <w:spacing w:val="8"/>
          <w:sz w:val="24"/>
          <w:shd w:val="clear" w:color="auto" w:fill="FFFFFF"/>
        </w:rPr>
        <w:t>2、后续确定供应商方式</w:t>
      </w:r>
    </w:p>
    <w:p>
      <w:pPr>
        <w:spacing w:line="400" w:lineRule="exact"/>
        <w:ind w:firstLine="512" w:firstLineChars="200"/>
        <w:rPr>
          <w:rFonts w:ascii="宋体" w:hAnsi="宋体" w:cs="仿宋_GB2312"/>
          <w:spacing w:val="8"/>
          <w:sz w:val="24"/>
          <w:shd w:val="clear" w:color="auto" w:fill="FFFFFF"/>
        </w:rPr>
      </w:pPr>
      <w:r>
        <w:rPr>
          <w:rFonts w:hint="eastAsia" w:ascii="宋体" w:hAnsi="宋体" w:cs="仿宋_GB2312"/>
          <w:spacing w:val="8"/>
          <w:sz w:val="24"/>
          <w:shd w:val="clear" w:color="auto" w:fill="FFFFFF"/>
        </w:rPr>
        <w:t>采购方在实施具体批次项目采购时，将根据产品类别向对应的中标供应商发起比价邀请，供应商须在3个工作日内向采购方提交纸质版报价单。供应商必须以本次中标价格中的产品单价为基准价，各项报价不得高于基准价，总价最低者为该批次项目供货人，同时签订购销合同。（注：</w:t>
      </w:r>
      <w:r>
        <w:rPr>
          <w:rFonts w:hint="eastAsia" w:ascii="宋体" w:hAnsi="宋体" w:cs="仿宋_GB2312"/>
          <w:kern w:val="0"/>
          <w:sz w:val="24"/>
          <w:lang w:val="zh-CN"/>
        </w:rPr>
        <w:t>每包</w:t>
      </w:r>
      <w:r>
        <w:rPr>
          <w:rFonts w:hint="eastAsia" w:ascii="宋体" w:hAnsi="宋体" w:cs="仿宋_GB2312"/>
          <w:spacing w:val="8"/>
          <w:sz w:val="24"/>
          <w:shd w:val="clear" w:color="auto" w:fill="FFFFFF"/>
        </w:rPr>
        <w:t>采购清单</w:t>
      </w:r>
      <w:r>
        <w:rPr>
          <w:rFonts w:hint="eastAsia" w:ascii="宋体" w:hAnsi="宋体" w:cs="仿宋_GB2312"/>
          <w:kern w:val="0"/>
          <w:sz w:val="24"/>
          <w:lang w:val="zh-CN"/>
        </w:rPr>
        <w:t>中的产品为不完全列举，采购人可根据需要向供应商采购本类其他未列出的产品，产品价格按供应商同品牌产品的优惠水平确定</w:t>
      </w:r>
      <w:r>
        <w:rPr>
          <w:rFonts w:hint="eastAsia" w:ascii="宋体" w:hAnsi="宋体" w:cs="仿宋_GB2312"/>
          <w:spacing w:val="8"/>
          <w:sz w:val="24"/>
          <w:shd w:val="clear" w:color="auto" w:fill="FFFFFF"/>
        </w:rPr>
        <w:t>）</w:t>
      </w: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Fonts w:ascii="黑体" w:hAnsi="黑体" w:eastAsia="黑体"/>
          <w:sz w:val="30"/>
          <w:szCs w:val="30"/>
        </w:rPr>
      </w:pPr>
      <w:r>
        <w:rPr>
          <w:rStyle w:val="94"/>
          <w:rFonts w:hint="eastAsia" w:ascii="黑体" w:hAnsi="黑体" w:eastAsia="黑体"/>
          <w:bCs/>
          <w:color w:val="auto"/>
          <w:sz w:val="30"/>
          <w:szCs w:val="30"/>
          <w:u w:val="none"/>
        </w:rPr>
        <w:t>第五章　</w:t>
      </w:r>
      <w:r>
        <w:rPr>
          <w:rFonts w:hint="eastAsia" w:ascii="黑体" w:hAnsi="黑体" w:eastAsia="黑体"/>
          <w:bCs/>
          <w:sz w:val="30"/>
          <w:szCs w:val="30"/>
        </w:rPr>
        <w:t>评标方法和评标标准</w:t>
      </w:r>
    </w:p>
    <w:bookmarkEnd w:id="25"/>
    <w:p>
      <w:pPr>
        <w:spacing w:line="400" w:lineRule="exact"/>
        <w:ind w:firstLine="480" w:firstLineChars="200"/>
        <w:outlineLvl w:val="0"/>
        <w:rPr>
          <w:rFonts w:ascii="楷体_GB2312" w:eastAsia="楷体_GB2312"/>
          <w:sz w:val="24"/>
        </w:rPr>
      </w:pPr>
    </w:p>
    <w:p>
      <w:pPr>
        <w:spacing w:line="600" w:lineRule="exact"/>
        <w:jc w:val="left"/>
        <w:rPr>
          <w:rFonts w:ascii="黑体" w:hAnsi="黑体" w:eastAsia="黑体"/>
          <w:sz w:val="28"/>
          <w:szCs w:val="28"/>
        </w:rPr>
      </w:pPr>
      <w:r>
        <w:rPr>
          <w:rFonts w:hint="eastAsia" w:ascii="黑体" w:hAnsi="黑体" w:eastAsia="黑体"/>
          <w:sz w:val="28"/>
          <w:szCs w:val="28"/>
        </w:rPr>
        <w:t>一、评标方法</w:t>
      </w:r>
    </w:p>
    <w:p>
      <w:pPr>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pPr>
        <w:spacing w:line="40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评标委员会遵循公平、公正、择优原则，独立按照评分标准分别评定投标人的分值；各投标人的最终得分为各评委所评定分值的平均值，并按高低顺序排列，确定中标候选单位，采购人按中标规则确认为中标单位。若得分相同，按投标报价由低到高顺序排列；得分且投标报价相同，按技术指标优劣顺序排列。</w:t>
      </w:r>
    </w:p>
    <w:p>
      <w:pPr>
        <w:spacing w:line="400" w:lineRule="exact"/>
        <w:ind w:firstLine="480" w:firstLineChars="200"/>
        <w:outlineLvl w:val="0"/>
        <w:rPr>
          <w:rFonts w:asciiTheme="minorEastAsia" w:hAnsiTheme="minorEastAsia" w:eastAsiaTheme="minorEastAsia"/>
          <w:sz w:val="24"/>
        </w:rPr>
      </w:pPr>
      <w:r>
        <w:rPr>
          <w:rFonts w:hint="eastAsia" w:asciiTheme="minorEastAsia" w:hAnsiTheme="minorEastAsia" w:eastAsiaTheme="minorEastAsia"/>
          <w:sz w:val="24"/>
        </w:rPr>
        <w:t>注：每部分的得分保留小数点后两位，合计得分保留小数点后两位。</w:t>
      </w:r>
    </w:p>
    <w:p>
      <w:pPr>
        <w:spacing w:line="400" w:lineRule="exact"/>
        <w:jc w:val="left"/>
        <w:outlineLvl w:val="0"/>
        <w:rPr>
          <w:rFonts w:ascii="黑体" w:hAnsi="黑体" w:eastAsia="黑体"/>
          <w:sz w:val="28"/>
          <w:szCs w:val="28"/>
        </w:rPr>
      </w:pPr>
    </w:p>
    <w:p>
      <w:pPr>
        <w:spacing w:line="600" w:lineRule="exact"/>
        <w:jc w:val="left"/>
        <w:rPr>
          <w:rFonts w:ascii="黑体" w:hAnsi="黑体" w:eastAsia="黑体"/>
          <w:sz w:val="28"/>
          <w:szCs w:val="28"/>
        </w:rPr>
      </w:pPr>
      <w:r>
        <w:rPr>
          <w:rFonts w:hint="eastAsia" w:ascii="黑体" w:hAnsi="黑体" w:eastAsia="黑体"/>
          <w:sz w:val="28"/>
          <w:szCs w:val="28"/>
        </w:rPr>
        <w:t>二、评分标准（各项目包分别评分）</w:t>
      </w:r>
    </w:p>
    <w:tbl>
      <w:tblPr>
        <w:tblStyle w:val="88"/>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908"/>
        <w:gridCol w:w="1288"/>
        <w:gridCol w:w="566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Align w:val="center"/>
          </w:tcPr>
          <w:p>
            <w:pPr>
              <w:spacing w:line="400" w:lineRule="exact"/>
              <w:jc w:val="center"/>
              <w:rPr>
                <w:rFonts w:ascii="宋体" w:hAnsi="宋体" w:cs="宋体"/>
                <w:b/>
                <w:sz w:val="24"/>
              </w:rPr>
            </w:pPr>
            <w:r>
              <w:rPr>
                <w:rFonts w:hint="eastAsia" w:ascii="宋体" w:hAnsi="宋体" w:cs="宋体"/>
                <w:b/>
                <w:sz w:val="24"/>
              </w:rPr>
              <w:t>评分项</w:t>
            </w:r>
          </w:p>
        </w:tc>
        <w:tc>
          <w:tcPr>
            <w:tcW w:w="908" w:type="dxa"/>
            <w:vAlign w:val="center"/>
          </w:tcPr>
          <w:p>
            <w:pPr>
              <w:spacing w:line="400" w:lineRule="exact"/>
              <w:jc w:val="center"/>
              <w:rPr>
                <w:rFonts w:ascii="宋体" w:hAnsi="宋体" w:cs="宋体"/>
                <w:b/>
                <w:sz w:val="24"/>
              </w:rPr>
            </w:pPr>
            <w:r>
              <w:rPr>
                <w:rFonts w:hint="eastAsia" w:ascii="宋体" w:hAnsi="宋体" w:cs="宋体"/>
                <w:b/>
                <w:sz w:val="24"/>
              </w:rPr>
              <w:t>序号</w:t>
            </w:r>
          </w:p>
        </w:tc>
        <w:tc>
          <w:tcPr>
            <w:tcW w:w="1288" w:type="dxa"/>
            <w:vAlign w:val="center"/>
          </w:tcPr>
          <w:p>
            <w:pPr>
              <w:spacing w:line="400" w:lineRule="exact"/>
              <w:jc w:val="center"/>
              <w:rPr>
                <w:rFonts w:ascii="宋体" w:hAnsi="宋体" w:cs="宋体"/>
                <w:b/>
                <w:sz w:val="24"/>
              </w:rPr>
            </w:pPr>
            <w:r>
              <w:rPr>
                <w:rFonts w:hint="eastAsia" w:ascii="宋体" w:hAnsi="宋体" w:cs="宋体"/>
                <w:b/>
                <w:sz w:val="24"/>
              </w:rPr>
              <w:t>评分因素</w:t>
            </w:r>
          </w:p>
        </w:tc>
        <w:tc>
          <w:tcPr>
            <w:tcW w:w="5661" w:type="dxa"/>
            <w:vAlign w:val="center"/>
          </w:tcPr>
          <w:p>
            <w:pPr>
              <w:spacing w:line="400" w:lineRule="exact"/>
              <w:jc w:val="center"/>
              <w:rPr>
                <w:rFonts w:ascii="宋体" w:hAnsi="宋体" w:cs="宋体"/>
                <w:b/>
                <w:sz w:val="24"/>
              </w:rPr>
            </w:pPr>
            <w:r>
              <w:rPr>
                <w:rFonts w:hint="eastAsia" w:ascii="宋体" w:hAnsi="宋体" w:cs="宋体"/>
                <w:b/>
                <w:sz w:val="24"/>
              </w:rPr>
              <w:t>评分细则</w:t>
            </w:r>
          </w:p>
        </w:tc>
        <w:tc>
          <w:tcPr>
            <w:tcW w:w="716" w:type="dxa"/>
            <w:vAlign w:val="center"/>
          </w:tcPr>
          <w:p>
            <w:pPr>
              <w:spacing w:line="400" w:lineRule="exact"/>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Align w:val="center"/>
          </w:tcPr>
          <w:p>
            <w:pPr>
              <w:spacing w:line="400" w:lineRule="exact"/>
              <w:jc w:val="center"/>
              <w:rPr>
                <w:rFonts w:ascii="宋体" w:hAnsi="宋体"/>
                <w:sz w:val="24"/>
              </w:rPr>
            </w:pPr>
            <w:r>
              <w:rPr>
                <w:rFonts w:hint="eastAsia" w:ascii="宋体" w:hAnsi="宋体"/>
                <w:sz w:val="24"/>
              </w:rPr>
              <w:t>一、价格部分</w:t>
            </w:r>
          </w:p>
          <w:p>
            <w:pPr>
              <w:spacing w:line="400" w:lineRule="exact"/>
              <w:jc w:val="center"/>
              <w:rPr>
                <w:rFonts w:ascii="宋体" w:hAnsi="宋体"/>
                <w:sz w:val="24"/>
              </w:rPr>
            </w:pPr>
            <w:r>
              <w:rPr>
                <w:rFonts w:hint="eastAsia" w:ascii="宋体" w:hAnsi="宋体"/>
                <w:sz w:val="24"/>
              </w:rPr>
              <w:t>（35分）</w:t>
            </w:r>
          </w:p>
        </w:tc>
        <w:tc>
          <w:tcPr>
            <w:tcW w:w="908" w:type="dxa"/>
            <w:vAlign w:val="center"/>
          </w:tcPr>
          <w:p>
            <w:pPr>
              <w:spacing w:line="400" w:lineRule="exact"/>
              <w:jc w:val="center"/>
              <w:rPr>
                <w:rFonts w:ascii="宋体" w:hAnsi="宋体"/>
                <w:sz w:val="24"/>
              </w:rPr>
            </w:pPr>
            <w:r>
              <w:rPr>
                <w:rFonts w:hint="eastAsia" w:ascii="宋体" w:hAnsi="宋体"/>
                <w:sz w:val="24"/>
              </w:rPr>
              <w:t>1.1</w:t>
            </w:r>
          </w:p>
        </w:tc>
        <w:tc>
          <w:tcPr>
            <w:tcW w:w="1288" w:type="dxa"/>
            <w:vAlign w:val="center"/>
          </w:tcPr>
          <w:p>
            <w:pPr>
              <w:spacing w:line="400" w:lineRule="exact"/>
              <w:jc w:val="center"/>
              <w:rPr>
                <w:rFonts w:ascii="宋体" w:hAnsi="宋体"/>
                <w:sz w:val="24"/>
              </w:rPr>
            </w:pPr>
            <w:r>
              <w:rPr>
                <w:rFonts w:hint="eastAsia" w:ascii="宋体" w:hAnsi="宋体"/>
                <w:sz w:val="24"/>
              </w:rPr>
              <w:t>投标报价</w:t>
            </w:r>
          </w:p>
        </w:tc>
        <w:tc>
          <w:tcPr>
            <w:tcW w:w="5661" w:type="dxa"/>
            <w:vAlign w:val="center"/>
          </w:tcPr>
          <w:p>
            <w:pPr>
              <w:spacing w:line="400" w:lineRule="exact"/>
              <w:jc w:val="left"/>
              <w:rPr>
                <w:rFonts w:ascii="宋体" w:hAnsi="宋体"/>
                <w:sz w:val="24"/>
              </w:rPr>
            </w:pPr>
            <w:r>
              <w:rPr>
                <w:rFonts w:hint="eastAsia" w:ascii="宋体" w:hAnsi="宋体"/>
                <w:sz w:val="24"/>
              </w:rPr>
              <w:t>满足招标文件要求且投标报价最低的投标报价为评标基准价，其价格为满分。其他投标人的价格分按照下列公式计算：</w:t>
            </w:r>
          </w:p>
          <w:p>
            <w:pPr>
              <w:spacing w:line="400" w:lineRule="exact"/>
              <w:jc w:val="left"/>
              <w:rPr>
                <w:rFonts w:ascii="宋体" w:hAnsi="宋体"/>
                <w:sz w:val="24"/>
              </w:rPr>
            </w:pPr>
            <w:r>
              <w:rPr>
                <w:rFonts w:hint="eastAsia" w:ascii="宋体" w:hAnsi="宋体"/>
                <w:sz w:val="24"/>
              </w:rPr>
              <w:t>投标报价得分＝（评标基准价/投标报价）×35分</w:t>
            </w:r>
          </w:p>
        </w:tc>
        <w:tc>
          <w:tcPr>
            <w:tcW w:w="716" w:type="dxa"/>
            <w:vAlign w:val="center"/>
          </w:tcPr>
          <w:p>
            <w:pPr>
              <w:spacing w:line="400" w:lineRule="exact"/>
              <w:jc w:val="center"/>
              <w:rPr>
                <w:rFonts w:ascii="宋体" w:hAnsi="宋体"/>
                <w:sz w:val="24"/>
              </w:rPr>
            </w:pPr>
            <w:r>
              <w:rPr>
                <w:rFonts w:hint="eastAsia"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Merge w:val="restart"/>
            <w:vAlign w:val="center"/>
          </w:tcPr>
          <w:p>
            <w:pPr>
              <w:spacing w:line="400" w:lineRule="exact"/>
              <w:jc w:val="center"/>
              <w:rPr>
                <w:rFonts w:ascii="宋体" w:hAnsi="宋体"/>
                <w:sz w:val="24"/>
              </w:rPr>
            </w:pPr>
            <w:r>
              <w:rPr>
                <w:rFonts w:hint="eastAsia" w:ascii="宋体" w:hAnsi="宋体"/>
                <w:sz w:val="24"/>
              </w:rPr>
              <w:t>二、技术部分</w:t>
            </w:r>
          </w:p>
          <w:p>
            <w:pPr>
              <w:spacing w:line="400" w:lineRule="exact"/>
              <w:jc w:val="center"/>
              <w:rPr>
                <w:rFonts w:ascii="宋体" w:hAnsi="宋体"/>
                <w:sz w:val="24"/>
              </w:rPr>
            </w:pPr>
            <w:r>
              <w:rPr>
                <w:rFonts w:hint="eastAsia" w:ascii="宋体" w:hAnsi="宋体"/>
                <w:sz w:val="24"/>
              </w:rPr>
              <w:t>（55分）</w:t>
            </w:r>
          </w:p>
        </w:tc>
        <w:tc>
          <w:tcPr>
            <w:tcW w:w="908" w:type="dxa"/>
            <w:vAlign w:val="center"/>
          </w:tcPr>
          <w:p>
            <w:pPr>
              <w:spacing w:line="400" w:lineRule="exact"/>
              <w:jc w:val="center"/>
              <w:rPr>
                <w:rFonts w:ascii="宋体" w:hAnsi="宋体"/>
                <w:sz w:val="24"/>
              </w:rPr>
            </w:pPr>
            <w:r>
              <w:rPr>
                <w:rFonts w:hint="eastAsia" w:ascii="宋体" w:hAnsi="宋体"/>
                <w:sz w:val="24"/>
              </w:rPr>
              <w:t>2.1</w:t>
            </w:r>
          </w:p>
        </w:tc>
        <w:tc>
          <w:tcPr>
            <w:tcW w:w="1288" w:type="dxa"/>
            <w:vAlign w:val="center"/>
          </w:tcPr>
          <w:p>
            <w:pPr>
              <w:spacing w:line="400" w:lineRule="exact"/>
              <w:jc w:val="center"/>
              <w:rPr>
                <w:rFonts w:ascii="宋体" w:hAnsi="宋体" w:cs="宋体"/>
                <w:sz w:val="24"/>
              </w:rPr>
            </w:pPr>
            <w:r>
              <w:rPr>
                <w:rFonts w:hint="eastAsia" w:ascii="宋体" w:hAnsi="宋体" w:cs="宋体"/>
                <w:sz w:val="24"/>
              </w:rPr>
              <w:t>技术指标响应</w:t>
            </w:r>
          </w:p>
        </w:tc>
        <w:tc>
          <w:tcPr>
            <w:tcW w:w="5661" w:type="dxa"/>
            <w:vAlign w:val="center"/>
          </w:tcPr>
          <w:p>
            <w:pPr>
              <w:spacing w:line="400" w:lineRule="exact"/>
              <w:rPr>
                <w:rFonts w:ascii="宋体" w:hAnsi="宋体" w:cs="宋体"/>
                <w:sz w:val="24"/>
              </w:rPr>
            </w:pPr>
            <w:r>
              <w:rPr>
                <w:rFonts w:hint="eastAsia" w:ascii="宋体" w:hAnsi="宋体" w:cs="宋体"/>
                <w:sz w:val="24"/>
              </w:rPr>
              <w:t>根据投标文件中的《报价明细表》、《技术要求响应偏离表》，对所投产品技术指标的响应情况进行评审打分，满足招标文件全部技术指标要求的得30分，其中：</w:t>
            </w:r>
          </w:p>
          <w:p>
            <w:pPr>
              <w:spacing w:line="400" w:lineRule="exact"/>
              <w:rPr>
                <w:rFonts w:ascii="宋体" w:hAnsi="宋体" w:cs="宋体"/>
                <w:sz w:val="24"/>
              </w:rPr>
            </w:pPr>
            <w:r>
              <w:rPr>
                <w:rFonts w:hint="eastAsia" w:ascii="宋体" w:hAnsi="宋体" w:cs="宋体"/>
                <w:sz w:val="24"/>
              </w:rPr>
              <w:t>第一、四包：有一项产品有负偏离扣0.2分；</w:t>
            </w:r>
          </w:p>
          <w:p>
            <w:pPr>
              <w:spacing w:line="400" w:lineRule="exact"/>
              <w:rPr>
                <w:rFonts w:ascii="宋体" w:hAnsi="宋体" w:cs="宋体"/>
                <w:sz w:val="24"/>
              </w:rPr>
            </w:pPr>
            <w:r>
              <w:rPr>
                <w:rFonts w:hint="eastAsia" w:ascii="宋体" w:hAnsi="宋体" w:cs="宋体"/>
                <w:sz w:val="24"/>
              </w:rPr>
              <w:t>第二、三包：有一项产品有负偏离扣0.1分；</w:t>
            </w:r>
          </w:p>
          <w:p>
            <w:pPr>
              <w:spacing w:line="400" w:lineRule="exact"/>
              <w:rPr>
                <w:rFonts w:ascii="宋体" w:hAnsi="宋体" w:cs="宋体"/>
                <w:sz w:val="24"/>
              </w:rPr>
            </w:pPr>
            <w:r>
              <w:rPr>
                <w:rFonts w:hint="eastAsia" w:ascii="宋体" w:hAnsi="宋体" w:cs="宋体"/>
                <w:sz w:val="24"/>
              </w:rPr>
              <w:t>第五、六包：有一项产品有负偏离扣2分；</w:t>
            </w:r>
          </w:p>
          <w:p>
            <w:pPr>
              <w:spacing w:line="400" w:lineRule="exact"/>
              <w:rPr>
                <w:rFonts w:ascii="宋体" w:hAnsi="宋体" w:cs="宋体"/>
                <w:sz w:val="24"/>
              </w:rPr>
            </w:pPr>
            <w:r>
              <w:rPr>
                <w:rFonts w:hint="eastAsia" w:ascii="宋体" w:hAnsi="宋体" w:cs="宋体"/>
                <w:sz w:val="24"/>
              </w:rPr>
              <w:t>扣完为止。</w:t>
            </w:r>
          </w:p>
        </w:tc>
        <w:tc>
          <w:tcPr>
            <w:tcW w:w="716" w:type="dxa"/>
            <w:vAlign w:val="center"/>
          </w:tcPr>
          <w:p>
            <w:pPr>
              <w:spacing w:line="400" w:lineRule="exact"/>
              <w:jc w:val="center"/>
              <w:rPr>
                <w:rFonts w:ascii="宋体" w:hAnsi="宋体" w:cs="宋体"/>
                <w:sz w:val="24"/>
              </w:rPr>
            </w:pPr>
            <w:r>
              <w:rPr>
                <w:rFonts w:hint="eastAsia" w:ascii="宋体" w:hAnsi="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84" w:type="dxa"/>
            <w:vMerge w:val="continue"/>
            <w:vAlign w:val="center"/>
          </w:tcPr>
          <w:p>
            <w:pPr>
              <w:spacing w:line="400" w:lineRule="exact"/>
              <w:jc w:val="center"/>
              <w:rPr>
                <w:rFonts w:ascii="宋体" w:hAnsi="宋体"/>
                <w:sz w:val="24"/>
              </w:rPr>
            </w:pPr>
          </w:p>
        </w:tc>
        <w:tc>
          <w:tcPr>
            <w:tcW w:w="908" w:type="dxa"/>
            <w:vAlign w:val="center"/>
          </w:tcPr>
          <w:p>
            <w:pPr>
              <w:spacing w:line="400" w:lineRule="exact"/>
              <w:jc w:val="center"/>
              <w:rPr>
                <w:rFonts w:ascii="宋体" w:hAnsi="宋体"/>
                <w:sz w:val="24"/>
              </w:rPr>
            </w:pPr>
            <w:r>
              <w:rPr>
                <w:rFonts w:hint="eastAsia" w:ascii="宋体" w:hAnsi="宋体"/>
                <w:sz w:val="24"/>
              </w:rPr>
              <w:t>2.2</w:t>
            </w:r>
          </w:p>
        </w:tc>
        <w:tc>
          <w:tcPr>
            <w:tcW w:w="1288" w:type="dxa"/>
            <w:vAlign w:val="center"/>
          </w:tcPr>
          <w:p>
            <w:pPr>
              <w:spacing w:line="400" w:lineRule="exact"/>
              <w:jc w:val="center"/>
              <w:rPr>
                <w:rFonts w:ascii="宋体" w:hAnsi="宋体"/>
                <w:sz w:val="24"/>
              </w:rPr>
            </w:pPr>
            <w:r>
              <w:rPr>
                <w:rFonts w:hint="eastAsia" w:ascii="宋体" w:hAnsi="宋体" w:cs="仿宋_GB2312"/>
                <w:kern w:val="0"/>
                <w:sz w:val="24"/>
                <w:lang w:val="zh-CN"/>
              </w:rPr>
              <w:t>供货方案</w:t>
            </w:r>
          </w:p>
        </w:tc>
        <w:tc>
          <w:tcPr>
            <w:tcW w:w="5661" w:type="dxa"/>
            <w:vAlign w:val="center"/>
          </w:tcPr>
          <w:p>
            <w:pPr>
              <w:spacing w:line="400" w:lineRule="exact"/>
              <w:jc w:val="left"/>
              <w:rPr>
                <w:rFonts w:ascii="宋体" w:hAnsi="宋体"/>
                <w:sz w:val="24"/>
              </w:rPr>
            </w:pPr>
            <w:r>
              <w:rPr>
                <w:rFonts w:hint="eastAsia" w:ascii="宋体" w:hAnsi="宋体"/>
                <w:sz w:val="24"/>
              </w:rPr>
              <w:t xml:space="preserve">投标人结合本项目采购需求及自身情况制定供货方案，如：配置专人送货，分工明确，人员配置数量，送货流程管理科学且顺畅等。 </w:t>
            </w:r>
          </w:p>
          <w:p>
            <w:pPr>
              <w:spacing w:line="400" w:lineRule="exact"/>
              <w:jc w:val="left"/>
              <w:rPr>
                <w:rFonts w:ascii="宋体" w:hAnsi="宋体"/>
                <w:sz w:val="24"/>
              </w:rPr>
            </w:pPr>
            <w:r>
              <w:rPr>
                <w:rFonts w:hint="eastAsia" w:ascii="宋体" w:hAnsi="宋体"/>
                <w:sz w:val="24"/>
              </w:rPr>
              <w:t>优：方案科学合理、内容全面、计划切实可行的得7-10分；</w:t>
            </w:r>
          </w:p>
          <w:p>
            <w:pPr>
              <w:spacing w:line="400" w:lineRule="exact"/>
              <w:jc w:val="left"/>
              <w:rPr>
                <w:rFonts w:ascii="宋体" w:hAnsi="宋体"/>
                <w:sz w:val="24"/>
              </w:rPr>
            </w:pPr>
            <w:r>
              <w:rPr>
                <w:rFonts w:hint="eastAsia" w:ascii="宋体" w:hAnsi="宋体"/>
                <w:sz w:val="24"/>
              </w:rPr>
              <w:t>良：方案较科学合理、内容较全面、计划较切实可行的得4-6分；</w:t>
            </w:r>
          </w:p>
          <w:p>
            <w:pPr>
              <w:spacing w:line="400" w:lineRule="exact"/>
              <w:jc w:val="left"/>
              <w:rPr>
                <w:rFonts w:ascii="宋体" w:hAnsi="宋体"/>
                <w:sz w:val="24"/>
              </w:rPr>
            </w:pPr>
            <w:r>
              <w:rPr>
                <w:rFonts w:hint="eastAsia" w:ascii="宋体" w:hAnsi="宋体"/>
                <w:sz w:val="24"/>
              </w:rPr>
              <w:t>一般：方案科学合理性一般、内容空洞、计划可行性一般的得1-3分；</w:t>
            </w:r>
          </w:p>
          <w:p>
            <w:pPr>
              <w:spacing w:line="400" w:lineRule="exact"/>
              <w:jc w:val="left"/>
              <w:rPr>
                <w:rFonts w:ascii="宋体" w:hAnsi="宋体"/>
                <w:sz w:val="24"/>
              </w:rPr>
            </w:pPr>
            <w:r>
              <w:rPr>
                <w:rFonts w:hint="eastAsia" w:ascii="宋体" w:hAnsi="宋体"/>
                <w:sz w:val="24"/>
              </w:rPr>
              <w:t>不符合招标文件要求或未提供的不得分。</w:t>
            </w:r>
          </w:p>
        </w:tc>
        <w:tc>
          <w:tcPr>
            <w:tcW w:w="716" w:type="dxa"/>
            <w:vAlign w:val="center"/>
          </w:tcPr>
          <w:p>
            <w:pPr>
              <w:spacing w:line="400" w:lineRule="exact"/>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Merge w:val="continue"/>
            <w:vAlign w:val="center"/>
          </w:tcPr>
          <w:p>
            <w:pPr>
              <w:spacing w:line="400" w:lineRule="exact"/>
              <w:jc w:val="center"/>
              <w:rPr>
                <w:rFonts w:ascii="宋体" w:hAnsi="宋体"/>
                <w:sz w:val="24"/>
              </w:rPr>
            </w:pPr>
          </w:p>
        </w:tc>
        <w:tc>
          <w:tcPr>
            <w:tcW w:w="908" w:type="dxa"/>
            <w:vAlign w:val="center"/>
          </w:tcPr>
          <w:p>
            <w:pPr>
              <w:spacing w:line="400" w:lineRule="exact"/>
              <w:jc w:val="center"/>
              <w:rPr>
                <w:rFonts w:ascii="宋体" w:hAnsi="宋体"/>
                <w:sz w:val="24"/>
              </w:rPr>
            </w:pPr>
            <w:r>
              <w:rPr>
                <w:rFonts w:hint="eastAsia" w:ascii="宋体" w:hAnsi="宋体"/>
                <w:sz w:val="24"/>
              </w:rPr>
              <w:t>2.</w:t>
            </w:r>
            <w:r>
              <w:rPr>
                <w:rFonts w:ascii="宋体" w:hAnsi="宋体"/>
                <w:sz w:val="24"/>
              </w:rPr>
              <w:t>3</w:t>
            </w:r>
          </w:p>
        </w:tc>
        <w:tc>
          <w:tcPr>
            <w:tcW w:w="1288" w:type="dxa"/>
            <w:vAlign w:val="center"/>
          </w:tcPr>
          <w:p>
            <w:pPr>
              <w:spacing w:line="400" w:lineRule="exact"/>
              <w:jc w:val="center"/>
              <w:rPr>
                <w:rFonts w:ascii="宋体" w:hAnsi="宋体"/>
                <w:sz w:val="24"/>
              </w:rPr>
            </w:pPr>
            <w:r>
              <w:rPr>
                <w:rFonts w:hint="eastAsia" w:ascii="宋体" w:hAnsi="宋体"/>
                <w:sz w:val="24"/>
              </w:rPr>
              <w:t>仓储及管理措施</w:t>
            </w:r>
          </w:p>
        </w:tc>
        <w:tc>
          <w:tcPr>
            <w:tcW w:w="5661" w:type="dxa"/>
            <w:vAlign w:val="center"/>
          </w:tcPr>
          <w:p>
            <w:pPr>
              <w:spacing w:line="400" w:lineRule="exact"/>
              <w:jc w:val="left"/>
              <w:rPr>
                <w:rFonts w:ascii="宋体" w:hAnsi="宋体" w:cs="微软雅黑"/>
                <w:sz w:val="24"/>
              </w:rPr>
            </w:pPr>
            <w:r>
              <w:rPr>
                <w:rFonts w:hint="eastAsia" w:ascii="宋体" w:hAnsi="宋体" w:cs="微软雅黑"/>
                <w:sz w:val="24"/>
              </w:rPr>
              <w:t>投标人具有所投产品存储仓库及管理措施（如冷藏、防火、防盗、6S等）：</w:t>
            </w:r>
          </w:p>
          <w:p>
            <w:pPr>
              <w:spacing w:line="400" w:lineRule="exact"/>
              <w:jc w:val="left"/>
              <w:rPr>
                <w:rFonts w:ascii="宋体" w:hAnsi="宋体" w:cs="微软雅黑"/>
                <w:sz w:val="24"/>
              </w:rPr>
            </w:pPr>
            <w:r>
              <w:rPr>
                <w:rFonts w:hint="eastAsia" w:ascii="宋体" w:hAnsi="宋体" w:cs="微软雅黑"/>
                <w:sz w:val="24"/>
              </w:rPr>
              <w:t>有专用仓库及详细的仓储管理措施，完全满足所投产品存储需求的，得4-5分；</w:t>
            </w:r>
          </w:p>
          <w:p>
            <w:pPr>
              <w:spacing w:line="400" w:lineRule="exact"/>
              <w:jc w:val="left"/>
              <w:rPr>
                <w:rFonts w:ascii="宋体" w:hAnsi="宋体" w:cs="微软雅黑"/>
                <w:sz w:val="24"/>
              </w:rPr>
            </w:pPr>
            <w:r>
              <w:rPr>
                <w:rFonts w:hint="eastAsia" w:ascii="宋体" w:hAnsi="宋体" w:cs="微软雅黑"/>
                <w:sz w:val="24"/>
              </w:rPr>
              <w:t>有仓库及详细的仓储管理措施，部分满足所投产品存储需求的，得2-3分；</w:t>
            </w:r>
          </w:p>
          <w:p>
            <w:pPr>
              <w:spacing w:line="400" w:lineRule="exact"/>
              <w:jc w:val="left"/>
              <w:rPr>
                <w:rFonts w:ascii="宋体" w:hAnsi="宋体" w:cs="微软雅黑"/>
                <w:sz w:val="24"/>
              </w:rPr>
            </w:pPr>
            <w:r>
              <w:rPr>
                <w:rFonts w:hint="eastAsia" w:ascii="宋体" w:hAnsi="宋体" w:cs="微软雅黑"/>
                <w:sz w:val="24"/>
              </w:rPr>
              <w:t>有仓库及简单的仓储管理措施，基本满足所投产品存储需求的，得1分；</w:t>
            </w:r>
          </w:p>
          <w:p>
            <w:pPr>
              <w:spacing w:line="400" w:lineRule="exact"/>
              <w:jc w:val="left"/>
              <w:rPr>
                <w:rFonts w:ascii="宋体" w:hAnsi="宋体" w:cs="微软雅黑"/>
                <w:sz w:val="24"/>
              </w:rPr>
            </w:pPr>
            <w:r>
              <w:rPr>
                <w:rFonts w:hint="eastAsia" w:ascii="宋体" w:hAnsi="宋体" w:cs="微软雅黑"/>
                <w:sz w:val="24"/>
              </w:rPr>
              <w:t>无仓库或仓储管理措施不得分。</w:t>
            </w:r>
          </w:p>
          <w:p>
            <w:pPr>
              <w:spacing w:line="400" w:lineRule="exact"/>
              <w:jc w:val="left"/>
              <w:rPr>
                <w:rFonts w:ascii="宋体" w:hAnsi="宋体" w:cs="微软雅黑"/>
                <w:sz w:val="24"/>
              </w:rPr>
            </w:pPr>
            <w:r>
              <w:rPr>
                <w:rFonts w:hint="eastAsia" w:ascii="宋体" w:hAnsi="宋体" w:cs="微软雅黑"/>
                <w:sz w:val="24"/>
              </w:rPr>
              <w:t>（须提供仓库基本情况说明、内外部照片、具体地址及所有权证或租赁合同的复印件，材料不全的不得分）</w:t>
            </w:r>
          </w:p>
        </w:tc>
        <w:tc>
          <w:tcPr>
            <w:tcW w:w="716" w:type="dxa"/>
            <w:vAlign w:val="center"/>
          </w:tcPr>
          <w:p>
            <w:pPr>
              <w:spacing w:line="400" w:lineRule="exact"/>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Merge w:val="continue"/>
            <w:vAlign w:val="center"/>
          </w:tcPr>
          <w:p>
            <w:pPr>
              <w:spacing w:line="400" w:lineRule="exact"/>
              <w:jc w:val="center"/>
              <w:rPr>
                <w:rFonts w:ascii="宋体" w:hAnsi="宋体"/>
                <w:sz w:val="24"/>
              </w:rPr>
            </w:pPr>
          </w:p>
        </w:tc>
        <w:tc>
          <w:tcPr>
            <w:tcW w:w="908" w:type="dxa"/>
            <w:vAlign w:val="center"/>
          </w:tcPr>
          <w:p>
            <w:pPr>
              <w:spacing w:line="400" w:lineRule="exact"/>
              <w:jc w:val="center"/>
              <w:rPr>
                <w:rFonts w:ascii="宋体" w:hAnsi="宋体"/>
                <w:sz w:val="24"/>
              </w:rPr>
            </w:pPr>
            <w:r>
              <w:rPr>
                <w:rFonts w:hint="eastAsia" w:ascii="宋体" w:hAnsi="宋体"/>
                <w:sz w:val="24"/>
              </w:rPr>
              <w:t>2.</w:t>
            </w:r>
            <w:r>
              <w:rPr>
                <w:rFonts w:ascii="宋体" w:hAnsi="宋体"/>
                <w:sz w:val="24"/>
              </w:rPr>
              <w:t>4</w:t>
            </w:r>
          </w:p>
        </w:tc>
        <w:tc>
          <w:tcPr>
            <w:tcW w:w="1288" w:type="dxa"/>
            <w:vAlign w:val="center"/>
          </w:tcPr>
          <w:p>
            <w:pPr>
              <w:spacing w:line="400" w:lineRule="exact"/>
              <w:jc w:val="center"/>
              <w:rPr>
                <w:rFonts w:ascii="宋体" w:hAnsi="宋体"/>
                <w:sz w:val="24"/>
              </w:rPr>
            </w:pPr>
            <w:r>
              <w:rPr>
                <w:rFonts w:hint="eastAsia" w:ascii="宋体" w:hAnsi="宋体" w:cs="仿宋_GB2312"/>
                <w:kern w:val="0"/>
                <w:sz w:val="24"/>
                <w:lang w:val="zh-CN"/>
              </w:rPr>
              <w:t>售后服务方案</w:t>
            </w:r>
          </w:p>
        </w:tc>
        <w:tc>
          <w:tcPr>
            <w:tcW w:w="5661" w:type="dxa"/>
            <w:vAlign w:val="center"/>
          </w:tcPr>
          <w:p>
            <w:pPr>
              <w:spacing w:line="400" w:lineRule="exact"/>
              <w:jc w:val="left"/>
              <w:rPr>
                <w:rFonts w:ascii="宋体" w:hAnsi="宋体" w:cs="宋体"/>
                <w:bCs/>
                <w:sz w:val="24"/>
              </w:rPr>
            </w:pPr>
            <w:r>
              <w:rPr>
                <w:rFonts w:hint="eastAsia" w:ascii="宋体" w:hAnsi="宋体" w:cs="宋体"/>
                <w:bCs/>
                <w:sz w:val="24"/>
              </w:rPr>
              <w:t>投标人结合本项目采购需求及自身情况制定售后服务方案，如：产品质量保障措施、技术支持措施、服务响应时间、其他实质性售后服务等。</w:t>
            </w:r>
          </w:p>
          <w:p>
            <w:pPr>
              <w:spacing w:line="400" w:lineRule="exact"/>
              <w:jc w:val="left"/>
              <w:rPr>
                <w:rFonts w:ascii="宋体" w:hAnsi="宋体" w:cs="宋体"/>
                <w:bCs/>
                <w:sz w:val="24"/>
              </w:rPr>
            </w:pPr>
            <w:r>
              <w:rPr>
                <w:rFonts w:hint="eastAsia" w:ascii="宋体" w:hAnsi="宋体" w:cs="宋体"/>
                <w:bCs/>
                <w:sz w:val="24"/>
              </w:rPr>
              <w:t>优：方案科学合理、内容全面、计划切实可行的得7-10分；</w:t>
            </w:r>
          </w:p>
          <w:p>
            <w:pPr>
              <w:spacing w:line="400" w:lineRule="exact"/>
              <w:jc w:val="left"/>
              <w:rPr>
                <w:rFonts w:ascii="宋体" w:hAnsi="宋体" w:cs="宋体"/>
                <w:bCs/>
                <w:sz w:val="24"/>
              </w:rPr>
            </w:pPr>
            <w:r>
              <w:rPr>
                <w:rFonts w:hint="eastAsia" w:ascii="宋体" w:hAnsi="宋体" w:cs="宋体"/>
                <w:bCs/>
                <w:sz w:val="24"/>
              </w:rPr>
              <w:t>良：方案较科学合理、内容较全面、计划较切实可行的得4-6分；</w:t>
            </w:r>
          </w:p>
          <w:p>
            <w:pPr>
              <w:spacing w:line="400" w:lineRule="exact"/>
              <w:jc w:val="left"/>
              <w:rPr>
                <w:rFonts w:ascii="宋体" w:hAnsi="宋体" w:cs="宋体"/>
                <w:bCs/>
                <w:sz w:val="24"/>
              </w:rPr>
            </w:pPr>
            <w:r>
              <w:rPr>
                <w:rFonts w:hint="eastAsia" w:ascii="宋体" w:hAnsi="宋体" w:cs="宋体"/>
                <w:bCs/>
                <w:sz w:val="24"/>
              </w:rPr>
              <w:t>一般：方案科学合理性一般、内容空洞、计划可行性一般的得1-3分；</w:t>
            </w:r>
          </w:p>
          <w:p>
            <w:pPr>
              <w:spacing w:line="400" w:lineRule="exact"/>
              <w:jc w:val="left"/>
              <w:rPr>
                <w:rFonts w:ascii="宋体" w:hAnsi="宋体" w:cs="宋体"/>
                <w:bCs/>
                <w:sz w:val="24"/>
              </w:rPr>
            </w:pPr>
            <w:r>
              <w:rPr>
                <w:rFonts w:hint="eastAsia" w:ascii="宋体" w:hAnsi="宋体" w:cs="宋体"/>
                <w:bCs/>
                <w:sz w:val="24"/>
              </w:rPr>
              <w:t>不符合招标文件要求或未提供的不得分。</w:t>
            </w:r>
          </w:p>
        </w:tc>
        <w:tc>
          <w:tcPr>
            <w:tcW w:w="716" w:type="dxa"/>
            <w:vAlign w:val="center"/>
          </w:tcPr>
          <w:p>
            <w:pPr>
              <w:spacing w:line="400" w:lineRule="exact"/>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1284" w:type="dxa"/>
            <w:vAlign w:val="center"/>
          </w:tcPr>
          <w:p>
            <w:pPr>
              <w:spacing w:line="400" w:lineRule="exact"/>
              <w:jc w:val="center"/>
              <w:rPr>
                <w:rFonts w:ascii="宋体" w:hAnsi="宋体"/>
                <w:sz w:val="24"/>
              </w:rPr>
            </w:pPr>
            <w:r>
              <w:rPr>
                <w:rFonts w:hint="eastAsia" w:ascii="宋体" w:hAnsi="宋体"/>
                <w:sz w:val="24"/>
              </w:rPr>
              <w:t>三、商务部分</w:t>
            </w:r>
          </w:p>
          <w:p>
            <w:pPr>
              <w:spacing w:line="400" w:lineRule="exact"/>
              <w:jc w:val="center"/>
              <w:rPr>
                <w:rFonts w:ascii="宋体" w:hAnsi="宋体"/>
                <w:sz w:val="24"/>
              </w:rPr>
            </w:pPr>
            <w:r>
              <w:rPr>
                <w:rFonts w:hint="eastAsia" w:ascii="宋体" w:hAnsi="宋体"/>
                <w:sz w:val="24"/>
              </w:rPr>
              <w:t>（10分）</w:t>
            </w:r>
          </w:p>
        </w:tc>
        <w:tc>
          <w:tcPr>
            <w:tcW w:w="908" w:type="dxa"/>
            <w:vAlign w:val="center"/>
          </w:tcPr>
          <w:p>
            <w:pPr>
              <w:spacing w:line="400" w:lineRule="exact"/>
              <w:jc w:val="center"/>
              <w:rPr>
                <w:rFonts w:ascii="宋体" w:hAnsi="宋体"/>
                <w:sz w:val="24"/>
              </w:rPr>
            </w:pPr>
            <w:r>
              <w:rPr>
                <w:rFonts w:hint="eastAsia" w:ascii="宋体" w:hAnsi="宋体"/>
                <w:sz w:val="24"/>
              </w:rPr>
              <w:t>3.1</w:t>
            </w:r>
          </w:p>
        </w:tc>
        <w:tc>
          <w:tcPr>
            <w:tcW w:w="1288" w:type="dxa"/>
            <w:vAlign w:val="center"/>
          </w:tcPr>
          <w:p>
            <w:pPr>
              <w:spacing w:line="400" w:lineRule="exact"/>
              <w:jc w:val="center"/>
              <w:rPr>
                <w:rFonts w:ascii="宋体" w:hAnsi="宋体"/>
                <w:sz w:val="24"/>
              </w:rPr>
            </w:pPr>
            <w:r>
              <w:rPr>
                <w:rFonts w:hint="eastAsia" w:ascii="宋体" w:hAnsi="宋体"/>
                <w:sz w:val="24"/>
              </w:rPr>
              <w:t>业绩</w:t>
            </w:r>
          </w:p>
        </w:tc>
        <w:tc>
          <w:tcPr>
            <w:tcW w:w="5661" w:type="dxa"/>
            <w:vAlign w:val="center"/>
          </w:tcPr>
          <w:p>
            <w:pPr>
              <w:spacing w:line="400" w:lineRule="exact"/>
              <w:rPr>
                <w:rFonts w:ascii="宋体" w:hAnsi="宋体"/>
                <w:sz w:val="24"/>
              </w:rPr>
            </w:pPr>
            <w:r>
              <w:rPr>
                <w:rFonts w:hint="eastAsia" w:ascii="宋体" w:hAnsi="宋体" w:cs="仿宋_GB2312"/>
                <w:kern w:val="0"/>
                <w:sz w:val="24"/>
                <w:lang w:val="zh-CN"/>
              </w:rPr>
              <w:t>2</w:t>
            </w:r>
            <w:r>
              <w:rPr>
                <w:rFonts w:hint="eastAsia" w:ascii="宋体" w:hAnsi="宋体"/>
                <w:sz w:val="24"/>
              </w:rPr>
              <w:t>021年1月1日以来（以合同签订时间为准），投标人具有所投项目包同类产品销售业绩的，有一个得2分，最高得10分。（须提供合同复印件）</w:t>
            </w:r>
          </w:p>
        </w:tc>
        <w:tc>
          <w:tcPr>
            <w:tcW w:w="716" w:type="dxa"/>
            <w:vAlign w:val="center"/>
          </w:tcPr>
          <w:p>
            <w:pPr>
              <w:spacing w:line="400" w:lineRule="exact"/>
              <w:jc w:val="center"/>
              <w:rPr>
                <w:rFonts w:ascii="宋体" w:hAnsi="宋体"/>
                <w:sz w:val="24"/>
              </w:rPr>
            </w:pPr>
            <w:r>
              <w:rPr>
                <w:rFonts w:hint="eastAsia" w:ascii="宋体" w:hAnsi="宋体"/>
                <w:sz w:val="24"/>
              </w:rPr>
              <w:t>10</w:t>
            </w:r>
          </w:p>
        </w:tc>
      </w:tr>
    </w:tbl>
    <w:p>
      <w:pPr>
        <w:spacing w:line="600" w:lineRule="exact"/>
        <w:jc w:val="left"/>
        <w:rPr>
          <w:rFonts w:ascii="黑体" w:hAnsi="黑体" w:eastAsia="黑体"/>
          <w:sz w:val="28"/>
          <w:szCs w:val="28"/>
        </w:rPr>
      </w:pPr>
    </w:p>
    <w:p>
      <w:pPr>
        <w:spacing w:line="600" w:lineRule="exact"/>
        <w:jc w:val="left"/>
        <w:rPr>
          <w:rFonts w:ascii="黑体" w:hAnsi="黑体" w:eastAsia="黑体"/>
          <w:sz w:val="28"/>
          <w:szCs w:val="28"/>
        </w:rPr>
      </w:pPr>
    </w:p>
    <w:p>
      <w:pPr>
        <w:spacing w:line="600" w:lineRule="exact"/>
        <w:jc w:val="left"/>
        <w:rPr>
          <w:rFonts w:ascii="黑体" w:hAnsi="黑体" w:eastAsia="黑体"/>
          <w:sz w:val="28"/>
          <w:szCs w:val="28"/>
        </w:rPr>
      </w:pPr>
    </w:p>
    <w:p>
      <w:pPr>
        <w:spacing w:line="600" w:lineRule="exact"/>
        <w:jc w:val="left"/>
        <w:rPr>
          <w:rFonts w:ascii="黑体" w:hAnsi="黑体" w:eastAsia="黑体"/>
          <w:sz w:val="28"/>
          <w:szCs w:val="28"/>
        </w:rPr>
      </w:pPr>
    </w:p>
    <w:p>
      <w:pPr>
        <w:spacing w:line="400" w:lineRule="exact"/>
        <w:jc w:val="center"/>
        <w:outlineLvl w:val="0"/>
        <w:rPr>
          <w:rFonts w:ascii="黑体" w:hAnsi="宋体" w:eastAsia="黑体"/>
          <w:sz w:val="30"/>
          <w:szCs w:val="30"/>
        </w:rPr>
      </w:pPr>
      <w:bookmarkStart w:id="26" w:name="_Toc251268363"/>
    </w:p>
    <w:p>
      <w:pPr>
        <w:spacing w:line="400" w:lineRule="exact"/>
        <w:jc w:val="center"/>
        <w:outlineLvl w:val="0"/>
        <w:rPr>
          <w:rFonts w:ascii="黑体" w:hAnsi="宋体" w:eastAsia="黑体"/>
          <w:sz w:val="30"/>
          <w:szCs w:val="30"/>
        </w:rPr>
      </w:pPr>
    </w:p>
    <w:p>
      <w:pPr>
        <w:spacing w:line="400" w:lineRule="exact"/>
        <w:jc w:val="center"/>
        <w:outlineLvl w:val="0"/>
        <w:rPr>
          <w:rFonts w:ascii="黑体" w:hAnsi="宋体" w:eastAsia="黑体"/>
          <w:sz w:val="30"/>
          <w:szCs w:val="30"/>
        </w:rPr>
      </w:pPr>
      <w:r>
        <w:rPr>
          <w:rFonts w:hint="eastAsia" w:ascii="黑体" w:hAnsi="宋体" w:eastAsia="黑体"/>
          <w:sz w:val="30"/>
          <w:szCs w:val="30"/>
        </w:rPr>
        <w:t>第六章　合同书（格式）</w:t>
      </w:r>
      <w:bookmarkEnd w:id="26"/>
    </w:p>
    <w:p>
      <w:pPr>
        <w:spacing w:line="400" w:lineRule="exact"/>
        <w:jc w:val="center"/>
        <w:rPr>
          <w:rFonts w:ascii="楷体_GB2312" w:hAnsi="宋体" w:eastAsia="楷体_GB2312"/>
          <w:b/>
          <w:sz w:val="28"/>
          <w:szCs w:val="28"/>
          <w:lang w:val="de-DE"/>
        </w:rPr>
      </w:pP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w:t>
      </w: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w:t>
      </w:r>
    </w:p>
    <w:p>
      <w:pPr>
        <w:spacing w:line="400" w:lineRule="exact"/>
        <w:jc w:val="center"/>
        <w:rPr>
          <w:rFonts w:ascii="楷体_GB2312" w:hAnsi="宋体" w:eastAsia="楷体_GB2312"/>
          <w:b/>
          <w:sz w:val="28"/>
          <w:szCs w:val="28"/>
          <w:lang w:val="de-DE"/>
        </w:rPr>
      </w:pP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参照《中华人民共和国政府采购法》，根据《中华人民共和国民法典》等法律法规的规定，甲乙双方按照采购结果签订本合同。</w:t>
      </w:r>
    </w:p>
    <w:p>
      <w:pPr>
        <w:spacing w:line="400" w:lineRule="exact"/>
        <w:rPr>
          <w:rFonts w:ascii="楷体_GB2312" w:eastAsia="楷体_GB2312"/>
          <w:sz w:val="24"/>
        </w:rPr>
      </w:pPr>
    </w:p>
    <w:p>
      <w:pPr>
        <w:spacing w:line="400" w:lineRule="exact"/>
        <w:rPr>
          <w:rFonts w:ascii="黑体" w:hAnsi="黑体" w:eastAsia="黑体"/>
          <w:sz w:val="24"/>
        </w:rPr>
      </w:pPr>
      <w:r>
        <w:rPr>
          <w:rFonts w:hint="eastAsia" w:ascii="黑体" w:hAnsi="黑体" w:eastAsia="黑体"/>
          <w:sz w:val="24"/>
        </w:rPr>
        <w:t>第一条　采购内容</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1、项目名称（项目编号）：</w:t>
      </w:r>
      <w:r>
        <w:rPr>
          <w:rFonts w:hint="eastAsia" w:asciiTheme="minorEastAsia" w:hAnsiTheme="minorEastAsia" w:eastAsiaTheme="minorEastAsia"/>
          <w:sz w:val="24"/>
          <w:u w:val="single"/>
        </w:rPr>
        <w:t>　　　　　　　　　　　　　　　　　　　　</w:t>
      </w:r>
    </w:p>
    <w:p>
      <w:pPr>
        <w:autoSpaceDE w:val="0"/>
        <w:autoSpaceDN w:val="0"/>
        <w:adjustRightInd w:val="0"/>
        <w:spacing w:line="400" w:lineRule="exact"/>
        <w:ind w:firstLine="480" w:firstLineChars="200"/>
        <w:jc w:val="left"/>
        <w:rPr>
          <w:rFonts w:ascii="宋体" w:hAnsi="宋体" w:cs="宋体"/>
          <w:kern w:val="0"/>
          <w:sz w:val="24"/>
          <w:lang w:val="zh-CN"/>
        </w:rPr>
      </w:pPr>
      <w:r>
        <w:rPr>
          <w:rFonts w:hint="eastAsia" w:asciiTheme="minorEastAsia" w:hAnsiTheme="minorEastAsia" w:eastAsiaTheme="minorEastAsia"/>
          <w:sz w:val="24"/>
        </w:rPr>
        <w:t>2、</w:t>
      </w:r>
      <w:r>
        <w:rPr>
          <w:rFonts w:hint="eastAsia" w:ascii="宋体" w:hAnsi="宋体"/>
          <w:sz w:val="24"/>
        </w:rPr>
        <w:t>配送</w:t>
      </w:r>
      <w:r>
        <w:rPr>
          <w:rFonts w:ascii="宋体" w:hAnsi="宋体"/>
          <w:sz w:val="24"/>
        </w:rPr>
        <w:t>期限：</w:t>
      </w:r>
      <w:r>
        <w:rPr>
          <w:rFonts w:hint="eastAsia" w:ascii="宋体" w:hAnsi="宋体"/>
          <w:sz w:val="24"/>
        </w:rPr>
        <w:t>配送</w:t>
      </w:r>
      <w:r>
        <w:rPr>
          <w:rFonts w:ascii="宋体" w:hAnsi="宋体"/>
          <w:sz w:val="24"/>
        </w:rPr>
        <w:t>时间自</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日起至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日止。</w:t>
      </w:r>
    </w:p>
    <w:p>
      <w:pPr>
        <w:autoSpaceDE w:val="0"/>
        <w:autoSpaceDN w:val="0"/>
        <w:adjustRightInd w:val="0"/>
        <w:spacing w:line="400" w:lineRule="exact"/>
        <w:rPr>
          <w:rFonts w:ascii="黑体" w:hAnsi="黑体" w:eastAsia="黑体"/>
          <w:sz w:val="24"/>
          <w:lang w:val="zh-CN"/>
        </w:rPr>
      </w:pPr>
      <w:r>
        <w:rPr>
          <w:rFonts w:hint="eastAsia" w:ascii="黑体" w:hAnsi="黑体" w:eastAsia="黑体"/>
          <w:bCs/>
          <w:sz w:val="24"/>
          <w:lang w:val="zh-CN"/>
        </w:rPr>
        <w:t>第二条　组成本合同的有关文件</w:t>
      </w:r>
    </w:p>
    <w:p>
      <w:pPr>
        <w:autoSpaceDE w:val="0"/>
        <w:autoSpaceDN w:val="0"/>
        <w:adjustRightInd w:val="0"/>
        <w:spacing w:line="400" w:lineRule="exact"/>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下列关于本次采购活动方式相适应的文件及有关附件是本合同不可分割的组成部分，与本合同具有同等法律效力，这些文件包括但不限于：</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（1）招标文件；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（2）投标文件；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（3）中标通知书；</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（4）中标人在投标、评标过程中所作其它有关承诺、声明、书面澄清；</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（5）甲乙双方商定的其他文件等。</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第三条　权利保证</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乙方应保证甲方在合同履行期限内不受第三方提出侵犯其专利权、版权、商标权或其他权利的起诉。一旦出现侵权，乙方应承担全部责任。</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第四条　质量保证</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、乙方所提供的货物的技术规格应与招标文件与投标文件规定的技术规格相一致；若技术性能无特殊说明，则按国家有关部门最新颁布的标准及规范为准。</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3、乙方承诺的质量保证：</w:t>
      </w:r>
      <w:r>
        <w:rPr>
          <w:rFonts w:hint="eastAsia" w:asciiTheme="minorEastAsia" w:hAnsiTheme="minorEastAsia" w:eastAsiaTheme="minorEastAsia"/>
          <w:bCs/>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第五条　包装要求</w:t>
      </w:r>
    </w:p>
    <w:p>
      <w:pPr>
        <w:autoSpaceDE w:val="0"/>
        <w:autoSpaceDN w:val="0"/>
        <w:adjustRightInd w:val="0"/>
        <w:spacing w:line="400" w:lineRule="exact"/>
        <w:ind w:firstLine="480" w:firstLineChars="200"/>
        <w:jc w:val="left"/>
        <w:rPr>
          <w:rFonts w:asciiTheme="minorEastAsia" w:hAnsiTheme="minorEastAsia" w:eastAsiaTheme="minorEastAsia"/>
          <w:bCs/>
          <w:sz w:val="24"/>
          <w:lang w:val="zh-CN"/>
        </w:rPr>
      </w:pPr>
      <w:r>
        <w:rPr>
          <w:rFonts w:hint="eastAsia" w:asciiTheme="minorEastAsia" w:hAnsiTheme="minorEastAsia" w:eastAsiaTheme="minor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autoSpaceDE w:val="0"/>
        <w:autoSpaceDN w:val="0"/>
        <w:adjustRightInd w:val="0"/>
        <w:spacing w:line="400" w:lineRule="exact"/>
        <w:ind w:firstLine="480" w:firstLineChars="200"/>
        <w:jc w:val="left"/>
        <w:rPr>
          <w:rFonts w:asciiTheme="minorEastAsia" w:hAnsiTheme="minorEastAsia" w:eastAsiaTheme="minorEastAsia"/>
          <w:bCs/>
          <w:sz w:val="24"/>
          <w:lang w:val="zh-CN"/>
        </w:rPr>
      </w:pPr>
      <w:r>
        <w:rPr>
          <w:rFonts w:hint="eastAsia" w:asciiTheme="minorEastAsia" w:hAnsiTheme="minorEastAsia" w:eastAsiaTheme="minorEastAsia"/>
          <w:bCs/>
          <w:sz w:val="24"/>
          <w:lang w:val="zh-CN"/>
        </w:rPr>
        <w:t>2、每一包装单元内应附详细的装箱单和质量合格凭证。</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第六条　交货及验收</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1、交货地点、方式及日期：</w:t>
      </w:r>
      <w:r>
        <w:rPr>
          <w:rFonts w:hint="eastAsia" w:asciiTheme="minorEastAsia" w:hAnsiTheme="minorEastAsia" w:eastAsiaTheme="minorEastAsia"/>
          <w:bCs/>
          <w:sz w:val="24"/>
          <w:u w:val="single"/>
          <w:lang w:val="zh-CN"/>
        </w:rPr>
        <w:t>　　　　　　　　　　　　　　　　　　　　</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2、验收标准：</w:t>
      </w:r>
      <w:r>
        <w:rPr>
          <w:rFonts w:hint="eastAsia" w:asciiTheme="minorEastAsia" w:hAnsiTheme="minorEastAsia" w:eastAsiaTheme="minorEastAsia"/>
          <w:sz w:val="24"/>
          <w:u w:val="single"/>
        </w:rPr>
        <w:t xml:space="preserve">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第七条　伴随服务／售后服务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、乙方应按照国家有关法律法规规章和“三包”规定以及招标文件及投标文件所规定及承诺的“服务承诺”提供服务。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asciiTheme="minorEastAsia" w:hAnsiTheme="minorEastAsia" w:eastAsiaTheme="minorEastAsia"/>
          <w:sz w:val="24"/>
          <w:lang w:val="zh-CN"/>
        </w:rPr>
        <w:t>2</w:t>
      </w:r>
      <w:r>
        <w:rPr>
          <w:rFonts w:hint="eastAsia" w:asciiTheme="minorEastAsia" w:hAnsiTheme="minorEastAsia" w:eastAsiaTheme="minorEastAsia"/>
          <w:sz w:val="24"/>
          <w:lang w:val="zh-CN"/>
        </w:rPr>
        <w:t>、除前款规定外，乙方还应提供下列服务：</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w:t>
      </w:r>
      <w:r>
        <w:rPr>
          <w:rFonts w:asciiTheme="minorEastAsia" w:hAnsiTheme="minorEastAsia" w:eastAsiaTheme="minorEastAsia"/>
          <w:sz w:val="24"/>
          <w:lang w:val="zh-CN"/>
        </w:rPr>
        <w:t>1</w:t>
      </w:r>
      <w:r>
        <w:rPr>
          <w:rFonts w:hint="eastAsia" w:asciiTheme="minorEastAsia" w:hAnsiTheme="minorEastAsia" w:eastAsiaTheme="minorEastAsia"/>
          <w:sz w:val="24"/>
          <w:lang w:val="zh-CN"/>
        </w:rPr>
        <w:t>）货物的现场安装、调试、运行、维护等；</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w:t>
      </w:r>
      <w:r>
        <w:rPr>
          <w:rFonts w:asciiTheme="minorEastAsia" w:hAnsiTheme="minorEastAsia" w:eastAsiaTheme="minorEastAsia"/>
          <w:sz w:val="24"/>
          <w:lang w:val="zh-CN"/>
        </w:rPr>
        <w:t>2</w:t>
      </w:r>
      <w:r>
        <w:rPr>
          <w:rFonts w:hint="eastAsia" w:asciiTheme="minorEastAsia" w:hAnsiTheme="minorEastAsia" w:eastAsiaTheme="minorEastAsia"/>
          <w:sz w:val="24"/>
          <w:lang w:val="zh-CN"/>
        </w:rPr>
        <w:t>）对甲方人员进行免费培训。</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3、乙方承诺的售后服务：</w:t>
      </w:r>
      <w:r>
        <w:rPr>
          <w:rFonts w:hint="eastAsia" w:asciiTheme="minorEastAsia" w:hAnsiTheme="minorEastAsia" w:eastAsiaTheme="minorEastAsia"/>
          <w:bCs/>
          <w:sz w:val="24"/>
          <w:u w:val="single"/>
          <w:lang w:val="zh-CN"/>
        </w:rPr>
        <w:t>　　　　　　　　　　　　　　　　　　　　　</w:t>
      </w:r>
    </w:p>
    <w:p>
      <w:pPr>
        <w:autoSpaceDE w:val="0"/>
        <w:autoSpaceDN w:val="0"/>
        <w:adjustRightInd w:val="0"/>
        <w:spacing w:line="400" w:lineRule="exact"/>
        <w:jc w:val="left"/>
        <w:rPr>
          <w:rFonts w:ascii="黑体" w:hAnsi="黑体" w:eastAsia="黑体"/>
          <w:bCs/>
          <w:i/>
          <w:iCs/>
          <w:sz w:val="24"/>
          <w:lang w:val="zh-CN"/>
        </w:rPr>
      </w:pPr>
      <w:r>
        <w:rPr>
          <w:rFonts w:hint="eastAsia" w:ascii="黑体" w:hAnsi="黑体" w:eastAsia="黑体"/>
          <w:bCs/>
          <w:sz w:val="24"/>
          <w:lang w:val="zh-CN"/>
        </w:rPr>
        <w:t>第八条　付款</w:t>
      </w:r>
    </w:p>
    <w:p>
      <w:pPr>
        <w:autoSpaceDE w:val="0"/>
        <w:autoSpaceDN w:val="0"/>
        <w:adjustRightInd w:val="0"/>
        <w:spacing w:line="400" w:lineRule="exact"/>
        <w:ind w:firstLine="42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1、本合同项下所有款项均以人民币支付，乙方向甲方开具发票。</w:t>
      </w:r>
    </w:p>
    <w:p>
      <w:pPr>
        <w:autoSpaceDE w:val="0"/>
        <w:autoSpaceDN w:val="0"/>
        <w:adjustRightInd w:val="0"/>
        <w:spacing w:line="400" w:lineRule="exact"/>
        <w:ind w:firstLine="420"/>
        <w:jc w:val="left"/>
        <w:rPr>
          <w:rFonts w:asciiTheme="minorEastAsia" w:hAnsiTheme="minorEastAsia" w:eastAsiaTheme="minorEastAsia"/>
          <w:sz w:val="24"/>
          <w:u w:val="single"/>
        </w:rPr>
      </w:pPr>
      <w:r>
        <w:rPr>
          <w:rFonts w:hint="eastAsia" w:asciiTheme="minorEastAsia" w:hAnsiTheme="minorEastAsia" w:eastAsiaTheme="minorEastAsia"/>
          <w:sz w:val="24"/>
          <w:lang w:val="zh-CN"/>
        </w:rPr>
        <w:t>2、付款方式：</w:t>
      </w:r>
      <w:r>
        <w:rPr>
          <w:rFonts w:hint="eastAsia" w:asciiTheme="minorEastAsia" w:hAnsiTheme="minorEastAsia" w:eastAsiaTheme="minorEastAsia"/>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第九条　违约责任</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2、</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3、</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4、</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5、</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6、</w:t>
      </w:r>
      <w:r>
        <w:rPr>
          <w:rFonts w:hint="eastAsia" w:asciiTheme="minorEastAsia" w:hAnsiTheme="minorEastAsia" w:eastAsiaTheme="minorEastAsia"/>
          <w:sz w:val="24"/>
          <w:u w:val="single"/>
          <w:lang w:val="zh-CN"/>
        </w:rPr>
        <w:t>　　　　　　　　　　　　　　　　　　　　　　　　　　　　　　　　　　</w:t>
      </w:r>
    </w:p>
    <w:p>
      <w:pPr>
        <w:widowControl/>
        <w:adjustRightInd w:val="0"/>
        <w:spacing w:line="400" w:lineRule="exact"/>
        <w:jc w:val="left"/>
        <w:rPr>
          <w:rFonts w:ascii="黑体" w:hAnsi="黑体" w:eastAsia="黑体" w:cs="宋体"/>
          <w:bCs/>
          <w:kern w:val="0"/>
          <w:sz w:val="24"/>
        </w:rPr>
      </w:pPr>
      <w:r>
        <w:rPr>
          <w:rFonts w:hint="eastAsia" w:ascii="黑体" w:hAnsi="黑体" w:eastAsia="黑体" w:cs="宋体"/>
          <w:bCs/>
          <w:kern w:val="0"/>
          <w:sz w:val="24"/>
          <w:lang w:val="zh-CN"/>
        </w:rPr>
        <w:t>第十条　</w:t>
      </w:r>
      <w:r>
        <w:rPr>
          <w:rFonts w:hint="eastAsia" w:ascii="黑体" w:hAnsi="黑体" w:eastAsia="黑体" w:cs="宋体"/>
          <w:bCs/>
          <w:kern w:val="0"/>
          <w:sz w:val="24"/>
        </w:rPr>
        <w:t>不可抗力</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1、不可抗力，是指不能预见、不能避免并不能克服的客观情况，如战争、动乱、瘟疫、严重火灾、洪水、地震、风暴或其他自然灾害等。</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3、发生不可抗力事件，任何一方均不对因不可抗力无法履行或迟延履行本合同义务而使另一方蒙受的任何损失承担责任，法律另有规定的除外。</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4、合同各方应根据不可抗力对本合同履行的影响程度，协商确定是否终止本合同或是继续履行本合同。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kern w:val="0"/>
          <w:sz w:val="24"/>
        </w:rPr>
        <w:t>第十一条　</w:t>
      </w:r>
      <w:r>
        <w:rPr>
          <w:rFonts w:hint="eastAsia" w:ascii="黑体" w:hAnsi="黑体" w:eastAsia="黑体" w:cs="宋体"/>
          <w:bCs/>
          <w:kern w:val="0"/>
          <w:sz w:val="24"/>
          <w:lang w:val="zh-CN"/>
        </w:rPr>
        <w:t>合同的变更和终止</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、除《政府采购法》第</w:t>
      </w:r>
      <w:r>
        <w:rPr>
          <w:rFonts w:hint="eastAsia" w:asciiTheme="minorEastAsia" w:hAnsiTheme="minorEastAsia" w:eastAsiaTheme="minorEastAsia"/>
          <w:kern w:val="0"/>
          <w:sz w:val="24"/>
          <w:lang w:val="zh-CN"/>
        </w:rPr>
        <w:t>五十</w:t>
      </w:r>
      <w:r>
        <w:rPr>
          <w:rFonts w:hint="eastAsia" w:cs="宋体" w:asciiTheme="minorEastAsia" w:hAnsiTheme="minorEastAsia" w:eastAsiaTheme="minorEastAsia"/>
          <w:kern w:val="0"/>
          <w:sz w:val="24"/>
          <w:lang w:val="zh-CN"/>
        </w:rPr>
        <w:t>条规定的情形外，本合同一经签订，甲乙双方不得擅自变更、中止或终止合同。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kern w:val="0"/>
          <w:sz w:val="24"/>
          <w:lang w:val="zh-CN"/>
        </w:rPr>
        <w:t>2</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rPr>
        <w:t>除发生法律规定的不能预见、不能避免并不能克服的客观情况外，甲乙双方不得放弃或拒绝履行合同。</w:t>
      </w:r>
    </w:p>
    <w:p>
      <w:pPr>
        <w:widowControl/>
        <w:adjustRightInd w:val="0"/>
        <w:spacing w:line="400" w:lineRule="exact"/>
        <w:jc w:val="left"/>
        <w:rPr>
          <w:rFonts w:ascii="黑体" w:hAnsi="黑体" w:eastAsia="黑体" w:cs="宋体"/>
          <w:kern w:val="0"/>
          <w:sz w:val="24"/>
        </w:rPr>
      </w:pPr>
      <w:r>
        <w:rPr>
          <w:rFonts w:hint="eastAsia" w:ascii="黑体" w:hAnsi="黑体" w:eastAsia="黑体" w:cs="宋体"/>
          <w:kern w:val="0"/>
          <w:sz w:val="24"/>
        </w:rPr>
        <w:t>第十二条  合同的终止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本合同因下列原因而终止：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（1）本合同正常履行完毕；</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（2）因不可抗力导致本合同无法履行或履行不必要；</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（3）任何一方行使解除权解除本合同；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（4）合同的继续履行将损害国家利益和社会公共利益。</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除上述情形外，甲乙双方不得擅自终止合同。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第十三条　争议的解决</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1、因货物的质量问题发生争议的，应当邀请国家认可的质量检测机构对货物质量进行鉴定。货物符合标准的，鉴定费由甲方承担；货物不符合质量标准的，鉴定费由乙方承担。</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2、因履行本合同引起的或与本合同有关的争议，甲、乙双方应首先通过友好协商解决，如果协商不能解决争议，则采取以下2种方式解决争议：</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（1）向甲方所在地有管辖权的人民法院提起诉讼；</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（2）向甲方所在地仲裁委员会按其仲裁规则申请仲裁。</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3、在仲裁期间，本合同应继续履行。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第十四条　合同生效及其他</w:t>
      </w:r>
    </w:p>
    <w:p>
      <w:pPr>
        <w:widowControl/>
        <w:adjustRightInd w:val="0"/>
        <w:spacing w:line="400" w:lineRule="exact"/>
        <w:ind w:firstLine="42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rPr>
        <w:t>本合同由甲乙双方签字、盖章后生效。</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2、本合同一式两份，甲方、乙方各执一份。</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3、本合同应按照中华人民共和国的现行法律进行解释。</w:t>
      </w:r>
    </w:p>
    <w:p>
      <w:pPr>
        <w:spacing w:line="400" w:lineRule="exact"/>
        <w:rPr>
          <w:sz w:val="24"/>
        </w:rPr>
      </w:pPr>
    </w:p>
    <w:p>
      <w:pPr>
        <w:spacing w:line="400" w:lineRule="exact"/>
        <w:rPr>
          <w:sz w:val="24"/>
        </w:rPr>
      </w:pPr>
    </w:p>
    <w:tbl>
      <w:tblPr>
        <w:tblStyle w:val="88"/>
        <w:tblW w:w="9356" w:type="dxa"/>
        <w:jc w:val="center"/>
        <w:tblLayout w:type="fixed"/>
        <w:tblCellMar>
          <w:top w:w="0" w:type="dxa"/>
          <w:left w:w="108" w:type="dxa"/>
          <w:bottom w:w="0" w:type="dxa"/>
          <w:right w:w="108" w:type="dxa"/>
        </w:tblCellMar>
      </w:tblPr>
      <w:tblGrid>
        <w:gridCol w:w="4536"/>
        <w:gridCol w:w="284"/>
        <w:gridCol w:w="4536"/>
      </w:tblGrid>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u w:val="single"/>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r>
      <w:tr>
        <w:tblPrEx>
          <w:tblCellMar>
            <w:top w:w="0" w:type="dxa"/>
            <w:left w:w="108" w:type="dxa"/>
            <w:bottom w:w="0" w:type="dxa"/>
            <w:right w:w="108" w:type="dxa"/>
          </w:tblCellMar>
        </w:tblPrEx>
        <w:trPr>
          <w:jc w:val="center"/>
        </w:trPr>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r>
    </w:tbl>
    <w:p>
      <w:pPr>
        <w:spacing w:line="400" w:lineRule="exact"/>
        <w:jc w:val="center"/>
        <w:outlineLvl w:val="0"/>
        <w:rPr>
          <w:rFonts w:ascii="楷体_GB2312" w:eastAsia="楷体_GB2312"/>
          <w:b/>
          <w:bCs/>
          <w:sz w:val="30"/>
        </w:rPr>
      </w:pPr>
    </w:p>
    <w:p>
      <w:pPr>
        <w:spacing w:line="400" w:lineRule="exact"/>
        <w:jc w:val="center"/>
        <w:outlineLvl w:val="0"/>
        <w:rPr>
          <w:rFonts w:ascii="楷体_GB2312" w:eastAsia="楷体_GB2312"/>
          <w:b/>
          <w:bCs/>
          <w:sz w:val="30"/>
        </w:rPr>
      </w:pPr>
    </w:p>
    <w:p>
      <w:pPr>
        <w:spacing w:line="400" w:lineRule="exact"/>
        <w:jc w:val="center"/>
        <w:outlineLvl w:val="0"/>
        <w:rPr>
          <w:rFonts w:ascii="黑体" w:eastAsia="黑体"/>
          <w:bCs/>
          <w:sz w:val="30"/>
        </w:rPr>
      </w:pPr>
      <w:bookmarkStart w:id="27" w:name="_Toc251268364"/>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第七章　投标文件的组成和格式</w:t>
      </w:r>
      <w:bookmarkEnd w:id="27"/>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投</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标</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书</w:t>
      </w:r>
    </w:p>
    <w:p>
      <w:pPr>
        <w:spacing w:line="400" w:lineRule="exact"/>
        <w:jc w:val="center"/>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ind w:left="2245" w:leftChars="426" w:hanging="1350" w:hangingChars="450"/>
        <w:rPr>
          <w:rFonts w:asciiTheme="minorEastAsia" w:hAnsiTheme="minorEastAsia" w:eastAsiaTheme="minorEastAsia"/>
          <w:sz w:val="30"/>
          <w:szCs w:val="30"/>
        </w:rPr>
      </w:pPr>
      <w:r>
        <w:rPr>
          <w:rFonts w:hint="eastAsia" w:asciiTheme="minorEastAsia" w:hAnsiTheme="minorEastAsia" w:eastAsiaTheme="minorEastAsia"/>
          <w:bCs/>
          <w:sz w:val="30"/>
          <w:szCs w:val="30"/>
        </w:rPr>
        <w:t>项目名称：</w:t>
      </w:r>
      <w:r>
        <w:rPr>
          <w:rFonts w:hint="eastAsia" w:asciiTheme="minorEastAsia" w:hAnsiTheme="minorEastAsia" w:eastAsiaTheme="minorEastAsia"/>
          <w:sz w:val="30"/>
          <w:szCs w:val="30"/>
        </w:rPr>
        <w:t>2024年度试剂、耗材供应商遴选项目</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项目编号：JYSP2023Z001</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投标单位：</w:t>
      </w:r>
    </w:p>
    <w:p>
      <w:pPr>
        <w:spacing w:line="400" w:lineRule="exact"/>
        <w:ind w:firstLine="3300" w:firstLineChars="1100"/>
        <w:rPr>
          <w:rFonts w:asciiTheme="minorEastAsia" w:hAnsiTheme="minorEastAsia" w:eastAsiaTheme="minorEastAsia"/>
          <w:bCs/>
          <w:sz w:val="30"/>
        </w:rPr>
      </w:pPr>
    </w:p>
    <w:p>
      <w:pPr>
        <w:spacing w:line="400" w:lineRule="exact"/>
        <w:ind w:firstLine="3300" w:firstLineChars="1100"/>
        <w:rPr>
          <w:rFonts w:asciiTheme="minorEastAsia" w:hAnsiTheme="minorEastAsia" w:eastAsiaTheme="minorEastAsia"/>
          <w:bCs/>
          <w:sz w:val="30"/>
        </w:rPr>
      </w:pPr>
      <w:r>
        <w:rPr>
          <w:rFonts w:hint="eastAsia" w:asciiTheme="minorEastAsia" w:hAnsiTheme="minorEastAsia" w:eastAsiaTheme="minorEastAsia"/>
          <w:bCs/>
          <w:sz w:val="30"/>
        </w:rPr>
        <w:t>二○二三年  月  日</w:t>
      </w:r>
    </w:p>
    <w:p>
      <w:pPr>
        <w:spacing w:line="400" w:lineRule="exact"/>
        <w:jc w:val="center"/>
        <w:outlineLvl w:val="1"/>
        <w:rPr>
          <w:rFonts w:ascii="宋体" w:hAnsi="宋体" w:eastAsia="楷体_GB2312"/>
          <w:b/>
          <w:bCs/>
          <w:sz w:val="28"/>
          <w:szCs w:val="28"/>
        </w:rPr>
      </w:pPr>
      <w:r>
        <w:rPr>
          <w:rFonts w:ascii="宋体" w:hAnsi="宋体" w:eastAsia="楷体_GB2312"/>
          <w:b/>
          <w:bCs/>
          <w:sz w:val="28"/>
          <w:szCs w:val="28"/>
        </w:rPr>
        <w:br w:type="page"/>
      </w:r>
    </w:p>
    <w:p>
      <w:pPr>
        <w:spacing w:line="400" w:lineRule="exact"/>
        <w:jc w:val="center"/>
        <w:outlineLvl w:val="1"/>
        <w:rPr>
          <w:rFonts w:ascii="黑体" w:hAnsi="宋体" w:eastAsia="黑体"/>
          <w:bCs/>
          <w:sz w:val="28"/>
          <w:szCs w:val="28"/>
        </w:rPr>
      </w:pPr>
    </w:p>
    <w:p>
      <w:pPr>
        <w:spacing w:line="400" w:lineRule="exact"/>
        <w:jc w:val="center"/>
        <w:outlineLvl w:val="1"/>
        <w:rPr>
          <w:rFonts w:ascii="宋体" w:hAnsi="宋体" w:eastAsia="楷体_GB2312"/>
          <w:b/>
          <w:bCs/>
          <w:sz w:val="28"/>
          <w:szCs w:val="28"/>
        </w:rPr>
      </w:pPr>
      <w:r>
        <w:rPr>
          <w:rFonts w:hint="eastAsia" w:ascii="黑体" w:hAnsi="宋体" w:eastAsia="黑体"/>
          <w:bCs/>
          <w:sz w:val="28"/>
          <w:szCs w:val="28"/>
        </w:rPr>
        <w:t>一、投标函</w:t>
      </w:r>
    </w:p>
    <w:p>
      <w:pPr>
        <w:spacing w:line="400" w:lineRule="exact"/>
        <w:rPr>
          <w:rFonts w:asciiTheme="minorEastAsia" w:hAnsiTheme="minorEastAsia" w:eastAsiaTheme="minorEastAsia"/>
          <w:bCs/>
          <w:sz w:val="24"/>
        </w:rPr>
      </w:pPr>
    </w:p>
    <w:p>
      <w:pPr>
        <w:spacing w:line="400" w:lineRule="exact"/>
        <w:rPr>
          <w:rFonts w:asciiTheme="minorEastAsia" w:hAnsiTheme="minorEastAsia" w:eastAsiaTheme="minorEastAsia"/>
          <w:bCs/>
          <w:sz w:val="24"/>
        </w:rPr>
      </w:pPr>
      <w:r>
        <w:rPr>
          <w:rFonts w:hint="eastAsia" w:asciiTheme="minorEastAsia" w:hAnsiTheme="minorEastAsia" w:eastAsiaTheme="minorEastAsia"/>
          <w:bCs/>
          <w:sz w:val="24"/>
        </w:rPr>
        <w:t>致江阴市食品安全检测中心：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我方收到贵中心</w:t>
      </w:r>
      <w:r>
        <w:rPr>
          <w:rFonts w:hint="eastAsia" w:asciiTheme="minorEastAsia" w:hAnsiTheme="minorEastAsia" w:eastAsiaTheme="minorEastAsia"/>
          <w:bCs/>
          <w:sz w:val="24"/>
          <w:u w:val="single"/>
        </w:rPr>
        <w:t>JYSP2023Z001</w:t>
      </w:r>
      <w:r>
        <w:rPr>
          <w:rFonts w:hint="eastAsia" w:asciiTheme="minorEastAsia" w:hAnsiTheme="minorEastAsia" w:eastAsiaTheme="minorEastAsia"/>
          <w:bCs/>
          <w:sz w:val="24"/>
        </w:rPr>
        <w:t>招标文件，经仔细阅读和研究，我们决定参加</w:t>
      </w:r>
      <w:r>
        <w:rPr>
          <w:rFonts w:hint="eastAsia" w:asciiTheme="minorEastAsia" w:hAnsiTheme="minorEastAsia" w:eastAsiaTheme="minorEastAsia"/>
          <w:sz w:val="24"/>
          <w:u w:val="single"/>
        </w:rPr>
        <w:t>2024年度试剂、耗材供应商遴选项目</w:t>
      </w:r>
      <w:r>
        <w:rPr>
          <w:rFonts w:hint="eastAsia" w:asciiTheme="minorEastAsia" w:hAnsiTheme="minorEastAsia" w:eastAsiaTheme="minorEastAsia"/>
          <w:bCs/>
          <w:sz w:val="24"/>
        </w:rPr>
        <w:t>的投标。</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1、愿意按照招标文件的一切要求，提供</w:t>
      </w:r>
      <w:r>
        <w:rPr>
          <w:rFonts w:hint="eastAsia" w:asciiTheme="minorEastAsia" w:hAnsiTheme="minorEastAsia" w:eastAsiaTheme="minorEastAsia"/>
          <w:sz w:val="24"/>
          <w:u w:val="single"/>
        </w:rPr>
        <w:t>2024年度试剂、耗材供应商遴选项目</w:t>
      </w:r>
      <w:r>
        <w:rPr>
          <w:rFonts w:hint="eastAsia" w:asciiTheme="minorEastAsia" w:hAnsiTheme="minorEastAsia" w:eastAsiaTheme="minorEastAsia"/>
          <w:sz w:val="24"/>
        </w:rPr>
        <w:t>，</w:t>
      </w:r>
      <w:r>
        <w:rPr>
          <w:rFonts w:hint="eastAsia" w:asciiTheme="minorEastAsia" w:hAnsiTheme="minorEastAsia" w:eastAsiaTheme="minorEastAsia"/>
          <w:bCs/>
          <w:sz w:val="24"/>
        </w:rPr>
        <w:t>投标报价详见《开标一览表》。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2、我方同意按招标文件的规定，本投标文件的投标有效期限为开标后90天。</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3、我方愿意提供招标文件中要求的原始资料及可能另外要求的与投标有关任何资料，并保证我方已提供和将要提供的资料是真实的、准确的。</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4、我方认为你们有权决定中标者。</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5、我方愿意遵守相关法律法规和合同条款履行自己的全部责任。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6、我方认可并遵守采购文件的所有规定，放弃对招标（采购）文件、评标办法、评分细则及配分提出质疑的权利。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7、如我们在投标截止期后撤回投标或中标后拒绝遵守投标承诺或拒绝在规定的时间内与采购人签订合同，则将接受相应处罚。</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8、我方如未履行招标文件、投标文件和合同条款的，我方愿意赔偿由此而造成的一切损失，并同意接受按招标文件的相关要求对我方进行处理，有不可抗力情形的除外。</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9、一旦我方中标，我方将根据招标文件的规定，严格履行合同的责任和义务，保证按期、按质、按量完成项目。</w:t>
      </w:r>
    </w:p>
    <w:p>
      <w:pPr>
        <w:spacing w:line="400" w:lineRule="exact"/>
        <w:ind w:left="132"/>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法定代表人或授权委托人（签名或盖章）：              </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电话：                            传真：</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地址：                            邮编：</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开户名称：</w:t>
      </w:r>
    </w:p>
    <w:p>
      <w:pPr>
        <w:spacing w:line="400" w:lineRule="exact"/>
        <w:ind w:firstLine="712" w:firstLineChars="297"/>
        <w:rPr>
          <w:rFonts w:asciiTheme="minorEastAsia" w:hAnsiTheme="minorEastAsia" w:eastAsiaTheme="minorEastAsia"/>
          <w:bCs/>
          <w:sz w:val="24"/>
        </w:rPr>
      </w:pPr>
      <w:r>
        <w:rPr>
          <w:rFonts w:hint="eastAsia" w:asciiTheme="minorEastAsia" w:hAnsiTheme="minorEastAsia" w:eastAsiaTheme="minorEastAsia"/>
          <w:bCs/>
          <w:sz w:val="24"/>
        </w:rPr>
        <w:t>开户银行：                        开户账号：</w:t>
      </w:r>
    </w:p>
    <w:p>
      <w:pPr>
        <w:spacing w:line="400" w:lineRule="exact"/>
        <w:ind w:firstLine="712" w:firstLineChars="297"/>
        <w:rPr>
          <w:rFonts w:ascii="宋体" w:hAnsi="宋体" w:eastAsia="楷体_GB2312"/>
          <w:bCs/>
          <w:sz w:val="24"/>
        </w:rPr>
      </w:pPr>
    </w:p>
    <w:p>
      <w:pPr>
        <w:spacing w:line="400" w:lineRule="exact"/>
        <w:rPr>
          <w:rFonts w:ascii="宋体" w:hAnsi="宋体" w:eastAsia="楷体_GB2312"/>
          <w:bCs/>
          <w:sz w:val="24"/>
        </w:rPr>
      </w:pPr>
    </w:p>
    <w:p>
      <w:pPr>
        <w:spacing w:line="400" w:lineRule="exact"/>
        <w:rPr>
          <w:rFonts w:ascii="宋体" w:hAnsi="宋体" w:eastAsia="楷体_GB2312"/>
          <w:bCs/>
          <w:sz w:val="24"/>
        </w:rPr>
      </w:pPr>
    </w:p>
    <w:p>
      <w:pPr>
        <w:spacing w:line="400" w:lineRule="exact"/>
        <w:jc w:val="center"/>
        <w:outlineLvl w:val="1"/>
        <w:rPr>
          <w:rStyle w:val="94"/>
          <w:rFonts w:ascii="黑体" w:eastAsia="黑体"/>
          <w:bCs/>
          <w:color w:val="auto"/>
          <w:sz w:val="28"/>
          <w:szCs w:val="28"/>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r>
        <w:rPr>
          <w:rStyle w:val="94"/>
          <w:rFonts w:hint="eastAsia" w:ascii="黑体" w:eastAsia="黑体"/>
          <w:bCs/>
          <w:color w:val="auto"/>
          <w:sz w:val="28"/>
          <w:szCs w:val="28"/>
          <w:u w:val="none"/>
        </w:rPr>
        <w:t>二、开标一览表</w:t>
      </w:r>
    </w:p>
    <w:p>
      <w:pPr>
        <w:spacing w:line="400" w:lineRule="exact"/>
        <w:ind w:left="1020"/>
        <w:jc w:val="center"/>
        <w:outlineLvl w:val="1"/>
        <w:rPr>
          <w:rStyle w:val="94"/>
          <w:rFonts w:eastAsia="楷体_GB2312"/>
          <w:b/>
          <w:bCs/>
          <w:color w:val="auto"/>
          <w:sz w:val="28"/>
          <w:szCs w:val="28"/>
          <w:u w:val="none"/>
        </w:rPr>
      </w:pPr>
    </w:p>
    <w:tbl>
      <w:tblPr>
        <w:tblStyle w:val="88"/>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70"/>
        <w:gridCol w:w="6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bookmarkStart w:id="28" w:name="_Toc158691780"/>
            <w:bookmarkStart w:id="29" w:name="_Toc194386107"/>
            <w:bookmarkStart w:id="30" w:name="_Toc145474400"/>
            <w:r>
              <w:rPr>
                <w:rFonts w:hint="eastAsia" w:cs="宋体" w:asciiTheme="minorEastAsia" w:hAnsiTheme="minorEastAsia" w:eastAsiaTheme="minorEastAsia"/>
                <w:b/>
                <w:kern w:val="0"/>
                <w:sz w:val="24"/>
              </w:rPr>
              <w:t>项目编号</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JYSP2023Z001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第一包：试剂类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9299" w:type="dxa"/>
            <w:gridSpan w:val="2"/>
            <w:vAlign w:val="center"/>
          </w:tcPr>
          <w:p>
            <w:pPr>
              <w:widowControl/>
              <w:ind w:firstLine="480" w:firstLineChars="200"/>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第二包：标准物质类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9299" w:type="dxa"/>
            <w:gridSpan w:val="2"/>
            <w:vAlign w:val="center"/>
          </w:tcPr>
          <w:p>
            <w:pPr>
              <w:widowControl/>
              <w:ind w:firstLine="480" w:firstLineChars="200"/>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第三包：耗材类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 w:hRule="atLeast"/>
          <w:jc w:val="center"/>
        </w:trPr>
        <w:tc>
          <w:tcPr>
            <w:tcW w:w="9299" w:type="dxa"/>
            <w:gridSpan w:val="2"/>
            <w:vAlign w:val="center"/>
          </w:tcPr>
          <w:p>
            <w:pPr>
              <w:widowControl/>
              <w:ind w:firstLine="480" w:firstLineChars="200"/>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第四包：微生物试剂及菌株类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299" w:type="dxa"/>
            <w:gridSpan w:val="2"/>
            <w:vAlign w:val="center"/>
          </w:tcPr>
          <w:p>
            <w:pPr>
              <w:widowControl/>
              <w:ind w:firstLine="480" w:firstLineChars="200"/>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第五包：易制毒危化品类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9299" w:type="dxa"/>
            <w:gridSpan w:val="2"/>
            <w:vAlign w:val="center"/>
          </w:tcPr>
          <w:p>
            <w:pPr>
              <w:widowControl/>
              <w:ind w:firstLine="480" w:firstLineChars="200"/>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7" w:hRule="atLeast"/>
          <w:jc w:val="center"/>
        </w:trPr>
        <w:tc>
          <w:tcPr>
            <w:tcW w:w="2470" w:type="dxa"/>
            <w:vAlign w:val="center"/>
          </w:tcPr>
          <w:p>
            <w:pPr>
              <w:widowControl/>
              <w:spacing w:line="400" w:lineRule="exact"/>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b/>
                <w:kern w:val="0"/>
                <w:sz w:val="24"/>
              </w:rPr>
            </w:pPr>
            <w:r>
              <w:rPr>
                <w:rFonts w:hint="eastAsia" w:ascii="宋体" w:hAnsi="宋体"/>
                <w:b/>
                <w:sz w:val="24"/>
              </w:rPr>
              <w:t>第六包：易制爆危化品类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项目报价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bl>
    <w:p>
      <w:pPr>
        <w:spacing w:line="400" w:lineRule="exact"/>
        <w:ind w:firstLine="5160" w:firstLineChars="2150"/>
        <w:rPr>
          <w:rFonts w:ascii="宋体" w:hAnsi="宋体" w:eastAsia="楷体_GB2312"/>
          <w:bCs/>
          <w:sz w:val="24"/>
        </w:rPr>
      </w:pPr>
    </w:p>
    <w:p>
      <w:pPr>
        <w:spacing w:line="400" w:lineRule="exact"/>
        <w:ind w:firstLine="5160" w:firstLineChars="2150"/>
        <w:rPr>
          <w:rFonts w:ascii="宋体" w:hAnsi="宋体" w:eastAsia="楷体_GB2312"/>
          <w:bCs/>
          <w:sz w:val="24"/>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三、报价明细表</w:t>
      </w:r>
    </w:p>
    <w:p>
      <w:pPr>
        <w:spacing w:line="400" w:lineRule="exact"/>
        <w:rPr>
          <w:rFonts w:ascii="楷体_GB2312" w:eastAsia="楷体_GB2312"/>
          <w:b/>
          <w:sz w:val="28"/>
          <w:szCs w:val="28"/>
        </w:rPr>
      </w:pPr>
    </w:p>
    <w:p>
      <w:pPr>
        <w:spacing w:line="400" w:lineRule="exact"/>
        <w:rPr>
          <w:rFonts w:ascii="宋体" w:hAnsi="宋体"/>
          <w:b/>
          <w:sz w:val="24"/>
        </w:rPr>
      </w:pPr>
      <w:r>
        <w:rPr>
          <w:rFonts w:hint="eastAsia" w:ascii="宋体" w:hAnsi="宋体"/>
          <w:b/>
          <w:sz w:val="24"/>
        </w:rPr>
        <w:t>第</w:t>
      </w:r>
      <w:r>
        <w:rPr>
          <w:rFonts w:hint="eastAsia" w:ascii="宋体" w:hAnsi="宋体"/>
          <w:b/>
          <w:sz w:val="24"/>
          <w:u w:val="single"/>
        </w:rPr>
        <w:t xml:space="preserve">    </w:t>
      </w:r>
      <w:r>
        <w:rPr>
          <w:rFonts w:hint="eastAsia" w:ascii="宋体" w:hAnsi="宋体"/>
          <w:b/>
          <w:sz w:val="24"/>
        </w:rPr>
        <w:t>包：</w:t>
      </w:r>
    </w:p>
    <w:tbl>
      <w:tblPr>
        <w:tblStyle w:val="8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7"/>
        <w:gridCol w:w="1134"/>
        <w:gridCol w:w="1081"/>
        <w:gridCol w:w="1187"/>
        <w:gridCol w:w="1458"/>
        <w:gridCol w:w="1134"/>
        <w:gridCol w:w="145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87" w:type="dxa"/>
            <w:vAlign w:val="center"/>
          </w:tcPr>
          <w:p>
            <w:pPr>
              <w:spacing w:line="400" w:lineRule="exact"/>
              <w:jc w:val="center"/>
              <w:rPr>
                <w:rFonts w:ascii="宋体" w:hAnsi="宋体"/>
                <w:b/>
                <w:bCs/>
                <w:szCs w:val="21"/>
              </w:rPr>
            </w:pPr>
            <w:r>
              <w:rPr>
                <w:rFonts w:hint="eastAsia" w:ascii="宋体" w:hAnsi="宋体"/>
                <w:b/>
                <w:bCs/>
                <w:szCs w:val="21"/>
              </w:rPr>
              <w:t>序号</w:t>
            </w:r>
          </w:p>
        </w:tc>
        <w:tc>
          <w:tcPr>
            <w:tcW w:w="1134" w:type="dxa"/>
            <w:vAlign w:val="center"/>
          </w:tcPr>
          <w:p>
            <w:pPr>
              <w:pStyle w:val="54"/>
              <w:spacing w:line="400" w:lineRule="exact"/>
              <w:jc w:val="center"/>
              <w:rPr>
                <w:rFonts w:ascii="宋体" w:hAnsi="宋体"/>
                <w:b/>
                <w:bCs/>
                <w:sz w:val="21"/>
                <w:szCs w:val="21"/>
              </w:rPr>
            </w:pPr>
            <w:r>
              <w:rPr>
                <w:rFonts w:hint="eastAsia" w:ascii="宋体" w:hAnsi="宋体"/>
                <w:b/>
                <w:bCs/>
                <w:sz w:val="21"/>
                <w:szCs w:val="21"/>
              </w:rPr>
              <w:t>名称</w:t>
            </w:r>
          </w:p>
        </w:tc>
        <w:tc>
          <w:tcPr>
            <w:tcW w:w="1081" w:type="dxa"/>
            <w:vAlign w:val="center"/>
          </w:tcPr>
          <w:p>
            <w:pPr>
              <w:spacing w:line="400" w:lineRule="exact"/>
              <w:jc w:val="center"/>
              <w:rPr>
                <w:rFonts w:ascii="宋体" w:hAnsi="宋体"/>
                <w:b/>
                <w:bCs/>
                <w:szCs w:val="21"/>
              </w:rPr>
            </w:pPr>
            <w:r>
              <w:rPr>
                <w:rFonts w:hint="eastAsia" w:ascii="宋体" w:hAnsi="宋体"/>
                <w:b/>
                <w:bCs/>
                <w:szCs w:val="21"/>
              </w:rPr>
              <w:t>规格型号</w:t>
            </w:r>
          </w:p>
        </w:tc>
        <w:tc>
          <w:tcPr>
            <w:tcW w:w="1187" w:type="dxa"/>
            <w:vAlign w:val="center"/>
          </w:tcPr>
          <w:p>
            <w:pPr>
              <w:spacing w:line="400" w:lineRule="exact"/>
              <w:jc w:val="center"/>
              <w:rPr>
                <w:rFonts w:ascii="宋体" w:hAnsi="宋体"/>
                <w:b/>
                <w:bCs/>
                <w:szCs w:val="21"/>
              </w:rPr>
            </w:pPr>
            <w:r>
              <w:rPr>
                <w:rFonts w:hint="eastAsia" w:ascii="宋体" w:hAnsi="宋体"/>
                <w:b/>
                <w:bCs/>
                <w:szCs w:val="21"/>
              </w:rPr>
              <w:t>品牌</w:t>
            </w:r>
          </w:p>
        </w:tc>
        <w:tc>
          <w:tcPr>
            <w:tcW w:w="1458" w:type="dxa"/>
            <w:vAlign w:val="center"/>
          </w:tcPr>
          <w:p>
            <w:pPr>
              <w:spacing w:line="400" w:lineRule="exact"/>
              <w:jc w:val="center"/>
              <w:rPr>
                <w:rFonts w:ascii="宋体" w:hAnsi="宋体"/>
                <w:b/>
                <w:bCs/>
                <w:szCs w:val="21"/>
              </w:rPr>
            </w:pPr>
            <w:r>
              <w:rPr>
                <w:rFonts w:hint="eastAsia" w:ascii="宋体" w:hAnsi="宋体"/>
                <w:b/>
                <w:bCs/>
                <w:szCs w:val="21"/>
              </w:rPr>
              <w:t>生产厂家</w:t>
            </w:r>
          </w:p>
        </w:tc>
        <w:tc>
          <w:tcPr>
            <w:tcW w:w="1134" w:type="dxa"/>
            <w:vAlign w:val="center"/>
          </w:tcPr>
          <w:p>
            <w:pPr>
              <w:spacing w:line="400" w:lineRule="exact"/>
              <w:jc w:val="center"/>
              <w:rPr>
                <w:rFonts w:ascii="宋体" w:hAnsi="宋体"/>
                <w:b/>
                <w:bCs/>
                <w:szCs w:val="21"/>
              </w:rPr>
            </w:pPr>
            <w:r>
              <w:rPr>
                <w:rFonts w:hint="eastAsia" w:ascii="宋体" w:hAnsi="宋体"/>
                <w:b/>
                <w:bCs/>
                <w:szCs w:val="21"/>
              </w:rPr>
              <w:t>有效期</w:t>
            </w:r>
          </w:p>
        </w:tc>
        <w:tc>
          <w:tcPr>
            <w:tcW w:w="1458" w:type="dxa"/>
            <w:vAlign w:val="center"/>
          </w:tcPr>
          <w:p>
            <w:pPr>
              <w:spacing w:line="400" w:lineRule="exact"/>
              <w:jc w:val="center"/>
              <w:rPr>
                <w:rFonts w:ascii="宋体" w:hAnsi="宋体"/>
                <w:b/>
                <w:bCs/>
                <w:szCs w:val="21"/>
              </w:rPr>
            </w:pPr>
            <w:r>
              <w:rPr>
                <w:rFonts w:hint="eastAsia" w:ascii="宋体" w:hAnsi="宋体"/>
                <w:b/>
                <w:bCs/>
                <w:szCs w:val="21"/>
              </w:rPr>
              <w:t>综合单价（元）</w:t>
            </w:r>
          </w:p>
        </w:tc>
        <w:tc>
          <w:tcPr>
            <w:tcW w:w="1356" w:type="dxa"/>
            <w:vAlign w:val="center"/>
          </w:tcPr>
          <w:p>
            <w:pPr>
              <w:widowControl/>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587" w:type="dxa"/>
            <w:vAlign w:val="center"/>
          </w:tcPr>
          <w:p>
            <w:pPr>
              <w:spacing w:line="400" w:lineRule="exact"/>
              <w:jc w:val="center"/>
              <w:rPr>
                <w:rFonts w:ascii="宋体" w:hAnsi="宋体"/>
                <w:kern w:val="0"/>
                <w:szCs w:val="21"/>
              </w:rPr>
            </w:pPr>
            <w:r>
              <w:rPr>
                <w:rFonts w:hint="eastAsia" w:ascii="宋体" w:hAnsi="宋体"/>
                <w:kern w:val="0"/>
                <w:szCs w:val="21"/>
              </w:rPr>
              <w:t>1</w:t>
            </w: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b/>
                <w:szCs w:val="21"/>
              </w:rPr>
            </w:pPr>
          </w:p>
        </w:tc>
        <w:tc>
          <w:tcPr>
            <w:tcW w:w="1458" w:type="dxa"/>
            <w:vAlign w:val="center"/>
          </w:tcPr>
          <w:p>
            <w:pPr>
              <w:spacing w:line="400" w:lineRule="exact"/>
              <w:jc w:val="center"/>
              <w:rPr>
                <w:rFonts w:ascii="宋体" w:hAnsi="宋体"/>
                <w:b/>
                <w:szCs w:val="21"/>
              </w:rPr>
            </w:pPr>
          </w:p>
        </w:tc>
        <w:tc>
          <w:tcPr>
            <w:tcW w:w="1356"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587" w:type="dxa"/>
            <w:vAlign w:val="center"/>
          </w:tcPr>
          <w:p>
            <w:pPr>
              <w:spacing w:line="400" w:lineRule="exact"/>
              <w:jc w:val="center"/>
              <w:rPr>
                <w:rFonts w:ascii="宋体" w:hAnsi="宋体"/>
                <w:szCs w:val="21"/>
              </w:rPr>
            </w:pPr>
            <w:r>
              <w:rPr>
                <w:rFonts w:hint="eastAsia" w:ascii="宋体" w:hAnsi="宋体"/>
                <w:szCs w:val="21"/>
              </w:rPr>
              <w:t>2</w:t>
            </w: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b/>
                <w:szCs w:val="21"/>
              </w:rPr>
            </w:pPr>
          </w:p>
        </w:tc>
        <w:tc>
          <w:tcPr>
            <w:tcW w:w="1458" w:type="dxa"/>
            <w:vAlign w:val="center"/>
          </w:tcPr>
          <w:p>
            <w:pPr>
              <w:spacing w:line="400" w:lineRule="exact"/>
              <w:jc w:val="center"/>
              <w:rPr>
                <w:rFonts w:ascii="宋体" w:hAnsi="宋体"/>
                <w:b/>
                <w:szCs w:val="21"/>
              </w:rPr>
            </w:pPr>
          </w:p>
        </w:tc>
        <w:tc>
          <w:tcPr>
            <w:tcW w:w="1356"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87" w:type="dxa"/>
            <w:vAlign w:val="center"/>
          </w:tcPr>
          <w:p>
            <w:pPr>
              <w:spacing w:line="400" w:lineRule="exact"/>
              <w:jc w:val="center"/>
              <w:rPr>
                <w:rFonts w:ascii="宋体" w:hAnsi="宋体"/>
                <w:szCs w:val="21"/>
              </w:rPr>
            </w:pPr>
            <w:r>
              <w:rPr>
                <w:rFonts w:hint="eastAsia" w:ascii="宋体" w:hAnsi="宋体"/>
                <w:szCs w:val="21"/>
              </w:rPr>
              <w:t>3</w:t>
            </w: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b/>
                <w:szCs w:val="21"/>
              </w:rPr>
            </w:pPr>
          </w:p>
        </w:tc>
        <w:tc>
          <w:tcPr>
            <w:tcW w:w="1458" w:type="dxa"/>
            <w:vAlign w:val="center"/>
          </w:tcPr>
          <w:p>
            <w:pPr>
              <w:spacing w:line="400" w:lineRule="exact"/>
              <w:jc w:val="center"/>
              <w:rPr>
                <w:rFonts w:ascii="宋体" w:hAnsi="宋体"/>
                <w:b/>
                <w:szCs w:val="21"/>
              </w:rPr>
            </w:pPr>
          </w:p>
        </w:tc>
        <w:tc>
          <w:tcPr>
            <w:tcW w:w="1356"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r>
              <w:rPr>
                <w:rFonts w:hint="eastAsia" w:ascii="宋体" w:hAnsi="宋体"/>
                <w:szCs w:val="21"/>
              </w:rPr>
              <w:t>…</w:t>
            </w: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7" w:type="dxa"/>
            <w:vAlign w:val="center"/>
          </w:tcPr>
          <w:p>
            <w:pPr>
              <w:spacing w:line="400" w:lineRule="exact"/>
              <w:jc w:val="center"/>
              <w:rPr>
                <w:rFonts w:ascii="宋体" w:hAnsi="宋体"/>
                <w:szCs w:val="21"/>
              </w:rPr>
            </w:pPr>
          </w:p>
        </w:tc>
        <w:tc>
          <w:tcPr>
            <w:tcW w:w="1134" w:type="dxa"/>
            <w:vAlign w:val="center"/>
          </w:tcPr>
          <w:p>
            <w:pPr>
              <w:widowControl/>
              <w:spacing w:line="400" w:lineRule="exact"/>
              <w:jc w:val="center"/>
              <w:rPr>
                <w:rFonts w:ascii="宋体" w:hAnsi="宋体" w:cs="宋体"/>
                <w:kern w:val="0"/>
                <w:szCs w:val="21"/>
              </w:rPr>
            </w:pPr>
          </w:p>
        </w:tc>
        <w:tc>
          <w:tcPr>
            <w:tcW w:w="1081" w:type="dxa"/>
            <w:vAlign w:val="center"/>
          </w:tcPr>
          <w:p>
            <w:pPr>
              <w:spacing w:line="400" w:lineRule="exact"/>
              <w:jc w:val="center"/>
              <w:rPr>
                <w:rFonts w:ascii="宋体" w:hAnsi="宋体"/>
                <w:szCs w:val="21"/>
              </w:rPr>
            </w:pPr>
          </w:p>
        </w:tc>
        <w:tc>
          <w:tcPr>
            <w:tcW w:w="1187"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p>
        </w:tc>
        <w:tc>
          <w:tcPr>
            <w:tcW w:w="1458" w:type="dxa"/>
            <w:vAlign w:val="center"/>
          </w:tcPr>
          <w:p>
            <w:pPr>
              <w:spacing w:line="400" w:lineRule="exact"/>
              <w:jc w:val="center"/>
              <w:rPr>
                <w:rFonts w:ascii="宋体" w:hAnsi="宋体"/>
                <w:szCs w:val="21"/>
              </w:rPr>
            </w:pPr>
          </w:p>
        </w:tc>
        <w:tc>
          <w:tcPr>
            <w:tcW w:w="135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1" w:hRule="atLeast"/>
          <w:jc w:val="center"/>
        </w:trPr>
        <w:tc>
          <w:tcPr>
            <w:tcW w:w="1721" w:type="dxa"/>
            <w:gridSpan w:val="2"/>
            <w:vAlign w:val="center"/>
          </w:tcPr>
          <w:p>
            <w:pPr>
              <w:widowControl/>
              <w:spacing w:line="400" w:lineRule="exact"/>
              <w:jc w:val="center"/>
              <w:rPr>
                <w:rFonts w:ascii="宋体" w:hAnsi="宋体"/>
                <w:b/>
                <w:bCs/>
                <w:szCs w:val="21"/>
              </w:rPr>
            </w:pPr>
            <w:r>
              <w:rPr>
                <w:rFonts w:hint="eastAsia" w:ascii="宋体" w:hAnsi="宋体"/>
                <w:b/>
                <w:bCs/>
                <w:szCs w:val="21"/>
              </w:rPr>
              <w:t>综合单价</w:t>
            </w:r>
          </w:p>
          <w:p>
            <w:pPr>
              <w:widowControl/>
              <w:spacing w:line="400" w:lineRule="exact"/>
              <w:jc w:val="center"/>
              <w:rPr>
                <w:rFonts w:ascii="宋体" w:hAnsi="宋体"/>
                <w:b/>
                <w:bCs/>
                <w:szCs w:val="21"/>
              </w:rPr>
            </w:pPr>
            <w:r>
              <w:rPr>
                <w:rFonts w:hint="eastAsia" w:ascii="宋体" w:hAnsi="宋体"/>
                <w:b/>
                <w:bCs/>
                <w:szCs w:val="21"/>
              </w:rPr>
              <w:t>合  计</w:t>
            </w:r>
          </w:p>
        </w:tc>
        <w:tc>
          <w:tcPr>
            <w:tcW w:w="7674" w:type="dxa"/>
            <w:gridSpan w:val="6"/>
            <w:vAlign w:val="center"/>
          </w:tcPr>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小写：￥</w:t>
            </w:r>
            <w:r>
              <w:rPr>
                <w:rFonts w:hint="eastAsia" w:asciiTheme="minorEastAsia" w:hAnsiTheme="minorEastAsia" w:eastAsiaTheme="minorEastAsia"/>
                <w:sz w:val="24"/>
                <w:u w:val="single"/>
              </w:rPr>
              <w:t xml:space="preserve">                                </w:t>
            </w:r>
          </w:p>
          <w:p>
            <w:pPr>
              <w:spacing w:line="400" w:lineRule="exact"/>
              <w:ind w:firstLine="480" w:firstLineChars="200"/>
              <w:rPr>
                <w:rFonts w:ascii="宋体" w:hAnsi="宋体"/>
                <w:szCs w:val="21"/>
              </w:rPr>
            </w:pPr>
            <w:r>
              <w:rPr>
                <w:rFonts w:hint="eastAsia" w:asciiTheme="minorEastAsia" w:hAnsiTheme="minorEastAsia" w:eastAsiaTheme="minorEastAsia"/>
                <w:sz w:val="24"/>
              </w:rPr>
              <w:t>大写：人民币</w:t>
            </w:r>
            <w:r>
              <w:rPr>
                <w:rFonts w:hint="eastAsia" w:asciiTheme="minorEastAsia" w:hAnsiTheme="minorEastAsia" w:eastAsiaTheme="minorEastAsia"/>
                <w:sz w:val="24"/>
                <w:u w:val="single"/>
              </w:rPr>
              <w:t xml:space="preserve">                            </w:t>
            </w:r>
          </w:p>
        </w:tc>
      </w:tr>
    </w:tbl>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注：1、</w:t>
      </w:r>
      <w:r>
        <w:rPr>
          <w:rFonts w:hint="eastAsia" w:asciiTheme="minorEastAsia" w:hAnsiTheme="minorEastAsia" w:eastAsiaTheme="minorEastAsia"/>
          <w:b/>
          <w:szCs w:val="21"/>
        </w:rPr>
        <w:t>上表中的“综合单价合计”与《开标一览表》中的“项目报价”一致。</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2、请各投标单位根据本项目的相关需求，提出符合实际的报价明细，偏离或补充之处请在备注中作重点说明。</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3、本表为固定格式，表格不够可另接。</w:t>
      </w:r>
      <w:r>
        <w:rPr>
          <w:rFonts w:hint="eastAsia" w:asciiTheme="minorEastAsia" w:hAnsiTheme="minorEastAsia" w:eastAsiaTheme="minorEastAsia"/>
          <w:b/>
          <w:bCs/>
          <w:szCs w:val="21"/>
        </w:rPr>
        <w:t>产品顺序须按照采购清单中所列顺序填写，不得变更。</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4、因表述含糊导致的评审风险将由投标人承担。</w:t>
      </w:r>
    </w:p>
    <w:p>
      <w:pPr>
        <w:spacing w:line="400" w:lineRule="exact"/>
        <w:ind w:firstLine="5160" w:firstLineChars="2150"/>
        <w:rPr>
          <w:rFonts w:ascii="宋体" w:hAnsi="宋体" w:eastAsia="楷体_GB2312"/>
          <w:bCs/>
          <w:sz w:val="24"/>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bookmarkEnd w:id="28"/>
    <w:bookmarkEnd w:id="29"/>
    <w:bookmarkEnd w:id="30"/>
    <w:p>
      <w:pPr>
        <w:spacing w:line="360" w:lineRule="exact"/>
        <w:rPr>
          <w:rFonts w:ascii="黑体" w:eastAsia="黑体"/>
          <w:sz w:val="28"/>
          <w:szCs w:val="28"/>
        </w:rPr>
      </w:pPr>
      <w:bookmarkStart w:id="31" w:name="_Toc222799676"/>
      <w:bookmarkStart w:id="32" w:name="_Toc194739809"/>
    </w:p>
    <w:p>
      <w:pPr>
        <w:spacing w:line="360" w:lineRule="exact"/>
        <w:jc w:val="center"/>
        <w:rPr>
          <w:rFonts w:ascii="黑体" w:eastAsia="黑体"/>
          <w:sz w:val="28"/>
          <w:szCs w:val="28"/>
        </w:rPr>
      </w:pPr>
    </w:p>
    <w:p>
      <w:pPr>
        <w:spacing w:line="360" w:lineRule="exact"/>
        <w:jc w:val="center"/>
        <w:rPr>
          <w:rFonts w:ascii="黑体" w:eastAsia="黑体"/>
          <w:sz w:val="28"/>
          <w:szCs w:val="28"/>
        </w:rPr>
      </w:pPr>
      <w:r>
        <w:rPr>
          <w:rFonts w:hint="eastAsia" w:ascii="黑体" w:eastAsia="黑体"/>
          <w:sz w:val="28"/>
          <w:szCs w:val="28"/>
        </w:rPr>
        <w:t>四、商务、技术要求响应及偏离表</w:t>
      </w:r>
    </w:p>
    <w:p>
      <w:pPr>
        <w:spacing w:line="360" w:lineRule="exact"/>
        <w:jc w:val="center"/>
        <w:rPr>
          <w:rFonts w:asciiTheme="minorEastAsia" w:hAnsiTheme="minorEastAsia" w:eastAsiaTheme="minorEastAsia"/>
          <w:b/>
          <w:sz w:val="28"/>
          <w:szCs w:val="28"/>
        </w:rPr>
      </w:pPr>
    </w:p>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（一）商务要求响应及偏离表</w:t>
      </w:r>
    </w:p>
    <w:tbl>
      <w:tblPr>
        <w:tblStyle w:val="8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167"/>
        <w:gridCol w:w="1466"/>
        <w:gridCol w:w="2065"/>
        <w:gridCol w:w="1466"/>
        <w:gridCol w:w="2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名  称</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商务要求</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商务规范描述</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bl>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（二）技术要求响应及偏离表</w:t>
      </w:r>
    </w:p>
    <w:tbl>
      <w:tblPr>
        <w:tblStyle w:val="8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167"/>
        <w:gridCol w:w="1466"/>
        <w:gridCol w:w="2065"/>
        <w:gridCol w:w="1466"/>
        <w:gridCol w:w="2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名  称</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技术要求</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技术规范描述</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spacing w:line="360" w:lineRule="exact"/>
              <w:jc w:val="center"/>
              <w:rPr>
                <w:rFonts w:asciiTheme="minorEastAsia" w:hAnsiTheme="minorEastAsia" w:eastAsiaTheme="minorEastAsia"/>
                <w:sz w:val="24"/>
              </w:rPr>
            </w:pPr>
          </w:p>
        </w:tc>
        <w:tc>
          <w:tcPr>
            <w:tcW w:w="0" w:type="auto"/>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c>
          <w:tcPr>
            <w:tcW w:w="0" w:type="auto"/>
            <w:vAlign w:val="center"/>
          </w:tcPr>
          <w:p>
            <w:pPr>
              <w:spacing w:line="360" w:lineRule="exact"/>
              <w:jc w:val="center"/>
              <w:rPr>
                <w:rFonts w:asciiTheme="minorEastAsia" w:hAnsiTheme="minorEastAsia" w:eastAsiaTheme="minorEastAsia"/>
                <w:sz w:val="24"/>
              </w:rPr>
            </w:pPr>
          </w:p>
        </w:tc>
      </w:tr>
    </w:tbl>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注：1、投标单位应据实、详细填写上述表格，因未标明或表述含糊导致的评审风险将由投标单位承担。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2、质保期、工期、付款方式、售后服务等商务响应情况在“商务要求响应及偏离表”填写。产品技术参数要求响应等技术响应情况在“技术要求响应及偏离表”填写。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4、“投标文件技术规范描述”完全照抄“招标文件技术要求”的，有被判定为负偏离的风险。</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5、表格不够可另接。</w:t>
      </w:r>
    </w:p>
    <w:p>
      <w:pPr>
        <w:spacing w:line="360" w:lineRule="exact"/>
        <w:rPr>
          <w:rFonts w:ascii="楷体_GB2312" w:eastAsia="楷体_GB2312"/>
          <w:sz w:val="24"/>
        </w:rPr>
      </w:pPr>
    </w:p>
    <w:p>
      <w:pPr>
        <w:spacing w:line="360" w:lineRule="exact"/>
        <w:rPr>
          <w:rFonts w:ascii="楷体_GB2312" w:eastAsia="楷体_GB2312"/>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五、项目实施方案及需要说明的其他内容</w:t>
      </w:r>
    </w:p>
    <w:p>
      <w:pPr>
        <w:spacing w:line="400" w:lineRule="exact"/>
        <w:jc w:val="center"/>
        <w:outlineLvl w:val="1"/>
        <w:rPr>
          <w:rFonts w:ascii="楷体_GB2312" w:eastAsia="楷体_GB2312"/>
          <w:b/>
          <w:sz w:val="24"/>
        </w:rPr>
      </w:pP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1、投标人对该项目招标文件中提出的采购需求提供具体的项目实施方案：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（1）供货方案；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（2）仓储及管理措施；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（3）售后服务方案；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（4）其他方案等。</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2、投标人认为需要加以说明的其他内容，格式自定。</w:t>
      </w: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400" w:lineRule="exact"/>
        <w:jc w:val="center"/>
        <w:outlineLvl w:val="1"/>
        <w:rPr>
          <w:rFonts w:ascii="黑体" w:eastAsia="黑体"/>
          <w:sz w:val="28"/>
          <w:szCs w:val="28"/>
        </w:rPr>
      </w:pPr>
    </w:p>
    <w:p>
      <w:pPr>
        <w:spacing w:line="360" w:lineRule="exact"/>
        <w:jc w:val="center"/>
        <w:rPr>
          <w:rFonts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六、投标人综合实力</w:t>
      </w:r>
    </w:p>
    <w:p>
      <w:pPr>
        <w:jc w:val="center"/>
        <w:outlineLvl w:val="1"/>
        <w:rPr>
          <w:rFonts w:asciiTheme="minorEastAsia" w:hAnsiTheme="minorEastAsia" w:eastAsiaTheme="minorEastAsia"/>
          <w:b/>
          <w:sz w:val="24"/>
        </w:rPr>
      </w:pP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9"/>
        <w:gridCol w:w="1700"/>
        <w:gridCol w:w="1318"/>
        <w:gridCol w:w="144"/>
        <w:gridCol w:w="701"/>
        <w:gridCol w:w="673"/>
        <w:gridCol w:w="1117"/>
        <w:gridCol w:w="370"/>
        <w:gridCol w:w="2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一、公司基本信息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公司名称：</w:t>
            </w:r>
          </w:p>
        </w:tc>
        <w:tc>
          <w:tcPr>
            <w:tcW w:w="6627" w:type="dxa"/>
            <w:gridSpan w:val="7"/>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注册资金：</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公司地址：</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成立日期：</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法定代表人：</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开户银行：</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7</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账号</w:t>
            </w:r>
            <w:bookmarkStart w:id="33" w:name="_GoBack"/>
            <w:bookmarkEnd w:id="33"/>
            <w:r>
              <w:rPr>
                <w:rFonts w:hint="eastAsia" w:asciiTheme="minorEastAsia" w:hAnsiTheme="minorEastAsia" w:eastAsiaTheme="minorEastAsia"/>
                <w:kern w:val="0"/>
                <w:sz w:val="24"/>
              </w:rPr>
              <w:t>：</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项目联系人：</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9</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联系电话：</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二、公司财务状况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上一年度财务状况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销售收（万）：</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利润总额（元）</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年末“固定资产合计”（万）：</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年末“流动资产”余额（万）：</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年末“短期负债”余额（万）：</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年末“长期负债”余额（万）：</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7</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年末“资产总计”余额（万）</w:t>
            </w:r>
          </w:p>
        </w:tc>
        <w:tc>
          <w:tcPr>
            <w:tcW w:w="1462" w:type="dxa"/>
            <w:gridSpan w:val="2"/>
            <w:vAlign w:val="center"/>
          </w:tcPr>
          <w:p>
            <w:pPr>
              <w:widowControl/>
              <w:jc w:val="center"/>
              <w:rPr>
                <w:rFonts w:asciiTheme="minorEastAsia" w:hAnsiTheme="minorEastAsia" w:eastAsiaTheme="minorEastAsia"/>
                <w:kern w:val="0"/>
                <w:sz w:val="24"/>
              </w:rPr>
            </w:pPr>
          </w:p>
        </w:tc>
        <w:tc>
          <w:tcPr>
            <w:tcW w:w="701"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1790"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年末“货币资金”余额（万）：</w:t>
            </w:r>
          </w:p>
        </w:tc>
        <w:tc>
          <w:tcPr>
            <w:tcW w:w="2674" w:type="dxa"/>
            <w:gridSpan w:val="2"/>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三、投标人其他信息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（一）</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公司取得的相关资质认证：</w:t>
            </w:r>
          </w:p>
        </w:tc>
        <w:tc>
          <w:tcPr>
            <w:tcW w:w="6627" w:type="dxa"/>
            <w:gridSpan w:val="7"/>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（二）</w:t>
            </w:r>
          </w:p>
        </w:tc>
        <w:tc>
          <w:tcPr>
            <w:tcW w:w="1700"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公司获得的荣誉信誉认证表彰等情况</w:t>
            </w:r>
          </w:p>
        </w:tc>
        <w:tc>
          <w:tcPr>
            <w:tcW w:w="6627" w:type="dxa"/>
            <w:gridSpan w:val="7"/>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四、提供的案例清单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项目名称</w:t>
            </w:r>
          </w:p>
        </w:tc>
        <w:tc>
          <w:tcPr>
            <w:tcW w:w="1318"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合同金额（万）</w:t>
            </w:r>
          </w:p>
        </w:tc>
        <w:tc>
          <w:tcPr>
            <w:tcW w:w="1518" w:type="dxa"/>
            <w:gridSpan w:val="3"/>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项目联系人及电话</w:t>
            </w:r>
          </w:p>
        </w:tc>
        <w:tc>
          <w:tcPr>
            <w:tcW w:w="1487" w:type="dxa"/>
            <w:gridSpan w:val="2"/>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实施时间</w:t>
            </w:r>
          </w:p>
        </w:tc>
        <w:tc>
          <w:tcPr>
            <w:tcW w:w="2304" w:type="dxa"/>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widowControl/>
              <w:jc w:val="center"/>
              <w:rPr>
                <w:rFonts w:asciiTheme="minorEastAsia" w:hAnsiTheme="minorEastAsia" w:eastAsiaTheme="minorEastAsia"/>
                <w:kern w:val="0"/>
                <w:sz w:val="24"/>
              </w:rPr>
            </w:pPr>
          </w:p>
        </w:tc>
        <w:tc>
          <w:tcPr>
            <w:tcW w:w="1318" w:type="dxa"/>
            <w:vAlign w:val="center"/>
          </w:tcPr>
          <w:p>
            <w:pPr>
              <w:widowControl/>
              <w:jc w:val="center"/>
              <w:rPr>
                <w:rFonts w:asciiTheme="minorEastAsia" w:hAnsiTheme="minorEastAsia" w:eastAsiaTheme="minorEastAsia"/>
                <w:kern w:val="0"/>
                <w:sz w:val="24"/>
              </w:rPr>
            </w:pPr>
          </w:p>
        </w:tc>
        <w:tc>
          <w:tcPr>
            <w:tcW w:w="1518" w:type="dxa"/>
            <w:gridSpan w:val="3"/>
            <w:vAlign w:val="center"/>
          </w:tcPr>
          <w:p>
            <w:pPr>
              <w:widowControl/>
              <w:jc w:val="center"/>
              <w:rPr>
                <w:rFonts w:asciiTheme="minorEastAsia" w:hAnsiTheme="minorEastAsia" w:eastAsiaTheme="minorEastAsia"/>
                <w:kern w:val="0"/>
                <w:sz w:val="24"/>
              </w:rPr>
            </w:pPr>
          </w:p>
        </w:tc>
        <w:tc>
          <w:tcPr>
            <w:tcW w:w="1487" w:type="dxa"/>
            <w:gridSpan w:val="2"/>
            <w:vAlign w:val="center"/>
          </w:tcPr>
          <w:p>
            <w:pPr>
              <w:widowControl/>
              <w:jc w:val="center"/>
              <w:rPr>
                <w:rFonts w:asciiTheme="minorEastAsia" w:hAnsiTheme="minorEastAsia" w:eastAsiaTheme="minorEastAsia"/>
                <w:kern w:val="0"/>
                <w:sz w:val="24"/>
              </w:rPr>
            </w:pPr>
          </w:p>
        </w:tc>
        <w:tc>
          <w:tcPr>
            <w:tcW w:w="2304" w:type="dxa"/>
            <w:vAlign w:val="center"/>
          </w:tcPr>
          <w:p>
            <w:pPr>
              <w:widowControl/>
              <w:jc w:val="center"/>
              <w:rPr>
                <w:rFonts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widowControl/>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五、其他投标单位综合实力材料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48" w:hRule="atLeast"/>
          <w:jc w:val="center"/>
        </w:trPr>
        <w:tc>
          <w:tcPr>
            <w:tcW w:w="9356" w:type="dxa"/>
            <w:gridSpan w:val="9"/>
            <w:vAlign w:val="center"/>
          </w:tcPr>
          <w:p>
            <w:pPr>
              <w:widowControl/>
              <w:jc w:val="center"/>
              <w:rPr>
                <w:rFonts w:asciiTheme="minorEastAsia" w:hAnsiTheme="minorEastAsia" w:eastAsiaTheme="minorEastAsia"/>
                <w:kern w:val="0"/>
                <w:sz w:val="24"/>
              </w:rPr>
            </w:pPr>
          </w:p>
        </w:tc>
      </w:tr>
    </w:tbl>
    <w:p>
      <w:pPr>
        <w:spacing w:line="400" w:lineRule="exact"/>
        <w:jc w:val="center"/>
        <w:outlineLvl w:val="1"/>
        <w:rPr>
          <w:rFonts w:ascii="黑体" w:eastAsia="黑体"/>
          <w:sz w:val="28"/>
          <w:szCs w:val="28"/>
        </w:rPr>
      </w:pPr>
    </w:p>
    <w:bookmarkEnd w:id="31"/>
    <w:bookmarkEnd w:id="32"/>
    <w:p>
      <w:pPr>
        <w:pStyle w:val="4"/>
        <w:spacing w:before="0" w:after="0" w:line="400" w:lineRule="exact"/>
        <w:jc w:val="center"/>
        <w:rPr>
          <w:rFonts w:ascii="黑体"/>
          <w:b w:val="0"/>
          <w:sz w:val="28"/>
          <w:szCs w:val="28"/>
        </w:rPr>
      </w:pPr>
    </w:p>
    <w:p>
      <w:pPr>
        <w:pStyle w:val="4"/>
        <w:spacing w:before="0" w:after="0" w:line="400" w:lineRule="exact"/>
        <w:jc w:val="center"/>
        <w:rPr>
          <w:rFonts w:ascii="黑体"/>
          <w:b w:val="0"/>
          <w:sz w:val="24"/>
        </w:rPr>
      </w:pPr>
      <w:r>
        <w:rPr>
          <w:rFonts w:hint="eastAsia" w:ascii="黑体"/>
          <w:b w:val="0"/>
          <w:sz w:val="28"/>
          <w:szCs w:val="28"/>
        </w:rPr>
        <w:t>七、</w:t>
      </w:r>
      <w:r>
        <w:rPr>
          <w:rFonts w:hint="eastAsia" w:ascii="黑体" w:hAnsi="宋体"/>
          <w:b w:val="0"/>
          <w:bCs w:val="0"/>
          <w:sz w:val="28"/>
          <w:szCs w:val="28"/>
        </w:rPr>
        <w:t>法定代表人授权委托书</w:t>
      </w:r>
    </w:p>
    <w:p>
      <w:pPr>
        <w:spacing w:line="400" w:lineRule="exact"/>
        <w:ind w:firstLine="480" w:firstLineChars="200"/>
        <w:rPr>
          <w:rFonts w:ascii="仿宋_GB2312" w:eastAsia="仿宋_GB2312"/>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江阴市食品安全检测中心：</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系中华人民共和国合法企业。法定地址：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特授权</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代表我公司（单位）全权办理针对上述项目的投标、参与评标、签约等具体工作，并签署全部有关的文件、协议及合同。</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我公司（单位）对授权委托人的签名负全部责任。</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在撤销授权的书面通知送达你处以前，本授权书一直有效，授权委托人签署的所有文件（在授权书有效期内签署的）不因授权的撤销而失效。授权委托人无转委托权。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授权委托人情况：</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姓名：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性别：</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年龄：</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职务：</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身份证号码：</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电话：</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通讯地址：</w:t>
      </w:r>
      <w:r>
        <w:rPr>
          <w:rFonts w:hint="eastAsia" w:asciiTheme="minorEastAsia" w:hAnsiTheme="minorEastAsia" w:eastAsiaTheme="minorEastAsia"/>
          <w:bCs/>
          <w:sz w:val="24"/>
          <w:u w:val="single"/>
        </w:rPr>
        <w:t>　　　　　　　　　　　　　　　　　　　　　　　　　　　　</w:t>
      </w:r>
    </w:p>
    <w:p>
      <w:pPr>
        <w:spacing w:line="400" w:lineRule="exact"/>
        <w:ind w:firstLine="3600" w:firstLineChars="1500"/>
        <w:rPr>
          <w:rFonts w:asciiTheme="minorEastAsia" w:hAnsiTheme="minorEastAsia" w:eastAsiaTheme="minorEastAsia"/>
          <w:bCs/>
          <w:sz w:val="24"/>
        </w:rPr>
      </w:pPr>
    </w:p>
    <w:p>
      <w:pPr>
        <w:spacing w:line="400" w:lineRule="exact"/>
        <w:ind w:firstLine="3600" w:firstLineChars="1500"/>
        <w:rPr>
          <w:rFonts w:asciiTheme="minorEastAsia" w:hAnsiTheme="minorEastAsia" w:eastAsiaTheme="minorEastAsia"/>
          <w:bCs/>
          <w:sz w:val="24"/>
          <w:u w:val="single"/>
        </w:rPr>
      </w:pPr>
      <w:r>
        <w:rPr>
          <w:rFonts w:hint="eastAsia" w:asciiTheme="minorEastAsia" w:hAnsiTheme="minorEastAsia" w:eastAsiaTheme="minorEastAsia"/>
          <w:bCs/>
          <w:sz w:val="24"/>
        </w:rPr>
        <w:t>单位名称（公章）：</w:t>
      </w:r>
      <w:r>
        <w:rPr>
          <w:rFonts w:hint="eastAsia" w:asciiTheme="minorEastAsia" w:hAnsiTheme="minorEastAsia" w:eastAsiaTheme="minorEastAsia"/>
          <w:bCs/>
          <w:sz w:val="24"/>
          <w:u w:val="single"/>
        </w:rPr>
        <w:t>　　　　　　        　</w:t>
      </w:r>
    </w:p>
    <w:p>
      <w:pPr>
        <w:spacing w:line="400" w:lineRule="exact"/>
        <w:ind w:firstLine="3600" w:firstLineChars="1500"/>
        <w:rPr>
          <w:rFonts w:asciiTheme="minorEastAsia" w:hAnsiTheme="minorEastAsia" w:eastAsiaTheme="minorEastAsia"/>
          <w:bCs/>
          <w:sz w:val="24"/>
        </w:rPr>
      </w:pPr>
      <w:r>
        <w:rPr>
          <w:rFonts w:hint="eastAsia" w:asciiTheme="minorEastAsia" w:hAnsiTheme="minorEastAsia" w:eastAsiaTheme="minorEastAsia"/>
          <w:bCs/>
          <w:sz w:val="24"/>
        </w:rPr>
        <w:t>法定代表人（签名或盖章）：</w:t>
      </w:r>
      <w:r>
        <w:rPr>
          <w:rFonts w:hint="eastAsia" w:asciiTheme="minorEastAsia" w:hAnsiTheme="minorEastAsia" w:eastAsiaTheme="minorEastAsia"/>
          <w:bCs/>
          <w:sz w:val="24"/>
          <w:u w:val="single"/>
        </w:rPr>
        <w:t>　　　　　　　</w:t>
      </w:r>
    </w:p>
    <w:p>
      <w:pPr>
        <w:spacing w:line="400" w:lineRule="exact"/>
        <w:jc w:val="center"/>
        <w:rPr>
          <w:rFonts w:asciiTheme="minorEastAsia" w:hAnsiTheme="minorEastAsia" w:eastAsiaTheme="minorEastAsia"/>
          <w:b/>
          <w:bCs/>
          <w:sz w:val="24"/>
        </w:rPr>
      </w:pPr>
    </w:p>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【授权委托人必须提供本单位连续6个月（且至少包含近3个月中任意1个月份&lt;不含投标当月&gt;）为其缴纳社保的证明复印件】</w:t>
      </w:r>
    </w:p>
    <w:p>
      <w:pPr>
        <w:spacing w:line="400" w:lineRule="exact"/>
        <w:jc w:val="center"/>
        <w:rPr>
          <w:rFonts w:asciiTheme="minorEastAsia" w:hAnsiTheme="minorEastAsia" w:eastAsiaTheme="minorEastAsia"/>
          <w:bCs/>
          <w:sz w:val="24"/>
        </w:rPr>
      </w:pPr>
    </w:p>
    <w:tbl>
      <w:tblPr>
        <w:tblStyle w:val="88"/>
        <w:tblpPr w:leftFromText="180" w:rightFromText="180" w:vertAnchor="text" w:horzAnchor="page" w:tblpXSpec="center" w:tblpY="4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842"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法定代表人身份证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c>
          <w:tcPr>
            <w:tcW w:w="2843" w:type="dxa"/>
            <w:tcBorders>
              <w:top w:val="nil"/>
              <w:bottom w:val="nil"/>
            </w:tcBorders>
          </w:tcPr>
          <w:p>
            <w:pPr>
              <w:spacing w:line="400" w:lineRule="exact"/>
              <w:rPr>
                <w:rFonts w:asciiTheme="minorEastAsia" w:hAnsiTheme="minorEastAsia" w:eastAsiaTheme="minorEastAsia"/>
                <w:bCs/>
                <w:sz w:val="24"/>
              </w:rPr>
            </w:pPr>
          </w:p>
        </w:tc>
        <w:tc>
          <w:tcPr>
            <w:tcW w:w="2843"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授权委托人身份证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r>
    </w:tbl>
    <w:p>
      <w:pPr>
        <w:spacing w:line="400" w:lineRule="exact"/>
        <w:rPr>
          <w:rFonts w:asciiTheme="minorEastAsia" w:hAnsiTheme="minorEastAsia" w:eastAsiaTheme="minorEastAsia"/>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ind w:firstLine="562" w:firstLineChars="200"/>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jc w:val="center"/>
        <w:outlineLvl w:val="1"/>
        <w:rPr>
          <w:rFonts w:ascii="黑体" w:eastAsia="黑体"/>
          <w:bCs/>
          <w:sz w:val="28"/>
          <w:szCs w:val="28"/>
        </w:rPr>
      </w:pPr>
      <w:r>
        <w:rPr>
          <w:rFonts w:hint="eastAsia" w:ascii="黑体" w:hAnsi="宋体" w:eastAsia="黑体"/>
          <w:bCs/>
          <w:sz w:val="28"/>
          <w:szCs w:val="28"/>
        </w:rPr>
        <w:t>八、关于资格的声明函</w:t>
      </w:r>
    </w:p>
    <w:p>
      <w:pPr>
        <w:spacing w:line="400" w:lineRule="exact"/>
        <w:rPr>
          <w:rFonts w:asciiTheme="minorEastAsia" w:hAnsiTheme="minorEastAsia" w:eastAsiaTheme="minorEastAsia"/>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江阴市食品安全检测中心：</w:t>
      </w:r>
    </w:p>
    <w:p>
      <w:pPr>
        <w:spacing w:line="400" w:lineRule="exact"/>
        <w:ind w:firstLine="480" w:firstLineChars="200"/>
        <w:rPr>
          <w:rFonts w:ascii="宋体" w:hAnsi="宋体"/>
          <w:bCs/>
          <w:sz w:val="24"/>
        </w:rPr>
      </w:pPr>
      <w:r>
        <w:rPr>
          <w:rFonts w:hint="eastAsia" w:ascii="宋体" w:hAnsi="宋体"/>
          <w:bCs/>
          <w:sz w:val="24"/>
        </w:rPr>
        <w:t>按照《中华人民共和国政府采购法》第二十二条和招标文件的规定，我单位郑重声明如下：</w:t>
      </w:r>
    </w:p>
    <w:p>
      <w:pPr>
        <w:spacing w:line="400" w:lineRule="exact"/>
        <w:ind w:firstLine="480" w:firstLineChars="200"/>
        <w:rPr>
          <w:rFonts w:ascii="宋体" w:hAnsi="宋体"/>
          <w:bCs/>
          <w:sz w:val="24"/>
        </w:rPr>
      </w:pPr>
      <w:r>
        <w:rPr>
          <w:rFonts w:hint="eastAsia" w:ascii="宋体" w:hAnsi="宋体"/>
          <w:bCs/>
          <w:sz w:val="24"/>
        </w:rPr>
        <w:t>一、我单位是按照中华人民共和国法律规定登记注册的，注册地点为</w:t>
      </w:r>
      <w:r>
        <w:rPr>
          <w:rFonts w:hint="eastAsia" w:ascii="宋体" w:hAnsi="宋体"/>
          <w:bCs/>
          <w:sz w:val="24"/>
          <w:u w:val="single"/>
        </w:rPr>
        <w:t>　　　　　　</w:t>
      </w:r>
      <w:r>
        <w:rPr>
          <w:rFonts w:hint="eastAsia" w:ascii="宋体" w:hAnsi="宋体"/>
          <w:bCs/>
          <w:sz w:val="24"/>
        </w:rPr>
        <w:t>，全称为</w:t>
      </w:r>
      <w:r>
        <w:rPr>
          <w:rFonts w:hint="eastAsia" w:ascii="宋体" w:hAnsi="宋体"/>
          <w:bCs/>
          <w:sz w:val="24"/>
          <w:u w:val="single"/>
        </w:rPr>
        <w:t>　　　　　　</w:t>
      </w:r>
      <w:r>
        <w:rPr>
          <w:rFonts w:hint="eastAsia" w:ascii="宋体" w:hAnsi="宋体"/>
          <w:bCs/>
          <w:sz w:val="24"/>
        </w:rPr>
        <w:t>，统一社会信用代码为</w:t>
      </w:r>
      <w:r>
        <w:rPr>
          <w:rFonts w:hint="eastAsia" w:ascii="宋体" w:hAnsi="宋体"/>
          <w:bCs/>
          <w:sz w:val="24"/>
          <w:u w:val="single"/>
        </w:rPr>
        <w:t>　　　　　　</w:t>
      </w:r>
      <w:r>
        <w:rPr>
          <w:rFonts w:hint="eastAsia" w:ascii="宋体" w:hAnsi="宋体"/>
          <w:bCs/>
          <w:sz w:val="24"/>
        </w:rPr>
        <w:t>，法定代表人（单位负责人）为</w:t>
      </w:r>
      <w:r>
        <w:rPr>
          <w:rFonts w:hint="eastAsia" w:ascii="宋体" w:hAnsi="宋体"/>
          <w:bCs/>
          <w:sz w:val="24"/>
          <w:u w:val="single"/>
        </w:rPr>
        <w:t>　　　　　　</w:t>
      </w:r>
      <w:r>
        <w:rPr>
          <w:rFonts w:hint="eastAsia" w:ascii="宋体" w:hAnsi="宋体"/>
          <w:bCs/>
          <w:sz w:val="24"/>
        </w:rPr>
        <w:t>，具有独立承担民事责任的能力（如属于分公司经总公司授权参与项目，由总公司承担民事责任的，须提供总公司项目授权书）。</w:t>
      </w:r>
    </w:p>
    <w:p>
      <w:pPr>
        <w:spacing w:line="400" w:lineRule="exact"/>
        <w:ind w:firstLine="480" w:firstLineChars="200"/>
        <w:rPr>
          <w:rFonts w:ascii="宋体" w:hAnsi="宋体"/>
          <w:bCs/>
          <w:sz w:val="24"/>
        </w:rPr>
      </w:pPr>
      <w:r>
        <w:rPr>
          <w:rFonts w:hint="eastAsia" w:ascii="宋体" w:hAnsi="宋体"/>
          <w:bCs/>
          <w:sz w:val="24"/>
        </w:rPr>
        <w:t>二、我单位具有良好的商业信誉（指投标人经营状况良好，无本资格声明第五条情形）和健全的财务会计制度。</w:t>
      </w:r>
    </w:p>
    <w:p>
      <w:pPr>
        <w:spacing w:line="400" w:lineRule="exact"/>
        <w:ind w:firstLine="480" w:firstLineChars="200"/>
        <w:rPr>
          <w:rFonts w:ascii="宋体" w:hAnsi="宋体"/>
          <w:bCs/>
          <w:sz w:val="24"/>
        </w:rPr>
      </w:pPr>
      <w:r>
        <w:rPr>
          <w:rFonts w:hint="eastAsia" w:ascii="宋体" w:hAnsi="宋体"/>
          <w:bCs/>
          <w:sz w:val="24"/>
        </w:rPr>
        <w:t>三、我单位依法进行纳税和社会保险申报并实际履行了义务。</w:t>
      </w:r>
    </w:p>
    <w:p>
      <w:pPr>
        <w:spacing w:line="400" w:lineRule="exact"/>
        <w:ind w:firstLine="480" w:firstLineChars="200"/>
        <w:rPr>
          <w:rFonts w:ascii="宋体" w:hAnsi="宋体"/>
          <w:bCs/>
          <w:sz w:val="24"/>
        </w:rPr>
      </w:pPr>
      <w:r>
        <w:rPr>
          <w:rFonts w:hint="eastAsia" w:ascii="宋体" w:hAnsi="宋体"/>
          <w:bCs/>
          <w:sz w:val="24"/>
        </w:rPr>
        <w:t>四、我单位具备履行本项采购合同所必需的设备和专业技术能力，为履行本项采购合同我公司具备如下主要设备和主要专业技术能力：主要设备有：</w:t>
      </w:r>
      <w:r>
        <w:rPr>
          <w:rFonts w:hint="eastAsia" w:ascii="宋体" w:hAnsi="宋体"/>
          <w:bCs/>
          <w:sz w:val="24"/>
          <w:u w:val="single"/>
        </w:rPr>
        <w:t xml:space="preserve"> 　　　         　　 </w:t>
      </w: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w:t>
      </w:r>
    </w:p>
    <w:p>
      <w:pPr>
        <w:spacing w:line="400" w:lineRule="exact"/>
        <w:ind w:firstLine="480" w:firstLineChars="200"/>
        <w:rPr>
          <w:rFonts w:ascii="宋体" w:hAnsi="宋体"/>
          <w:bCs/>
          <w:sz w:val="24"/>
        </w:rPr>
      </w:pPr>
      <w:r>
        <w:rPr>
          <w:rFonts w:hint="eastAsia" w:ascii="宋体" w:hAnsi="宋体"/>
          <w:bCs/>
          <w:sz w:val="24"/>
        </w:rPr>
        <w:t>五、我单位参加本次采购活动前 3 年内，我单位在经营活动中没有因违法经营受到刑事处罚或者责令停产停业、吊销许可证或者执照、较大数额罚款等行政处罚。</w:t>
      </w:r>
    </w:p>
    <w:p>
      <w:pPr>
        <w:spacing w:line="400" w:lineRule="exact"/>
        <w:ind w:firstLine="480" w:firstLineChars="200"/>
        <w:rPr>
          <w:rFonts w:ascii="宋体" w:hAnsi="宋体"/>
          <w:bCs/>
          <w:sz w:val="24"/>
        </w:rPr>
      </w:pPr>
      <w:r>
        <w:rPr>
          <w:rFonts w:hint="eastAsia" w:ascii="宋体" w:hAnsi="宋体"/>
          <w:bCs/>
          <w:sz w:val="24"/>
        </w:rPr>
        <w:t>六、我单位具备法律、行政法规规定的其他条件。</w:t>
      </w:r>
    </w:p>
    <w:p>
      <w:pPr>
        <w:spacing w:line="400" w:lineRule="exact"/>
        <w:ind w:firstLine="480" w:firstLineChars="200"/>
        <w:rPr>
          <w:rFonts w:ascii="宋体" w:hAnsi="宋体"/>
          <w:bCs/>
          <w:sz w:val="24"/>
        </w:rPr>
      </w:pPr>
      <w:r>
        <w:rPr>
          <w:rFonts w:hint="eastAsia" w:ascii="宋体" w:hAnsi="宋体"/>
          <w:bCs/>
          <w:sz w:val="24"/>
        </w:rPr>
        <w:t>七、</w:t>
      </w:r>
      <w:r>
        <w:rPr>
          <w:rFonts w:ascii="宋体" w:hAnsi="宋体"/>
          <w:bCs/>
          <w:sz w:val="24"/>
        </w:rPr>
        <w:t>我单位未被列入“信用中国”网站、“中国政府采购网”列入失信被执行人、重大税收违法失信主体、政府采购严重违法失信行为信息记录名单。</w:t>
      </w:r>
    </w:p>
    <w:p>
      <w:pPr>
        <w:spacing w:line="400" w:lineRule="exact"/>
        <w:ind w:firstLine="480" w:firstLineChars="200"/>
        <w:rPr>
          <w:rFonts w:ascii="宋体" w:hAnsi="宋体"/>
          <w:bCs/>
          <w:sz w:val="24"/>
        </w:rPr>
      </w:pPr>
      <w:r>
        <w:rPr>
          <w:rFonts w:hint="eastAsia" w:ascii="宋体" w:hAnsi="宋体"/>
          <w:bCs/>
          <w:sz w:val="24"/>
        </w:rPr>
        <w:t>八、我单位不具有违反政府采购法第二十二条的任何情形。</w:t>
      </w:r>
    </w:p>
    <w:p>
      <w:pPr>
        <w:spacing w:line="400" w:lineRule="exact"/>
        <w:ind w:firstLine="480" w:firstLineChars="200"/>
        <w:rPr>
          <w:rFonts w:ascii="宋体" w:hAnsi="宋体"/>
          <w:bCs/>
          <w:sz w:val="24"/>
        </w:rPr>
      </w:pPr>
      <w:r>
        <w:rPr>
          <w:rFonts w:hint="eastAsia" w:ascii="宋体" w:hAnsi="宋体"/>
          <w:bCs/>
          <w:sz w:val="24"/>
        </w:rPr>
        <w:t>九、我单位投标文件中所有关于投标资格的文件、证明、陈述均是真实的、准确的。</w:t>
      </w:r>
    </w:p>
    <w:p>
      <w:pPr>
        <w:spacing w:line="400" w:lineRule="exact"/>
        <w:ind w:firstLine="480" w:firstLineChars="200"/>
        <w:rPr>
          <w:rFonts w:ascii="宋体" w:hAnsi="宋体"/>
          <w:bCs/>
          <w:sz w:val="24"/>
        </w:rPr>
      </w:pPr>
      <w:r>
        <w:rPr>
          <w:rFonts w:hint="eastAsia" w:ascii="宋体" w:hAnsi="宋体"/>
          <w:bCs/>
          <w:sz w:val="24"/>
        </w:rPr>
        <w:t>我单位承诺遵守《中华人民共和国政府采购法》第二十二、七十七条之规定，若有违背，我公司（单位）愿意承担因“提供虚假材料谋取中标的”的一切法律后果，依法接受相应处罚。</w:t>
      </w:r>
    </w:p>
    <w:p>
      <w:pPr>
        <w:spacing w:line="400" w:lineRule="exact"/>
        <w:ind w:firstLine="480" w:firstLineChars="200"/>
        <w:rPr>
          <w:rFonts w:ascii="宋体" w:hAnsi="宋体"/>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Theme="minorEastAsia" w:hAnsiTheme="minorEastAsia" w:eastAsiaTheme="minorEastAsia"/>
          <w:b/>
          <w:bCs/>
        </w:rPr>
      </w:pPr>
      <w:r>
        <w:rPr>
          <w:rFonts w:hint="eastAsia" w:asciiTheme="minorEastAsia" w:hAnsiTheme="minorEastAsia" w:eastAsiaTheme="minorEastAsia"/>
          <w:b/>
          <w:bCs/>
        </w:rPr>
        <w:t>说明：</w:t>
      </w:r>
    </w:p>
    <w:p>
      <w:pPr>
        <w:ind w:firstLine="422" w:firstLineChars="200"/>
        <w:rPr>
          <w:rFonts w:asciiTheme="minorEastAsia" w:hAnsiTheme="minorEastAsia" w:eastAsiaTheme="minorEastAsia"/>
          <w:b/>
          <w:bCs/>
        </w:rPr>
      </w:pPr>
      <w:r>
        <w:rPr>
          <w:rFonts w:hint="eastAsia" w:asciiTheme="minorEastAsia" w:hAnsiTheme="minorEastAsia" w:eastAsiaTheme="minorEastAsia"/>
          <w:b/>
          <w:bCs/>
        </w:rPr>
        <w:t>1.无此表或对此表作实质性修改，投标无效。</w:t>
      </w:r>
    </w:p>
    <w:p>
      <w:pPr>
        <w:ind w:firstLine="422" w:firstLineChars="200"/>
        <w:rPr>
          <w:rFonts w:asciiTheme="minorEastAsia" w:hAnsiTheme="minorEastAsia" w:eastAsiaTheme="minorEastAsia"/>
          <w:b/>
          <w:bCs/>
        </w:rPr>
      </w:pPr>
      <w:r>
        <w:rPr>
          <w:rFonts w:hint="eastAsia" w:asciiTheme="minorEastAsia" w:hAnsiTheme="minorEastAsia" w:eastAsiaTheme="minorEastAsia"/>
          <w:b/>
          <w:bCs/>
        </w:rPr>
        <w:t>2.投标人须对此表中内容作出承诺，否则投标无效。</w:t>
      </w:r>
    </w:p>
    <w:p>
      <w:pPr>
        <w:ind w:firstLine="422" w:firstLineChars="200"/>
        <w:rPr>
          <w:rFonts w:asciiTheme="minorEastAsia" w:hAnsiTheme="minorEastAsia" w:eastAsiaTheme="minorEastAsia"/>
          <w:b/>
          <w:bCs/>
        </w:rPr>
      </w:pPr>
      <w:r>
        <w:rPr>
          <w:rFonts w:hint="eastAsia" w:asciiTheme="minorEastAsia" w:hAnsiTheme="minorEastAsia" w:eastAsiaTheme="minorEastAsia"/>
          <w:b/>
          <w:bCs/>
        </w:rPr>
        <w:t>3.采购人保留核查以上承诺事项真实性的权利。</w:t>
      </w:r>
    </w:p>
    <w:sectPr>
      <w:headerReference r:id="rId7" w:type="default"/>
      <w:footerReference r:id="rId8"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方正楷体简体">
    <w:panose1 w:val="02000000000000000000"/>
    <w:charset w:val="86"/>
    <w:family w:val="script"/>
    <w:pitch w:val="default"/>
    <w:sig w:usb0="A00002BF" w:usb1="184F6CFA" w:usb2="00000012" w:usb3="00000000" w:csb0="00040001" w:csb1="00000000"/>
  </w:font>
  <w:font w:name="金梅簡體中黑字形">
    <w:altName w:val="黑体"/>
    <w:panose1 w:val="00000000000000000000"/>
    <w:charset w:val="88"/>
    <w:family w:val="modern"/>
    <w:pitch w:val="default"/>
    <w:sig w:usb0="00000000" w:usb1="00000000" w:usb2="00000010" w:usb3="00000000" w:csb0="00100000" w:csb1="00000000"/>
  </w:font>
  <w:font w:name="DFKai-SB">
    <w:altName w:val="Microsoft JhengHei Light"/>
    <w:panose1 w:val="03000509000000000000"/>
    <w:charset w:val="88"/>
    <w:family w:val="script"/>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0008009F" w:csb1="0000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8000012" w:usb3="00000000" w:csb0="4002009F" w:csb1="DFD70000"/>
  </w:font>
  <w:font w:name="华文宋体">
    <w:panose1 w:val="02010600040101010101"/>
    <w:charset w:val="86"/>
    <w:family w:val="auto"/>
    <w:pitch w:val="default"/>
    <w:sig w:usb0="00000287" w:usb1="080F0000" w:usb2="00000000" w:usb3="00000000" w:csb0="0004009F" w:csb1="DFD70000"/>
  </w:font>
  <w:font w:name="方正楷体_GB2312">
    <w:panose1 w:val="02000000000000000000"/>
    <w:charset w:val="86"/>
    <w:family w:val="roman"/>
    <w:pitch w:val="default"/>
    <w:sig w:usb0="A00002BF" w:usb1="184F6CFA" w:usb2="00000012"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NeueLT Std Cn">
    <w:altName w:val="新宋体"/>
    <w:panose1 w:val="00000000000000000000"/>
    <w:charset w:val="86"/>
    <w:family w:val="swiss"/>
    <w:pitch w:val="default"/>
    <w:sig w:usb0="00000000" w:usb1="00000000" w:usb2="00000010" w:usb3="00000000" w:csb0="00040001" w:csb1="00000000"/>
  </w:font>
  <w:font w:name="EU-F1">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MingLiU">
    <w:altName w:val="PMingLiU-ExtB"/>
    <w:panose1 w:val="02020509000000000000"/>
    <w:charset w:val="88"/>
    <w:family w:val="modern"/>
    <w:pitch w:val="default"/>
    <w:sig w:usb0="00000000" w:usb1="00000000"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CG Times">
    <w:altName w:val="Segoe Print"/>
    <w:panose1 w:val="00000000000000000000"/>
    <w:charset w:val="00"/>
    <w:family w:val="roman"/>
    <w:pitch w:val="default"/>
    <w:sig w:usb0="00000000" w:usb1="00000000" w:usb2="00000000" w:usb3="00000000" w:csb0="00000001"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新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auto"/>
    <w:pitch w:val="default"/>
    <w:sig w:usb0="00000000" w:usb1="00000000" w:usb2="00000012" w:usb3="00000000" w:csb0="00040000" w:csb1="00000000"/>
  </w:font>
  <w:font w:name="FrutigerNext LT Regular">
    <w:altName w:val="Corbel"/>
    <w:panose1 w:val="00000000000000000000"/>
    <w:charset w:val="00"/>
    <w:family w:val="swiss"/>
    <w:pitch w:val="default"/>
    <w:sig w:usb0="00000000" w:usb1="00000000" w:usb2="00000000" w:usb3="00000000" w:csb0="00000111"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体">
    <w:altName w:val="宋体"/>
    <w:panose1 w:val="00000000000000000000"/>
    <w:charset w:val="86"/>
    <w:family w:val="auto"/>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Book Antiqua">
    <w:panose1 w:val="0204060205030503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sө">
    <w:altName w:val="Times New Roman"/>
    <w:panose1 w:val="00000000000000000000"/>
    <w:charset w:val="00"/>
    <w:family w:val="roman"/>
    <w:pitch w:val="default"/>
    <w:sig w:usb0="00000000" w:usb1="00000000" w:usb2="00000000" w:usb3="00000000" w:csb0="00040001" w:csb1="00000000"/>
  </w:font>
  <w:font w:name="Univers">
    <w:altName w:val="Segoe Print"/>
    <w:panose1 w:val="00000000000000000000"/>
    <w:charset w:val="00"/>
    <w:family w:val="swiss"/>
    <w:pitch w:val="default"/>
    <w:sig w:usb0="00000000" w:usb1="00000000" w:usb2="00000000" w:usb3="00000000" w:csb0="0000000F" w:csb1="00000000"/>
  </w:font>
  <w:font w:name="Franklin Gothic Demi Cond">
    <w:panose1 w:val="020B0706030402020204"/>
    <w:charset w:val="00"/>
    <w:family w:val="swiss"/>
    <w:pitch w:val="default"/>
    <w:sig w:usb0="00000287" w:usb1="00000000" w:usb2="00000000" w:usb3="00000000" w:csb0="2000009F" w:csb1="DFD7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Segoe Print"/>
    <w:panose1 w:val="00000000000000000000"/>
    <w:charset w:val="00"/>
    <w:family w:val="auto"/>
    <w:pitch w:val="default"/>
    <w:sig w:usb0="00000000" w:usb1="00000000" w:usb2="00000000" w:usb3="00000000" w:csb0="0000001B" w:csb1="00000000"/>
  </w:font>
  <w:font w:name="DFPHei Std W7">
    <w:altName w:val="新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创艺简楷体">
    <w:altName w:val="宋体"/>
    <w:panose1 w:val="00000000000000000000"/>
    <w:charset w:val="86"/>
    <w:family w:val="auto"/>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幼圆">
    <w:panose1 w:val="02010509060101010101"/>
    <w:charset w:val="86"/>
    <w:family w:val="modern"/>
    <w:pitch w:val="default"/>
    <w:sig w:usb0="00000001" w:usb1="080E0000" w:usb2="00000000" w:usb3="00000000" w:csb0="00040000" w:csb1="00000000"/>
  </w:font>
  <w:font w:name="文新字海-粗楷">
    <w:altName w:val="宋体"/>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方正仿宋_GB2312">
    <w:panose1 w:val="02000000000000000000"/>
    <w:charset w:val="86"/>
    <w:family w:val="script"/>
    <w:pitch w:val="default"/>
    <w:sig w:usb0="A00002BF" w:usb1="184F6CFA" w:usb2="00000012" w:usb3="00000000" w:csb0="00040001"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Arial"/>
    <w:panose1 w:val="00000000000000000000"/>
    <w:charset w:val="00"/>
    <w:family w:val="swiss"/>
    <w:pitch w:val="default"/>
    <w:sig w:usb0="00000000" w:usb1="00000000" w:usb2="00000000" w:usb3="00000000" w:csb0="00000001" w:csb1="00000000"/>
  </w:font>
  <w:font w:name="Britannic Bold">
    <w:panose1 w:val="020B0903060703020204"/>
    <w:charset w:val="00"/>
    <w:family w:val="swiss"/>
    <w:pitch w:val="default"/>
    <w:sig w:usb0="00000003" w:usb1="00000000" w:usb2="00000000" w:usb3="00000000" w:csb0="20000001" w:csb1="00000000"/>
  </w:font>
  <w:font w:name="DFLiHeiBold(P)">
    <w:altName w:val="MingLiU-ExtB"/>
    <w:panose1 w:val="00000000000000000000"/>
    <w:charset w:val="88"/>
    <w:family w:val="swiss"/>
    <w:pitch w:val="default"/>
    <w:sig w:usb0="00000000" w:usb1="00000000" w:usb2="00000016" w:usb3="00000000" w:csb0="00100000" w:csb1="00000000"/>
  </w:font>
  <w:font w:name="Century Gothic">
    <w:panose1 w:val="020B0502020202020204"/>
    <w:charset w:val="00"/>
    <w:family w:val="swiss"/>
    <w:pitch w:val="default"/>
    <w:sig w:usb0="00000287" w:usb1="00000000" w:usb2="00000000" w:usb3="00000000" w:csb0="2000009F" w:csb1="DFD70000"/>
  </w:font>
  <w:font w:name="MS Mincho">
    <w:panose1 w:val="02020609040205080304"/>
    <w:charset w:val="80"/>
    <w:family w:val="modern"/>
    <w:pitch w:val="default"/>
    <w:sig w:usb0="A00002BF" w:usb1="68C7FCFB" w:usb2="00000010" w:usb3="00000000" w:csb0="4002009F" w:csb1="DFD70000"/>
  </w:font>
  <w:font w:name="Palatino Linotype">
    <w:panose1 w:val="02040502050505030304"/>
    <w:charset w:val="00"/>
    <w:family w:val="roman"/>
    <w:pitch w:val="default"/>
    <w:sig w:usb0="E0000287" w:usb1="40000013" w:usb2="00000000" w:usb3="00000000" w:csb0="2000019F" w:csb1="00000000"/>
  </w:font>
  <w:font w:name="H Yb 1gj">
    <w:altName w:val="Arial Unicode MS"/>
    <w:panose1 w:val="00000000000000000000"/>
    <w:charset w:val="88"/>
    <w:family w:val="swiss"/>
    <w:pitch w:val="default"/>
    <w:sig w:usb0="00000000" w:usb1="00000000" w:usb2="00000010" w:usb3="00000000" w:csb0="00140000" w:csb1="00000000"/>
  </w:font>
  <w:font w:name="Sim Sun">
    <w:altName w:val="黑体"/>
    <w:panose1 w:val="00000000000000000000"/>
    <w:charset w:val="86"/>
    <w:family w:val="auto"/>
    <w:pitch w:val="default"/>
    <w:sig w:usb0="00000000" w:usb1="00000000" w:usb2="00000010" w:usb3="00000000" w:csb0="00040000" w:csb1="00000000"/>
  </w:font>
  <w:font w:name="華康粗黑體">
    <w:altName w:val="Microsoft JhengHei"/>
    <w:panose1 w:val="00000000000000000000"/>
    <w:charset w:val="88"/>
    <w:family w:val="modern"/>
    <w:pitch w:val="default"/>
    <w:sig w:usb0="00000000" w:usb1="00000000" w:usb2="00000010" w:usb3="00000000" w:csb0="00100000" w:csb1="00000000"/>
  </w:font>
  <w:font w:name="全真簡粗明">
    <w:altName w:val="MingLiU-ExtB"/>
    <w:panose1 w:val="00000000000000000000"/>
    <w:charset w:val="88"/>
    <w:family w:val="modern"/>
    <w:pitch w:val="default"/>
    <w:sig w:usb0="00000000" w:usb1="00000000" w:usb2="00000010" w:usb3="00000000" w:csb0="00100000" w:csb1="00000000"/>
  </w:font>
  <w:font w:name="2OcuAe">
    <w:altName w:val="MingLiU-ExtB"/>
    <w:panose1 w:val="00000000000000000000"/>
    <w:charset w:val="88"/>
    <w:family w:val="modern"/>
    <w:pitch w:val="default"/>
    <w:sig w:usb0="00000000" w:usb1="00000000" w:usb2="00000010" w:usb3="00000000" w:csb0="00100000" w:csb1="00000000"/>
  </w:font>
  <w:font w:name="FZZhongDengXian-Z07S">
    <w:altName w:val="黑体"/>
    <w:panose1 w:val="00000000000000000000"/>
    <w:charset w:val="86"/>
    <w:family w:val="script"/>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utura-Book">
    <w:altName w:val="Arial"/>
    <w:panose1 w:val="00000000000000000000"/>
    <w:charset w:val="00"/>
    <w:family w:val="swiss"/>
    <w:pitch w:val="default"/>
    <w:sig w:usb0="00000000" w:usb1="00000000" w:usb2="00000000" w:usb3="00000000" w:csb0="00000001" w:csb1="00000000"/>
  </w:font>
  <w:font w:name="Cordia New">
    <w:altName w:val="Yu Gothic UI Light"/>
    <w:panose1 w:val="020B0304020202020204"/>
    <w:charset w:val="00"/>
    <w:family w:val="swiss"/>
    <w:pitch w:val="default"/>
    <w:sig w:usb0="00000000" w:usb1="00000000" w:usb2="00000000" w:usb3="00000000" w:csb0="00010001" w:csb1="00000000"/>
  </w:font>
  <w:font w:name="Nokia Sans">
    <w:altName w:val="Tahoma"/>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FuturaA Md BT">
    <w:altName w:val="Times New Roman"/>
    <w:panose1 w:val="00000000000000000000"/>
    <w:charset w:val="00"/>
    <w:family w:val="roman"/>
    <w:pitch w:val="default"/>
    <w:sig w:usb0="00000000" w:usb1="00000000" w:usb2="00000000" w:usb3="00000000" w:csb0="00000001" w:csb1="00000000"/>
  </w:font>
  <w:font w:name="Invensys Nimrod">
    <w:altName w:val="Georgia"/>
    <w:panose1 w:val="00000000000000000000"/>
    <w:charset w:val="00"/>
    <w:family w:val="roman"/>
    <w:pitch w:val="default"/>
    <w:sig w:usb0="00000000" w:usb1="00000000" w:usb2="00000000" w:usb3="00000000" w:csb0="0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Corbel"/>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Times New Roman"/>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全真中明體">
    <w:altName w:val="MingLiU-ExtB"/>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等线 Light">
    <w:panose1 w:val="02010600030101010101"/>
    <w:charset w:val="86"/>
    <w:family w:val="auto"/>
    <w:pitch w:val="default"/>
    <w:sig w:usb0="A00002BF" w:usb1="38CF7CFA" w:usb2="00000016" w:usb3="00000000" w:csb0="0004000F" w:csb1="00000000"/>
  </w:font>
  <w:font w:name="Palatino">
    <w:altName w:val="Palatino Linotype"/>
    <w:panose1 w:val="00000000000000000000"/>
    <w:charset w:val="00"/>
    <w:family w:val="roman"/>
    <w:pitch w:val="default"/>
    <w:sig w:usb0="00000000" w:usb1="00000000" w:usb2="00000000" w:usb3="00000000" w:csb0="00000093" w:csb1="00000000"/>
  </w:font>
  <w:font w:name="Helvetica Neue">
    <w:altName w:val="Arial"/>
    <w:panose1 w:val="00000000000000000000"/>
    <w:charset w:val="00"/>
    <w:family w:val="roman"/>
    <w:pitch w:val="default"/>
    <w:sig w:usb0="00000000" w:usb1="00000000" w:usb2="00000000" w:usb3="00000000" w:csb0="00040001" w:csb1="00000000"/>
  </w:font>
  <w:font w:name="Gill Sans">
    <w:altName w:val="Segoe Print"/>
    <w:panose1 w:val="00000000000000000000"/>
    <w:charset w:val="00"/>
    <w:family w:val="swiss"/>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 w:name="MingLiU-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2A7" w:usb1="28CF4400" w:usb2="00000016" w:usb3="00000000" w:csb0="00100009" w:csb1="00000000"/>
  </w:font>
  <w:font w:name="Yu Gothic UI Light">
    <w:panose1 w:val="020B0300000000000000"/>
    <w:charset w:val="80"/>
    <w:family w:val="auto"/>
    <w:pitch w:val="default"/>
    <w:sig w:usb0="E00002FF" w:usb1="2AC7FDFF" w:usb2="00000016" w:usb3="00000000" w:csb0="2002009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- 4 -</w:t>
    </w:r>
    <w:r>
      <w:fldChar w:fldCharType="end"/>
    </w:r>
  </w:p>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1</w:t>
    </w:r>
    <w:r>
      <w:fldChar w:fldCharType="end"/>
    </w:r>
  </w:p>
  <w:p>
    <w:pPr>
      <w:pStyle w:val="5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3"/>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ascii="黑体" w:hAnsi="黑体" w:eastAsia="黑体"/>
        <w:sz w:val="16"/>
        <w:szCs w:val="18"/>
      </w:rPr>
    </w:pPr>
    <w:r>
      <w:rPr>
        <w:rFonts w:ascii="黑体" w:hAnsi="黑体" w:eastAsia="黑体"/>
        <w:bCs/>
        <w:sz w:val="16"/>
        <w:szCs w:val="18"/>
      </w:rPr>
      <w:t>JYSP2023Z001</w:t>
    </w:r>
    <w:r>
      <w:rPr>
        <w:rFonts w:hint="eastAsia" w:ascii="黑体" w:hAnsi="黑体" w:eastAsia="黑体"/>
        <w:bCs/>
        <w:sz w:val="16"/>
        <w:szCs w:val="18"/>
      </w:rPr>
      <w:t xml:space="preserve"> 2024年度试剂、耗材供应商遴选项目                                               </w:t>
    </w:r>
    <w:r>
      <w:rPr>
        <w:rFonts w:hint="eastAsia" w:ascii="宋体" w:hAnsi="宋体" w:cs="宋体"/>
        <w:sz w:val="16"/>
        <w:szCs w:val="18"/>
      </w:rPr>
      <w:t>江阴市食品安全检测中心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NWJlM2YyZWY2Y2Y5MTJlYTVlOWJkNmY3OGFmYzEifQ=="/>
  </w:docVars>
  <w:rsids>
    <w:rsidRoot w:val="00172A27"/>
    <w:rsid w:val="00000EFF"/>
    <w:rsid w:val="00001569"/>
    <w:rsid w:val="0000166C"/>
    <w:rsid w:val="0000183A"/>
    <w:rsid w:val="00001EE0"/>
    <w:rsid w:val="00002003"/>
    <w:rsid w:val="000024AF"/>
    <w:rsid w:val="000028A8"/>
    <w:rsid w:val="00002D2F"/>
    <w:rsid w:val="00003044"/>
    <w:rsid w:val="0000316B"/>
    <w:rsid w:val="000032BA"/>
    <w:rsid w:val="0000364D"/>
    <w:rsid w:val="000037BD"/>
    <w:rsid w:val="000038EC"/>
    <w:rsid w:val="00003C5D"/>
    <w:rsid w:val="00004154"/>
    <w:rsid w:val="00004465"/>
    <w:rsid w:val="00004711"/>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3C95"/>
    <w:rsid w:val="00013D63"/>
    <w:rsid w:val="000144D8"/>
    <w:rsid w:val="00014B79"/>
    <w:rsid w:val="00015129"/>
    <w:rsid w:val="00015ACF"/>
    <w:rsid w:val="00015AE6"/>
    <w:rsid w:val="00016B22"/>
    <w:rsid w:val="00016D4F"/>
    <w:rsid w:val="00017014"/>
    <w:rsid w:val="0002035A"/>
    <w:rsid w:val="00020CB7"/>
    <w:rsid w:val="000212F3"/>
    <w:rsid w:val="0002182D"/>
    <w:rsid w:val="00021E57"/>
    <w:rsid w:val="0002282D"/>
    <w:rsid w:val="00022DFE"/>
    <w:rsid w:val="0002312B"/>
    <w:rsid w:val="000234DE"/>
    <w:rsid w:val="00023AB5"/>
    <w:rsid w:val="000246A8"/>
    <w:rsid w:val="0002509E"/>
    <w:rsid w:val="00025257"/>
    <w:rsid w:val="000259FE"/>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56F9"/>
    <w:rsid w:val="0003708D"/>
    <w:rsid w:val="000370F5"/>
    <w:rsid w:val="00037FAA"/>
    <w:rsid w:val="000404EA"/>
    <w:rsid w:val="00040C86"/>
    <w:rsid w:val="00040CB1"/>
    <w:rsid w:val="00040EAD"/>
    <w:rsid w:val="00041810"/>
    <w:rsid w:val="000418FA"/>
    <w:rsid w:val="000420CE"/>
    <w:rsid w:val="0004241C"/>
    <w:rsid w:val="00042E2C"/>
    <w:rsid w:val="000438B0"/>
    <w:rsid w:val="00043A9C"/>
    <w:rsid w:val="00044417"/>
    <w:rsid w:val="000444FF"/>
    <w:rsid w:val="0004461E"/>
    <w:rsid w:val="00044EA4"/>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56E0"/>
    <w:rsid w:val="000561D3"/>
    <w:rsid w:val="000567E8"/>
    <w:rsid w:val="00056A9A"/>
    <w:rsid w:val="0005700A"/>
    <w:rsid w:val="00057218"/>
    <w:rsid w:val="0005748F"/>
    <w:rsid w:val="000607F8"/>
    <w:rsid w:val="00061318"/>
    <w:rsid w:val="0006174E"/>
    <w:rsid w:val="00061841"/>
    <w:rsid w:val="00061BBE"/>
    <w:rsid w:val="00061E16"/>
    <w:rsid w:val="00062690"/>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83A"/>
    <w:rsid w:val="00074A8B"/>
    <w:rsid w:val="0007592E"/>
    <w:rsid w:val="00075EEE"/>
    <w:rsid w:val="00076EC0"/>
    <w:rsid w:val="000772A5"/>
    <w:rsid w:val="000777FB"/>
    <w:rsid w:val="00077AE3"/>
    <w:rsid w:val="00077B92"/>
    <w:rsid w:val="00077F45"/>
    <w:rsid w:val="000811F0"/>
    <w:rsid w:val="00081862"/>
    <w:rsid w:val="0008359E"/>
    <w:rsid w:val="00083CAB"/>
    <w:rsid w:val="0008455E"/>
    <w:rsid w:val="00084861"/>
    <w:rsid w:val="000862B3"/>
    <w:rsid w:val="0008712E"/>
    <w:rsid w:val="000872CD"/>
    <w:rsid w:val="000873DE"/>
    <w:rsid w:val="00087A2D"/>
    <w:rsid w:val="00090855"/>
    <w:rsid w:val="00090C7A"/>
    <w:rsid w:val="00090ECA"/>
    <w:rsid w:val="00091307"/>
    <w:rsid w:val="00091A8B"/>
    <w:rsid w:val="00092622"/>
    <w:rsid w:val="00093CB2"/>
    <w:rsid w:val="00093F47"/>
    <w:rsid w:val="00094580"/>
    <w:rsid w:val="00094F36"/>
    <w:rsid w:val="0009599A"/>
    <w:rsid w:val="00096502"/>
    <w:rsid w:val="000966D7"/>
    <w:rsid w:val="00096882"/>
    <w:rsid w:val="00097728"/>
    <w:rsid w:val="0009784F"/>
    <w:rsid w:val="000A03B3"/>
    <w:rsid w:val="000A0593"/>
    <w:rsid w:val="000A081F"/>
    <w:rsid w:val="000A083D"/>
    <w:rsid w:val="000A2065"/>
    <w:rsid w:val="000A27E2"/>
    <w:rsid w:val="000A3185"/>
    <w:rsid w:val="000A329B"/>
    <w:rsid w:val="000A35BD"/>
    <w:rsid w:val="000A3777"/>
    <w:rsid w:val="000A3BFA"/>
    <w:rsid w:val="000A3CA3"/>
    <w:rsid w:val="000A3CCA"/>
    <w:rsid w:val="000A3FDB"/>
    <w:rsid w:val="000A41A6"/>
    <w:rsid w:val="000A6204"/>
    <w:rsid w:val="000A62D1"/>
    <w:rsid w:val="000A684C"/>
    <w:rsid w:val="000A6E31"/>
    <w:rsid w:val="000A791D"/>
    <w:rsid w:val="000B1513"/>
    <w:rsid w:val="000B1D3C"/>
    <w:rsid w:val="000B288E"/>
    <w:rsid w:val="000B2F51"/>
    <w:rsid w:val="000B36EE"/>
    <w:rsid w:val="000B38BD"/>
    <w:rsid w:val="000B3C1C"/>
    <w:rsid w:val="000B48EF"/>
    <w:rsid w:val="000B4B2C"/>
    <w:rsid w:val="000B568A"/>
    <w:rsid w:val="000B5724"/>
    <w:rsid w:val="000B597D"/>
    <w:rsid w:val="000B5AF6"/>
    <w:rsid w:val="000B60AD"/>
    <w:rsid w:val="000B74AF"/>
    <w:rsid w:val="000B75B1"/>
    <w:rsid w:val="000B7A08"/>
    <w:rsid w:val="000B7B3D"/>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65E7"/>
    <w:rsid w:val="000C76D4"/>
    <w:rsid w:val="000C77A5"/>
    <w:rsid w:val="000D0144"/>
    <w:rsid w:val="000D01B7"/>
    <w:rsid w:val="000D17D1"/>
    <w:rsid w:val="000D1BB5"/>
    <w:rsid w:val="000D1E72"/>
    <w:rsid w:val="000D307B"/>
    <w:rsid w:val="000D327B"/>
    <w:rsid w:val="000D34A7"/>
    <w:rsid w:val="000D35FC"/>
    <w:rsid w:val="000D41DA"/>
    <w:rsid w:val="000D433B"/>
    <w:rsid w:val="000D46E4"/>
    <w:rsid w:val="000D5739"/>
    <w:rsid w:val="000D5A06"/>
    <w:rsid w:val="000D6871"/>
    <w:rsid w:val="000D6DDE"/>
    <w:rsid w:val="000D727A"/>
    <w:rsid w:val="000E082E"/>
    <w:rsid w:val="000E0AD0"/>
    <w:rsid w:val="000E1303"/>
    <w:rsid w:val="000E19DE"/>
    <w:rsid w:val="000E1E77"/>
    <w:rsid w:val="000E21BB"/>
    <w:rsid w:val="000E2477"/>
    <w:rsid w:val="000E2C2B"/>
    <w:rsid w:val="000E385E"/>
    <w:rsid w:val="000E3A7B"/>
    <w:rsid w:val="000E43D9"/>
    <w:rsid w:val="000E44F1"/>
    <w:rsid w:val="000E4BE1"/>
    <w:rsid w:val="000E55C0"/>
    <w:rsid w:val="000E5774"/>
    <w:rsid w:val="000E5AA9"/>
    <w:rsid w:val="000E65F3"/>
    <w:rsid w:val="000E7369"/>
    <w:rsid w:val="000E7626"/>
    <w:rsid w:val="000F0D50"/>
    <w:rsid w:val="000F17D6"/>
    <w:rsid w:val="000F1CC6"/>
    <w:rsid w:val="000F2237"/>
    <w:rsid w:val="000F275F"/>
    <w:rsid w:val="000F2C44"/>
    <w:rsid w:val="000F3F2E"/>
    <w:rsid w:val="000F46C4"/>
    <w:rsid w:val="000F5144"/>
    <w:rsid w:val="000F538C"/>
    <w:rsid w:val="000F598E"/>
    <w:rsid w:val="000F59DC"/>
    <w:rsid w:val="000F5CA6"/>
    <w:rsid w:val="000F5E82"/>
    <w:rsid w:val="000F61F3"/>
    <w:rsid w:val="000F662C"/>
    <w:rsid w:val="000F6879"/>
    <w:rsid w:val="000F6FEB"/>
    <w:rsid w:val="000F71C9"/>
    <w:rsid w:val="000F7570"/>
    <w:rsid w:val="000F79D0"/>
    <w:rsid w:val="000F7DD0"/>
    <w:rsid w:val="00100B9D"/>
    <w:rsid w:val="001014BA"/>
    <w:rsid w:val="00101A57"/>
    <w:rsid w:val="00101AB9"/>
    <w:rsid w:val="00102D63"/>
    <w:rsid w:val="00102DDF"/>
    <w:rsid w:val="00103FF7"/>
    <w:rsid w:val="001044A5"/>
    <w:rsid w:val="00104B1B"/>
    <w:rsid w:val="00104D94"/>
    <w:rsid w:val="001052EC"/>
    <w:rsid w:val="00105373"/>
    <w:rsid w:val="001054EA"/>
    <w:rsid w:val="00105B8F"/>
    <w:rsid w:val="00105F04"/>
    <w:rsid w:val="001071B2"/>
    <w:rsid w:val="001074C0"/>
    <w:rsid w:val="001078C7"/>
    <w:rsid w:val="001102B1"/>
    <w:rsid w:val="00110954"/>
    <w:rsid w:val="00110B1C"/>
    <w:rsid w:val="00110E63"/>
    <w:rsid w:val="00111341"/>
    <w:rsid w:val="00111753"/>
    <w:rsid w:val="0011208E"/>
    <w:rsid w:val="001130EC"/>
    <w:rsid w:val="00113670"/>
    <w:rsid w:val="00113C06"/>
    <w:rsid w:val="00113F3D"/>
    <w:rsid w:val="001148D3"/>
    <w:rsid w:val="00114E59"/>
    <w:rsid w:val="001162E1"/>
    <w:rsid w:val="00116978"/>
    <w:rsid w:val="00116A47"/>
    <w:rsid w:val="00116A52"/>
    <w:rsid w:val="00116C1D"/>
    <w:rsid w:val="001170ED"/>
    <w:rsid w:val="0011743E"/>
    <w:rsid w:val="00117C7B"/>
    <w:rsid w:val="0012215A"/>
    <w:rsid w:val="001224FA"/>
    <w:rsid w:val="0012287A"/>
    <w:rsid w:val="00122A6D"/>
    <w:rsid w:val="00124585"/>
    <w:rsid w:val="001251B2"/>
    <w:rsid w:val="0012526A"/>
    <w:rsid w:val="00125D39"/>
    <w:rsid w:val="00126B78"/>
    <w:rsid w:val="00126D5C"/>
    <w:rsid w:val="001274AF"/>
    <w:rsid w:val="00127522"/>
    <w:rsid w:val="00127BC5"/>
    <w:rsid w:val="00130289"/>
    <w:rsid w:val="00130AEA"/>
    <w:rsid w:val="001311B9"/>
    <w:rsid w:val="0013170A"/>
    <w:rsid w:val="0013221C"/>
    <w:rsid w:val="00132520"/>
    <w:rsid w:val="0013291C"/>
    <w:rsid w:val="001333F6"/>
    <w:rsid w:val="001336AB"/>
    <w:rsid w:val="00134292"/>
    <w:rsid w:val="001347BF"/>
    <w:rsid w:val="00134A8D"/>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1E0E"/>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358B"/>
    <w:rsid w:val="001541A2"/>
    <w:rsid w:val="001547E1"/>
    <w:rsid w:val="0015547A"/>
    <w:rsid w:val="00156DC4"/>
    <w:rsid w:val="001576AF"/>
    <w:rsid w:val="0016064F"/>
    <w:rsid w:val="00160681"/>
    <w:rsid w:val="00160FFD"/>
    <w:rsid w:val="00162B92"/>
    <w:rsid w:val="00163141"/>
    <w:rsid w:val="00163742"/>
    <w:rsid w:val="0016425D"/>
    <w:rsid w:val="001643E6"/>
    <w:rsid w:val="0016581B"/>
    <w:rsid w:val="00166247"/>
    <w:rsid w:val="001670CF"/>
    <w:rsid w:val="0017065B"/>
    <w:rsid w:val="00170E6E"/>
    <w:rsid w:val="0017173B"/>
    <w:rsid w:val="00172A27"/>
    <w:rsid w:val="00172B81"/>
    <w:rsid w:val="00172B91"/>
    <w:rsid w:val="00173B9C"/>
    <w:rsid w:val="0017464F"/>
    <w:rsid w:val="00175D1A"/>
    <w:rsid w:val="001768A7"/>
    <w:rsid w:val="00176E14"/>
    <w:rsid w:val="001800C3"/>
    <w:rsid w:val="00180181"/>
    <w:rsid w:val="00180C17"/>
    <w:rsid w:val="00180CDA"/>
    <w:rsid w:val="00180D86"/>
    <w:rsid w:val="00180F57"/>
    <w:rsid w:val="0018102D"/>
    <w:rsid w:val="00181B14"/>
    <w:rsid w:val="00181FD1"/>
    <w:rsid w:val="00182926"/>
    <w:rsid w:val="00182947"/>
    <w:rsid w:val="00182C81"/>
    <w:rsid w:val="00182CC4"/>
    <w:rsid w:val="0018307C"/>
    <w:rsid w:val="00183922"/>
    <w:rsid w:val="00183DC6"/>
    <w:rsid w:val="00184235"/>
    <w:rsid w:val="00184418"/>
    <w:rsid w:val="001848EA"/>
    <w:rsid w:val="0018673E"/>
    <w:rsid w:val="0018682C"/>
    <w:rsid w:val="00186EDC"/>
    <w:rsid w:val="0018717F"/>
    <w:rsid w:val="001874C0"/>
    <w:rsid w:val="00187604"/>
    <w:rsid w:val="00187647"/>
    <w:rsid w:val="0019066C"/>
    <w:rsid w:val="00190736"/>
    <w:rsid w:val="001912DB"/>
    <w:rsid w:val="001914CE"/>
    <w:rsid w:val="00191680"/>
    <w:rsid w:val="001923F7"/>
    <w:rsid w:val="0019241C"/>
    <w:rsid w:val="00192537"/>
    <w:rsid w:val="00192923"/>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B0A"/>
    <w:rsid w:val="001A1D29"/>
    <w:rsid w:val="001A2188"/>
    <w:rsid w:val="001A2634"/>
    <w:rsid w:val="001A2732"/>
    <w:rsid w:val="001A2A3B"/>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2C6"/>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25B6"/>
    <w:rsid w:val="001C3AE4"/>
    <w:rsid w:val="001C3C0F"/>
    <w:rsid w:val="001C3E5E"/>
    <w:rsid w:val="001C3F43"/>
    <w:rsid w:val="001C46E2"/>
    <w:rsid w:val="001C4F97"/>
    <w:rsid w:val="001C500A"/>
    <w:rsid w:val="001C54D5"/>
    <w:rsid w:val="001C715F"/>
    <w:rsid w:val="001C7710"/>
    <w:rsid w:val="001D071D"/>
    <w:rsid w:val="001D0980"/>
    <w:rsid w:val="001D2743"/>
    <w:rsid w:val="001D439A"/>
    <w:rsid w:val="001D5980"/>
    <w:rsid w:val="001D5E33"/>
    <w:rsid w:val="001E06FE"/>
    <w:rsid w:val="001E4F3E"/>
    <w:rsid w:val="001E587C"/>
    <w:rsid w:val="001E6F8C"/>
    <w:rsid w:val="001F0E10"/>
    <w:rsid w:val="001F1362"/>
    <w:rsid w:val="001F175E"/>
    <w:rsid w:val="001F23D2"/>
    <w:rsid w:val="001F272D"/>
    <w:rsid w:val="001F286C"/>
    <w:rsid w:val="001F3207"/>
    <w:rsid w:val="001F3792"/>
    <w:rsid w:val="001F4F1C"/>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B89"/>
    <w:rsid w:val="00206E81"/>
    <w:rsid w:val="0020734C"/>
    <w:rsid w:val="00207942"/>
    <w:rsid w:val="00207A1D"/>
    <w:rsid w:val="0021086F"/>
    <w:rsid w:val="00210EAA"/>
    <w:rsid w:val="00211064"/>
    <w:rsid w:val="00211E81"/>
    <w:rsid w:val="00212797"/>
    <w:rsid w:val="00212BBD"/>
    <w:rsid w:val="00212F22"/>
    <w:rsid w:val="00212F9C"/>
    <w:rsid w:val="00213249"/>
    <w:rsid w:val="0021371F"/>
    <w:rsid w:val="0021503B"/>
    <w:rsid w:val="00215104"/>
    <w:rsid w:val="002160FD"/>
    <w:rsid w:val="00216886"/>
    <w:rsid w:val="00216964"/>
    <w:rsid w:val="00216B40"/>
    <w:rsid w:val="00216BAF"/>
    <w:rsid w:val="002173DF"/>
    <w:rsid w:val="0022072E"/>
    <w:rsid w:val="00220C5B"/>
    <w:rsid w:val="00221298"/>
    <w:rsid w:val="00221B9E"/>
    <w:rsid w:val="00223094"/>
    <w:rsid w:val="00224CD3"/>
    <w:rsid w:val="00226802"/>
    <w:rsid w:val="0022730C"/>
    <w:rsid w:val="00227985"/>
    <w:rsid w:val="00227A59"/>
    <w:rsid w:val="00227C09"/>
    <w:rsid w:val="00227DC1"/>
    <w:rsid w:val="002303AF"/>
    <w:rsid w:val="00230CF3"/>
    <w:rsid w:val="002310DC"/>
    <w:rsid w:val="0023151E"/>
    <w:rsid w:val="002315E6"/>
    <w:rsid w:val="00231800"/>
    <w:rsid w:val="002320C3"/>
    <w:rsid w:val="002321EA"/>
    <w:rsid w:val="00232C01"/>
    <w:rsid w:val="002344BF"/>
    <w:rsid w:val="00235941"/>
    <w:rsid w:val="00235A79"/>
    <w:rsid w:val="00235D44"/>
    <w:rsid w:val="002361A3"/>
    <w:rsid w:val="002363B5"/>
    <w:rsid w:val="002373F0"/>
    <w:rsid w:val="00237AEF"/>
    <w:rsid w:val="00240F6E"/>
    <w:rsid w:val="00241CF4"/>
    <w:rsid w:val="00241D03"/>
    <w:rsid w:val="0024239F"/>
    <w:rsid w:val="002434D7"/>
    <w:rsid w:val="00243605"/>
    <w:rsid w:val="00243A69"/>
    <w:rsid w:val="00244446"/>
    <w:rsid w:val="00244C5F"/>
    <w:rsid w:val="00245203"/>
    <w:rsid w:val="0024520D"/>
    <w:rsid w:val="0024564D"/>
    <w:rsid w:val="00246A56"/>
    <w:rsid w:val="00246F51"/>
    <w:rsid w:val="0024708D"/>
    <w:rsid w:val="0024727E"/>
    <w:rsid w:val="00247576"/>
    <w:rsid w:val="002513F4"/>
    <w:rsid w:val="002514E5"/>
    <w:rsid w:val="00251EC8"/>
    <w:rsid w:val="00252149"/>
    <w:rsid w:val="00252328"/>
    <w:rsid w:val="002526CA"/>
    <w:rsid w:val="00252D0F"/>
    <w:rsid w:val="00253062"/>
    <w:rsid w:val="002532A1"/>
    <w:rsid w:val="00253870"/>
    <w:rsid w:val="00254265"/>
    <w:rsid w:val="00254502"/>
    <w:rsid w:val="00254842"/>
    <w:rsid w:val="0025486C"/>
    <w:rsid w:val="00254E1A"/>
    <w:rsid w:val="00255952"/>
    <w:rsid w:val="00256904"/>
    <w:rsid w:val="00256D6A"/>
    <w:rsid w:val="00256F5E"/>
    <w:rsid w:val="00257555"/>
    <w:rsid w:val="00260FCE"/>
    <w:rsid w:val="00261172"/>
    <w:rsid w:val="00261A38"/>
    <w:rsid w:val="00263788"/>
    <w:rsid w:val="00263F74"/>
    <w:rsid w:val="00264643"/>
    <w:rsid w:val="002646C1"/>
    <w:rsid w:val="00264830"/>
    <w:rsid w:val="00265284"/>
    <w:rsid w:val="0026677D"/>
    <w:rsid w:val="0027113B"/>
    <w:rsid w:val="00272A23"/>
    <w:rsid w:val="00272AFE"/>
    <w:rsid w:val="0027352C"/>
    <w:rsid w:val="002741BA"/>
    <w:rsid w:val="00274EE1"/>
    <w:rsid w:val="00274F50"/>
    <w:rsid w:val="0027585F"/>
    <w:rsid w:val="002759AA"/>
    <w:rsid w:val="00275DCB"/>
    <w:rsid w:val="00276234"/>
    <w:rsid w:val="00276487"/>
    <w:rsid w:val="002766FD"/>
    <w:rsid w:val="00276C6B"/>
    <w:rsid w:val="00276D88"/>
    <w:rsid w:val="00277417"/>
    <w:rsid w:val="00277B29"/>
    <w:rsid w:val="00280C3E"/>
    <w:rsid w:val="00280DF1"/>
    <w:rsid w:val="002819C2"/>
    <w:rsid w:val="00282501"/>
    <w:rsid w:val="00282C2B"/>
    <w:rsid w:val="00282E9D"/>
    <w:rsid w:val="00282F02"/>
    <w:rsid w:val="002833A9"/>
    <w:rsid w:val="00285A46"/>
    <w:rsid w:val="002864FE"/>
    <w:rsid w:val="00286858"/>
    <w:rsid w:val="0028769F"/>
    <w:rsid w:val="00287A4A"/>
    <w:rsid w:val="00290813"/>
    <w:rsid w:val="002908CD"/>
    <w:rsid w:val="00290E37"/>
    <w:rsid w:val="0029124E"/>
    <w:rsid w:val="0029135E"/>
    <w:rsid w:val="00291D76"/>
    <w:rsid w:val="00292E49"/>
    <w:rsid w:val="0029331D"/>
    <w:rsid w:val="002958DB"/>
    <w:rsid w:val="00295A18"/>
    <w:rsid w:val="00296108"/>
    <w:rsid w:val="00296C22"/>
    <w:rsid w:val="002972C7"/>
    <w:rsid w:val="00297DF5"/>
    <w:rsid w:val="002A09EE"/>
    <w:rsid w:val="002A0BB4"/>
    <w:rsid w:val="002A0F46"/>
    <w:rsid w:val="002A16C4"/>
    <w:rsid w:val="002A18AC"/>
    <w:rsid w:val="002A2A7B"/>
    <w:rsid w:val="002A32D5"/>
    <w:rsid w:val="002A3469"/>
    <w:rsid w:val="002A39B6"/>
    <w:rsid w:val="002A3D11"/>
    <w:rsid w:val="002A4187"/>
    <w:rsid w:val="002A49FA"/>
    <w:rsid w:val="002A5540"/>
    <w:rsid w:val="002A5597"/>
    <w:rsid w:val="002A59F8"/>
    <w:rsid w:val="002A5C7E"/>
    <w:rsid w:val="002A6E21"/>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58C4"/>
    <w:rsid w:val="002B687C"/>
    <w:rsid w:val="002B6C06"/>
    <w:rsid w:val="002C0C8C"/>
    <w:rsid w:val="002C11A0"/>
    <w:rsid w:val="002C1329"/>
    <w:rsid w:val="002C1950"/>
    <w:rsid w:val="002C1C44"/>
    <w:rsid w:val="002C1F9E"/>
    <w:rsid w:val="002C239C"/>
    <w:rsid w:val="002C3109"/>
    <w:rsid w:val="002C37DC"/>
    <w:rsid w:val="002C3924"/>
    <w:rsid w:val="002C3B5D"/>
    <w:rsid w:val="002C40BC"/>
    <w:rsid w:val="002C4B52"/>
    <w:rsid w:val="002C61AA"/>
    <w:rsid w:val="002C65EC"/>
    <w:rsid w:val="002C666A"/>
    <w:rsid w:val="002C693A"/>
    <w:rsid w:val="002C6B85"/>
    <w:rsid w:val="002C7080"/>
    <w:rsid w:val="002C71BF"/>
    <w:rsid w:val="002C7751"/>
    <w:rsid w:val="002C78CA"/>
    <w:rsid w:val="002D0592"/>
    <w:rsid w:val="002D092E"/>
    <w:rsid w:val="002D0B1C"/>
    <w:rsid w:val="002D1494"/>
    <w:rsid w:val="002D15F1"/>
    <w:rsid w:val="002D2F58"/>
    <w:rsid w:val="002D3177"/>
    <w:rsid w:val="002D3D23"/>
    <w:rsid w:val="002D44E3"/>
    <w:rsid w:val="002D4E42"/>
    <w:rsid w:val="002D4FE3"/>
    <w:rsid w:val="002D54DB"/>
    <w:rsid w:val="002D5F17"/>
    <w:rsid w:val="002D69E3"/>
    <w:rsid w:val="002D6A7C"/>
    <w:rsid w:val="002D7121"/>
    <w:rsid w:val="002D7A1F"/>
    <w:rsid w:val="002E01DD"/>
    <w:rsid w:val="002E0410"/>
    <w:rsid w:val="002E0BF3"/>
    <w:rsid w:val="002E140B"/>
    <w:rsid w:val="002E17E1"/>
    <w:rsid w:val="002E1E34"/>
    <w:rsid w:val="002E2284"/>
    <w:rsid w:val="002E5707"/>
    <w:rsid w:val="002E6516"/>
    <w:rsid w:val="002E66AA"/>
    <w:rsid w:val="002E67C9"/>
    <w:rsid w:val="002E6E14"/>
    <w:rsid w:val="002E7589"/>
    <w:rsid w:val="002E760B"/>
    <w:rsid w:val="002F0053"/>
    <w:rsid w:val="002F0CC3"/>
    <w:rsid w:val="002F1140"/>
    <w:rsid w:val="002F1736"/>
    <w:rsid w:val="002F1CE7"/>
    <w:rsid w:val="002F2D6E"/>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0DB"/>
    <w:rsid w:val="00306776"/>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1F2"/>
    <w:rsid w:val="0032733A"/>
    <w:rsid w:val="00327939"/>
    <w:rsid w:val="00330BBD"/>
    <w:rsid w:val="00330FC0"/>
    <w:rsid w:val="00331233"/>
    <w:rsid w:val="0033130A"/>
    <w:rsid w:val="003323DF"/>
    <w:rsid w:val="00332F46"/>
    <w:rsid w:val="00333249"/>
    <w:rsid w:val="00333839"/>
    <w:rsid w:val="00333B38"/>
    <w:rsid w:val="003342B5"/>
    <w:rsid w:val="003346D9"/>
    <w:rsid w:val="00334CD1"/>
    <w:rsid w:val="00335A4A"/>
    <w:rsid w:val="003377B3"/>
    <w:rsid w:val="0033796A"/>
    <w:rsid w:val="00337E85"/>
    <w:rsid w:val="00340462"/>
    <w:rsid w:val="003407C2"/>
    <w:rsid w:val="00340D9B"/>
    <w:rsid w:val="00341F91"/>
    <w:rsid w:val="003421EA"/>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1867"/>
    <w:rsid w:val="0035198D"/>
    <w:rsid w:val="00351C22"/>
    <w:rsid w:val="00351EF4"/>
    <w:rsid w:val="00351FC4"/>
    <w:rsid w:val="0035273F"/>
    <w:rsid w:val="00353290"/>
    <w:rsid w:val="003544E7"/>
    <w:rsid w:val="00354821"/>
    <w:rsid w:val="00354F75"/>
    <w:rsid w:val="0035530E"/>
    <w:rsid w:val="00355A30"/>
    <w:rsid w:val="00355BB9"/>
    <w:rsid w:val="00355E8F"/>
    <w:rsid w:val="0035611B"/>
    <w:rsid w:val="003569B0"/>
    <w:rsid w:val="00356D5C"/>
    <w:rsid w:val="0035717C"/>
    <w:rsid w:val="003575AE"/>
    <w:rsid w:val="00357AB7"/>
    <w:rsid w:val="00357ED4"/>
    <w:rsid w:val="003605C2"/>
    <w:rsid w:val="00361757"/>
    <w:rsid w:val="00361BBF"/>
    <w:rsid w:val="003624AF"/>
    <w:rsid w:val="0036252A"/>
    <w:rsid w:val="00362CDA"/>
    <w:rsid w:val="0036430D"/>
    <w:rsid w:val="00364355"/>
    <w:rsid w:val="0036477A"/>
    <w:rsid w:val="00364ABA"/>
    <w:rsid w:val="003659DC"/>
    <w:rsid w:val="00365ED5"/>
    <w:rsid w:val="00366120"/>
    <w:rsid w:val="00366484"/>
    <w:rsid w:val="00366F17"/>
    <w:rsid w:val="00370D60"/>
    <w:rsid w:val="00370D90"/>
    <w:rsid w:val="00370DA5"/>
    <w:rsid w:val="00372E20"/>
    <w:rsid w:val="00372F4A"/>
    <w:rsid w:val="00372FDF"/>
    <w:rsid w:val="003730FD"/>
    <w:rsid w:val="003731B6"/>
    <w:rsid w:val="00373426"/>
    <w:rsid w:val="003746EA"/>
    <w:rsid w:val="00374A14"/>
    <w:rsid w:val="00375035"/>
    <w:rsid w:val="00375617"/>
    <w:rsid w:val="00375A94"/>
    <w:rsid w:val="00375CA4"/>
    <w:rsid w:val="00376650"/>
    <w:rsid w:val="00376C70"/>
    <w:rsid w:val="0038154F"/>
    <w:rsid w:val="00381587"/>
    <w:rsid w:val="00381A4B"/>
    <w:rsid w:val="00381DAF"/>
    <w:rsid w:val="00382DD8"/>
    <w:rsid w:val="00383B0F"/>
    <w:rsid w:val="00383C19"/>
    <w:rsid w:val="0038469E"/>
    <w:rsid w:val="003847D9"/>
    <w:rsid w:val="00384E5F"/>
    <w:rsid w:val="0038523B"/>
    <w:rsid w:val="00385AAE"/>
    <w:rsid w:val="00386559"/>
    <w:rsid w:val="0038694D"/>
    <w:rsid w:val="00386FB8"/>
    <w:rsid w:val="00387D52"/>
    <w:rsid w:val="00390271"/>
    <w:rsid w:val="00390948"/>
    <w:rsid w:val="003910D8"/>
    <w:rsid w:val="0039142A"/>
    <w:rsid w:val="00391732"/>
    <w:rsid w:val="00391AD1"/>
    <w:rsid w:val="00391B01"/>
    <w:rsid w:val="00391B80"/>
    <w:rsid w:val="003923EA"/>
    <w:rsid w:val="003924A3"/>
    <w:rsid w:val="003927E3"/>
    <w:rsid w:val="00392A39"/>
    <w:rsid w:val="00392A6F"/>
    <w:rsid w:val="003930F6"/>
    <w:rsid w:val="003932C9"/>
    <w:rsid w:val="003939B8"/>
    <w:rsid w:val="00394027"/>
    <w:rsid w:val="00394191"/>
    <w:rsid w:val="00394196"/>
    <w:rsid w:val="00394813"/>
    <w:rsid w:val="00394A60"/>
    <w:rsid w:val="00394F23"/>
    <w:rsid w:val="003957A0"/>
    <w:rsid w:val="0039595E"/>
    <w:rsid w:val="003965BF"/>
    <w:rsid w:val="00396802"/>
    <w:rsid w:val="003968BB"/>
    <w:rsid w:val="00396E8A"/>
    <w:rsid w:val="00397363"/>
    <w:rsid w:val="00397B34"/>
    <w:rsid w:val="00397C62"/>
    <w:rsid w:val="003A016F"/>
    <w:rsid w:val="003A03AA"/>
    <w:rsid w:val="003A03D6"/>
    <w:rsid w:val="003A0A19"/>
    <w:rsid w:val="003A13CE"/>
    <w:rsid w:val="003A1425"/>
    <w:rsid w:val="003A2104"/>
    <w:rsid w:val="003A2B8A"/>
    <w:rsid w:val="003A357A"/>
    <w:rsid w:val="003A3AED"/>
    <w:rsid w:val="003A3BAB"/>
    <w:rsid w:val="003A3D75"/>
    <w:rsid w:val="003A411C"/>
    <w:rsid w:val="003A42DF"/>
    <w:rsid w:val="003A4F03"/>
    <w:rsid w:val="003A4F9B"/>
    <w:rsid w:val="003A5D02"/>
    <w:rsid w:val="003A6021"/>
    <w:rsid w:val="003A6426"/>
    <w:rsid w:val="003A65FA"/>
    <w:rsid w:val="003A6B07"/>
    <w:rsid w:val="003A7488"/>
    <w:rsid w:val="003A78D9"/>
    <w:rsid w:val="003A7901"/>
    <w:rsid w:val="003B00FA"/>
    <w:rsid w:val="003B0552"/>
    <w:rsid w:val="003B0619"/>
    <w:rsid w:val="003B0CAD"/>
    <w:rsid w:val="003B1154"/>
    <w:rsid w:val="003B14A4"/>
    <w:rsid w:val="003B1700"/>
    <w:rsid w:val="003B1906"/>
    <w:rsid w:val="003B1966"/>
    <w:rsid w:val="003B1BA1"/>
    <w:rsid w:val="003B22B7"/>
    <w:rsid w:val="003B2ABB"/>
    <w:rsid w:val="003B30CB"/>
    <w:rsid w:val="003B365E"/>
    <w:rsid w:val="003B416C"/>
    <w:rsid w:val="003B44C8"/>
    <w:rsid w:val="003B4E9E"/>
    <w:rsid w:val="003B55CD"/>
    <w:rsid w:val="003B597C"/>
    <w:rsid w:val="003B5B9C"/>
    <w:rsid w:val="003B680F"/>
    <w:rsid w:val="003B6987"/>
    <w:rsid w:val="003B73B5"/>
    <w:rsid w:val="003C04F7"/>
    <w:rsid w:val="003C0879"/>
    <w:rsid w:val="003C0E80"/>
    <w:rsid w:val="003C10CE"/>
    <w:rsid w:val="003C165D"/>
    <w:rsid w:val="003C1750"/>
    <w:rsid w:val="003C17CA"/>
    <w:rsid w:val="003C1BB2"/>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0F69"/>
    <w:rsid w:val="003D1733"/>
    <w:rsid w:val="003D2244"/>
    <w:rsid w:val="003D358D"/>
    <w:rsid w:val="003D3B3E"/>
    <w:rsid w:val="003D3D0A"/>
    <w:rsid w:val="003D4162"/>
    <w:rsid w:val="003D4E6B"/>
    <w:rsid w:val="003D62D3"/>
    <w:rsid w:val="003D710E"/>
    <w:rsid w:val="003E034A"/>
    <w:rsid w:val="003E0770"/>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30A"/>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3FAF"/>
    <w:rsid w:val="004040A5"/>
    <w:rsid w:val="0040435D"/>
    <w:rsid w:val="00404CB9"/>
    <w:rsid w:val="004059D3"/>
    <w:rsid w:val="004062B8"/>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E81"/>
    <w:rsid w:val="00416EAC"/>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4AB8"/>
    <w:rsid w:val="004252FE"/>
    <w:rsid w:val="00425915"/>
    <w:rsid w:val="00425B5C"/>
    <w:rsid w:val="0042603F"/>
    <w:rsid w:val="0042648C"/>
    <w:rsid w:val="00427153"/>
    <w:rsid w:val="004278A1"/>
    <w:rsid w:val="004278F8"/>
    <w:rsid w:val="004308E2"/>
    <w:rsid w:val="00430F29"/>
    <w:rsid w:val="00432251"/>
    <w:rsid w:val="00432347"/>
    <w:rsid w:val="004327EE"/>
    <w:rsid w:val="004329D5"/>
    <w:rsid w:val="004330F0"/>
    <w:rsid w:val="004333CC"/>
    <w:rsid w:val="00433637"/>
    <w:rsid w:val="004337F9"/>
    <w:rsid w:val="004339E8"/>
    <w:rsid w:val="0043422A"/>
    <w:rsid w:val="00434561"/>
    <w:rsid w:val="00434728"/>
    <w:rsid w:val="004348C0"/>
    <w:rsid w:val="0043523D"/>
    <w:rsid w:val="004356AC"/>
    <w:rsid w:val="00435F37"/>
    <w:rsid w:val="00436027"/>
    <w:rsid w:val="004363F0"/>
    <w:rsid w:val="00436A77"/>
    <w:rsid w:val="00436B9B"/>
    <w:rsid w:val="00437385"/>
    <w:rsid w:val="00437542"/>
    <w:rsid w:val="00437EE3"/>
    <w:rsid w:val="00440393"/>
    <w:rsid w:val="00441580"/>
    <w:rsid w:val="00441762"/>
    <w:rsid w:val="00441C8A"/>
    <w:rsid w:val="004437A8"/>
    <w:rsid w:val="00444F0C"/>
    <w:rsid w:val="00445745"/>
    <w:rsid w:val="00445C19"/>
    <w:rsid w:val="00446621"/>
    <w:rsid w:val="00446633"/>
    <w:rsid w:val="00446F4F"/>
    <w:rsid w:val="00447364"/>
    <w:rsid w:val="00447731"/>
    <w:rsid w:val="00450A50"/>
    <w:rsid w:val="00450B02"/>
    <w:rsid w:val="00450BF0"/>
    <w:rsid w:val="0045236A"/>
    <w:rsid w:val="0045313E"/>
    <w:rsid w:val="00453378"/>
    <w:rsid w:val="00453889"/>
    <w:rsid w:val="00453903"/>
    <w:rsid w:val="00454560"/>
    <w:rsid w:val="00454969"/>
    <w:rsid w:val="00455FF4"/>
    <w:rsid w:val="004568D0"/>
    <w:rsid w:val="00457C01"/>
    <w:rsid w:val="00457D31"/>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67C04"/>
    <w:rsid w:val="00470B0D"/>
    <w:rsid w:val="004712BE"/>
    <w:rsid w:val="00471E7B"/>
    <w:rsid w:val="00471EB9"/>
    <w:rsid w:val="004736EC"/>
    <w:rsid w:val="00474C66"/>
    <w:rsid w:val="00474D38"/>
    <w:rsid w:val="004753DE"/>
    <w:rsid w:val="004760E8"/>
    <w:rsid w:val="004764D7"/>
    <w:rsid w:val="00476540"/>
    <w:rsid w:val="00476C7F"/>
    <w:rsid w:val="00476C96"/>
    <w:rsid w:val="00476F3D"/>
    <w:rsid w:val="004773D6"/>
    <w:rsid w:val="00477928"/>
    <w:rsid w:val="0048025E"/>
    <w:rsid w:val="004805F3"/>
    <w:rsid w:val="00480A27"/>
    <w:rsid w:val="00480B9D"/>
    <w:rsid w:val="00480D7A"/>
    <w:rsid w:val="004811ED"/>
    <w:rsid w:val="00481B61"/>
    <w:rsid w:val="00481EC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366F"/>
    <w:rsid w:val="0049395A"/>
    <w:rsid w:val="0049451A"/>
    <w:rsid w:val="00494912"/>
    <w:rsid w:val="00494C19"/>
    <w:rsid w:val="00495865"/>
    <w:rsid w:val="00497259"/>
    <w:rsid w:val="00497505"/>
    <w:rsid w:val="004A08DB"/>
    <w:rsid w:val="004A0D22"/>
    <w:rsid w:val="004A1CB3"/>
    <w:rsid w:val="004A1FBD"/>
    <w:rsid w:val="004A2A90"/>
    <w:rsid w:val="004A2B15"/>
    <w:rsid w:val="004A2CBE"/>
    <w:rsid w:val="004A2DE7"/>
    <w:rsid w:val="004A39FD"/>
    <w:rsid w:val="004A3A22"/>
    <w:rsid w:val="004A407E"/>
    <w:rsid w:val="004A41BC"/>
    <w:rsid w:val="004A4E64"/>
    <w:rsid w:val="004A52DE"/>
    <w:rsid w:val="004A6391"/>
    <w:rsid w:val="004A650B"/>
    <w:rsid w:val="004A6955"/>
    <w:rsid w:val="004A7C4D"/>
    <w:rsid w:val="004B0196"/>
    <w:rsid w:val="004B04CD"/>
    <w:rsid w:val="004B065A"/>
    <w:rsid w:val="004B071A"/>
    <w:rsid w:val="004B0B51"/>
    <w:rsid w:val="004B0D4F"/>
    <w:rsid w:val="004B1DBE"/>
    <w:rsid w:val="004B2589"/>
    <w:rsid w:val="004B2D97"/>
    <w:rsid w:val="004B2FA9"/>
    <w:rsid w:val="004B3040"/>
    <w:rsid w:val="004B3539"/>
    <w:rsid w:val="004B3EDF"/>
    <w:rsid w:val="004B3EEA"/>
    <w:rsid w:val="004B418C"/>
    <w:rsid w:val="004B4C83"/>
    <w:rsid w:val="004B62B0"/>
    <w:rsid w:val="004B63E6"/>
    <w:rsid w:val="004B6938"/>
    <w:rsid w:val="004C0374"/>
    <w:rsid w:val="004C0E54"/>
    <w:rsid w:val="004C1269"/>
    <w:rsid w:val="004C19CB"/>
    <w:rsid w:val="004C2BE0"/>
    <w:rsid w:val="004C2D16"/>
    <w:rsid w:val="004C354E"/>
    <w:rsid w:val="004C3C7E"/>
    <w:rsid w:val="004C43CC"/>
    <w:rsid w:val="004C477A"/>
    <w:rsid w:val="004C4D4E"/>
    <w:rsid w:val="004C5166"/>
    <w:rsid w:val="004C5323"/>
    <w:rsid w:val="004C6857"/>
    <w:rsid w:val="004C7A63"/>
    <w:rsid w:val="004C7E11"/>
    <w:rsid w:val="004D0551"/>
    <w:rsid w:val="004D0F8F"/>
    <w:rsid w:val="004D11E3"/>
    <w:rsid w:val="004D1222"/>
    <w:rsid w:val="004D1475"/>
    <w:rsid w:val="004D1FEB"/>
    <w:rsid w:val="004D20F5"/>
    <w:rsid w:val="004D2618"/>
    <w:rsid w:val="004D27F4"/>
    <w:rsid w:val="004D28AD"/>
    <w:rsid w:val="004D2A3A"/>
    <w:rsid w:val="004D35E6"/>
    <w:rsid w:val="004D369C"/>
    <w:rsid w:val="004D37F2"/>
    <w:rsid w:val="004D39E6"/>
    <w:rsid w:val="004D3CA6"/>
    <w:rsid w:val="004D6263"/>
    <w:rsid w:val="004D644D"/>
    <w:rsid w:val="004D6CD2"/>
    <w:rsid w:val="004D6ECC"/>
    <w:rsid w:val="004D6F42"/>
    <w:rsid w:val="004D709F"/>
    <w:rsid w:val="004D72D7"/>
    <w:rsid w:val="004D79D7"/>
    <w:rsid w:val="004D7DA4"/>
    <w:rsid w:val="004E0041"/>
    <w:rsid w:val="004E0386"/>
    <w:rsid w:val="004E0A00"/>
    <w:rsid w:val="004E1B73"/>
    <w:rsid w:val="004E2398"/>
    <w:rsid w:val="004E2AE7"/>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37"/>
    <w:rsid w:val="004F1798"/>
    <w:rsid w:val="004F2CA4"/>
    <w:rsid w:val="004F3D19"/>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99B"/>
    <w:rsid w:val="00506C74"/>
    <w:rsid w:val="00507AE5"/>
    <w:rsid w:val="005105D1"/>
    <w:rsid w:val="00510E28"/>
    <w:rsid w:val="0051204D"/>
    <w:rsid w:val="00512918"/>
    <w:rsid w:val="00512AD8"/>
    <w:rsid w:val="00512F6D"/>
    <w:rsid w:val="00514EF5"/>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8CF"/>
    <w:rsid w:val="00530468"/>
    <w:rsid w:val="00530762"/>
    <w:rsid w:val="00530D92"/>
    <w:rsid w:val="005312D6"/>
    <w:rsid w:val="00531556"/>
    <w:rsid w:val="00531E43"/>
    <w:rsid w:val="00533A34"/>
    <w:rsid w:val="00533E15"/>
    <w:rsid w:val="00534171"/>
    <w:rsid w:val="00534762"/>
    <w:rsid w:val="005347BC"/>
    <w:rsid w:val="005357E0"/>
    <w:rsid w:val="00535BD8"/>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4CB"/>
    <w:rsid w:val="00551D00"/>
    <w:rsid w:val="00551DC6"/>
    <w:rsid w:val="00551F37"/>
    <w:rsid w:val="0055202F"/>
    <w:rsid w:val="0055230D"/>
    <w:rsid w:val="0055271B"/>
    <w:rsid w:val="00552C16"/>
    <w:rsid w:val="005534A5"/>
    <w:rsid w:val="00554114"/>
    <w:rsid w:val="00554568"/>
    <w:rsid w:val="00554E9A"/>
    <w:rsid w:val="00555575"/>
    <w:rsid w:val="00555B79"/>
    <w:rsid w:val="00555C81"/>
    <w:rsid w:val="00556329"/>
    <w:rsid w:val="005567EE"/>
    <w:rsid w:val="00556ED0"/>
    <w:rsid w:val="00557664"/>
    <w:rsid w:val="00557AAF"/>
    <w:rsid w:val="0056025A"/>
    <w:rsid w:val="00560A73"/>
    <w:rsid w:val="00560C46"/>
    <w:rsid w:val="005612B7"/>
    <w:rsid w:val="005625C5"/>
    <w:rsid w:val="00562669"/>
    <w:rsid w:val="0056270F"/>
    <w:rsid w:val="00563B4C"/>
    <w:rsid w:val="00563B73"/>
    <w:rsid w:val="00563C26"/>
    <w:rsid w:val="00563E85"/>
    <w:rsid w:val="00563F69"/>
    <w:rsid w:val="005640D6"/>
    <w:rsid w:val="00564827"/>
    <w:rsid w:val="00565072"/>
    <w:rsid w:val="0056524E"/>
    <w:rsid w:val="0056744A"/>
    <w:rsid w:val="005677AC"/>
    <w:rsid w:val="00567CF9"/>
    <w:rsid w:val="00567E21"/>
    <w:rsid w:val="00570044"/>
    <w:rsid w:val="00570A5C"/>
    <w:rsid w:val="005717AF"/>
    <w:rsid w:val="005723F7"/>
    <w:rsid w:val="005726FE"/>
    <w:rsid w:val="005729DF"/>
    <w:rsid w:val="00573A7E"/>
    <w:rsid w:val="00573E76"/>
    <w:rsid w:val="00573F4D"/>
    <w:rsid w:val="005743A3"/>
    <w:rsid w:val="00574536"/>
    <w:rsid w:val="00574752"/>
    <w:rsid w:val="005749C3"/>
    <w:rsid w:val="00576093"/>
    <w:rsid w:val="0057627E"/>
    <w:rsid w:val="005763F9"/>
    <w:rsid w:val="0057659E"/>
    <w:rsid w:val="00577C28"/>
    <w:rsid w:val="00580082"/>
    <w:rsid w:val="005802DB"/>
    <w:rsid w:val="0058066B"/>
    <w:rsid w:val="0058095A"/>
    <w:rsid w:val="00580A41"/>
    <w:rsid w:val="00580C84"/>
    <w:rsid w:val="005812BD"/>
    <w:rsid w:val="00581474"/>
    <w:rsid w:val="00581642"/>
    <w:rsid w:val="005821D4"/>
    <w:rsid w:val="00582207"/>
    <w:rsid w:val="005824DA"/>
    <w:rsid w:val="0058306C"/>
    <w:rsid w:val="00583372"/>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2534"/>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2552"/>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6E4"/>
    <w:rsid w:val="005B1750"/>
    <w:rsid w:val="005B2D08"/>
    <w:rsid w:val="005B33E4"/>
    <w:rsid w:val="005B3E1B"/>
    <w:rsid w:val="005B46F6"/>
    <w:rsid w:val="005B5868"/>
    <w:rsid w:val="005B5E2D"/>
    <w:rsid w:val="005B65E4"/>
    <w:rsid w:val="005B6ECC"/>
    <w:rsid w:val="005B7506"/>
    <w:rsid w:val="005B7947"/>
    <w:rsid w:val="005B7A4A"/>
    <w:rsid w:val="005B7EA2"/>
    <w:rsid w:val="005C0A7B"/>
    <w:rsid w:val="005C11AA"/>
    <w:rsid w:val="005C1733"/>
    <w:rsid w:val="005C2D65"/>
    <w:rsid w:val="005C3E9B"/>
    <w:rsid w:val="005C45D0"/>
    <w:rsid w:val="005C4C46"/>
    <w:rsid w:val="005C547E"/>
    <w:rsid w:val="005C73DA"/>
    <w:rsid w:val="005C76CF"/>
    <w:rsid w:val="005C7727"/>
    <w:rsid w:val="005D06C4"/>
    <w:rsid w:val="005D150E"/>
    <w:rsid w:val="005D1805"/>
    <w:rsid w:val="005D186E"/>
    <w:rsid w:val="005D19BB"/>
    <w:rsid w:val="005D1E7A"/>
    <w:rsid w:val="005D2134"/>
    <w:rsid w:val="005D350B"/>
    <w:rsid w:val="005D3FD7"/>
    <w:rsid w:val="005D498F"/>
    <w:rsid w:val="005D6AFE"/>
    <w:rsid w:val="005D6E2C"/>
    <w:rsid w:val="005D71EC"/>
    <w:rsid w:val="005D7653"/>
    <w:rsid w:val="005D7DB5"/>
    <w:rsid w:val="005E00CD"/>
    <w:rsid w:val="005E062A"/>
    <w:rsid w:val="005E07C4"/>
    <w:rsid w:val="005E0A2C"/>
    <w:rsid w:val="005E11B1"/>
    <w:rsid w:val="005E31CA"/>
    <w:rsid w:val="005E35AE"/>
    <w:rsid w:val="005E3AF5"/>
    <w:rsid w:val="005E3D35"/>
    <w:rsid w:val="005E3F3A"/>
    <w:rsid w:val="005E4F79"/>
    <w:rsid w:val="005E5279"/>
    <w:rsid w:val="005E5322"/>
    <w:rsid w:val="005E6F92"/>
    <w:rsid w:val="005E7640"/>
    <w:rsid w:val="005F0150"/>
    <w:rsid w:val="005F1087"/>
    <w:rsid w:val="005F132C"/>
    <w:rsid w:val="005F2A76"/>
    <w:rsid w:val="005F2BA7"/>
    <w:rsid w:val="005F32B6"/>
    <w:rsid w:val="005F3403"/>
    <w:rsid w:val="005F38B6"/>
    <w:rsid w:val="005F3A5C"/>
    <w:rsid w:val="005F408A"/>
    <w:rsid w:val="005F4FAF"/>
    <w:rsid w:val="005F6510"/>
    <w:rsid w:val="005F67E7"/>
    <w:rsid w:val="005F68C8"/>
    <w:rsid w:val="005F6C6D"/>
    <w:rsid w:val="005F7009"/>
    <w:rsid w:val="005F7655"/>
    <w:rsid w:val="005F7A45"/>
    <w:rsid w:val="006001A0"/>
    <w:rsid w:val="00600CE4"/>
    <w:rsid w:val="006024BA"/>
    <w:rsid w:val="00603BC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332"/>
    <w:rsid w:val="00611469"/>
    <w:rsid w:val="00611AB2"/>
    <w:rsid w:val="00611ACF"/>
    <w:rsid w:val="00611C4F"/>
    <w:rsid w:val="006126AD"/>
    <w:rsid w:val="006155B6"/>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9E"/>
    <w:rsid w:val="006265A8"/>
    <w:rsid w:val="00627D2B"/>
    <w:rsid w:val="006307AB"/>
    <w:rsid w:val="00631024"/>
    <w:rsid w:val="006310CD"/>
    <w:rsid w:val="00632D72"/>
    <w:rsid w:val="006332B0"/>
    <w:rsid w:val="00633439"/>
    <w:rsid w:val="0063403E"/>
    <w:rsid w:val="00634F88"/>
    <w:rsid w:val="00635323"/>
    <w:rsid w:val="00636114"/>
    <w:rsid w:val="00636442"/>
    <w:rsid w:val="00636ECC"/>
    <w:rsid w:val="00636F99"/>
    <w:rsid w:val="00637200"/>
    <w:rsid w:val="006378F7"/>
    <w:rsid w:val="00637D6C"/>
    <w:rsid w:val="00637E1D"/>
    <w:rsid w:val="00640036"/>
    <w:rsid w:val="00641451"/>
    <w:rsid w:val="00641F7B"/>
    <w:rsid w:val="0064224D"/>
    <w:rsid w:val="006422DE"/>
    <w:rsid w:val="00644102"/>
    <w:rsid w:val="006443F7"/>
    <w:rsid w:val="00644988"/>
    <w:rsid w:val="00645B85"/>
    <w:rsid w:val="00646752"/>
    <w:rsid w:val="0065064B"/>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FA7"/>
    <w:rsid w:val="006601AC"/>
    <w:rsid w:val="00661A01"/>
    <w:rsid w:val="00661C40"/>
    <w:rsid w:val="006622B7"/>
    <w:rsid w:val="00662949"/>
    <w:rsid w:val="00662CC5"/>
    <w:rsid w:val="00663BC4"/>
    <w:rsid w:val="0066483F"/>
    <w:rsid w:val="006648B1"/>
    <w:rsid w:val="00664A8B"/>
    <w:rsid w:val="0066531C"/>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5E7E"/>
    <w:rsid w:val="00696CA3"/>
    <w:rsid w:val="00696F1F"/>
    <w:rsid w:val="00697E98"/>
    <w:rsid w:val="006A0587"/>
    <w:rsid w:val="006A1556"/>
    <w:rsid w:val="006A15FC"/>
    <w:rsid w:val="006A1710"/>
    <w:rsid w:val="006A1932"/>
    <w:rsid w:val="006A1D11"/>
    <w:rsid w:val="006A1EC4"/>
    <w:rsid w:val="006A3358"/>
    <w:rsid w:val="006A43F4"/>
    <w:rsid w:val="006A45F2"/>
    <w:rsid w:val="006A5B7A"/>
    <w:rsid w:val="006A5E27"/>
    <w:rsid w:val="006A60E9"/>
    <w:rsid w:val="006A6636"/>
    <w:rsid w:val="006A6684"/>
    <w:rsid w:val="006A6AD8"/>
    <w:rsid w:val="006A732E"/>
    <w:rsid w:val="006B0816"/>
    <w:rsid w:val="006B0E1A"/>
    <w:rsid w:val="006B0E8B"/>
    <w:rsid w:val="006B111E"/>
    <w:rsid w:val="006B11DD"/>
    <w:rsid w:val="006B1642"/>
    <w:rsid w:val="006B1DB9"/>
    <w:rsid w:val="006B1ED2"/>
    <w:rsid w:val="006B22BA"/>
    <w:rsid w:val="006B23FA"/>
    <w:rsid w:val="006B28ED"/>
    <w:rsid w:val="006B3397"/>
    <w:rsid w:val="006B3BD5"/>
    <w:rsid w:val="006B4937"/>
    <w:rsid w:val="006B4FFC"/>
    <w:rsid w:val="006B5BB6"/>
    <w:rsid w:val="006B5BD0"/>
    <w:rsid w:val="006B5C9C"/>
    <w:rsid w:val="006B6902"/>
    <w:rsid w:val="006B6CB3"/>
    <w:rsid w:val="006B6E49"/>
    <w:rsid w:val="006B75DE"/>
    <w:rsid w:val="006B787A"/>
    <w:rsid w:val="006B7E5F"/>
    <w:rsid w:val="006B7F81"/>
    <w:rsid w:val="006C0D6E"/>
    <w:rsid w:val="006C12DB"/>
    <w:rsid w:val="006C13E1"/>
    <w:rsid w:val="006C1D01"/>
    <w:rsid w:val="006C28E5"/>
    <w:rsid w:val="006C3300"/>
    <w:rsid w:val="006C39FD"/>
    <w:rsid w:val="006C3DDB"/>
    <w:rsid w:val="006C4AF5"/>
    <w:rsid w:val="006C53A5"/>
    <w:rsid w:val="006C547A"/>
    <w:rsid w:val="006C5B6B"/>
    <w:rsid w:val="006C68DE"/>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0D31"/>
    <w:rsid w:val="006E1565"/>
    <w:rsid w:val="006E318C"/>
    <w:rsid w:val="006E32BB"/>
    <w:rsid w:val="006E34CC"/>
    <w:rsid w:val="006E3B2F"/>
    <w:rsid w:val="006E3D06"/>
    <w:rsid w:val="006E42D3"/>
    <w:rsid w:val="006E5424"/>
    <w:rsid w:val="006E6084"/>
    <w:rsid w:val="006E748B"/>
    <w:rsid w:val="006E76C4"/>
    <w:rsid w:val="006E7B26"/>
    <w:rsid w:val="006F0A11"/>
    <w:rsid w:val="006F0A48"/>
    <w:rsid w:val="006F0F90"/>
    <w:rsid w:val="006F103C"/>
    <w:rsid w:val="006F1323"/>
    <w:rsid w:val="006F253C"/>
    <w:rsid w:val="006F2908"/>
    <w:rsid w:val="006F2A58"/>
    <w:rsid w:val="006F3285"/>
    <w:rsid w:val="006F32DA"/>
    <w:rsid w:val="006F3A0B"/>
    <w:rsid w:val="006F4F08"/>
    <w:rsid w:val="006F4F33"/>
    <w:rsid w:val="006F645F"/>
    <w:rsid w:val="006F657B"/>
    <w:rsid w:val="006F684B"/>
    <w:rsid w:val="006F6CF3"/>
    <w:rsid w:val="006F70BB"/>
    <w:rsid w:val="0070002C"/>
    <w:rsid w:val="007002B9"/>
    <w:rsid w:val="00700651"/>
    <w:rsid w:val="00700710"/>
    <w:rsid w:val="0070103C"/>
    <w:rsid w:val="007018F8"/>
    <w:rsid w:val="00701956"/>
    <w:rsid w:val="00701CB2"/>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1E3"/>
    <w:rsid w:val="00715227"/>
    <w:rsid w:val="007159B9"/>
    <w:rsid w:val="007177C5"/>
    <w:rsid w:val="00720019"/>
    <w:rsid w:val="007201EA"/>
    <w:rsid w:val="0072031B"/>
    <w:rsid w:val="007208FC"/>
    <w:rsid w:val="00721ADA"/>
    <w:rsid w:val="00722420"/>
    <w:rsid w:val="0072247D"/>
    <w:rsid w:val="007225E9"/>
    <w:rsid w:val="00722964"/>
    <w:rsid w:val="0072304A"/>
    <w:rsid w:val="00723853"/>
    <w:rsid w:val="00724B37"/>
    <w:rsid w:val="00724FBB"/>
    <w:rsid w:val="007255C0"/>
    <w:rsid w:val="0072630B"/>
    <w:rsid w:val="00726CEC"/>
    <w:rsid w:val="0072736E"/>
    <w:rsid w:val="00727698"/>
    <w:rsid w:val="00727E9D"/>
    <w:rsid w:val="007303D4"/>
    <w:rsid w:val="007314B3"/>
    <w:rsid w:val="0073222B"/>
    <w:rsid w:val="0073297E"/>
    <w:rsid w:val="00732A06"/>
    <w:rsid w:val="00732BB5"/>
    <w:rsid w:val="0073301F"/>
    <w:rsid w:val="0073308E"/>
    <w:rsid w:val="00733339"/>
    <w:rsid w:val="007337DA"/>
    <w:rsid w:val="007341CC"/>
    <w:rsid w:val="007347EE"/>
    <w:rsid w:val="007347FC"/>
    <w:rsid w:val="00735300"/>
    <w:rsid w:val="00735AC9"/>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37D9"/>
    <w:rsid w:val="00764919"/>
    <w:rsid w:val="0076553A"/>
    <w:rsid w:val="00765D9E"/>
    <w:rsid w:val="007664F5"/>
    <w:rsid w:val="007666FF"/>
    <w:rsid w:val="007674A5"/>
    <w:rsid w:val="0076752D"/>
    <w:rsid w:val="0077079B"/>
    <w:rsid w:val="00770B3C"/>
    <w:rsid w:val="007719FB"/>
    <w:rsid w:val="00772144"/>
    <w:rsid w:val="00772497"/>
    <w:rsid w:val="00772875"/>
    <w:rsid w:val="00773DB9"/>
    <w:rsid w:val="00774378"/>
    <w:rsid w:val="00774777"/>
    <w:rsid w:val="00774FC2"/>
    <w:rsid w:val="00775029"/>
    <w:rsid w:val="0077560C"/>
    <w:rsid w:val="00775B30"/>
    <w:rsid w:val="00776BF8"/>
    <w:rsid w:val="00777D40"/>
    <w:rsid w:val="00780610"/>
    <w:rsid w:val="007818C3"/>
    <w:rsid w:val="0078199E"/>
    <w:rsid w:val="00782684"/>
    <w:rsid w:val="00782F43"/>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093"/>
    <w:rsid w:val="007932C7"/>
    <w:rsid w:val="00793FF3"/>
    <w:rsid w:val="00794259"/>
    <w:rsid w:val="007956A0"/>
    <w:rsid w:val="00795A5F"/>
    <w:rsid w:val="007965E1"/>
    <w:rsid w:val="0079746B"/>
    <w:rsid w:val="007977A7"/>
    <w:rsid w:val="00797DA6"/>
    <w:rsid w:val="007A11CD"/>
    <w:rsid w:val="007A1248"/>
    <w:rsid w:val="007A1724"/>
    <w:rsid w:val="007A173A"/>
    <w:rsid w:val="007A1854"/>
    <w:rsid w:val="007A1B82"/>
    <w:rsid w:val="007A1F9A"/>
    <w:rsid w:val="007A2457"/>
    <w:rsid w:val="007A2845"/>
    <w:rsid w:val="007A2C5F"/>
    <w:rsid w:val="007A46F4"/>
    <w:rsid w:val="007A6680"/>
    <w:rsid w:val="007A6AB8"/>
    <w:rsid w:val="007A70FA"/>
    <w:rsid w:val="007A73DC"/>
    <w:rsid w:val="007A7D5B"/>
    <w:rsid w:val="007B020D"/>
    <w:rsid w:val="007B061E"/>
    <w:rsid w:val="007B091D"/>
    <w:rsid w:val="007B0E6E"/>
    <w:rsid w:val="007B0FA4"/>
    <w:rsid w:val="007B1AFA"/>
    <w:rsid w:val="007B21C0"/>
    <w:rsid w:val="007B237B"/>
    <w:rsid w:val="007B2416"/>
    <w:rsid w:val="007B256D"/>
    <w:rsid w:val="007B274D"/>
    <w:rsid w:val="007B2790"/>
    <w:rsid w:val="007B27A5"/>
    <w:rsid w:val="007B2843"/>
    <w:rsid w:val="007B3184"/>
    <w:rsid w:val="007B36DB"/>
    <w:rsid w:val="007B3EE7"/>
    <w:rsid w:val="007B3FB9"/>
    <w:rsid w:val="007B5400"/>
    <w:rsid w:val="007B7149"/>
    <w:rsid w:val="007B731D"/>
    <w:rsid w:val="007B79DF"/>
    <w:rsid w:val="007B7FCF"/>
    <w:rsid w:val="007C1047"/>
    <w:rsid w:val="007C10A6"/>
    <w:rsid w:val="007C1977"/>
    <w:rsid w:val="007C1C97"/>
    <w:rsid w:val="007C20F0"/>
    <w:rsid w:val="007C2D81"/>
    <w:rsid w:val="007C3418"/>
    <w:rsid w:val="007C3A0D"/>
    <w:rsid w:val="007C449F"/>
    <w:rsid w:val="007C4C2D"/>
    <w:rsid w:val="007C542F"/>
    <w:rsid w:val="007C5475"/>
    <w:rsid w:val="007C6071"/>
    <w:rsid w:val="007C62C2"/>
    <w:rsid w:val="007C63F6"/>
    <w:rsid w:val="007C7294"/>
    <w:rsid w:val="007D0BB0"/>
    <w:rsid w:val="007D0DC3"/>
    <w:rsid w:val="007D0FBA"/>
    <w:rsid w:val="007D2155"/>
    <w:rsid w:val="007D21D4"/>
    <w:rsid w:val="007D2A74"/>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E7D48"/>
    <w:rsid w:val="007F0A6D"/>
    <w:rsid w:val="007F14F9"/>
    <w:rsid w:val="007F1D16"/>
    <w:rsid w:val="007F266D"/>
    <w:rsid w:val="007F2BBB"/>
    <w:rsid w:val="007F3F70"/>
    <w:rsid w:val="007F46FB"/>
    <w:rsid w:val="007F4F10"/>
    <w:rsid w:val="007F4FB9"/>
    <w:rsid w:val="007F4FE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318"/>
    <w:rsid w:val="00814526"/>
    <w:rsid w:val="00814569"/>
    <w:rsid w:val="0081504F"/>
    <w:rsid w:val="008152F0"/>
    <w:rsid w:val="008160C1"/>
    <w:rsid w:val="0081698E"/>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1DB"/>
    <w:rsid w:val="00826957"/>
    <w:rsid w:val="0082720A"/>
    <w:rsid w:val="00827FD7"/>
    <w:rsid w:val="008304A2"/>
    <w:rsid w:val="0083052C"/>
    <w:rsid w:val="00830F3E"/>
    <w:rsid w:val="00831CA8"/>
    <w:rsid w:val="0083207A"/>
    <w:rsid w:val="0083399F"/>
    <w:rsid w:val="00834675"/>
    <w:rsid w:val="0083493C"/>
    <w:rsid w:val="00835613"/>
    <w:rsid w:val="00835A3B"/>
    <w:rsid w:val="00836FEC"/>
    <w:rsid w:val="0083721B"/>
    <w:rsid w:val="00837D81"/>
    <w:rsid w:val="008400EE"/>
    <w:rsid w:val="00842E25"/>
    <w:rsid w:val="00843782"/>
    <w:rsid w:val="008437D8"/>
    <w:rsid w:val="00843AEA"/>
    <w:rsid w:val="00843CC6"/>
    <w:rsid w:val="00843E9F"/>
    <w:rsid w:val="00844269"/>
    <w:rsid w:val="008458CA"/>
    <w:rsid w:val="00845D95"/>
    <w:rsid w:val="00845DAE"/>
    <w:rsid w:val="00845EB0"/>
    <w:rsid w:val="00845F01"/>
    <w:rsid w:val="00846DA8"/>
    <w:rsid w:val="00847F17"/>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60A21"/>
    <w:rsid w:val="0086127F"/>
    <w:rsid w:val="00861958"/>
    <w:rsid w:val="0086220D"/>
    <w:rsid w:val="00862BCC"/>
    <w:rsid w:val="00862CD4"/>
    <w:rsid w:val="00862E33"/>
    <w:rsid w:val="00864A10"/>
    <w:rsid w:val="008660DD"/>
    <w:rsid w:val="00866824"/>
    <w:rsid w:val="008669C8"/>
    <w:rsid w:val="0087032E"/>
    <w:rsid w:val="00870D78"/>
    <w:rsid w:val="00870DDC"/>
    <w:rsid w:val="00871549"/>
    <w:rsid w:val="00872856"/>
    <w:rsid w:val="00873287"/>
    <w:rsid w:val="0087374E"/>
    <w:rsid w:val="0087497D"/>
    <w:rsid w:val="00874CE9"/>
    <w:rsid w:val="008752C7"/>
    <w:rsid w:val="00877CB6"/>
    <w:rsid w:val="0088038A"/>
    <w:rsid w:val="00880E42"/>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86BDB"/>
    <w:rsid w:val="008873C7"/>
    <w:rsid w:val="00893054"/>
    <w:rsid w:val="00893AE9"/>
    <w:rsid w:val="00894597"/>
    <w:rsid w:val="00894A36"/>
    <w:rsid w:val="00894C19"/>
    <w:rsid w:val="0089515A"/>
    <w:rsid w:val="0089524B"/>
    <w:rsid w:val="00895D39"/>
    <w:rsid w:val="00896DF4"/>
    <w:rsid w:val="0089718A"/>
    <w:rsid w:val="00897287"/>
    <w:rsid w:val="00897382"/>
    <w:rsid w:val="00897C15"/>
    <w:rsid w:val="008A12A4"/>
    <w:rsid w:val="008A198B"/>
    <w:rsid w:val="008A1B64"/>
    <w:rsid w:val="008A211F"/>
    <w:rsid w:val="008A2278"/>
    <w:rsid w:val="008A28A1"/>
    <w:rsid w:val="008A39ED"/>
    <w:rsid w:val="008A39F5"/>
    <w:rsid w:val="008A3EE9"/>
    <w:rsid w:val="008A3FCE"/>
    <w:rsid w:val="008A4AB6"/>
    <w:rsid w:val="008A50EC"/>
    <w:rsid w:val="008A5494"/>
    <w:rsid w:val="008A5D06"/>
    <w:rsid w:val="008A7A60"/>
    <w:rsid w:val="008A7DE7"/>
    <w:rsid w:val="008A7E09"/>
    <w:rsid w:val="008B053D"/>
    <w:rsid w:val="008B12D2"/>
    <w:rsid w:val="008B1AEC"/>
    <w:rsid w:val="008B2815"/>
    <w:rsid w:val="008B3963"/>
    <w:rsid w:val="008B3AA4"/>
    <w:rsid w:val="008B3F15"/>
    <w:rsid w:val="008B3F53"/>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0E3E"/>
    <w:rsid w:val="008D2B9E"/>
    <w:rsid w:val="008D2DA7"/>
    <w:rsid w:val="008D31FC"/>
    <w:rsid w:val="008D4443"/>
    <w:rsid w:val="008D464B"/>
    <w:rsid w:val="008D581D"/>
    <w:rsid w:val="008D7070"/>
    <w:rsid w:val="008D70F0"/>
    <w:rsid w:val="008E0300"/>
    <w:rsid w:val="008E04A0"/>
    <w:rsid w:val="008E069A"/>
    <w:rsid w:val="008E08EC"/>
    <w:rsid w:val="008E099F"/>
    <w:rsid w:val="008E0DA2"/>
    <w:rsid w:val="008E1365"/>
    <w:rsid w:val="008E1837"/>
    <w:rsid w:val="008E2389"/>
    <w:rsid w:val="008E267C"/>
    <w:rsid w:val="008E2963"/>
    <w:rsid w:val="008E2C94"/>
    <w:rsid w:val="008E329F"/>
    <w:rsid w:val="008E393F"/>
    <w:rsid w:val="008E39A2"/>
    <w:rsid w:val="008E416C"/>
    <w:rsid w:val="008E5050"/>
    <w:rsid w:val="008E5357"/>
    <w:rsid w:val="008E54C6"/>
    <w:rsid w:val="008E604B"/>
    <w:rsid w:val="008E6451"/>
    <w:rsid w:val="008E7CD5"/>
    <w:rsid w:val="008F0337"/>
    <w:rsid w:val="008F09AD"/>
    <w:rsid w:val="008F1631"/>
    <w:rsid w:val="008F1E74"/>
    <w:rsid w:val="008F2275"/>
    <w:rsid w:val="008F3444"/>
    <w:rsid w:val="008F3F32"/>
    <w:rsid w:val="008F59ED"/>
    <w:rsid w:val="008F5BF2"/>
    <w:rsid w:val="008F5DCA"/>
    <w:rsid w:val="008F63EF"/>
    <w:rsid w:val="008F698D"/>
    <w:rsid w:val="008F70B1"/>
    <w:rsid w:val="008F7282"/>
    <w:rsid w:val="008F7639"/>
    <w:rsid w:val="008F7860"/>
    <w:rsid w:val="008F7A68"/>
    <w:rsid w:val="009016A7"/>
    <w:rsid w:val="00901789"/>
    <w:rsid w:val="00901BE7"/>
    <w:rsid w:val="009023A8"/>
    <w:rsid w:val="009024AD"/>
    <w:rsid w:val="00902B58"/>
    <w:rsid w:val="00902CF7"/>
    <w:rsid w:val="0090311B"/>
    <w:rsid w:val="009033FF"/>
    <w:rsid w:val="00903465"/>
    <w:rsid w:val="0090428B"/>
    <w:rsid w:val="00904DEF"/>
    <w:rsid w:val="00905148"/>
    <w:rsid w:val="009065B3"/>
    <w:rsid w:val="0090672C"/>
    <w:rsid w:val="00907421"/>
    <w:rsid w:val="00907AB6"/>
    <w:rsid w:val="009104D4"/>
    <w:rsid w:val="00911066"/>
    <w:rsid w:val="00911185"/>
    <w:rsid w:val="0091171F"/>
    <w:rsid w:val="009127FD"/>
    <w:rsid w:val="009134A5"/>
    <w:rsid w:val="00913BCF"/>
    <w:rsid w:val="00913C50"/>
    <w:rsid w:val="00914033"/>
    <w:rsid w:val="00914294"/>
    <w:rsid w:val="00914605"/>
    <w:rsid w:val="00914EC4"/>
    <w:rsid w:val="00915122"/>
    <w:rsid w:val="0091514D"/>
    <w:rsid w:val="0091682E"/>
    <w:rsid w:val="00916907"/>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093C"/>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536"/>
    <w:rsid w:val="00943822"/>
    <w:rsid w:val="00943BA8"/>
    <w:rsid w:val="00943FCC"/>
    <w:rsid w:val="0094416F"/>
    <w:rsid w:val="009442CC"/>
    <w:rsid w:val="00944721"/>
    <w:rsid w:val="00947506"/>
    <w:rsid w:val="00947803"/>
    <w:rsid w:val="0095069E"/>
    <w:rsid w:val="009506AF"/>
    <w:rsid w:val="00950E79"/>
    <w:rsid w:val="00950EA9"/>
    <w:rsid w:val="009510FD"/>
    <w:rsid w:val="0095156A"/>
    <w:rsid w:val="009516A3"/>
    <w:rsid w:val="00952DE5"/>
    <w:rsid w:val="0095349A"/>
    <w:rsid w:val="00953B46"/>
    <w:rsid w:val="00953E3D"/>
    <w:rsid w:val="00953E51"/>
    <w:rsid w:val="009541C2"/>
    <w:rsid w:val="0095460C"/>
    <w:rsid w:val="00954635"/>
    <w:rsid w:val="00954F00"/>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21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A1"/>
    <w:rsid w:val="009876C1"/>
    <w:rsid w:val="0098774E"/>
    <w:rsid w:val="00987808"/>
    <w:rsid w:val="009879D7"/>
    <w:rsid w:val="00991B3B"/>
    <w:rsid w:val="00992DE7"/>
    <w:rsid w:val="0099437B"/>
    <w:rsid w:val="009952FE"/>
    <w:rsid w:val="009956A5"/>
    <w:rsid w:val="00996F06"/>
    <w:rsid w:val="00997CC8"/>
    <w:rsid w:val="00997D36"/>
    <w:rsid w:val="009A03F5"/>
    <w:rsid w:val="009A0796"/>
    <w:rsid w:val="009A1B07"/>
    <w:rsid w:val="009A1E88"/>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3CE2"/>
    <w:rsid w:val="009B3F94"/>
    <w:rsid w:val="009B40D8"/>
    <w:rsid w:val="009B4CB7"/>
    <w:rsid w:val="009B589E"/>
    <w:rsid w:val="009B66C6"/>
    <w:rsid w:val="009B6BDD"/>
    <w:rsid w:val="009B6DCD"/>
    <w:rsid w:val="009B7003"/>
    <w:rsid w:val="009B768A"/>
    <w:rsid w:val="009C00E5"/>
    <w:rsid w:val="009C0ADF"/>
    <w:rsid w:val="009C0E83"/>
    <w:rsid w:val="009C118B"/>
    <w:rsid w:val="009C125D"/>
    <w:rsid w:val="009C19F5"/>
    <w:rsid w:val="009C1EFF"/>
    <w:rsid w:val="009C1FF7"/>
    <w:rsid w:val="009C2472"/>
    <w:rsid w:val="009C30EF"/>
    <w:rsid w:val="009C3919"/>
    <w:rsid w:val="009C4A4F"/>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2E46"/>
    <w:rsid w:val="009D3049"/>
    <w:rsid w:val="009D3F5B"/>
    <w:rsid w:val="009D437C"/>
    <w:rsid w:val="009D527A"/>
    <w:rsid w:val="009D7A52"/>
    <w:rsid w:val="009D7FBD"/>
    <w:rsid w:val="009E020F"/>
    <w:rsid w:val="009E0A66"/>
    <w:rsid w:val="009E0B87"/>
    <w:rsid w:val="009E0DF3"/>
    <w:rsid w:val="009E1196"/>
    <w:rsid w:val="009E11E1"/>
    <w:rsid w:val="009E1A07"/>
    <w:rsid w:val="009E23BD"/>
    <w:rsid w:val="009E2502"/>
    <w:rsid w:val="009E3307"/>
    <w:rsid w:val="009E467C"/>
    <w:rsid w:val="009E48FD"/>
    <w:rsid w:val="009E4C78"/>
    <w:rsid w:val="009E53E0"/>
    <w:rsid w:val="009E5401"/>
    <w:rsid w:val="009E5644"/>
    <w:rsid w:val="009E63CA"/>
    <w:rsid w:val="009E68B4"/>
    <w:rsid w:val="009E71CA"/>
    <w:rsid w:val="009E7325"/>
    <w:rsid w:val="009F05F1"/>
    <w:rsid w:val="009F06BA"/>
    <w:rsid w:val="009F125D"/>
    <w:rsid w:val="009F19B0"/>
    <w:rsid w:val="009F1C8C"/>
    <w:rsid w:val="009F2656"/>
    <w:rsid w:val="009F2B1B"/>
    <w:rsid w:val="009F42FC"/>
    <w:rsid w:val="009F4B28"/>
    <w:rsid w:val="009F4F8D"/>
    <w:rsid w:val="009F571F"/>
    <w:rsid w:val="009F605A"/>
    <w:rsid w:val="009F612A"/>
    <w:rsid w:val="009F7591"/>
    <w:rsid w:val="009F76A7"/>
    <w:rsid w:val="009F777B"/>
    <w:rsid w:val="009F7BF2"/>
    <w:rsid w:val="009F7D8D"/>
    <w:rsid w:val="009F7FC1"/>
    <w:rsid w:val="00A004AF"/>
    <w:rsid w:val="00A00B56"/>
    <w:rsid w:val="00A00E52"/>
    <w:rsid w:val="00A012A4"/>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B90"/>
    <w:rsid w:val="00A12E74"/>
    <w:rsid w:val="00A137FF"/>
    <w:rsid w:val="00A146B6"/>
    <w:rsid w:val="00A152AE"/>
    <w:rsid w:val="00A15406"/>
    <w:rsid w:val="00A15CCC"/>
    <w:rsid w:val="00A174A8"/>
    <w:rsid w:val="00A20254"/>
    <w:rsid w:val="00A2036B"/>
    <w:rsid w:val="00A20412"/>
    <w:rsid w:val="00A20CF2"/>
    <w:rsid w:val="00A21210"/>
    <w:rsid w:val="00A2156D"/>
    <w:rsid w:val="00A21636"/>
    <w:rsid w:val="00A21D00"/>
    <w:rsid w:val="00A21F08"/>
    <w:rsid w:val="00A22733"/>
    <w:rsid w:val="00A22DEF"/>
    <w:rsid w:val="00A23CED"/>
    <w:rsid w:val="00A23D5F"/>
    <w:rsid w:val="00A2516D"/>
    <w:rsid w:val="00A257A7"/>
    <w:rsid w:val="00A26512"/>
    <w:rsid w:val="00A26BCC"/>
    <w:rsid w:val="00A275A1"/>
    <w:rsid w:val="00A27634"/>
    <w:rsid w:val="00A27BAF"/>
    <w:rsid w:val="00A27BDD"/>
    <w:rsid w:val="00A27E9F"/>
    <w:rsid w:val="00A27FCC"/>
    <w:rsid w:val="00A306CA"/>
    <w:rsid w:val="00A3125B"/>
    <w:rsid w:val="00A31EFE"/>
    <w:rsid w:val="00A329BC"/>
    <w:rsid w:val="00A32C88"/>
    <w:rsid w:val="00A33696"/>
    <w:rsid w:val="00A336F7"/>
    <w:rsid w:val="00A34ED8"/>
    <w:rsid w:val="00A35CE5"/>
    <w:rsid w:val="00A36C5C"/>
    <w:rsid w:val="00A37D86"/>
    <w:rsid w:val="00A40E36"/>
    <w:rsid w:val="00A410DD"/>
    <w:rsid w:val="00A41711"/>
    <w:rsid w:val="00A419AB"/>
    <w:rsid w:val="00A42046"/>
    <w:rsid w:val="00A420E9"/>
    <w:rsid w:val="00A43226"/>
    <w:rsid w:val="00A436E9"/>
    <w:rsid w:val="00A43E52"/>
    <w:rsid w:val="00A43FDB"/>
    <w:rsid w:val="00A4509E"/>
    <w:rsid w:val="00A453F6"/>
    <w:rsid w:val="00A454F9"/>
    <w:rsid w:val="00A458F5"/>
    <w:rsid w:val="00A45F82"/>
    <w:rsid w:val="00A463E9"/>
    <w:rsid w:val="00A46B3C"/>
    <w:rsid w:val="00A470B9"/>
    <w:rsid w:val="00A473A6"/>
    <w:rsid w:val="00A47409"/>
    <w:rsid w:val="00A47464"/>
    <w:rsid w:val="00A47F56"/>
    <w:rsid w:val="00A47FD4"/>
    <w:rsid w:val="00A50113"/>
    <w:rsid w:val="00A5051C"/>
    <w:rsid w:val="00A507AD"/>
    <w:rsid w:val="00A50E9B"/>
    <w:rsid w:val="00A51D50"/>
    <w:rsid w:val="00A52961"/>
    <w:rsid w:val="00A53079"/>
    <w:rsid w:val="00A5313E"/>
    <w:rsid w:val="00A537BF"/>
    <w:rsid w:val="00A543E4"/>
    <w:rsid w:val="00A54C1E"/>
    <w:rsid w:val="00A55516"/>
    <w:rsid w:val="00A55996"/>
    <w:rsid w:val="00A55B65"/>
    <w:rsid w:val="00A60793"/>
    <w:rsid w:val="00A61580"/>
    <w:rsid w:val="00A619A6"/>
    <w:rsid w:val="00A619D1"/>
    <w:rsid w:val="00A63063"/>
    <w:rsid w:val="00A643EA"/>
    <w:rsid w:val="00A64B1F"/>
    <w:rsid w:val="00A65953"/>
    <w:rsid w:val="00A65F5C"/>
    <w:rsid w:val="00A65FDA"/>
    <w:rsid w:val="00A67E38"/>
    <w:rsid w:val="00A705E9"/>
    <w:rsid w:val="00A708BA"/>
    <w:rsid w:val="00A71C54"/>
    <w:rsid w:val="00A7227D"/>
    <w:rsid w:val="00A72711"/>
    <w:rsid w:val="00A737C9"/>
    <w:rsid w:val="00A73B39"/>
    <w:rsid w:val="00A73C91"/>
    <w:rsid w:val="00A7413D"/>
    <w:rsid w:val="00A74873"/>
    <w:rsid w:val="00A74AC1"/>
    <w:rsid w:val="00A754FF"/>
    <w:rsid w:val="00A75F07"/>
    <w:rsid w:val="00A764B8"/>
    <w:rsid w:val="00A766BD"/>
    <w:rsid w:val="00A76774"/>
    <w:rsid w:val="00A76EC5"/>
    <w:rsid w:val="00A77D86"/>
    <w:rsid w:val="00A80299"/>
    <w:rsid w:val="00A80728"/>
    <w:rsid w:val="00A809D8"/>
    <w:rsid w:val="00A81D96"/>
    <w:rsid w:val="00A826E0"/>
    <w:rsid w:val="00A826F3"/>
    <w:rsid w:val="00A827FC"/>
    <w:rsid w:val="00A82921"/>
    <w:rsid w:val="00A82AA8"/>
    <w:rsid w:val="00A82AC4"/>
    <w:rsid w:val="00A8371D"/>
    <w:rsid w:val="00A83A8C"/>
    <w:rsid w:val="00A83AF8"/>
    <w:rsid w:val="00A8417E"/>
    <w:rsid w:val="00A84CAB"/>
    <w:rsid w:val="00A84CD9"/>
    <w:rsid w:val="00A851FA"/>
    <w:rsid w:val="00A85F7A"/>
    <w:rsid w:val="00A86221"/>
    <w:rsid w:val="00A869E1"/>
    <w:rsid w:val="00A90629"/>
    <w:rsid w:val="00A90853"/>
    <w:rsid w:val="00A91027"/>
    <w:rsid w:val="00A91836"/>
    <w:rsid w:val="00A9188D"/>
    <w:rsid w:val="00A920B8"/>
    <w:rsid w:val="00A92331"/>
    <w:rsid w:val="00A94030"/>
    <w:rsid w:val="00A945A0"/>
    <w:rsid w:val="00A94821"/>
    <w:rsid w:val="00A9543A"/>
    <w:rsid w:val="00A956EF"/>
    <w:rsid w:val="00A95754"/>
    <w:rsid w:val="00A9635F"/>
    <w:rsid w:val="00A963AA"/>
    <w:rsid w:val="00A97283"/>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5827"/>
    <w:rsid w:val="00AB66B9"/>
    <w:rsid w:val="00AB7A6E"/>
    <w:rsid w:val="00AB7C9B"/>
    <w:rsid w:val="00AC0FA1"/>
    <w:rsid w:val="00AC1278"/>
    <w:rsid w:val="00AC143A"/>
    <w:rsid w:val="00AC148D"/>
    <w:rsid w:val="00AC282C"/>
    <w:rsid w:val="00AC2D97"/>
    <w:rsid w:val="00AC3665"/>
    <w:rsid w:val="00AC3A9F"/>
    <w:rsid w:val="00AC3F0E"/>
    <w:rsid w:val="00AC402A"/>
    <w:rsid w:val="00AC419B"/>
    <w:rsid w:val="00AC4B72"/>
    <w:rsid w:val="00AC530F"/>
    <w:rsid w:val="00AC5D59"/>
    <w:rsid w:val="00AC5EF3"/>
    <w:rsid w:val="00AC7B0D"/>
    <w:rsid w:val="00AD1363"/>
    <w:rsid w:val="00AD13C1"/>
    <w:rsid w:val="00AD2170"/>
    <w:rsid w:val="00AD2637"/>
    <w:rsid w:val="00AD276C"/>
    <w:rsid w:val="00AD3B4A"/>
    <w:rsid w:val="00AD4C22"/>
    <w:rsid w:val="00AD4CA3"/>
    <w:rsid w:val="00AD5939"/>
    <w:rsid w:val="00AD5EA4"/>
    <w:rsid w:val="00AD608F"/>
    <w:rsid w:val="00AD6215"/>
    <w:rsid w:val="00AD6B74"/>
    <w:rsid w:val="00AD72B2"/>
    <w:rsid w:val="00AD7765"/>
    <w:rsid w:val="00AD7897"/>
    <w:rsid w:val="00AD7D0D"/>
    <w:rsid w:val="00AE0680"/>
    <w:rsid w:val="00AE0910"/>
    <w:rsid w:val="00AE1418"/>
    <w:rsid w:val="00AE1496"/>
    <w:rsid w:val="00AE1A61"/>
    <w:rsid w:val="00AE2262"/>
    <w:rsid w:val="00AE38BE"/>
    <w:rsid w:val="00AE3E12"/>
    <w:rsid w:val="00AE3E17"/>
    <w:rsid w:val="00AE437F"/>
    <w:rsid w:val="00AE438B"/>
    <w:rsid w:val="00AE4E6D"/>
    <w:rsid w:val="00AE700A"/>
    <w:rsid w:val="00AE7157"/>
    <w:rsid w:val="00AE72E3"/>
    <w:rsid w:val="00AE748B"/>
    <w:rsid w:val="00AE76C5"/>
    <w:rsid w:val="00AE7B78"/>
    <w:rsid w:val="00AF07C5"/>
    <w:rsid w:val="00AF0F02"/>
    <w:rsid w:val="00AF0F04"/>
    <w:rsid w:val="00AF26FB"/>
    <w:rsid w:val="00AF2AFA"/>
    <w:rsid w:val="00AF2B79"/>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400"/>
    <w:rsid w:val="00B15B1F"/>
    <w:rsid w:val="00B16096"/>
    <w:rsid w:val="00B16356"/>
    <w:rsid w:val="00B1661B"/>
    <w:rsid w:val="00B16D13"/>
    <w:rsid w:val="00B17884"/>
    <w:rsid w:val="00B17AAB"/>
    <w:rsid w:val="00B20507"/>
    <w:rsid w:val="00B20F72"/>
    <w:rsid w:val="00B21172"/>
    <w:rsid w:val="00B2186C"/>
    <w:rsid w:val="00B2265C"/>
    <w:rsid w:val="00B230B5"/>
    <w:rsid w:val="00B23465"/>
    <w:rsid w:val="00B24157"/>
    <w:rsid w:val="00B2462B"/>
    <w:rsid w:val="00B248EB"/>
    <w:rsid w:val="00B2515D"/>
    <w:rsid w:val="00B25EBC"/>
    <w:rsid w:val="00B25F75"/>
    <w:rsid w:val="00B26A8C"/>
    <w:rsid w:val="00B27E27"/>
    <w:rsid w:val="00B27FB0"/>
    <w:rsid w:val="00B303A3"/>
    <w:rsid w:val="00B304DC"/>
    <w:rsid w:val="00B30C6F"/>
    <w:rsid w:val="00B3103B"/>
    <w:rsid w:val="00B31326"/>
    <w:rsid w:val="00B31E31"/>
    <w:rsid w:val="00B32195"/>
    <w:rsid w:val="00B325FF"/>
    <w:rsid w:val="00B32795"/>
    <w:rsid w:val="00B32E2F"/>
    <w:rsid w:val="00B338BA"/>
    <w:rsid w:val="00B33B68"/>
    <w:rsid w:val="00B33B8D"/>
    <w:rsid w:val="00B33DFD"/>
    <w:rsid w:val="00B33F3E"/>
    <w:rsid w:val="00B3514E"/>
    <w:rsid w:val="00B35723"/>
    <w:rsid w:val="00B36827"/>
    <w:rsid w:val="00B3699A"/>
    <w:rsid w:val="00B36E4D"/>
    <w:rsid w:val="00B37215"/>
    <w:rsid w:val="00B37244"/>
    <w:rsid w:val="00B37367"/>
    <w:rsid w:val="00B37D08"/>
    <w:rsid w:val="00B403CE"/>
    <w:rsid w:val="00B403F7"/>
    <w:rsid w:val="00B405CB"/>
    <w:rsid w:val="00B413C1"/>
    <w:rsid w:val="00B4173C"/>
    <w:rsid w:val="00B41AAA"/>
    <w:rsid w:val="00B41FC0"/>
    <w:rsid w:val="00B42550"/>
    <w:rsid w:val="00B448AB"/>
    <w:rsid w:val="00B44CFD"/>
    <w:rsid w:val="00B45B5B"/>
    <w:rsid w:val="00B46558"/>
    <w:rsid w:val="00B4658F"/>
    <w:rsid w:val="00B465F1"/>
    <w:rsid w:val="00B47157"/>
    <w:rsid w:val="00B50041"/>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4F2"/>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7D3"/>
    <w:rsid w:val="00B67C00"/>
    <w:rsid w:val="00B7032E"/>
    <w:rsid w:val="00B709F2"/>
    <w:rsid w:val="00B71413"/>
    <w:rsid w:val="00B71FF1"/>
    <w:rsid w:val="00B72676"/>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87B55"/>
    <w:rsid w:val="00B905C6"/>
    <w:rsid w:val="00B9061A"/>
    <w:rsid w:val="00B908AB"/>
    <w:rsid w:val="00B90A94"/>
    <w:rsid w:val="00B911DB"/>
    <w:rsid w:val="00B91D1F"/>
    <w:rsid w:val="00B938C4"/>
    <w:rsid w:val="00B948AF"/>
    <w:rsid w:val="00B94A9A"/>
    <w:rsid w:val="00B96E1D"/>
    <w:rsid w:val="00B96F86"/>
    <w:rsid w:val="00B977C9"/>
    <w:rsid w:val="00B97C17"/>
    <w:rsid w:val="00B97F88"/>
    <w:rsid w:val="00BA02CF"/>
    <w:rsid w:val="00BA15D1"/>
    <w:rsid w:val="00BA2EBE"/>
    <w:rsid w:val="00BA33C1"/>
    <w:rsid w:val="00BA4FD6"/>
    <w:rsid w:val="00BA51AD"/>
    <w:rsid w:val="00BA541D"/>
    <w:rsid w:val="00BA5CB8"/>
    <w:rsid w:val="00BA5FF8"/>
    <w:rsid w:val="00BA6070"/>
    <w:rsid w:val="00BA68FE"/>
    <w:rsid w:val="00BA6BF8"/>
    <w:rsid w:val="00BA7546"/>
    <w:rsid w:val="00BA7F3E"/>
    <w:rsid w:val="00BA7FB2"/>
    <w:rsid w:val="00BB0590"/>
    <w:rsid w:val="00BB06F6"/>
    <w:rsid w:val="00BB0918"/>
    <w:rsid w:val="00BB0BF2"/>
    <w:rsid w:val="00BB20C7"/>
    <w:rsid w:val="00BB2713"/>
    <w:rsid w:val="00BB2826"/>
    <w:rsid w:val="00BB29F5"/>
    <w:rsid w:val="00BB2F64"/>
    <w:rsid w:val="00BB3A09"/>
    <w:rsid w:val="00BB46CE"/>
    <w:rsid w:val="00BB4F13"/>
    <w:rsid w:val="00BB5999"/>
    <w:rsid w:val="00BB5C22"/>
    <w:rsid w:val="00BB6055"/>
    <w:rsid w:val="00BB6B0E"/>
    <w:rsid w:val="00BB7675"/>
    <w:rsid w:val="00BB7F9D"/>
    <w:rsid w:val="00BC0038"/>
    <w:rsid w:val="00BC0877"/>
    <w:rsid w:val="00BC11C2"/>
    <w:rsid w:val="00BC1738"/>
    <w:rsid w:val="00BC1894"/>
    <w:rsid w:val="00BC2BDD"/>
    <w:rsid w:val="00BC3178"/>
    <w:rsid w:val="00BC33BA"/>
    <w:rsid w:val="00BC3CBE"/>
    <w:rsid w:val="00BC3D14"/>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71A"/>
    <w:rsid w:val="00BD3855"/>
    <w:rsid w:val="00BD4CA0"/>
    <w:rsid w:val="00BD511B"/>
    <w:rsid w:val="00BD5875"/>
    <w:rsid w:val="00BD5B40"/>
    <w:rsid w:val="00BD6A08"/>
    <w:rsid w:val="00BD6D2D"/>
    <w:rsid w:val="00BD6D84"/>
    <w:rsid w:val="00BD6E4C"/>
    <w:rsid w:val="00BD7C1C"/>
    <w:rsid w:val="00BE008D"/>
    <w:rsid w:val="00BE01BB"/>
    <w:rsid w:val="00BE0CD9"/>
    <w:rsid w:val="00BE117D"/>
    <w:rsid w:val="00BE1A95"/>
    <w:rsid w:val="00BE2100"/>
    <w:rsid w:val="00BE23CF"/>
    <w:rsid w:val="00BE2940"/>
    <w:rsid w:val="00BE29FF"/>
    <w:rsid w:val="00BE3CB9"/>
    <w:rsid w:val="00BE3F0A"/>
    <w:rsid w:val="00BE3F9C"/>
    <w:rsid w:val="00BE4996"/>
    <w:rsid w:val="00BE567B"/>
    <w:rsid w:val="00BE59FE"/>
    <w:rsid w:val="00BE6207"/>
    <w:rsid w:val="00BE64D9"/>
    <w:rsid w:val="00BE7E6B"/>
    <w:rsid w:val="00BE7F87"/>
    <w:rsid w:val="00BF071F"/>
    <w:rsid w:val="00BF0A1B"/>
    <w:rsid w:val="00BF0C07"/>
    <w:rsid w:val="00BF143E"/>
    <w:rsid w:val="00BF19A2"/>
    <w:rsid w:val="00BF19B0"/>
    <w:rsid w:val="00BF212A"/>
    <w:rsid w:val="00BF2501"/>
    <w:rsid w:val="00BF27C7"/>
    <w:rsid w:val="00BF30EE"/>
    <w:rsid w:val="00BF3584"/>
    <w:rsid w:val="00BF3E71"/>
    <w:rsid w:val="00BF4CFE"/>
    <w:rsid w:val="00BF4DB8"/>
    <w:rsid w:val="00BF5147"/>
    <w:rsid w:val="00BF5F6D"/>
    <w:rsid w:val="00BF60AB"/>
    <w:rsid w:val="00BF6388"/>
    <w:rsid w:val="00BF6DF2"/>
    <w:rsid w:val="00BF7081"/>
    <w:rsid w:val="00BF7D51"/>
    <w:rsid w:val="00C0016F"/>
    <w:rsid w:val="00C00350"/>
    <w:rsid w:val="00C004FC"/>
    <w:rsid w:val="00C006D4"/>
    <w:rsid w:val="00C015FF"/>
    <w:rsid w:val="00C01984"/>
    <w:rsid w:val="00C01DF2"/>
    <w:rsid w:val="00C040C4"/>
    <w:rsid w:val="00C04E16"/>
    <w:rsid w:val="00C05193"/>
    <w:rsid w:val="00C051E2"/>
    <w:rsid w:val="00C05AD9"/>
    <w:rsid w:val="00C0639F"/>
    <w:rsid w:val="00C0649E"/>
    <w:rsid w:val="00C06A42"/>
    <w:rsid w:val="00C07671"/>
    <w:rsid w:val="00C0773E"/>
    <w:rsid w:val="00C079DD"/>
    <w:rsid w:val="00C10D90"/>
    <w:rsid w:val="00C11152"/>
    <w:rsid w:val="00C11B40"/>
    <w:rsid w:val="00C11F92"/>
    <w:rsid w:val="00C13128"/>
    <w:rsid w:val="00C1345F"/>
    <w:rsid w:val="00C138B6"/>
    <w:rsid w:val="00C13CFB"/>
    <w:rsid w:val="00C14C92"/>
    <w:rsid w:val="00C1535A"/>
    <w:rsid w:val="00C15AC1"/>
    <w:rsid w:val="00C166B4"/>
    <w:rsid w:val="00C16B7E"/>
    <w:rsid w:val="00C175B5"/>
    <w:rsid w:val="00C1786F"/>
    <w:rsid w:val="00C179E1"/>
    <w:rsid w:val="00C20416"/>
    <w:rsid w:val="00C2168A"/>
    <w:rsid w:val="00C22965"/>
    <w:rsid w:val="00C22AB8"/>
    <w:rsid w:val="00C22B23"/>
    <w:rsid w:val="00C23201"/>
    <w:rsid w:val="00C241C2"/>
    <w:rsid w:val="00C247F3"/>
    <w:rsid w:val="00C256B1"/>
    <w:rsid w:val="00C25842"/>
    <w:rsid w:val="00C25C1A"/>
    <w:rsid w:val="00C25FAB"/>
    <w:rsid w:val="00C261D6"/>
    <w:rsid w:val="00C26483"/>
    <w:rsid w:val="00C26799"/>
    <w:rsid w:val="00C26A7A"/>
    <w:rsid w:val="00C26EE6"/>
    <w:rsid w:val="00C27726"/>
    <w:rsid w:val="00C309F1"/>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6A1"/>
    <w:rsid w:val="00C368A5"/>
    <w:rsid w:val="00C36B92"/>
    <w:rsid w:val="00C36D16"/>
    <w:rsid w:val="00C4090B"/>
    <w:rsid w:val="00C40C2F"/>
    <w:rsid w:val="00C41104"/>
    <w:rsid w:val="00C4150F"/>
    <w:rsid w:val="00C428CB"/>
    <w:rsid w:val="00C44572"/>
    <w:rsid w:val="00C4495A"/>
    <w:rsid w:val="00C45DC1"/>
    <w:rsid w:val="00C4661F"/>
    <w:rsid w:val="00C46809"/>
    <w:rsid w:val="00C4681A"/>
    <w:rsid w:val="00C46C47"/>
    <w:rsid w:val="00C46F14"/>
    <w:rsid w:val="00C503D4"/>
    <w:rsid w:val="00C50960"/>
    <w:rsid w:val="00C51CFD"/>
    <w:rsid w:val="00C5205D"/>
    <w:rsid w:val="00C52586"/>
    <w:rsid w:val="00C52C25"/>
    <w:rsid w:val="00C5356F"/>
    <w:rsid w:val="00C53DE8"/>
    <w:rsid w:val="00C54350"/>
    <w:rsid w:val="00C5499C"/>
    <w:rsid w:val="00C54D81"/>
    <w:rsid w:val="00C55959"/>
    <w:rsid w:val="00C56F5B"/>
    <w:rsid w:val="00C6046E"/>
    <w:rsid w:val="00C60C66"/>
    <w:rsid w:val="00C61086"/>
    <w:rsid w:val="00C61695"/>
    <w:rsid w:val="00C617FD"/>
    <w:rsid w:val="00C61842"/>
    <w:rsid w:val="00C623E1"/>
    <w:rsid w:val="00C6272C"/>
    <w:rsid w:val="00C63643"/>
    <w:rsid w:val="00C63A93"/>
    <w:rsid w:val="00C63EF8"/>
    <w:rsid w:val="00C64132"/>
    <w:rsid w:val="00C64165"/>
    <w:rsid w:val="00C64A07"/>
    <w:rsid w:val="00C65BB0"/>
    <w:rsid w:val="00C6678A"/>
    <w:rsid w:val="00C67278"/>
    <w:rsid w:val="00C7030A"/>
    <w:rsid w:val="00C711C8"/>
    <w:rsid w:val="00C71534"/>
    <w:rsid w:val="00C71D83"/>
    <w:rsid w:val="00C72323"/>
    <w:rsid w:val="00C72AC5"/>
    <w:rsid w:val="00C7391A"/>
    <w:rsid w:val="00C73D74"/>
    <w:rsid w:val="00C74BDF"/>
    <w:rsid w:val="00C74FB2"/>
    <w:rsid w:val="00C7593B"/>
    <w:rsid w:val="00C75CAC"/>
    <w:rsid w:val="00C7610B"/>
    <w:rsid w:val="00C762DD"/>
    <w:rsid w:val="00C7640F"/>
    <w:rsid w:val="00C77206"/>
    <w:rsid w:val="00C77680"/>
    <w:rsid w:val="00C77C91"/>
    <w:rsid w:val="00C77ECB"/>
    <w:rsid w:val="00C8012F"/>
    <w:rsid w:val="00C805B5"/>
    <w:rsid w:val="00C80AA3"/>
    <w:rsid w:val="00C81195"/>
    <w:rsid w:val="00C81717"/>
    <w:rsid w:val="00C81995"/>
    <w:rsid w:val="00C81DD2"/>
    <w:rsid w:val="00C83AC4"/>
    <w:rsid w:val="00C8421F"/>
    <w:rsid w:val="00C8437D"/>
    <w:rsid w:val="00C8477B"/>
    <w:rsid w:val="00C8499A"/>
    <w:rsid w:val="00C84BC9"/>
    <w:rsid w:val="00C85A14"/>
    <w:rsid w:val="00C85CB1"/>
    <w:rsid w:val="00C86B4A"/>
    <w:rsid w:val="00C8769F"/>
    <w:rsid w:val="00C87DE8"/>
    <w:rsid w:val="00C87F78"/>
    <w:rsid w:val="00C904DE"/>
    <w:rsid w:val="00C906B2"/>
    <w:rsid w:val="00C90731"/>
    <w:rsid w:val="00C90E5A"/>
    <w:rsid w:val="00C91ADD"/>
    <w:rsid w:val="00C92875"/>
    <w:rsid w:val="00C930AA"/>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3E43"/>
    <w:rsid w:val="00CA463E"/>
    <w:rsid w:val="00CA4DD4"/>
    <w:rsid w:val="00CA5E94"/>
    <w:rsid w:val="00CA6655"/>
    <w:rsid w:val="00CA683A"/>
    <w:rsid w:val="00CA6861"/>
    <w:rsid w:val="00CA698D"/>
    <w:rsid w:val="00CA69C8"/>
    <w:rsid w:val="00CA6A55"/>
    <w:rsid w:val="00CA719D"/>
    <w:rsid w:val="00CA7719"/>
    <w:rsid w:val="00CA7B62"/>
    <w:rsid w:val="00CB00AA"/>
    <w:rsid w:val="00CB0382"/>
    <w:rsid w:val="00CB0499"/>
    <w:rsid w:val="00CB06C3"/>
    <w:rsid w:val="00CB06C4"/>
    <w:rsid w:val="00CB0D05"/>
    <w:rsid w:val="00CB0F4C"/>
    <w:rsid w:val="00CB214F"/>
    <w:rsid w:val="00CB26FC"/>
    <w:rsid w:val="00CB2C15"/>
    <w:rsid w:val="00CB446E"/>
    <w:rsid w:val="00CB4536"/>
    <w:rsid w:val="00CB4F01"/>
    <w:rsid w:val="00CB5F8F"/>
    <w:rsid w:val="00CB60B0"/>
    <w:rsid w:val="00CB6C2E"/>
    <w:rsid w:val="00CB70D7"/>
    <w:rsid w:val="00CB7148"/>
    <w:rsid w:val="00CB7478"/>
    <w:rsid w:val="00CB77DB"/>
    <w:rsid w:val="00CC0449"/>
    <w:rsid w:val="00CC0532"/>
    <w:rsid w:val="00CC0816"/>
    <w:rsid w:val="00CC0D72"/>
    <w:rsid w:val="00CC102F"/>
    <w:rsid w:val="00CC254E"/>
    <w:rsid w:val="00CC3848"/>
    <w:rsid w:val="00CC41C1"/>
    <w:rsid w:val="00CC54CE"/>
    <w:rsid w:val="00CC5946"/>
    <w:rsid w:val="00CD0318"/>
    <w:rsid w:val="00CD1E5C"/>
    <w:rsid w:val="00CD1E8A"/>
    <w:rsid w:val="00CD1ED1"/>
    <w:rsid w:val="00CD25DC"/>
    <w:rsid w:val="00CD338F"/>
    <w:rsid w:val="00CD467F"/>
    <w:rsid w:val="00CD486D"/>
    <w:rsid w:val="00CD49C1"/>
    <w:rsid w:val="00CD4B72"/>
    <w:rsid w:val="00CD5361"/>
    <w:rsid w:val="00CD5B5C"/>
    <w:rsid w:val="00CD6CB4"/>
    <w:rsid w:val="00CD70D8"/>
    <w:rsid w:val="00CD72A7"/>
    <w:rsid w:val="00CD7D25"/>
    <w:rsid w:val="00CD7D90"/>
    <w:rsid w:val="00CD7FAF"/>
    <w:rsid w:val="00CE0AA4"/>
    <w:rsid w:val="00CE0F32"/>
    <w:rsid w:val="00CE1182"/>
    <w:rsid w:val="00CE1AEF"/>
    <w:rsid w:val="00CE2122"/>
    <w:rsid w:val="00CE2827"/>
    <w:rsid w:val="00CE2901"/>
    <w:rsid w:val="00CE29BC"/>
    <w:rsid w:val="00CE34B7"/>
    <w:rsid w:val="00CE3590"/>
    <w:rsid w:val="00CE3B81"/>
    <w:rsid w:val="00CE3D61"/>
    <w:rsid w:val="00CE42BB"/>
    <w:rsid w:val="00CE4AC7"/>
    <w:rsid w:val="00CE4F24"/>
    <w:rsid w:val="00CE60C8"/>
    <w:rsid w:val="00CE67C3"/>
    <w:rsid w:val="00CE6AB9"/>
    <w:rsid w:val="00CE755D"/>
    <w:rsid w:val="00CF0C82"/>
    <w:rsid w:val="00CF1690"/>
    <w:rsid w:val="00CF1A95"/>
    <w:rsid w:val="00CF1DD7"/>
    <w:rsid w:val="00CF1E77"/>
    <w:rsid w:val="00CF2102"/>
    <w:rsid w:val="00CF22ED"/>
    <w:rsid w:val="00CF3450"/>
    <w:rsid w:val="00CF3BC7"/>
    <w:rsid w:val="00CF5B3A"/>
    <w:rsid w:val="00CF662A"/>
    <w:rsid w:val="00CF6A93"/>
    <w:rsid w:val="00CF729E"/>
    <w:rsid w:val="00D025F9"/>
    <w:rsid w:val="00D02E6E"/>
    <w:rsid w:val="00D03DC5"/>
    <w:rsid w:val="00D04761"/>
    <w:rsid w:val="00D049C5"/>
    <w:rsid w:val="00D04D89"/>
    <w:rsid w:val="00D04DAE"/>
    <w:rsid w:val="00D056DF"/>
    <w:rsid w:val="00D062EB"/>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0157"/>
    <w:rsid w:val="00D21135"/>
    <w:rsid w:val="00D211FC"/>
    <w:rsid w:val="00D21C9C"/>
    <w:rsid w:val="00D221F2"/>
    <w:rsid w:val="00D22AB7"/>
    <w:rsid w:val="00D22D80"/>
    <w:rsid w:val="00D22E01"/>
    <w:rsid w:val="00D23963"/>
    <w:rsid w:val="00D23C1D"/>
    <w:rsid w:val="00D23D2F"/>
    <w:rsid w:val="00D24A87"/>
    <w:rsid w:val="00D2578F"/>
    <w:rsid w:val="00D25D67"/>
    <w:rsid w:val="00D2622C"/>
    <w:rsid w:val="00D265CE"/>
    <w:rsid w:val="00D267F9"/>
    <w:rsid w:val="00D26C4E"/>
    <w:rsid w:val="00D30CA2"/>
    <w:rsid w:val="00D3168B"/>
    <w:rsid w:val="00D3210C"/>
    <w:rsid w:val="00D32644"/>
    <w:rsid w:val="00D32852"/>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4AC"/>
    <w:rsid w:val="00D44634"/>
    <w:rsid w:val="00D44B5C"/>
    <w:rsid w:val="00D44CA4"/>
    <w:rsid w:val="00D44CEB"/>
    <w:rsid w:val="00D45D0E"/>
    <w:rsid w:val="00D45F71"/>
    <w:rsid w:val="00D46382"/>
    <w:rsid w:val="00D47238"/>
    <w:rsid w:val="00D4798A"/>
    <w:rsid w:val="00D47A5C"/>
    <w:rsid w:val="00D50121"/>
    <w:rsid w:val="00D513BF"/>
    <w:rsid w:val="00D51777"/>
    <w:rsid w:val="00D51C2E"/>
    <w:rsid w:val="00D528BA"/>
    <w:rsid w:val="00D52AA2"/>
    <w:rsid w:val="00D52D32"/>
    <w:rsid w:val="00D533CD"/>
    <w:rsid w:val="00D53550"/>
    <w:rsid w:val="00D5447B"/>
    <w:rsid w:val="00D545B6"/>
    <w:rsid w:val="00D54947"/>
    <w:rsid w:val="00D555F8"/>
    <w:rsid w:val="00D55FB8"/>
    <w:rsid w:val="00D56320"/>
    <w:rsid w:val="00D564E2"/>
    <w:rsid w:val="00D56680"/>
    <w:rsid w:val="00D57B86"/>
    <w:rsid w:val="00D600E8"/>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5E1"/>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80542"/>
    <w:rsid w:val="00D80D1F"/>
    <w:rsid w:val="00D825C4"/>
    <w:rsid w:val="00D829D0"/>
    <w:rsid w:val="00D833A0"/>
    <w:rsid w:val="00D83816"/>
    <w:rsid w:val="00D847FE"/>
    <w:rsid w:val="00D84A37"/>
    <w:rsid w:val="00D84BD7"/>
    <w:rsid w:val="00D851A6"/>
    <w:rsid w:val="00D8527C"/>
    <w:rsid w:val="00D856CE"/>
    <w:rsid w:val="00D87A88"/>
    <w:rsid w:val="00D903E8"/>
    <w:rsid w:val="00D90EB7"/>
    <w:rsid w:val="00D90FC2"/>
    <w:rsid w:val="00D91EA5"/>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105"/>
    <w:rsid w:val="00DA1468"/>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1F7"/>
    <w:rsid w:val="00DB26DD"/>
    <w:rsid w:val="00DB3B1A"/>
    <w:rsid w:val="00DB4255"/>
    <w:rsid w:val="00DB48DC"/>
    <w:rsid w:val="00DB4D61"/>
    <w:rsid w:val="00DB538D"/>
    <w:rsid w:val="00DB619A"/>
    <w:rsid w:val="00DB749B"/>
    <w:rsid w:val="00DB7A97"/>
    <w:rsid w:val="00DC1647"/>
    <w:rsid w:val="00DC193F"/>
    <w:rsid w:val="00DC1DAB"/>
    <w:rsid w:val="00DC2B48"/>
    <w:rsid w:val="00DC2DC1"/>
    <w:rsid w:val="00DC4508"/>
    <w:rsid w:val="00DC4AF0"/>
    <w:rsid w:val="00DC508E"/>
    <w:rsid w:val="00DC5DAA"/>
    <w:rsid w:val="00DC6230"/>
    <w:rsid w:val="00DC7110"/>
    <w:rsid w:val="00DC7691"/>
    <w:rsid w:val="00DD04C1"/>
    <w:rsid w:val="00DD066E"/>
    <w:rsid w:val="00DD07AF"/>
    <w:rsid w:val="00DD1D3C"/>
    <w:rsid w:val="00DD1E58"/>
    <w:rsid w:val="00DD26AA"/>
    <w:rsid w:val="00DD2CF0"/>
    <w:rsid w:val="00DD35D1"/>
    <w:rsid w:val="00DD3683"/>
    <w:rsid w:val="00DD597C"/>
    <w:rsid w:val="00DD5A71"/>
    <w:rsid w:val="00DD6135"/>
    <w:rsid w:val="00DD66F6"/>
    <w:rsid w:val="00DD6D92"/>
    <w:rsid w:val="00DD7F66"/>
    <w:rsid w:val="00DD7FD8"/>
    <w:rsid w:val="00DE0080"/>
    <w:rsid w:val="00DE099A"/>
    <w:rsid w:val="00DE0CC9"/>
    <w:rsid w:val="00DE1112"/>
    <w:rsid w:val="00DE13C9"/>
    <w:rsid w:val="00DE23AB"/>
    <w:rsid w:val="00DE2C84"/>
    <w:rsid w:val="00DE33B5"/>
    <w:rsid w:val="00DE3B37"/>
    <w:rsid w:val="00DE4725"/>
    <w:rsid w:val="00DE48FC"/>
    <w:rsid w:val="00DE53AE"/>
    <w:rsid w:val="00DE585D"/>
    <w:rsid w:val="00DE6120"/>
    <w:rsid w:val="00DE6232"/>
    <w:rsid w:val="00DE773E"/>
    <w:rsid w:val="00DE7984"/>
    <w:rsid w:val="00DF0A71"/>
    <w:rsid w:val="00DF0D52"/>
    <w:rsid w:val="00DF110C"/>
    <w:rsid w:val="00DF127F"/>
    <w:rsid w:val="00DF1803"/>
    <w:rsid w:val="00DF1911"/>
    <w:rsid w:val="00DF1BF6"/>
    <w:rsid w:val="00DF22D3"/>
    <w:rsid w:val="00DF2F3E"/>
    <w:rsid w:val="00DF38D0"/>
    <w:rsid w:val="00DF3A72"/>
    <w:rsid w:val="00DF3AB8"/>
    <w:rsid w:val="00DF4036"/>
    <w:rsid w:val="00DF5509"/>
    <w:rsid w:val="00DF5CCE"/>
    <w:rsid w:val="00DF730C"/>
    <w:rsid w:val="00DF76D0"/>
    <w:rsid w:val="00DF7943"/>
    <w:rsid w:val="00DF7AD8"/>
    <w:rsid w:val="00DF7E8D"/>
    <w:rsid w:val="00E010AF"/>
    <w:rsid w:val="00E012CF"/>
    <w:rsid w:val="00E0168B"/>
    <w:rsid w:val="00E018C4"/>
    <w:rsid w:val="00E018D6"/>
    <w:rsid w:val="00E0201C"/>
    <w:rsid w:val="00E025E0"/>
    <w:rsid w:val="00E0407C"/>
    <w:rsid w:val="00E04307"/>
    <w:rsid w:val="00E04E76"/>
    <w:rsid w:val="00E05047"/>
    <w:rsid w:val="00E054FE"/>
    <w:rsid w:val="00E05A8F"/>
    <w:rsid w:val="00E05D3B"/>
    <w:rsid w:val="00E0631C"/>
    <w:rsid w:val="00E06785"/>
    <w:rsid w:val="00E06A8E"/>
    <w:rsid w:val="00E07CBB"/>
    <w:rsid w:val="00E1055D"/>
    <w:rsid w:val="00E112F2"/>
    <w:rsid w:val="00E114F3"/>
    <w:rsid w:val="00E11787"/>
    <w:rsid w:val="00E134AB"/>
    <w:rsid w:val="00E1384E"/>
    <w:rsid w:val="00E13883"/>
    <w:rsid w:val="00E142F3"/>
    <w:rsid w:val="00E14AA1"/>
    <w:rsid w:val="00E14AA9"/>
    <w:rsid w:val="00E14AB2"/>
    <w:rsid w:val="00E15105"/>
    <w:rsid w:val="00E153D5"/>
    <w:rsid w:val="00E15A3D"/>
    <w:rsid w:val="00E15F62"/>
    <w:rsid w:val="00E1656D"/>
    <w:rsid w:val="00E16BB4"/>
    <w:rsid w:val="00E16BD5"/>
    <w:rsid w:val="00E176D4"/>
    <w:rsid w:val="00E20073"/>
    <w:rsid w:val="00E20BFB"/>
    <w:rsid w:val="00E20F48"/>
    <w:rsid w:val="00E20F88"/>
    <w:rsid w:val="00E21130"/>
    <w:rsid w:val="00E21BE0"/>
    <w:rsid w:val="00E21F81"/>
    <w:rsid w:val="00E2285C"/>
    <w:rsid w:val="00E23046"/>
    <w:rsid w:val="00E23078"/>
    <w:rsid w:val="00E23836"/>
    <w:rsid w:val="00E246C6"/>
    <w:rsid w:val="00E25902"/>
    <w:rsid w:val="00E25B5A"/>
    <w:rsid w:val="00E27051"/>
    <w:rsid w:val="00E274F1"/>
    <w:rsid w:val="00E27A65"/>
    <w:rsid w:val="00E300A6"/>
    <w:rsid w:val="00E3014A"/>
    <w:rsid w:val="00E303DE"/>
    <w:rsid w:val="00E30C1A"/>
    <w:rsid w:val="00E30DE6"/>
    <w:rsid w:val="00E3193C"/>
    <w:rsid w:val="00E3195A"/>
    <w:rsid w:val="00E320A1"/>
    <w:rsid w:val="00E32B04"/>
    <w:rsid w:val="00E33322"/>
    <w:rsid w:val="00E337B1"/>
    <w:rsid w:val="00E3387D"/>
    <w:rsid w:val="00E33C67"/>
    <w:rsid w:val="00E34826"/>
    <w:rsid w:val="00E34C4A"/>
    <w:rsid w:val="00E34E1F"/>
    <w:rsid w:val="00E35C3A"/>
    <w:rsid w:val="00E35ED7"/>
    <w:rsid w:val="00E362A3"/>
    <w:rsid w:val="00E36F5C"/>
    <w:rsid w:val="00E37610"/>
    <w:rsid w:val="00E37BD7"/>
    <w:rsid w:val="00E37DE7"/>
    <w:rsid w:val="00E40DA2"/>
    <w:rsid w:val="00E41236"/>
    <w:rsid w:val="00E41E8B"/>
    <w:rsid w:val="00E42415"/>
    <w:rsid w:val="00E42581"/>
    <w:rsid w:val="00E439CB"/>
    <w:rsid w:val="00E4488E"/>
    <w:rsid w:val="00E44ECF"/>
    <w:rsid w:val="00E452F7"/>
    <w:rsid w:val="00E46892"/>
    <w:rsid w:val="00E46FB3"/>
    <w:rsid w:val="00E47605"/>
    <w:rsid w:val="00E477E1"/>
    <w:rsid w:val="00E507EA"/>
    <w:rsid w:val="00E51884"/>
    <w:rsid w:val="00E51D70"/>
    <w:rsid w:val="00E5208A"/>
    <w:rsid w:val="00E52557"/>
    <w:rsid w:val="00E53525"/>
    <w:rsid w:val="00E53731"/>
    <w:rsid w:val="00E53DAB"/>
    <w:rsid w:val="00E54910"/>
    <w:rsid w:val="00E54A7E"/>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3E45"/>
    <w:rsid w:val="00E64814"/>
    <w:rsid w:val="00E64D84"/>
    <w:rsid w:val="00E64F87"/>
    <w:rsid w:val="00E665FF"/>
    <w:rsid w:val="00E66615"/>
    <w:rsid w:val="00E667D2"/>
    <w:rsid w:val="00E66AC7"/>
    <w:rsid w:val="00E67145"/>
    <w:rsid w:val="00E67BF7"/>
    <w:rsid w:val="00E70EEB"/>
    <w:rsid w:val="00E719B5"/>
    <w:rsid w:val="00E71C29"/>
    <w:rsid w:val="00E7234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188F"/>
    <w:rsid w:val="00E82F9C"/>
    <w:rsid w:val="00E841F4"/>
    <w:rsid w:val="00E8431F"/>
    <w:rsid w:val="00E84646"/>
    <w:rsid w:val="00E8490E"/>
    <w:rsid w:val="00E84AAB"/>
    <w:rsid w:val="00E84FE1"/>
    <w:rsid w:val="00E86E59"/>
    <w:rsid w:val="00E905CD"/>
    <w:rsid w:val="00E91235"/>
    <w:rsid w:val="00E92B5C"/>
    <w:rsid w:val="00E92FFF"/>
    <w:rsid w:val="00E93C16"/>
    <w:rsid w:val="00E94835"/>
    <w:rsid w:val="00E94CBC"/>
    <w:rsid w:val="00E95588"/>
    <w:rsid w:val="00E95D52"/>
    <w:rsid w:val="00E95E22"/>
    <w:rsid w:val="00E966A1"/>
    <w:rsid w:val="00E966A9"/>
    <w:rsid w:val="00E9752E"/>
    <w:rsid w:val="00EA03D3"/>
    <w:rsid w:val="00EA069F"/>
    <w:rsid w:val="00EA13E7"/>
    <w:rsid w:val="00EA1D02"/>
    <w:rsid w:val="00EA3966"/>
    <w:rsid w:val="00EA3CB1"/>
    <w:rsid w:val="00EA4082"/>
    <w:rsid w:val="00EA497D"/>
    <w:rsid w:val="00EA4BEB"/>
    <w:rsid w:val="00EA4F04"/>
    <w:rsid w:val="00EA5116"/>
    <w:rsid w:val="00EA5147"/>
    <w:rsid w:val="00EA5C4B"/>
    <w:rsid w:val="00EA6037"/>
    <w:rsid w:val="00EA678D"/>
    <w:rsid w:val="00EA6A03"/>
    <w:rsid w:val="00EA6D0F"/>
    <w:rsid w:val="00EA6F5A"/>
    <w:rsid w:val="00EA7051"/>
    <w:rsid w:val="00EA7B26"/>
    <w:rsid w:val="00EA7D16"/>
    <w:rsid w:val="00EB072C"/>
    <w:rsid w:val="00EB0B77"/>
    <w:rsid w:val="00EB0D70"/>
    <w:rsid w:val="00EB0EDB"/>
    <w:rsid w:val="00EB1285"/>
    <w:rsid w:val="00EB1BFF"/>
    <w:rsid w:val="00EB1DCE"/>
    <w:rsid w:val="00EB3C28"/>
    <w:rsid w:val="00EB40E4"/>
    <w:rsid w:val="00EB4E95"/>
    <w:rsid w:val="00EB599E"/>
    <w:rsid w:val="00EB5B70"/>
    <w:rsid w:val="00EB66A4"/>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6D98"/>
    <w:rsid w:val="00ED74F5"/>
    <w:rsid w:val="00EE01DF"/>
    <w:rsid w:val="00EE031C"/>
    <w:rsid w:val="00EE0AE5"/>
    <w:rsid w:val="00EE0CB1"/>
    <w:rsid w:val="00EE1775"/>
    <w:rsid w:val="00EE1FEA"/>
    <w:rsid w:val="00EE27A4"/>
    <w:rsid w:val="00EE2BD8"/>
    <w:rsid w:val="00EE30D9"/>
    <w:rsid w:val="00EE335E"/>
    <w:rsid w:val="00EE43F0"/>
    <w:rsid w:val="00EE5447"/>
    <w:rsid w:val="00EE5D60"/>
    <w:rsid w:val="00EE67EC"/>
    <w:rsid w:val="00EF07C6"/>
    <w:rsid w:val="00EF0ABF"/>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80D"/>
    <w:rsid w:val="00F07A78"/>
    <w:rsid w:val="00F07F91"/>
    <w:rsid w:val="00F10327"/>
    <w:rsid w:val="00F10D43"/>
    <w:rsid w:val="00F10D75"/>
    <w:rsid w:val="00F11070"/>
    <w:rsid w:val="00F119F3"/>
    <w:rsid w:val="00F11B56"/>
    <w:rsid w:val="00F11D4B"/>
    <w:rsid w:val="00F13310"/>
    <w:rsid w:val="00F134D5"/>
    <w:rsid w:val="00F13D0A"/>
    <w:rsid w:val="00F14D2E"/>
    <w:rsid w:val="00F15617"/>
    <w:rsid w:val="00F16062"/>
    <w:rsid w:val="00F16586"/>
    <w:rsid w:val="00F1673B"/>
    <w:rsid w:val="00F169C5"/>
    <w:rsid w:val="00F16B35"/>
    <w:rsid w:val="00F17356"/>
    <w:rsid w:val="00F17A12"/>
    <w:rsid w:val="00F17F2B"/>
    <w:rsid w:val="00F20BEE"/>
    <w:rsid w:val="00F20C0D"/>
    <w:rsid w:val="00F20FDE"/>
    <w:rsid w:val="00F2144E"/>
    <w:rsid w:val="00F214AE"/>
    <w:rsid w:val="00F21AD4"/>
    <w:rsid w:val="00F2271B"/>
    <w:rsid w:val="00F22E33"/>
    <w:rsid w:val="00F22EBA"/>
    <w:rsid w:val="00F23181"/>
    <w:rsid w:val="00F23CED"/>
    <w:rsid w:val="00F2447D"/>
    <w:rsid w:val="00F24B82"/>
    <w:rsid w:val="00F24BAD"/>
    <w:rsid w:val="00F2500D"/>
    <w:rsid w:val="00F2545E"/>
    <w:rsid w:val="00F25C38"/>
    <w:rsid w:val="00F26554"/>
    <w:rsid w:val="00F26580"/>
    <w:rsid w:val="00F26C43"/>
    <w:rsid w:val="00F27CF4"/>
    <w:rsid w:val="00F300EF"/>
    <w:rsid w:val="00F3237B"/>
    <w:rsid w:val="00F32700"/>
    <w:rsid w:val="00F32CED"/>
    <w:rsid w:val="00F32F3A"/>
    <w:rsid w:val="00F35BFC"/>
    <w:rsid w:val="00F3751D"/>
    <w:rsid w:val="00F404BE"/>
    <w:rsid w:val="00F41C05"/>
    <w:rsid w:val="00F41C75"/>
    <w:rsid w:val="00F41EDD"/>
    <w:rsid w:val="00F42583"/>
    <w:rsid w:val="00F4266D"/>
    <w:rsid w:val="00F4331E"/>
    <w:rsid w:val="00F44254"/>
    <w:rsid w:val="00F44389"/>
    <w:rsid w:val="00F44D08"/>
    <w:rsid w:val="00F455A5"/>
    <w:rsid w:val="00F4564C"/>
    <w:rsid w:val="00F456EB"/>
    <w:rsid w:val="00F45B07"/>
    <w:rsid w:val="00F46178"/>
    <w:rsid w:val="00F46581"/>
    <w:rsid w:val="00F473D4"/>
    <w:rsid w:val="00F479C7"/>
    <w:rsid w:val="00F50848"/>
    <w:rsid w:val="00F50863"/>
    <w:rsid w:val="00F50EA8"/>
    <w:rsid w:val="00F51B4D"/>
    <w:rsid w:val="00F52B4D"/>
    <w:rsid w:val="00F52C93"/>
    <w:rsid w:val="00F52D25"/>
    <w:rsid w:val="00F5312A"/>
    <w:rsid w:val="00F5336B"/>
    <w:rsid w:val="00F53A73"/>
    <w:rsid w:val="00F54BAA"/>
    <w:rsid w:val="00F54D88"/>
    <w:rsid w:val="00F54DCB"/>
    <w:rsid w:val="00F54E57"/>
    <w:rsid w:val="00F5509E"/>
    <w:rsid w:val="00F55A19"/>
    <w:rsid w:val="00F56CFD"/>
    <w:rsid w:val="00F57AA8"/>
    <w:rsid w:val="00F57DAE"/>
    <w:rsid w:val="00F606DC"/>
    <w:rsid w:val="00F60811"/>
    <w:rsid w:val="00F60B44"/>
    <w:rsid w:val="00F6115E"/>
    <w:rsid w:val="00F6205F"/>
    <w:rsid w:val="00F621C1"/>
    <w:rsid w:val="00F623D7"/>
    <w:rsid w:val="00F6241F"/>
    <w:rsid w:val="00F64C25"/>
    <w:rsid w:val="00F65016"/>
    <w:rsid w:val="00F65776"/>
    <w:rsid w:val="00F65C35"/>
    <w:rsid w:val="00F65DA4"/>
    <w:rsid w:val="00F66509"/>
    <w:rsid w:val="00F66ECC"/>
    <w:rsid w:val="00F66F13"/>
    <w:rsid w:val="00F67962"/>
    <w:rsid w:val="00F71289"/>
    <w:rsid w:val="00F71478"/>
    <w:rsid w:val="00F7190B"/>
    <w:rsid w:val="00F71BB3"/>
    <w:rsid w:val="00F724AC"/>
    <w:rsid w:val="00F724B6"/>
    <w:rsid w:val="00F724E9"/>
    <w:rsid w:val="00F72A56"/>
    <w:rsid w:val="00F72AC2"/>
    <w:rsid w:val="00F7324A"/>
    <w:rsid w:val="00F73BFF"/>
    <w:rsid w:val="00F748C9"/>
    <w:rsid w:val="00F74C6E"/>
    <w:rsid w:val="00F7532F"/>
    <w:rsid w:val="00F7540F"/>
    <w:rsid w:val="00F75B3F"/>
    <w:rsid w:val="00F764E2"/>
    <w:rsid w:val="00F76848"/>
    <w:rsid w:val="00F76A10"/>
    <w:rsid w:val="00F77563"/>
    <w:rsid w:val="00F77653"/>
    <w:rsid w:val="00F77F59"/>
    <w:rsid w:val="00F80B6C"/>
    <w:rsid w:val="00F813C7"/>
    <w:rsid w:val="00F81C26"/>
    <w:rsid w:val="00F824CF"/>
    <w:rsid w:val="00F8266A"/>
    <w:rsid w:val="00F83CFC"/>
    <w:rsid w:val="00F84048"/>
    <w:rsid w:val="00F848CF"/>
    <w:rsid w:val="00F84A81"/>
    <w:rsid w:val="00F85383"/>
    <w:rsid w:val="00F8616E"/>
    <w:rsid w:val="00F87476"/>
    <w:rsid w:val="00F8782B"/>
    <w:rsid w:val="00F87DBF"/>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0FE9"/>
    <w:rsid w:val="00FA1502"/>
    <w:rsid w:val="00FA219D"/>
    <w:rsid w:val="00FA3307"/>
    <w:rsid w:val="00FA3751"/>
    <w:rsid w:val="00FA3754"/>
    <w:rsid w:val="00FA399F"/>
    <w:rsid w:val="00FA3A96"/>
    <w:rsid w:val="00FA42A2"/>
    <w:rsid w:val="00FA4772"/>
    <w:rsid w:val="00FA4C04"/>
    <w:rsid w:val="00FA57A1"/>
    <w:rsid w:val="00FA6026"/>
    <w:rsid w:val="00FA67DB"/>
    <w:rsid w:val="00FA6FF0"/>
    <w:rsid w:val="00FA71FA"/>
    <w:rsid w:val="00FA742A"/>
    <w:rsid w:val="00FB08D6"/>
    <w:rsid w:val="00FB08DE"/>
    <w:rsid w:val="00FB0F4E"/>
    <w:rsid w:val="00FB0FC9"/>
    <w:rsid w:val="00FB1413"/>
    <w:rsid w:val="00FB246A"/>
    <w:rsid w:val="00FB2914"/>
    <w:rsid w:val="00FB33E3"/>
    <w:rsid w:val="00FB3578"/>
    <w:rsid w:val="00FB42AD"/>
    <w:rsid w:val="00FB540D"/>
    <w:rsid w:val="00FB5C49"/>
    <w:rsid w:val="00FB68D5"/>
    <w:rsid w:val="00FB6C9E"/>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E88"/>
    <w:rsid w:val="00FD0F26"/>
    <w:rsid w:val="00FD1C3E"/>
    <w:rsid w:val="00FD1FDB"/>
    <w:rsid w:val="00FD21D2"/>
    <w:rsid w:val="00FD24DD"/>
    <w:rsid w:val="00FD2674"/>
    <w:rsid w:val="00FD297F"/>
    <w:rsid w:val="00FD346A"/>
    <w:rsid w:val="00FD3877"/>
    <w:rsid w:val="00FD38B0"/>
    <w:rsid w:val="00FD3BC8"/>
    <w:rsid w:val="00FD4228"/>
    <w:rsid w:val="00FD493C"/>
    <w:rsid w:val="00FD5A3A"/>
    <w:rsid w:val="00FD6AC7"/>
    <w:rsid w:val="00FD6B88"/>
    <w:rsid w:val="00FD6F52"/>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3FD"/>
    <w:rsid w:val="00FE45C0"/>
    <w:rsid w:val="00FE5D0C"/>
    <w:rsid w:val="00FE70A3"/>
    <w:rsid w:val="00FF0080"/>
    <w:rsid w:val="00FF00AE"/>
    <w:rsid w:val="00FF2707"/>
    <w:rsid w:val="00FF2A07"/>
    <w:rsid w:val="00FF3556"/>
    <w:rsid w:val="00FF3BE9"/>
    <w:rsid w:val="00FF54D9"/>
    <w:rsid w:val="00FF6149"/>
    <w:rsid w:val="00FF6316"/>
    <w:rsid w:val="014E7962"/>
    <w:rsid w:val="016C2437"/>
    <w:rsid w:val="028712D5"/>
    <w:rsid w:val="029D24F0"/>
    <w:rsid w:val="035B3E9E"/>
    <w:rsid w:val="04471946"/>
    <w:rsid w:val="05051CC3"/>
    <w:rsid w:val="053F02B8"/>
    <w:rsid w:val="06616ACA"/>
    <w:rsid w:val="07261A30"/>
    <w:rsid w:val="07C4615E"/>
    <w:rsid w:val="0AC55483"/>
    <w:rsid w:val="0B0F4B79"/>
    <w:rsid w:val="0C5E56D6"/>
    <w:rsid w:val="0CCC23A9"/>
    <w:rsid w:val="0F4B2B4D"/>
    <w:rsid w:val="0F6F6DD1"/>
    <w:rsid w:val="11244A2B"/>
    <w:rsid w:val="1285670B"/>
    <w:rsid w:val="13A96C14"/>
    <w:rsid w:val="150E7772"/>
    <w:rsid w:val="16331689"/>
    <w:rsid w:val="17C13123"/>
    <w:rsid w:val="182432B7"/>
    <w:rsid w:val="1A0533DA"/>
    <w:rsid w:val="1AF3088C"/>
    <w:rsid w:val="1CA21B40"/>
    <w:rsid w:val="1CBE1B5C"/>
    <w:rsid w:val="1D465F0D"/>
    <w:rsid w:val="1D763357"/>
    <w:rsid w:val="21A53343"/>
    <w:rsid w:val="21BF5E1C"/>
    <w:rsid w:val="22755CB1"/>
    <w:rsid w:val="22A47DC8"/>
    <w:rsid w:val="245852A4"/>
    <w:rsid w:val="25C71D10"/>
    <w:rsid w:val="267963F4"/>
    <w:rsid w:val="2767305B"/>
    <w:rsid w:val="28D35F51"/>
    <w:rsid w:val="2A3E41A3"/>
    <w:rsid w:val="2AE942BA"/>
    <w:rsid w:val="2BA6603E"/>
    <w:rsid w:val="2E655A7C"/>
    <w:rsid w:val="2FC670D0"/>
    <w:rsid w:val="306D7D06"/>
    <w:rsid w:val="30763817"/>
    <w:rsid w:val="31FC1DC3"/>
    <w:rsid w:val="3396610A"/>
    <w:rsid w:val="343276BB"/>
    <w:rsid w:val="34A878CD"/>
    <w:rsid w:val="34AB37A9"/>
    <w:rsid w:val="3627392A"/>
    <w:rsid w:val="376F1E77"/>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7A74976"/>
    <w:rsid w:val="491614F0"/>
    <w:rsid w:val="49320F2A"/>
    <w:rsid w:val="4A3E4501"/>
    <w:rsid w:val="4B266879"/>
    <w:rsid w:val="4D9862E0"/>
    <w:rsid w:val="4F395FE7"/>
    <w:rsid w:val="4F642D81"/>
    <w:rsid w:val="5145170B"/>
    <w:rsid w:val="515C25B1"/>
    <w:rsid w:val="529A4A75"/>
    <w:rsid w:val="565274AA"/>
    <w:rsid w:val="5699137B"/>
    <w:rsid w:val="58105EE1"/>
    <w:rsid w:val="58374717"/>
    <w:rsid w:val="59E323D2"/>
    <w:rsid w:val="5AD779AE"/>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451E09"/>
    <w:rsid w:val="6D925A18"/>
    <w:rsid w:val="6E720E71"/>
    <w:rsid w:val="6EA3305A"/>
    <w:rsid w:val="6F65226E"/>
    <w:rsid w:val="6F997C61"/>
    <w:rsid w:val="705C694C"/>
    <w:rsid w:val="7127573C"/>
    <w:rsid w:val="718C08D5"/>
    <w:rsid w:val="71C17A7E"/>
    <w:rsid w:val="72412925"/>
    <w:rsid w:val="7255257F"/>
    <w:rsid w:val="725F01C6"/>
    <w:rsid w:val="73220EEB"/>
    <w:rsid w:val="73505DF7"/>
    <w:rsid w:val="738618A4"/>
    <w:rsid w:val="7464511F"/>
    <w:rsid w:val="74E86204"/>
    <w:rsid w:val="756F0759"/>
    <w:rsid w:val="778050BE"/>
    <w:rsid w:val="78F73E4B"/>
    <w:rsid w:val="794568AB"/>
    <w:rsid w:val="79E27812"/>
    <w:rsid w:val="7CF03597"/>
    <w:rsid w:val="7D1E3EB3"/>
    <w:rsid w:val="7D2D740B"/>
    <w:rsid w:val="7E21424B"/>
    <w:rsid w:val="7E424A63"/>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9"/>
    <w:qFormat/>
    <w:uiPriority w:val="9"/>
    <w:pPr>
      <w:keepNext/>
      <w:adjustRightInd w:val="0"/>
      <w:snapToGrid w:val="0"/>
      <w:spacing w:line="312" w:lineRule="auto"/>
      <w:outlineLvl w:val="0"/>
    </w:pPr>
    <w:rPr>
      <w:rFonts w:ascii="仿宋_GB2312" w:eastAsia="仿宋_GB2312"/>
      <w:b/>
      <w:bCs/>
    </w:rPr>
  </w:style>
  <w:style w:type="paragraph" w:styleId="4">
    <w:name w:val="heading 2"/>
    <w:basedOn w:val="1"/>
    <w:next w:val="1"/>
    <w:link w:val="56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87"/>
    <w:qFormat/>
    <w:uiPriority w:val="9"/>
    <w:pPr>
      <w:keepNext/>
      <w:keepLines/>
      <w:spacing w:before="260" w:after="260" w:line="413" w:lineRule="auto"/>
      <w:outlineLvl w:val="2"/>
    </w:pPr>
    <w:rPr>
      <w:b/>
      <w:bCs/>
      <w:sz w:val="32"/>
      <w:szCs w:val="32"/>
    </w:rPr>
  </w:style>
  <w:style w:type="paragraph" w:styleId="6">
    <w:name w:val="heading 4"/>
    <w:basedOn w:val="1"/>
    <w:next w:val="1"/>
    <w:link w:val="1447"/>
    <w:qFormat/>
    <w:uiPriority w:val="9"/>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1360"/>
    <w:qFormat/>
    <w:uiPriority w:val="9"/>
    <w:pPr>
      <w:keepNext/>
      <w:outlineLvl w:val="4"/>
    </w:pPr>
    <w:rPr>
      <w:rFonts w:ascii="楷体_GB2312" w:eastAsia="楷体_GB2312"/>
      <w:bCs/>
      <w:sz w:val="28"/>
      <w:szCs w:val="20"/>
    </w:rPr>
  </w:style>
  <w:style w:type="paragraph" w:styleId="8">
    <w:name w:val="heading 6"/>
    <w:basedOn w:val="1"/>
    <w:next w:val="1"/>
    <w:link w:val="562"/>
    <w:qFormat/>
    <w:uiPriority w:val="9"/>
    <w:pPr>
      <w:keepNext/>
      <w:keepLines/>
      <w:widowControl/>
      <w:spacing w:before="240" w:after="64" w:line="317" w:lineRule="auto"/>
      <w:jc w:val="left"/>
      <w:outlineLvl w:val="5"/>
    </w:pPr>
    <w:rPr>
      <w:rFonts w:ascii="Cambria" w:hAnsi="Cambria"/>
      <w:b/>
      <w:bCs/>
      <w:kern w:val="0"/>
      <w:sz w:val="28"/>
      <w:lang w:val="fr-FR" w:eastAsia="fr-FR"/>
    </w:rPr>
  </w:style>
  <w:style w:type="paragraph" w:styleId="9">
    <w:name w:val="heading 7"/>
    <w:basedOn w:val="1"/>
    <w:next w:val="1"/>
    <w:link w:val="843"/>
    <w:qFormat/>
    <w:uiPriority w:val="9"/>
    <w:pPr>
      <w:keepNext/>
      <w:tabs>
        <w:tab w:val="left" w:pos="360"/>
      </w:tabs>
      <w:ind w:left="360" w:hanging="360"/>
      <w:outlineLvl w:val="6"/>
    </w:pPr>
    <w:rPr>
      <w:rFonts w:ascii="楷体_GB2312" w:eastAsia="楷体_GB2312"/>
      <w:bCs/>
      <w:color w:val="FF0000"/>
      <w:sz w:val="28"/>
    </w:rPr>
  </w:style>
  <w:style w:type="paragraph" w:styleId="10">
    <w:name w:val="heading 8"/>
    <w:basedOn w:val="1"/>
    <w:next w:val="1"/>
    <w:link w:val="1071"/>
    <w:qFormat/>
    <w:uiPriority w:val="9"/>
    <w:pPr>
      <w:keepNext/>
      <w:keepLines/>
      <w:widowControl/>
      <w:spacing w:before="240" w:after="64" w:line="317" w:lineRule="auto"/>
      <w:jc w:val="left"/>
      <w:outlineLvl w:val="7"/>
    </w:pPr>
    <w:rPr>
      <w:rFonts w:ascii="Cambria" w:hAnsi="Cambria"/>
      <w:kern w:val="0"/>
      <w:sz w:val="28"/>
      <w:lang w:val="fr-FR" w:eastAsia="fr-FR"/>
    </w:rPr>
  </w:style>
  <w:style w:type="paragraph" w:styleId="11">
    <w:name w:val="heading 9"/>
    <w:basedOn w:val="1"/>
    <w:next w:val="1"/>
    <w:link w:val="1406"/>
    <w:qFormat/>
    <w:uiPriority w:val="9"/>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2">
    <w:name w:val="List 3"/>
    <w:basedOn w:val="1"/>
    <w:qFormat/>
    <w:uiPriority w:val="0"/>
    <w:pPr>
      <w:ind w:left="600" w:leftChars="400" w:hanging="200" w:hangingChars="200"/>
    </w:pPr>
  </w:style>
  <w:style w:type="paragraph" w:styleId="13">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4">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5">
    <w:name w:val="table of authorities"/>
    <w:basedOn w:val="1"/>
    <w:next w:val="1"/>
    <w:qFormat/>
    <w:uiPriority w:val="0"/>
    <w:pPr>
      <w:ind w:left="420" w:leftChars="200"/>
    </w:pPr>
    <w:rPr>
      <w:rFonts w:eastAsia="方正楷体简体"/>
      <w:sz w:val="28"/>
      <w:szCs w:val="20"/>
    </w:rPr>
  </w:style>
  <w:style w:type="paragraph" w:styleId="16">
    <w:name w:val="Note Heading"/>
    <w:basedOn w:val="1"/>
    <w:next w:val="1"/>
    <w:link w:val="1584"/>
    <w:qFormat/>
    <w:uiPriority w:val="0"/>
    <w:pPr>
      <w:jc w:val="center"/>
    </w:pPr>
    <w:rPr>
      <w:rFonts w:ascii="金梅簡體中黑字形" w:hAnsi="Arial" w:eastAsia="金梅簡體中黑字形"/>
      <w:kern w:val="0"/>
      <w:sz w:val="24"/>
    </w:rPr>
  </w:style>
  <w:style w:type="paragraph" w:styleId="17">
    <w:name w:val="List Bullet 4"/>
    <w:basedOn w:val="1"/>
    <w:qFormat/>
    <w:uiPriority w:val="0"/>
    <w:pPr>
      <w:tabs>
        <w:tab w:val="left" w:pos="1620"/>
      </w:tabs>
      <w:ind w:left="1620" w:leftChars="600" w:hanging="360" w:hangingChars="200"/>
    </w:pPr>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E-mail Signature"/>
    <w:basedOn w:val="1"/>
    <w:link w:val="705"/>
    <w:qFormat/>
    <w:uiPriority w:val="0"/>
    <w:pPr>
      <w:jc w:val="left"/>
    </w:pPr>
    <w:rPr>
      <w:rFonts w:ascii="DFKai-SB" w:eastAsia="DFKai-SB"/>
      <w:kern w:val="0"/>
      <w:sz w:val="28"/>
    </w:rPr>
  </w:style>
  <w:style w:type="paragraph" w:styleId="20">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1">
    <w:name w:val="Normal Indent"/>
    <w:basedOn w:val="1"/>
    <w:link w:val="534"/>
    <w:qFormat/>
    <w:uiPriority w:val="99"/>
    <w:pPr>
      <w:widowControl/>
      <w:ind w:firstLine="420"/>
      <w:jc w:val="left"/>
    </w:pPr>
    <w:rPr>
      <w:rFonts w:eastAsia="楷体_GB2312"/>
      <w:kern w:val="0"/>
      <w:sz w:val="24"/>
      <w:szCs w:val="20"/>
    </w:rPr>
  </w:style>
  <w:style w:type="paragraph" w:styleId="22">
    <w:name w:val="caption"/>
    <w:basedOn w:val="1"/>
    <w:next w:val="1"/>
    <w:link w:val="369"/>
    <w:qFormat/>
    <w:uiPriority w:val="0"/>
    <w:rPr>
      <w:rFonts w:ascii="Arial" w:hAnsi="Arial" w:eastAsia="黑体"/>
      <w:sz w:val="20"/>
      <w:szCs w:val="20"/>
    </w:rPr>
  </w:style>
  <w:style w:type="paragraph" w:styleId="23">
    <w:name w:val="index 5"/>
    <w:basedOn w:val="1"/>
    <w:next w:val="1"/>
    <w:qFormat/>
    <w:uiPriority w:val="0"/>
    <w:pPr>
      <w:adjustRightInd w:val="0"/>
      <w:spacing w:line="360" w:lineRule="auto"/>
      <w:ind w:left="1200" w:hanging="240"/>
      <w:jc w:val="left"/>
      <w:textAlignment w:val="baseline"/>
    </w:pPr>
    <w:rPr>
      <w:sz w:val="20"/>
      <w:szCs w:val="20"/>
    </w:rPr>
  </w:style>
  <w:style w:type="paragraph" w:styleId="24">
    <w:name w:val="List Bullet"/>
    <w:basedOn w:val="1"/>
    <w:qFormat/>
    <w:uiPriority w:val="0"/>
    <w:pPr>
      <w:tabs>
        <w:tab w:val="left" w:pos="360"/>
        <w:tab w:val="left" w:pos="1104"/>
      </w:tabs>
      <w:ind w:left="1104" w:hanging="696"/>
    </w:pPr>
    <w:rPr>
      <w:szCs w:val="20"/>
    </w:rPr>
  </w:style>
  <w:style w:type="paragraph" w:styleId="25">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6">
    <w:name w:val="Document Map"/>
    <w:basedOn w:val="1"/>
    <w:link w:val="245"/>
    <w:qFormat/>
    <w:uiPriority w:val="0"/>
    <w:pPr>
      <w:shd w:val="clear" w:color="auto" w:fill="000080"/>
    </w:pPr>
    <w:rPr>
      <w:szCs w:val="20"/>
    </w:rPr>
  </w:style>
  <w:style w:type="paragraph" w:styleId="27">
    <w:name w:val="toa heading"/>
    <w:basedOn w:val="1"/>
    <w:next w:val="1"/>
    <w:qFormat/>
    <w:uiPriority w:val="0"/>
    <w:pPr>
      <w:spacing w:before="120"/>
    </w:pPr>
    <w:rPr>
      <w:rFonts w:ascii="Arial" w:hAnsi="Arial" w:eastAsia="方正楷体简体"/>
      <w:b/>
      <w:bCs/>
      <w:sz w:val="28"/>
    </w:rPr>
  </w:style>
  <w:style w:type="paragraph" w:styleId="28">
    <w:name w:val="annotation text"/>
    <w:basedOn w:val="1"/>
    <w:link w:val="1245"/>
    <w:qFormat/>
    <w:uiPriority w:val="99"/>
    <w:pPr>
      <w:widowControl/>
      <w:spacing w:before="120"/>
      <w:jc w:val="left"/>
    </w:pPr>
    <w:rPr>
      <w:kern w:val="0"/>
      <w:sz w:val="20"/>
      <w:szCs w:val="20"/>
      <w:lang w:eastAsia="en-US"/>
    </w:rPr>
  </w:style>
  <w:style w:type="paragraph" w:styleId="29">
    <w:name w:val="index 6"/>
    <w:basedOn w:val="1"/>
    <w:next w:val="1"/>
    <w:qFormat/>
    <w:uiPriority w:val="0"/>
    <w:pPr>
      <w:adjustRightInd w:val="0"/>
      <w:spacing w:line="360" w:lineRule="auto"/>
      <w:ind w:left="1440" w:hanging="240"/>
      <w:jc w:val="left"/>
      <w:textAlignment w:val="baseline"/>
    </w:pPr>
    <w:rPr>
      <w:sz w:val="20"/>
      <w:szCs w:val="20"/>
    </w:rPr>
  </w:style>
  <w:style w:type="paragraph" w:styleId="30">
    <w:name w:val="Salutation"/>
    <w:basedOn w:val="1"/>
    <w:next w:val="1"/>
    <w:link w:val="1274"/>
    <w:qFormat/>
    <w:uiPriority w:val="0"/>
    <w:rPr>
      <w:sz w:val="28"/>
    </w:rPr>
  </w:style>
  <w:style w:type="paragraph" w:styleId="31">
    <w:name w:val="Body Text 3"/>
    <w:basedOn w:val="1"/>
    <w:link w:val="1064"/>
    <w:qFormat/>
    <w:uiPriority w:val="0"/>
    <w:rPr>
      <w:rFonts w:ascii="仿宋_GB2312" w:eastAsia="仿宋_GB2312"/>
      <w:sz w:val="24"/>
    </w:rPr>
  </w:style>
  <w:style w:type="paragraph" w:styleId="32">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3">
    <w:name w:val="List Bullet 3"/>
    <w:basedOn w:val="1"/>
    <w:qFormat/>
    <w:uiPriority w:val="0"/>
    <w:pPr>
      <w:tabs>
        <w:tab w:val="left" w:pos="780"/>
        <w:tab w:val="left" w:pos="1200"/>
      </w:tabs>
      <w:ind w:left="1020" w:hanging="1020"/>
      <w:jc w:val="left"/>
    </w:pPr>
    <w:rPr>
      <w:rFonts w:ascii="宋体" w:hAnsi="宋体"/>
    </w:rPr>
  </w:style>
  <w:style w:type="paragraph" w:styleId="34">
    <w:name w:val="Body Text"/>
    <w:basedOn w:val="1"/>
    <w:link w:val="1383"/>
    <w:qFormat/>
    <w:uiPriority w:val="0"/>
    <w:pPr>
      <w:spacing w:line="360" w:lineRule="auto"/>
    </w:pPr>
    <w:rPr>
      <w:rFonts w:ascii="楷体_GB2312" w:eastAsia="楷体_GB2312"/>
      <w:bCs/>
      <w:sz w:val="28"/>
    </w:rPr>
  </w:style>
  <w:style w:type="paragraph" w:styleId="35">
    <w:name w:val="Body Text Indent"/>
    <w:basedOn w:val="1"/>
    <w:link w:val="1066"/>
    <w:qFormat/>
    <w:uiPriority w:val="99"/>
    <w:pPr>
      <w:ind w:firstLine="420" w:firstLineChars="200"/>
    </w:pPr>
    <w:rPr>
      <w:rFonts w:ascii="宋体" w:hAnsi="宋体"/>
    </w:rPr>
  </w:style>
  <w:style w:type="paragraph" w:styleId="36">
    <w:name w:val="List Number 3"/>
    <w:basedOn w:val="1"/>
    <w:qFormat/>
    <w:uiPriority w:val="0"/>
    <w:pPr>
      <w:tabs>
        <w:tab w:val="left" w:pos="360"/>
        <w:tab w:val="left" w:pos="450"/>
        <w:tab w:val="left" w:pos="1200"/>
      </w:tabs>
      <w:ind w:left="450" w:hanging="450"/>
      <w:jc w:val="left"/>
    </w:pPr>
    <w:rPr>
      <w:rFonts w:ascii="宋体" w:hAnsi="宋体"/>
    </w:rPr>
  </w:style>
  <w:style w:type="paragraph" w:styleId="37">
    <w:name w:val="List 2"/>
    <w:basedOn w:val="1"/>
    <w:qFormat/>
    <w:uiPriority w:val="0"/>
    <w:pPr>
      <w:ind w:left="100" w:leftChars="200" w:hanging="200" w:hangingChars="200"/>
      <w:jc w:val="left"/>
    </w:pPr>
    <w:rPr>
      <w:rFonts w:ascii="宋体" w:hAnsi="宋体"/>
    </w:rPr>
  </w:style>
  <w:style w:type="paragraph" w:styleId="38">
    <w:name w:val="List Continue"/>
    <w:basedOn w:val="1"/>
    <w:qFormat/>
    <w:uiPriority w:val="0"/>
    <w:pPr>
      <w:spacing w:after="120"/>
      <w:ind w:left="420"/>
      <w:jc w:val="left"/>
    </w:pPr>
    <w:rPr>
      <w:rFonts w:ascii="宋体" w:hAnsi="宋体"/>
    </w:r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39"/>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0"/>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99"/>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99"/>
    <w:rPr>
      <w:sz w:val="18"/>
      <w:szCs w:val="18"/>
    </w:rPr>
  </w:style>
  <w:style w:type="paragraph" w:styleId="55">
    <w:name w:val="footer"/>
    <w:basedOn w:val="1"/>
    <w:link w:val="838"/>
    <w:qFormat/>
    <w:uiPriority w:val="99"/>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99"/>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39"/>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0"/>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39"/>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99"/>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223"/>
    <w:qFormat/>
    <w:uiPriority w:val="99"/>
    <w:pPr>
      <w:widowControl w:val="0"/>
      <w:spacing w:before="0"/>
    </w:pPr>
    <w:rPr>
      <w:b/>
      <w:bCs/>
      <w:kern w:val="2"/>
      <w:sz w:val="21"/>
      <w:lang w:eastAsia="zh-CN"/>
    </w:rPr>
  </w:style>
  <w:style w:type="paragraph" w:styleId="86">
    <w:name w:val="Body Text First Indent"/>
    <w:basedOn w:val="34"/>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5"/>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2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99"/>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0"/>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1"/>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qFormat/>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5"/>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5"/>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8"/>
    <w:next w:val="28"/>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方正楷体_GB2312" w:eastAsia="方正楷体_GB2312"/>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方正楷体_GB2312" w:eastAsia="方正楷体_GB2312"/>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5"/>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3"/>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99"/>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8"/>
    <w:next w:val="28"/>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4"/>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6"/>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3"/>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2"/>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6"/>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99"/>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4"/>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2"/>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99"/>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方正楷体_GB2312" w:hAnsi="DFKai-SB" w:eastAsia="方正楷体_GB2312"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方正楷体_GB2312" w:hAnsi="DFKai-SB" w:eastAsia="方正楷体_GB2312"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34"/>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0"/>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5"/>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2"/>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7"/>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99"/>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6"/>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0"/>
    <w:rPr>
      <w:rFonts w:ascii="楷体_GB2312" w:eastAsia="楷体_GB2312"/>
      <w:bCs/>
      <w:kern w:val="2"/>
      <w:sz w:val="28"/>
      <w:szCs w:val="24"/>
      <w:lang w:val="en-US" w:eastAsia="zh-CN" w:bidi="ar-SA"/>
    </w:rPr>
  </w:style>
  <w:style w:type="paragraph" w:customStyle="1" w:styleId="390">
    <w:name w:val="正文首行缩进11"/>
    <w:basedOn w:val="34"/>
    <w:link w:val="388"/>
    <w:qFormat/>
    <w:uiPriority w:val="0"/>
    <w:pPr>
      <w:spacing w:after="120" w:line="240" w:lineRule="auto"/>
      <w:ind w:firstLine="420" w:firstLineChars="100"/>
    </w:pPr>
  </w:style>
  <w:style w:type="character" w:customStyle="1" w:styleId="391">
    <w:name w:val="第二級 字元"/>
    <w:link w:val="392"/>
    <w:qFormat/>
    <w:uiPriority w:val="0"/>
    <w:rPr>
      <w:rFonts w:ascii="方正楷体_GB2312" w:eastAsia="方正楷体_GB2312"/>
      <w:b/>
      <w:kern w:val="2"/>
      <w:sz w:val="28"/>
      <w:szCs w:val="28"/>
      <w:lang w:val="en-US" w:eastAsia="zh-CN" w:bidi="ar-SA"/>
    </w:rPr>
  </w:style>
  <w:style w:type="paragraph" w:customStyle="1" w:styleId="392">
    <w:name w:val="第二級"/>
    <w:basedOn w:val="1"/>
    <w:link w:val="391"/>
    <w:qFormat/>
    <w:uiPriority w:val="0"/>
    <w:rPr>
      <w:rFonts w:ascii="方正楷体_GB2312" w:eastAsia="方正楷体_GB2312"/>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99"/>
    <w:rPr>
      <w:rFonts w:ascii="楷体_GB2312" w:eastAsia="楷体_GB2312"/>
      <w:bCs/>
      <w:kern w:val="2"/>
      <w:sz w:val="28"/>
      <w:szCs w:val="24"/>
      <w:lang w:val="en-US" w:eastAsia="zh-CN" w:bidi="ar-SA"/>
    </w:rPr>
  </w:style>
  <w:style w:type="character" w:customStyle="1" w:styleId="402">
    <w:name w:val="批注主题 Char"/>
    <w:qFormat/>
    <w:uiPriority w:val="99"/>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3"/>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5"/>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99"/>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方正楷体_GB2312"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0"/>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0"/>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方正楷体_GB2312" w:hAnsi="DFKai-SB" w:eastAsia="方正楷体_GB2312"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0"/>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3"/>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99"/>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2"/>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5"/>
    <w:next w:val="5"/>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4"/>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4"/>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0"/>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1"/>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7"/>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1"/>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8"/>
    <w:qFormat/>
    <w:uiPriority w:val="99"/>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明显强调2"/>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4"/>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不明显强调1"/>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 w:val="left" w:pos="1701"/>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3"/>
    <w:qFormat/>
    <w:uiPriority w:val="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5"/>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4"/>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1"/>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2"/>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0"/>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99"/>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0"/>
    <w:rPr>
      <w:rFonts w:ascii="Calibri" w:hAnsi="Calibri"/>
      <w:kern w:val="2"/>
      <w:sz w:val="21"/>
      <w:szCs w:val="21"/>
    </w:rPr>
  </w:style>
  <w:style w:type="paragraph" w:styleId="658">
    <w:name w:val="No Spacing"/>
    <w:link w:val="657"/>
    <w:qFormat/>
    <w:uiPriority w:val="1"/>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0"/>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7"/>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1"/>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4"/>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99"/>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19"/>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6"/>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4"/>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4"/>
    <w:next w:val="5"/>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4"/>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7"/>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3"/>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4"/>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8"/>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99"/>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5"/>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0"/>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9"/>
    <w:qFormat/>
    <w:uiPriority w:val="99"/>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z-窗体顶端1"/>
    <w:basedOn w:val="1"/>
    <w:next w:val="1"/>
    <w:link w:val="844"/>
    <w:qFormat/>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5"/>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4"/>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0"/>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6"/>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3"/>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1"/>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0"/>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99"/>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4"/>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5"/>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4"/>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3"/>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4"/>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0"/>
    <w:rPr>
      <w:sz w:val="18"/>
    </w:rPr>
  </w:style>
  <w:style w:type="character" w:customStyle="1" w:styleId="1010">
    <w:name w:val="List Paragraph Char"/>
    <w:link w:val="1011"/>
    <w:qFormat/>
    <w:uiPriority w:val="99"/>
    <w:rPr>
      <w:rFonts w:eastAsia="宋体"/>
      <w:kern w:val="2"/>
      <w:sz w:val="21"/>
      <w:lang w:val="en-US" w:eastAsia="zh-CN" w:bidi="ar-SA"/>
    </w:rPr>
  </w:style>
  <w:style w:type="paragraph" w:customStyle="1" w:styleId="1011">
    <w:name w:val="列出段落1"/>
    <w:basedOn w:val="1"/>
    <w:link w:val="1010"/>
    <w:qFormat/>
    <w:uiPriority w:val="99"/>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4"/>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7"/>
    <w:next w:val="7"/>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2"/>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1"/>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
    <w:link w:val="35"/>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0"/>
    <w:qFormat/>
    <w:uiPriority w:val="99"/>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4"/>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3"/>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方正楷体_GB2312" w:eastAsia="方正楷体_GB2312"/>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1"/>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不明显参考1"/>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99"/>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2"/>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2"/>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99"/>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8"/>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7"/>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4"/>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9"/>
    <w:rPr>
      <w:rFonts w:ascii="楷体_GB2312" w:eastAsia="楷体_GB2312"/>
      <w:bCs/>
      <w:color w:val="FF0000"/>
      <w:kern w:val="2"/>
      <w:sz w:val="28"/>
      <w:lang w:val="en-US" w:eastAsia="zh-CN" w:bidi="ar-SA"/>
    </w:rPr>
  </w:style>
  <w:style w:type="character" w:customStyle="1" w:styleId="1157">
    <w:name w:val="页脚 Char"/>
    <w:qFormat/>
    <w:uiPriority w:val="99"/>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9"/>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6"/>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书籍标题1"/>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0"/>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6"/>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0"/>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5"/>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8"/>
    <w:qFormat/>
    <w:uiPriority w:val="99"/>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5"/>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5"/>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0"/>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0"/>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5"/>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99"/>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5"/>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99"/>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7"/>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0"/>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4"/>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4"/>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5"/>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99"/>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7"/>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1"/>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6"/>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9"/>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6"/>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99"/>
    <w:rPr>
      <w:rFonts w:ascii="楷体_GB2312" w:eastAsia="楷体_GB2312"/>
      <w:bCs/>
      <w:kern w:val="2"/>
      <w:sz w:val="28"/>
      <w:szCs w:val="24"/>
      <w:lang w:val="en-US" w:eastAsia="zh-CN" w:bidi="ar-SA"/>
    </w:rPr>
  </w:style>
  <w:style w:type="character" w:customStyle="1" w:styleId="1443">
    <w:name w:val="Char Char5"/>
    <w:qFormat/>
    <w:uiPriority w:val="99"/>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6"/>
    <w:qFormat/>
    <w:uiPriority w:val="9"/>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1"/>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明显参考1"/>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3"/>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2"/>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4"/>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7"/>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6"/>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5"/>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7"/>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5"/>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6"/>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4"/>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5"/>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3"/>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outlineLvl w:val="9"/>
    </w:pPr>
  </w:style>
  <w:style w:type="paragraph" w:customStyle="1" w:styleId="1621">
    <w:name w:val="工程建设条标题"/>
    <w:basedOn w:val="1622"/>
    <w:next w:val="1464"/>
    <w:semiHidden/>
    <w:qFormat/>
    <w:uiPriority w:val="0"/>
    <w:pPr>
      <w:tabs>
        <w:tab w:val="left" w:pos="780"/>
      </w:tabs>
      <w:spacing w:before="0" w:after="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6"/>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4"/>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7"/>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2835"/>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4"/>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3"/>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4"/>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3"/>
    <w:next w:val="34"/>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3"/>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6"/>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1"/>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5"/>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2"/>
    <w:next w:val="22"/>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567"/>
        <w:tab w:val="left" w:pos="2818"/>
        <w:tab w:val="left" w:pos="3238"/>
      </w:tabs>
      <w:ind w:left="3238" w:hanging="720"/>
    </w:pPr>
  </w:style>
  <w:style w:type="paragraph" w:customStyle="1" w:styleId="1783">
    <w:name w:val="l9标题6"/>
    <w:basedOn w:val="1784"/>
    <w:qFormat/>
    <w:uiPriority w:val="0"/>
    <w:pPr>
      <w:tabs>
        <w:tab w:val="left" w:pos="567"/>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4"/>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5"/>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2"/>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4"/>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6"/>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4"/>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0"/>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6"/>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99"/>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5"/>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4"/>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4"/>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3"/>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4"/>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1"/>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4"/>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420"/>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4"/>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1"/>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方正仿宋_GB2312" w:hAnsi="宋体" w:eastAsia="方正仿宋_GB2312"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4"/>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3"/>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7"/>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4"/>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6"/>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方正楷体_GB2312" w:eastAsia="方正楷体_GB2312"/>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5"/>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2"/>
    <w:next w:val="21"/>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5"/>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3"/>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3"/>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6"/>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4"/>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6"/>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5"/>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3"/>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4"/>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5"/>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方正楷体_GB2312" w:hAnsi="宋体" w:eastAsia="方正楷体_GB2312"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5"/>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9"/>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6"/>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5"/>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0"/>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6"/>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3"/>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2"/>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3"/>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5"/>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4"/>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4"/>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39"/>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3"/>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4"/>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1"/>
    <w:qFormat/>
    <w:uiPriority w:val="0"/>
    <w:rPr>
      <w:rFonts w:ascii="Times New Roman" w:eastAsia="宋体"/>
      <w:sz w:val="21"/>
    </w:rPr>
  </w:style>
  <w:style w:type="paragraph" w:customStyle="1" w:styleId="2232">
    <w:name w:val="样式 标题 1標題 1 字元Heading 1 Char 字元Heading 1 Char2 Char 字元Headin...2"/>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6"/>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4"/>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6"/>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3"/>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6"/>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6"/>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4"/>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5"/>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5"/>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4"/>
    <w:next w:val="34"/>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4"/>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6"/>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6"/>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方正楷体_GB2312" w:hAnsi="宋体" w:eastAsia="方正楷体_GB2312"/>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6"/>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方正楷体_GB2312" w:hAnsi="DFKai-SB" w:eastAsia="方正楷体_GB2312"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方正仿宋_GB2312" w:hAnsi="宋体" w:eastAsia="方正仿宋_GB2312"/>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4"/>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标题2"/>
    <w:basedOn w:val="3"/>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8"/>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3"/>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99"/>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6"/>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3"/>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0"/>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3"/>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7"/>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3"/>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5"/>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4"/>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6"/>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4"/>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3"/>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5"/>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3"/>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4"/>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4"/>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2"/>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5"/>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5"/>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3"/>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5"/>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 w:val="left" w:pos="168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5"/>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3"/>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2"/>
    <w:qFormat/>
    <w:uiPriority w:val="0"/>
    <w:pPr>
      <w:spacing w:before="152" w:after="160"/>
      <w:jc w:val="left"/>
    </w:pPr>
  </w:style>
  <w:style w:type="paragraph" w:customStyle="1" w:styleId="2571">
    <w:name w:val="样式 标题 5 + 四号"/>
    <w:basedOn w:val="7"/>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4"/>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4"/>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6"/>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5"/>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3"/>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1"/>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5"/>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6"/>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6"/>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5"/>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2"/>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5"/>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9"/>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5"/>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3"/>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outlineLvl w:val="4"/>
    </w:pPr>
  </w:style>
  <w:style w:type="paragraph" w:customStyle="1" w:styleId="2718">
    <w:name w:val="bt1bt1"/>
    <w:basedOn w:val="3"/>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8"/>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1"/>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4"/>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4"/>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qFormat/>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qFormat/>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4"/>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2"/>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qFormat/>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qFormat/>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qFormat/>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qFormat/>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5"/>
    <w:unhideWhenUsed/>
    <w:qFormat/>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qFormat/>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qFormat/>
    <w:uiPriority w:val="0"/>
    <w:pPr>
      <w:widowControl/>
      <w:spacing w:before="120" w:after="120"/>
      <w:jc w:val="left"/>
    </w:pPr>
    <w:rPr>
      <w:rFonts w:ascii="宋体" w:hAnsi="宋体"/>
      <w:b/>
      <w:kern w:val="0"/>
      <w:sz w:val="24"/>
      <w:szCs w:val="20"/>
    </w:rPr>
  </w:style>
  <w:style w:type="paragraph" w:customStyle="1" w:styleId="2767">
    <w:name w:val="样式 华诚标题4 +"/>
    <w:basedOn w:val="1"/>
    <w:qFormat/>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qFormat/>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qFormat/>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qFormat/>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3"/>
    <w:semiHidden/>
    <w:qFormat/>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0"/>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qFormat/>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qFormat/>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3"/>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3"/>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5"/>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4"/>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 w:val="left" w:pos="901"/>
        <w:tab w:val="left" w:pos="1134"/>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3"/>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3"/>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39"/>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4"/>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6"/>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8"/>
    <w:next w:val="28"/>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6"/>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4"/>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3"/>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7"/>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1"/>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5"/>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3"/>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4"/>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3"/>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5"/>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4"/>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3"/>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4"/>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5"/>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5"/>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5"/>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4"/>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4"/>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5"/>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4"/>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4"/>
    <w:qFormat/>
    <w:uiPriority w:val="0"/>
    <w:pPr>
      <w:spacing w:before="480" w:after="0" w:line="480" w:lineRule="auto"/>
      <w:ind w:left="2251" w:firstLine="159"/>
    </w:pPr>
    <w:rPr>
      <w:rFonts w:cs="宋体"/>
      <w:sz w:val="28"/>
      <w:szCs w:val="20"/>
    </w:rPr>
  </w:style>
  <w:style w:type="paragraph" w:customStyle="1" w:styleId="3040">
    <w:name w:val="SANGFOR_3_标题3"/>
    <w:basedOn w:val="5"/>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6"/>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6"/>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5"/>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6"/>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3"/>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tabs>
        <w:tab w:val="left" w:pos="1080"/>
      </w:tabs>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5"/>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2"/>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8"/>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4"/>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6"/>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2"/>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6"/>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3"/>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4"/>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5"/>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3"/>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4"/>
    <w:next w:val="35"/>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5"/>
    <w:next w:val="5"/>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3"/>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5"/>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3"/>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2"/>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5"/>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3"/>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4"/>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3"/>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6"/>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4"/>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4"/>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1"/>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4"/>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4"/>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2"/>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1"/>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4"/>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0"/>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7"/>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5"/>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5"/>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4"/>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3"/>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4"/>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99"/>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5"/>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4"/>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6"/>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4"/>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3"/>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378"/>
        <w:tab w:val="left" w:pos="420"/>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3"/>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2"/>
    <w:next w:val="34"/>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3"/>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2"/>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6"/>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0"/>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tabs>
        <w:tab w:val="left" w:pos="420"/>
      </w:tabs>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5"/>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5"/>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3"/>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7"/>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1"/>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3"/>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4"/>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8"/>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1"/>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3"/>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3"/>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4"/>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3"/>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4"/>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2"/>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3"/>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4"/>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4"/>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4"/>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 w:val="left" w:pos="108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3"/>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4"/>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4"/>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5"/>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3"/>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5"/>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4"/>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4"/>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4"/>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3"/>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5"/>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3"/>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6"/>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3"/>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5"/>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4"/>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4"/>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0"/>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3"/>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4"/>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1"/>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4"/>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4"/>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5"/>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3"/>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4"/>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4"/>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3"/>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jc w:val="center"/>
      <w:outlineLvl w:val="7"/>
    </w:pPr>
    <w:rPr>
      <w:b/>
    </w:rPr>
  </w:style>
  <w:style w:type="paragraph" w:customStyle="1" w:styleId="3783">
    <w:name w:val="咨3"/>
    <w:basedOn w:val="5"/>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4"/>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3"/>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1"/>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5"/>
    <w:qFormat/>
    <w:uiPriority w:val="0"/>
    <w:pPr>
      <w:spacing w:line="360" w:lineRule="auto"/>
      <w:ind w:left="720" w:firstLine="6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5"/>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3"/>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3"/>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6"/>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5"/>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3"/>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4"/>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1"/>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4"/>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4"/>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5"/>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6"/>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5"/>
    <w:next w:val="59"/>
    <w:qFormat/>
    <w:uiPriority w:val="0"/>
    <w:pPr>
      <w:widowControl/>
      <w:autoSpaceDE w:val="0"/>
      <w:autoSpaceDN w:val="0"/>
      <w:adjustRightInd w:val="0"/>
      <w:spacing w:before="120" w:line="380" w:lineRule="exact"/>
      <w:ind w:left="72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4"/>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5"/>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8"/>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4"/>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1"/>
    <w:semiHidden/>
    <w:qFormat/>
    <w:uiPriority w:val="0"/>
    <w:pPr>
      <w:ind w:firstLine="420"/>
      <w:jc w:val="left"/>
    </w:pPr>
    <w:rPr>
      <w:rFonts w:ascii="宋体" w:hAnsi="宋体"/>
      <w:szCs w:val="20"/>
    </w:rPr>
  </w:style>
  <w:style w:type="paragraph" w:customStyle="1" w:styleId="3988">
    <w:name w:val="正文26"/>
    <w:basedOn w:val="34"/>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5"/>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5"/>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4"/>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2"/>
    <w:next w:val="34"/>
    <w:qFormat/>
    <w:uiPriority w:val="0"/>
    <w:pPr>
      <w:spacing w:before="152" w:after="160"/>
      <w:jc w:val="left"/>
    </w:pPr>
  </w:style>
  <w:style w:type="paragraph" w:customStyle="1" w:styleId="4027">
    <w:name w:val="南昌1号线一期标题2级"/>
    <w:basedOn w:val="4"/>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6"/>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3"/>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3"/>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4"/>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3"/>
    <w:next w:val="3"/>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6"/>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4"/>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4085">
    <w:name w:val="页眉 Char1"/>
    <w:qFormat/>
    <w:uiPriority w:val="0"/>
    <w:rPr>
      <w:rFonts w:eastAsia="宋体"/>
      <w:kern w:val="2"/>
      <w:sz w:val="18"/>
      <w:lang w:val="en-US" w:eastAsia="zh-CN" w:bidi="ar-SA"/>
    </w:rPr>
  </w:style>
  <w:style w:type="character" w:customStyle="1" w:styleId="4086">
    <w:name w:val="Intense Emphasis"/>
    <w:qFormat/>
    <w:uiPriority w:val="21"/>
    <w:rPr>
      <w:b/>
      <w:bCs/>
      <w:i/>
      <w:iCs/>
      <w:color w:val="4F81BD"/>
    </w:rPr>
  </w:style>
  <w:style w:type="character" w:customStyle="1" w:styleId="4087">
    <w:name w:val="Subtle Emphasis"/>
    <w:qFormat/>
    <w:uiPriority w:val="19"/>
    <w:rPr>
      <w:i/>
      <w:color w:val="5A5A5A"/>
    </w:rPr>
  </w:style>
  <w:style w:type="character" w:customStyle="1" w:styleId="4088">
    <w:name w:val="正文文本缩进 Char1"/>
    <w:qFormat/>
    <w:uiPriority w:val="0"/>
    <w:rPr>
      <w:rFonts w:ascii="宋体" w:hAnsi="宋体" w:eastAsia="宋体"/>
      <w:kern w:val="2"/>
      <w:sz w:val="21"/>
      <w:szCs w:val="24"/>
      <w:lang w:val="en-US" w:eastAsia="zh-CN" w:bidi="ar-SA"/>
    </w:rPr>
  </w:style>
  <w:style w:type="character" w:customStyle="1" w:styleId="4089">
    <w:name w:val="Subtle Reference"/>
    <w:qFormat/>
    <w:uiPriority w:val="31"/>
    <w:rPr>
      <w:sz w:val="24"/>
      <w:szCs w:val="24"/>
      <w:u w:val="single"/>
    </w:rPr>
  </w:style>
  <w:style w:type="character" w:customStyle="1" w:styleId="4090">
    <w:name w:val="Book Title"/>
    <w:qFormat/>
    <w:uiPriority w:val="33"/>
    <w:rPr>
      <w:rFonts w:ascii="Cambria" w:hAnsi="Cambria" w:eastAsia="宋体"/>
      <w:b/>
      <w:i/>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DB160-6952-45B4-BF0E-BBC2293DD2E0}">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28</Pages>
  <Words>2523</Words>
  <Characters>14382</Characters>
  <Lines>119</Lines>
  <Paragraphs>33</Paragraphs>
  <TotalTime>136</TotalTime>
  <ScaleCrop>false</ScaleCrop>
  <LinksUpToDate>false</LinksUpToDate>
  <CharactersWithSpaces>16872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2023-09-13T07:25:00Z</dcterms:created>
  <dc:creator>Alex</dc:creator>
  <cp:lastModifiedBy>半夏</cp:lastModifiedBy>
  <cp:lastPrinted>2020-12-03T05:11:00Z</cp:lastPrinted>
  <dcterms:modified xsi:type="dcterms:W3CDTF">2023-11-08T00:32:24Z</dcterms:modified>
  <dc:title>江 阴 市 政 府 采 购</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7AEBC52B7D3147CCAB9AE8865B7EDBF5_13</vt:lpwstr>
  </property>
</Properties>
</file>