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2" w:hRule="atLeast"/>
        </w:trPr>
        <w:tc>
          <w:tcPr>
            <w:tcW w:w="10402" w:type="dxa"/>
            <w:tcBorders>
              <w:top w:val="nil"/>
              <w:left w:val="nil"/>
              <w:bottom w:val="nil"/>
              <w:right w:val="nil"/>
            </w:tcBorders>
          </w:tcPr>
          <w:p>
            <w:pPr>
              <w:pStyle w:val="8"/>
              <w:spacing w:line="360" w:lineRule="auto"/>
              <w:rPr>
                <w:rFonts w:hint="eastAsia" w:ascii="仿宋" w:hAnsi="仿宋" w:eastAsia="仿宋" w:cs="仿宋"/>
                <w:b/>
                <w:bCs/>
                <w:color w:val="FF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top"/>
          </w:tcPr>
          <w:p>
            <w:pPr>
              <w:ind w:right="284" w:rightChars="129"/>
              <w:jc w:val="center"/>
              <w:rPr>
                <w:rFonts w:hint="eastAsia" w:ascii="宋体" w:hAnsi="宋体" w:eastAsia="宋体" w:cs="宋体"/>
                <w:b/>
                <w:bCs/>
                <w:sz w:val="52"/>
                <w:szCs w:val="52"/>
                <w:lang w:val="en-US" w:eastAsia="zh-CN"/>
              </w:rPr>
            </w:pPr>
            <w:r>
              <w:rPr>
                <w:rFonts w:ascii="宋体" w:hAnsi="宋体" w:eastAsia="宋体" w:cs="宋体"/>
                <w:b/>
                <w:sz w:val="52"/>
              </w:rPr>
              <w:t>2022年度</w:t>
            </w:r>
            <w:r>
              <w:rPr>
                <w:rFonts w:ascii="宋体" w:hAnsi="宋体" w:eastAsia="宋体" w:cs="宋体"/>
                <w:b/>
                <w:sz w:val="52"/>
              </w:rPr>
              <w:cr/>
            </w:r>
            <w:r>
              <w:rPr>
                <w:rFonts w:ascii="宋体" w:hAnsi="宋体" w:eastAsia="宋体" w:cs="宋体"/>
                <w:b/>
                <w:sz w:val="52"/>
              </w:rPr>
              <w:br w:type="textWrapping"/>
            </w:r>
            <w:r>
              <w:rPr>
                <w:rFonts w:ascii="宋体" w:hAnsi="宋体" w:eastAsia="宋体" w:cs="宋体"/>
                <w:b/>
                <w:sz w:val="52"/>
              </w:rPr>
              <w:t>江阴市市场监督管理局</w:t>
            </w:r>
            <w:r>
              <w:rPr>
                <w:rFonts w:ascii="宋体" w:hAnsi="宋体" w:eastAsia="宋体" w:cs="宋体"/>
                <w:b/>
                <w:sz w:val="52"/>
              </w:rPr>
              <w:cr/>
            </w:r>
            <w:r>
              <w:rPr>
                <w:rFonts w:ascii="宋体" w:hAnsi="宋体" w:eastAsia="宋体" w:cs="宋体"/>
                <w:b/>
                <w:sz w:val="52"/>
              </w:rPr>
              <w:br w:type="textWrapping"/>
            </w:r>
            <w:r>
              <w:rPr>
                <w:rFonts w:ascii="宋体" w:hAnsi="宋体" w:eastAsia="宋体" w:cs="宋体"/>
                <w:b/>
                <w:sz w:val="52"/>
              </w:rPr>
              <w:t>部门决算公开</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70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tabs>
          <w:tab w:val="left" w:pos="880"/>
        </w:tabs>
        <w:spacing w:line="718" w:lineRule="exact"/>
        <w:ind w:right="313" w:firstLine="0"/>
        <w:outlineLvl w:val="0"/>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spacing w:before="7" w:after="0"/>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outlineLvl w:val="0"/>
        <w:rPr>
          <w:rFonts w:hint="eastAsia" w:ascii="黑体" w:hAnsi="黑体" w:eastAsia="黑体" w:cs="黑体"/>
          <w:b w:val="0"/>
          <w:bCs w:val="0"/>
        </w:rPr>
      </w:pPr>
      <w:r>
        <w:rPr>
          <w:rFonts w:hint="eastAsia" w:ascii="黑体" w:hAnsi="黑体" w:eastAsia="黑体" w:cs="黑体"/>
          <w:b w:val="0"/>
          <w:bCs w:val="0"/>
        </w:rPr>
        <w:t xml:space="preserve">第一部分 </w:t>
      </w:r>
      <w:r>
        <w:rPr>
          <w:rFonts w:hint="eastAsia" w:ascii="黑体" w:hAnsi="黑体" w:eastAsia="黑体" w:cs="黑体"/>
          <w:b w:val="0"/>
          <w:bCs w:val="0"/>
          <w:lang w:val="en-US" w:eastAsia="zh-CN"/>
        </w:rPr>
        <w:t>部门</w:t>
      </w:r>
      <w:r>
        <w:rPr>
          <w:rFonts w:hint="eastAsia" w:ascii="黑体" w:hAnsi="黑体" w:eastAsia="黑体" w:cs="黑体"/>
          <w:b w:val="0"/>
          <w:bCs w:val="0"/>
        </w:rPr>
        <w:t>概况</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部门</w:t>
      </w:r>
      <w:r>
        <w:rPr>
          <w:rFonts w:hint="eastAsia" w:ascii="仿宋" w:hAnsi="仿宋" w:eastAsia="仿宋" w:cs="仿宋"/>
        </w:rPr>
        <w:t>机构设置及决算单位构成情况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w:t>
      </w:r>
      <w:r>
        <w:rPr>
          <w:rFonts w:hint="eastAsia" w:ascii="仿宋" w:hAnsi="仿宋" w:eastAsia="仿宋" w:cs="仿宋"/>
          <w:lang w:val="en-US" w:eastAsia="zh-CN"/>
        </w:rPr>
        <w:t>2</w:t>
      </w:r>
      <w:r>
        <w:rPr>
          <w:rFonts w:hint="eastAsia" w:ascii="仿宋" w:hAnsi="仿宋" w:eastAsia="仿宋" w:cs="仿宋"/>
        </w:rPr>
        <w:t>年度主要工作完成情况</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黑体" w:hAnsi="黑体" w:eastAsia="黑体" w:cs="黑体"/>
          <w:b w:val="0"/>
          <w:bCs w:val="0"/>
        </w:rPr>
      </w:pPr>
      <w:r>
        <w:rPr>
          <w:rFonts w:hint="eastAsia" w:ascii="黑体" w:hAnsi="黑体" w:eastAsia="黑体" w:cs="黑体"/>
          <w:b w:val="0"/>
          <w:bCs w:val="0"/>
          <w:lang w:val="en-US" w:eastAsia="zh-CN"/>
        </w:rPr>
        <w:t>第二部分 2022年度</w:t>
      </w:r>
      <w:r>
        <w:rPr>
          <w:rFonts w:ascii="黑体" w:hAnsi="黑体" w:eastAsia="黑体" w:cs="黑体"/>
        </w:rPr>
        <w:t>部门决算表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5774" w:hanging="11" w:firstLineChars="0"/>
        <w:jc w:val="both"/>
        <w:textAlignment w:val="auto"/>
        <w:rPr>
          <w:rFonts w:hint="eastAsia" w:ascii="仿宋" w:hAnsi="仿宋" w:eastAsia="仿宋" w:cs="仿宋"/>
        </w:rPr>
      </w:pPr>
      <w:r>
        <w:rPr>
          <w:rFonts w:hint="eastAsia" w:ascii="仿宋" w:hAnsi="仿宋" w:eastAsia="仿宋" w:cs="仿宋"/>
          <w:spacing w:val="-2"/>
        </w:rPr>
        <w:t>一、收入支出决算总表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5774" w:hanging="11" w:firstLineChars="0"/>
        <w:jc w:val="both"/>
        <w:textAlignment w:val="auto"/>
        <w:rPr>
          <w:rFonts w:hint="eastAsia" w:ascii="仿宋" w:hAnsi="仿宋" w:eastAsia="仿宋" w:cs="仿宋"/>
        </w:rPr>
      </w:pPr>
      <w:r>
        <w:rPr>
          <w:rFonts w:hint="eastAsia" w:ascii="仿宋" w:hAnsi="仿宋" w:eastAsia="仿宋" w:cs="仿宋"/>
        </w:rPr>
        <w:t>二、收入决算表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w w:val="95"/>
        </w:rPr>
        <w:t>三、支出决算表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四、财政拨款收入支出决算总表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五、财政拨款支出决算表（功能科目）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894" w:hanging="11" w:firstLineChars="0"/>
        <w:jc w:val="both"/>
        <w:textAlignment w:val="auto"/>
        <w:rPr>
          <w:rFonts w:hint="eastAsia" w:ascii="仿宋" w:hAnsi="仿宋" w:eastAsia="仿宋" w:cs="仿宋"/>
        </w:rPr>
      </w:pPr>
      <w:r>
        <w:rPr>
          <w:rFonts w:hint="eastAsia" w:ascii="仿宋" w:hAnsi="仿宋" w:eastAsia="仿宋" w:cs="仿宋"/>
        </w:rPr>
        <w:t>六、财政拨款基本支出决算表（经济科目）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894" w:hanging="11" w:firstLineChars="0"/>
        <w:jc w:val="both"/>
        <w:textAlignment w:val="auto"/>
        <w:rPr>
          <w:rFonts w:hint="eastAsia" w:ascii="仿宋" w:hAnsi="仿宋" w:eastAsia="仿宋" w:cs="仿宋"/>
        </w:rPr>
      </w:pPr>
      <w:r>
        <w:rPr>
          <w:rFonts w:hint="eastAsia" w:ascii="仿宋" w:hAnsi="仿宋" w:eastAsia="仿宋" w:cs="仿宋"/>
        </w:rPr>
        <w:t>七、一般公共预算支出决算表（功能科目）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八、一般公共预算基本支出决算表（经济科目）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w:t>
      </w:r>
      <w:r>
        <w:rPr>
          <w:rFonts w:hint="eastAsia" w:ascii="仿宋" w:hAnsi="仿宋" w:eastAsia="仿宋" w:cs="仿宋"/>
          <w:lang w:val="en-US" w:eastAsia="zh-CN"/>
        </w:rPr>
        <w:t>财政拨款“三公”经费、会议费和培训费支出决算表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default" w:ascii="仿宋" w:hAnsi="仿宋" w:eastAsia="仿宋" w:cs="仿宋"/>
          <w:lang w:val="en-US" w:eastAsia="zh-CN"/>
        </w:rPr>
      </w:pPr>
      <w:r>
        <w:rPr>
          <w:rFonts w:hint="eastAsia" w:ascii="仿宋" w:hAnsi="仿宋" w:eastAsia="仿宋" w:cs="仿宋"/>
        </w:rPr>
        <w:t>十一、</w:t>
      </w:r>
      <w:r>
        <w:rPr>
          <w:rFonts w:hint="eastAsia" w:ascii="仿宋" w:hAnsi="仿宋" w:eastAsia="仿宋" w:cs="仿宋"/>
          <w:lang w:val="en-US" w:eastAsia="zh-CN"/>
        </w:rPr>
        <w:t>国有资本经营预算支出决算表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w:t>
      </w:r>
      <w:r>
        <w:rPr>
          <w:rFonts w:hint="eastAsia" w:ascii="仿宋" w:hAnsi="仿宋" w:eastAsia="仿宋" w:cs="仿宋"/>
          <w:lang w:val="en-US" w:eastAsia="zh-CN"/>
        </w:rPr>
        <w:t>财政拨款</w:t>
      </w:r>
      <w:r>
        <w:rPr>
          <w:rFonts w:hint="eastAsia" w:ascii="仿宋" w:hAnsi="仿宋" w:eastAsia="仿宋" w:cs="仿宋"/>
        </w:rPr>
        <w:t>机关运行经费支出决算表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黑体" w:hAnsi="黑体" w:eastAsia="黑体" w:cs="黑体"/>
          <w:b w:val="0"/>
          <w:bCs w:val="0"/>
          <w:lang w:val="en-US" w:eastAsia="zh-CN"/>
        </w:rPr>
      </w:pPr>
      <w:r>
        <w:rPr>
          <w:rFonts w:hint="eastAsia" w:ascii="黑体" w:hAnsi="黑体" w:eastAsia="黑体" w:cs="黑体"/>
          <w:b w:val="0"/>
          <w:bCs w:val="0"/>
          <w:lang w:val="en-US" w:eastAsia="zh-CN"/>
        </w:rPr>
        <w:t>第三部分 2022年度</w:t>
      </w:r>
      <w:r>
        <w:rPr>
          <w:rFonts w:ascii="黑体" w:hAnsi="黑体" w:eastAsia="黑体" w:cs="黑体"/>
        </w:rPr>
        <w:t>部门决算情况说明</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default" w:ascii="仿宋" w:hAnsi="仿宋" w:eastAsia="仿宋" w:cs="仿宋"/>
          <w:b/>
          <w:bCs/>
          <w:color w:val="000000"/>
          <w:sz w:val="30"/>
          <w:szCs w:val="30"/>
          <w:lang w:val="en-US" w:eastAsia="zh-CN" w:bidi="ar"/>
        </w:rPr>
      </w:pPr>
      <w:r>
        <w:rPr>
          <w:rFonts w:hint="eastAsia" w:ascii="黑体" w:hAnsi="黑体" w:eastAsia="黑体" w:cs="黑体"/>
          <w:b w:val="0"/>
          <w:bCs w:val="0"/>
          <w:lang w:val="en-US" w:eastAsia="zh-CN"/>
        </w:rPr>
        <w:t>第四部分 名词解释</w:t>
      </w:r>
    </w:p>
    <w:p>
      <w:pPr>
        <w:pStyle w:val="8"/>
        <w:spacing w:line="235" w:lineRule="auto"/>
        <w:ind w:left="669" w:leftChars="300" w:right="2414" w:hanging="9" w:firstLineChars="0"/>
        <w:jc w:val="both"/>
        <w:rPr>
          <w:rFonts w:hint="eastAsia" w:ascii="仿宋" w:hAnsi="仿宋" w:eastAsia="仿宋" w:cs="仿宋"/>
        </w:rPr>
        <w:sectPr>
          <w:footerReference r:id="rId6" w:type="default"/>
          <w:pgSz w:w="11906" w:h="16838"/>
          <w:pgMar w:top="1580" w:right="700" w:bottom="770" w:left="1020" w:header="283"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outlineLvl w:val="0"/>
        <w:rPr>
          <w:rFonts w:hint="eastAsia" w:ascii="宋体" w:hAnsi="宋体" w:eastAsia="宋体" w:cs="宋体"/>
          <w:b/>
          <w:bCs/>
        </w:rPr>
      </w:pPr>
      <w:r>
        <w:rPr>
          <w:rFonts w:hint="eastAsia" w:ascii="宋体" w:hAnsi="宋体" w:eastAsia="宋体" w:cs="宋体"/>
          <w:b/>
          <w:bCs/>
        </w:rPr>
        <w:t>第一部分</w:t>
      </w:r>
      <w:r>
        <w:rPr>
          <w:rFonts w:hint="eastAsia" w:ascii="宋体" w:hAnsi="宋体" w:eastAsia="宋体" w:cs="宋体"/>
          <w:b/>
          <w:bCs/>
          <w:lang w:val="en-US" w:eastAsia="zh-CN"/>
        </w:rPr>
        <w:t xml:space="preserve"> </w:t>
      </w:r>
      <w:r>
        <w:rPr>
          <w:rFonts w:hint="eastAsia" w:ascii="宋体" w:hAnsi="宋体" w:eastAsia="宋体" w:cs="宋体"/>
          <w:b/>
          <w:bCs/>
        </w:rPr>
        <w:t>部门概况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一）负责市场综合监督管理。贯彻执行国家有关市场监督管理的方针政策和法律法规，拟订市场监督管理有关规范性文件。组织实施知识产权战略、质量强市战略、食品安全战略和标准化战略，拟订并组织实施有关规划，规范和维护市场秩序，营造诚实守信、公平竞争的市场环境。</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（二）负责参与反垄断统一执法工作。统筹推进竞争政策实施，组织指导实施公平竞争审查制度。依据授权参与本市和指定区域的反垄断执法工作。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三）负责监督管理市场秩序。依法监督管理市场交易、网络商品交易及有关服务的行为。组织指导查处价格收费违法违规、不正当竞争、违法直销、传销、侵犯商标专利知识产权和制售假冒伪劣行为。指导广告业发展，监督管理广告活动。组织指导查处无照生产经营和相关无证生产经营行为。</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四）负责宏观质量管理。拟订实施全市质量发展的制度措施。组织实施质量奖励制度，推进品牌发展战略。按照权限会同有关部门组织实施重大工程设备质量监理、服务质量监测、重大质量事故调查制度。根据上级有关规定要求组织实施缺陷产品召回制度，监督管理产品防伪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（五）负责产品质量安全监督管理。负责组织全市生产、流通领域产品质量监督检查工作。组织实施质量分级、质量安全追溯制度。实施工业产品生产许可管理。</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六）负责特种设备安全监督管理。综合管理特种设备安全监察、监督工作，监督检查高耗能特种设备节能标准和锅炉环境保护标准执行情况。按规定权限组织调查特种设备事故。组织开展特种设备安全宣传教育。</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七）负责食品安全监督管理。负责食品安全监督管理的综合协调，组织实施食品安全战略，组织制定并实施全市食品安全重大政策，建立健全食品安全重要信息直报制度。建立并组织实施覆盖食品生产、流通、消费全过程的监督检查制度和隐患排查治理机制，防范区域性、系统性食品安全风险。推动建立食品生产经营者主体责任落实机制，健全食品安全追溯体系。组织开展食品安全监督抽检、风险监测、核查处置和风险预警、风险交流工作。负责食品安全应急体系建设，组织指导食品安全事件应急处置工作。组织实施和监督管理食品生产经营企业许可、特殊食品备案工作。推动落实食品安全工作责任制。承担市食品安全委员会办公室的日常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（八）负责统一管理全市计量工作。贯彻实施国家计量制度，推行法定计量单位，管理计量器具及量值传递和比对工作，负责规范、监督商品量和市场计量行为。</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（九）负责统一管理全市标准化工作。组织制定并实施全市标准化战略和规划，组织实施标准以及对标准制定、实施进行监督。推动参与国际标准化活动。</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（十）负责统一管理全市检验检测工作。推进全市检验检测体系发展，完善全市检验检测体系。规范检验检测市场，指导协调全市检验检测行业发展。</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十一）负责统一管理全市认证认可工作。组织实施国家统一的认证认可和合格评定监督管理制度，落实认证认可工作规划，指导和监督检查全市产品认证、体系认证、服务认证工作。指导促进全市认证行业发展。</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十二）负责药品、医疗器械和化妆品的质量管理。组织实施药品零售、使用，医疗器械经营、使用，化妆品经营的行政监督和技术监督工作。组织开展监管对象药品、化妆品不良反应和医疗器械不良事件监测；建立健全药品安全应急体系；配合有关部门实施国家基本药物制度。</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十三）负责统筹协调全市知识产权工作，落实国家、省市知识产权战略，拟订并组织实施我市知识产权战略和知识产权强市建设规划、计划；指导、协调重要经济科技活动知识产权评议；贯彻执行商标、专利、地理标志等知识产权保护制度；促进知识产权创造和运用；统筹推进知识产权公共服务体系建设；开展知识产权宣传、培训工作，推动知识产权人才队伍建设。</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十四）负责法律、法规规定由市场监督管理部门承担的市场主体登记注册以及各类行政许可工作。建立市场主体信息公示和共享机制，依法公示和共享有关信息。加强信用监管，推动市场主体信用体系建设。按规定承担技术性贸易措施有关工作。负责全市市场监督管理系统科技和信息化建设、应急和新闻宣传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十五）负责组织和指导市场监管综合执法工作，加强市场监管综合执法队伍建设。组织查处违反市场监督管理法律、法规、规章的行为。贯彻落实市综合行政执法体制改革相关工作任务，依据划转职权依法履行知识产权、物价、文化、粮油、商务、旅游、盐务行政处罚权。</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十六）负责赋予镇街园区经济社会管理权限有关事项的法律法规宣传、政策制定、协调指导、业务培训等工作。牵头负责江苏政务服务网上有关赋权事项的动态调整和日常维护工作。承担公共安全体系建设的相关任务。</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（十七）完成市委、市政府交办的其他任务。</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（十八）职能转变。</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二、</w:t>
      </w:r>
      <w:r>
        <w:rPr>
          <w:rFonts w:ascii="黑体" w:hAnsi="黑体" w:eastAsia="黑体" w:cs="黑体"/>
        </w:rPr>
        <w:t>部门</w:t>
      </w:r>
      <w:r>
        <w:rPr>
          <w:rFonts w:hint="eastAsia" w:ascii="黑体" w:hAnsi="黑体" w:eastAsia="黑体" w:cs="黑体"/>
          <w:b w:val="0"/>
          <w:bCs w:val="0"/>
        </w:rPr>
        <w:t>机构设置及决算单位构成情况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rPr>
      </w:pPr>
      <w:r>
        <w:rPr>
          <w:rFonts w:hint="eastAsia" w:ascii="仿宋" w:hAnsi="仿宋" w:eastAsia="仿宋" w:cs="仿宋"/>
          <w:lang w:val="en-US" w:eastAsia="zh-CN"/>
        </w:rPr>
        <w:t>1.</w:t>
      </w:r>
      <w:r>
        <w:rPr>
          <w:rFonts w:hint="eastAsia" w:ascii="仿宋" w:hAnsi="仿宋" w:eastAsia="仿宋" w:cs="仿宋"/>
        </w:rPr>
        <w:t>根据</w:t>
      </w:r>
      <w:r>
        <w:rPr>
          <w:rFonts w:hint="eastAsia" w:ascii="仿宋" w:hAnsi="仿宋" w:eastAsia="仿宋" w:cs="仿宋"/>
          <w:lang w:val="en-US" w:eastAsia="zh-CN"/>
        </w:rPr>
        <w:t>部门</w:t>
      </w:r>
      <w:r>
        <w:rPr>
          <w:rFonts w:hint="eastAsia" w:ascii="仿宋" w:hAnsi="仿宋" w:eastAsia="仿宋" w:cs="仿宋"/>
        </w:rPr>
        <w:t>职责分工，</w:t>
      </w:r>
      <w:r>
        <w:rPr>
          <w:rFonts w:ascii="仿宋" w:hAnsi="仿宋" w:eastAsia="仿宋" w:cs="仿宋"/>
        </w:rPr>
        <w:t>本部门无内设机构。本部门下属单位包括：江阴市市场监管综合行政执法大队、江阴市食品安全检测中心、江阴市市场监管综合服务中心。</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rPr>
      </w:pPr>
      <w:r>
        <w:rPr>
          <w:rFonts w:hint="eastAsia" w:ascii="仿宋" w:hAnsi="仿宋" w:eastAsia="仿宋" w:cs="仿宋"/>
          <w:lang w:val="en-US" w:eastAsia="zh-CN"/>
        </w:rPr>
        <w:t>2.</w:t>
      </w:r>
      <w:r>
        <w:rPr>
          <w:rFonts w:hint="eastAsia" w:ascii="仿宋" w:hAnsi="仿宋" w:eastAsia="仿宋" w:cs="仿宋"/>
        </w:rPr>
        <w:t>从决算单位构成看，纳入本</w:t>
      </w:r>
      <w:r>
        <w:rPr>
          <w:rFonts w:hint="eastAsia" w:ascii="仿宋" w:hAnsi="仿宋" w:eastAsia="仿宋" w:cs="仿宋"/>
          <w:lang w:val="en-US" w:eastAsia="zh-CN"/>
        </w:rPr>
        <w:t>部门</w:t>
      </w:r>
      <w:r>
        <w:rPr>
          <w:rFonts w:hint="eastAsia" w:ascii="仿宋" w:hAnsi="仿宋" w:eastAsia="仿宋" w:cs="仿宋"/>
          <w:lang w:eastAsia="zh-CN"/>
        </w:rPr>
        <w:t>2022</w:t>
      </w:r>
      <w:r>
        <w:rPr>
          <w:rFonts w:hint="eastAsia" w:ascii="仿宋" w:hAnsi="仿宋" w:eastAsia="仿宋" w:cs="仿宋"/>
        </w:rPr>
        <w:t>年</w:t>
      </w:r>
      <w:r>
        <w:rPr>
          <w:rFonts w:hint="eastAsia" w:ascii="仿宋" w:hAnsi="仿宋" w:eastAsia="仿宋" w:cs="仿宋"/>
          <w:lang w:val="en-US" w:eastAsia="zh-CN"/>
        </w:rPr>
        <w:t>部门</w:t>
      </w:r>
      <w:r>
        <w:rPr>
          <w:rFonts w:hint="eastAsia" w:ascii="仿宋" w:hAnsi="仿宋" w:eastAsia="仿宋" w:cs="仿宋"/>
        </w:rPr>
        <w:t>汇总决算编制范围的预算单位共计</w:t>
      </w:r>
      <w:r>
        <w:rPr>
          <w:rFonts w:ascii="仿宋" w:hAnsi="仿宋" w:eastAsia="仿宋" w:cs="仿宋"/>
        </w:rPr>
        <w:t>4</w:t>
      </w:r>
      <w:r>
        <w:rPr>
          <w:rFonts w:hint="eastAsia" w:ascii="仿宋" w:hAnsi="仿宋" w:eastAsia="仿宋" w:cs="仿宋"/>
        </w:rPr>
        <w:t>家，具体包括：</w:t>
      </w:r>
      <w:r>
        <w:rPr>
          <w:rFonts w:ascii="仿宋" w:hAnsi="仿宋" w:eastAsia="仿宋" w:cs="仿宋"/>
        </w:rPr>
        <w:t>江阴市市场监督管理局（本级）、江阴市市场监管综合行政执法大队、江阴市食品安全检测中心、江阴市市场监管综合服务中心。</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三、</w:t>
      </w:r>
      <w:r>
        <w:rPr>
          <w:rFonts w:hint="eastAsia" w:ascii="黑体" w:hAnsi="黑体" w:eastAsia="黑体" w:cs="黑体"/>
          <w:b w:val="0"/>
          <w:bCs w:val="0"/>
          <w:lang w:eastAsia="zh-CN"/>
        </w:rPr>
        <w:t>2022</w:t>
      </w:r>
      <w:r>
        <w:rPr>
          <w:rFonts w:hint="eastAsia" w:ascii="黑体" w:hAnsi="黑体" w:eastAsia="黑体" w:cs="黑体"/>
          <w:b w:val="0"/>
          <w:bCs w:val="0"/>
        </w:rPr>
        <w:t>年度主要工作完成情况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2022年，在市委、市政府和上级局的关心指导下，江阴市市场监督管理局围绕“稳增长、促发展、防风险、保稳定”主基调，以月度总结、双月评估、季度指导、协调调度和人事建议五项制度构建起双向互动、科学高效的干部管理体系，在新时代新征程中奋力展现市场监管新担当、新作为，获评江阴市“2022年一季度真抓实干奖”和“2022年三季度‘四争’先进集体”荣誉。蹄疾步稳，2022年工作取得扎实成效：</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一）发展动能更加澎湃。新增1家江苏省省长质量奖，推出全省首个“质量贷”，建设共享实验室，“澄质汇”质量基础设施“一站式”服务项目通过全省首批试点验收。主导、参与完成79项国内外标准的制（修）订，获批三个省级标准化试点项目，获评1项省级标准创新贡献奖个人奖，标准化工作连续3年获市场监管总局领导批示。3家企业获第二十三届中国专利奖优秀奖，获评国家知识产权示范企业3家、优势企业2家。江阴知识产权工作连续3年获得全省督查激励，入选首批国家知识产权强县建设示范县，获批2022年江苏省知识产权保护示范区项目，高新区入选国家级专利导航基地。</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二）安全防线更加坚固。组建“食安党建联盟”，推动全省首个多功能型“食安小屋”落成投运，发挥新业态新就业群体“暨阳红骑士”作用，为食安综合治理注入新能量。建成食品小作坊集中加工区5个、集中加工街区1个，全省食品小作坊整治提优工作总结交流会在江阴召开。开展药品经营和使用、医疗美容领域用药用械等各类专项检查，查办的“吴某等生产、销售汞含量严重超标苗皇后化妆品案”获央视每周质量报告栏目专题报道。开展特种设备安全大排查大整治百日行动，推动全市60万只液化石油气瓶和26万只工业气瓶实现扫码充装全覆盖。组织开展37个品种712个批次的市级专项监督抽查，全面排查产品质量安全隐患。</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三）市场环境更加有序。发布《优化营商环境行动方案4.0版》，成立“稳经济增长、保市场主体”工作专班，持续推进市场监管大走访，累计走访市场主体1883家次，解决问题2528个。建成商业秘密保护示范点51家、维权联系点8家，揭牌成立“无锡市商业秘密保护基地”。开展民生领域案件查办“铁拳”行动，全年查办案件2331件，罚没款3478万元，省级以上督办案件2起，获评国家版权局2021年度查处重大侵权盗版案件有功单位。全面展示市场监管队伍新形象，在江阴电视台策划播放“市监进行时”专题节目29期，传播主旋律、弘扬正能量。</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700" w:bottom="770" w:left="1020" w:header="283"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outlineLvl w:val="0"/>
        <w:rPr>
          <w:rFonts w:hint="eastAsia" w:ascii="宋体" w:hAnsi="宋体" w:eastAsia="宋体" w:cs="宋体"/>
          <w:b/>
          <w:bCs/>
          <w:sz w:val="36"/>
          <w:szCs w:val="36"/>
          <w:lang w:val="en-US" w:eastAsia="zh-CN"/>
        </w:rPr>
      </w:pPr>
      <w:r>
        <w:rPr>
          <w:rFonts w:hint="eastAsia" w:ascii="宋体" w:hAnsi="宋体" w:eastAsia="宋体" w:cs="宋体"/>
          <w:b/>
          <w:bCs/>
          <w:sz w:val="36"/>
          <w:szCs w:val="36"/>
        </w:rPr>
        <w:t>第二部分</w:t>
      </w:r>
    </w:p>
    <w:p>
      <w:pPr>
        <w:pStyle w:val="21"/>
        <w:widowControl w:val="0"/>
        <w:tabs>
          <w:tab w:val="left" w:pos="1609"/>
        </w:tabs>
        <w:suppressAutoHyphens/>
        <w:bidi w:val="0"/>
        <w:spacing w:before="12" w:after="0" w:line="300" w:lineRule="auto"/>
        <w:ind w:left="340" w:right="567" w:firstLine="0"/>
        <w:jc w:val="center"/>
        <w:rPr>
          <w:rFonts w:hint="eastAsia" w:ascii="宋体" w:hAnsi="宋体" w:eastAsia="宋体" w:cs="宋体"/>
          <w:b/>
          <w:bCs/>
          <w:sz w:val="36"/>
          <w:szCs w:val="36"/>
        </w:rPr>
      </w:pPr>
      <w:r>
        <w:rPr>
          <w:rFonts w:hint="eastAsia" w:ascii="宋体" w:hAnsi="宋体" w:eastAsia="宋体" w:cs="宋体"/>
          <w:b/>
          <w:bCs/>
          <w:sz w:val="36"/>
          <w:szCs w:val="36"/>
          <w:u w:val="none"/>
        </w:rPr>
        <w:t>江阴市市场监督管理局</w:t>
      </w:r>
    </w:p>
    <w:p>
      <w:pPr>
        <w:pStyle w:val="21"/>
        <w:widowControl w:val="0"/>
        <w:tabs>
          <w:tab w:val="left" w:pos="1609"/>
        </w:tabs>
        <w:suppressAutoHyphens/>
        <w:bidi w:val="0"/>
        <w:spacing w:before="12" w:after="0" w:line="300" w:lineRule="auto"/>
        <w:ind w:left="340" w:right="567" w:firstLine="0"/>
        <w:jc w:val="center"/>
        <w:outlineLvl w:val="1"/>
        <w:rPr>
          <w:rFonts w:hint="eastAsia" w:ascii="宋体" w:hAnsi="宋体" w:eastAsia="宋体" w:cs="宋体"/>
          <w:b/>
          <w:bCs/>
          <w:sz w:val="36"/>
          <w:szCs w:val="36"/>
        </w:rPr>
      </w:pPr>
      <w:r>
        <w:rPr>
          <w:rFonts w:hint="eastAsia" w:ascii="宋体" w:hAnsi="宋体" w:eastAsia="宋体" w:cs="宋体"/>
          <w:b/>
          <w:bCs/>
          <w:sz w:val="36"/>
          <w:szCs w:val="36"/>
          <w:lang w:eastAsia="zh-CN"/>
        </w:rPr>
        <w:t>2022</w:t>
      </w:r>
      <w:r>
        <w:rPr>
          <w:rFonts w:hint="eastAsia" w:ascii="宋体" w:hAnsi="宋体" w:eastAsia="宋体" w:cs="宋体"/>
          <w:b/>
          <w:bCs/>
          <w:sz w:val="36"/>
          <w:szCs w:val="36"/>
        </w:rPr>
        <w:t>年度</w:t>
      </w:r>
      <w:r>
        <w:rPr>
          <w:rFonts w:hint="eastAsia" w:ascii="宋体" w:hAnsi="宋体" w:eastAsia="宋体" w:cs="宋体"/>
          <w:b/>
          <w:bCs/>
          <w:sz w:val="36"/>
          <w:szCs w:val="36"/>
          <w:lang w:val="en-US" w:eastAsia="zh-CN"/>
        </w:rPr>
        <w:t>部门</w:t>
      </w:r>
      <w:r>
        <w:rPr>
          <w:rFonts w:ascii="宋体" w:hAnsi="宋体" w:eastAsia="宋体" w:cs="宋体"/>
          <w:b/>
          <w:sz w:val="36"/>
        </w:rPr>
        <w:t>决算表</w:t>
      </w:r>
    </w:p>
    <w:tbl>
      <w:tblPr>
        <w:tblStyle w:val="12"/>
        <w:tblW w:w="10447" w:type="dxa"/>
        <w:jc w:val="center"/>
        <w:tblLayout w:type="fixed"/>
        <w:tblCellMar>
          <w:top w:w="0" w:type="dxa"/>
          <w:left w:w="108" w:type="dxa"/>
          <w:bottom w:w="0" w:type="dxa"/>
          <w:right w:w="108" w:type="dxa"/>
        </w:tblCellMar>
      </w:tblPr>
      <w:tblGrid>
        <w:gridCol w:w="3468"/>
        <w:gridCol w:w="1777"/>
        <w:gridCol w:w="2035"/>
        <w:gridCol w:w="1341"/>
        <w:gridCol w:w="1826"/>
      </w:tblGrid>
      <w:tr>
        <w:tblPrEx>
          <w:tblCellMar>
            <w:top w:w="0" w:type="dxa"/>
            <w:left w:w="108" w:type="dxa"/>
            <w:bottom w:w="0" w:type="dxa"/>
            <w:right w:w="108" w:type="dxa"/>
          </w:tblCellMar>
        </w:tblPrEx>
        <w:trPr>
          <w:trHeight w:val="544" w:hRule="atLeast"/>
          <w:jc w:val="center"/>
        </w:trPr>
        <w:tc>
          <w:tcPr>
            <w:tcW w:w="10447" w:type="dxa"/>
            <w:gridSpan w:val="5"/>
          </w:tcPr>
          <w:p>
            <w:pPr>
              <w:pageBreakBefore/>
              <w:widowControl w:val="0"/>
              <w:ind w:left="0" w:right="0" w:firstLine="0"/>
              <w:jc w:val="center"/>
              <w:textAlignment w:val="auto"/>
              <w:rPr>
                <w:rFonts w:hint="eastAsia" w:ascii="仿宋" w:hAnsi="仿宋" w:eastAsia="仿宋" w:cs="仿宋"/>
                <w:b/>
                <w:bCs/>
                <w:color w:val="000000"/>
              </w:rPr>
            </w:pPr>
            <w:r>
              <w:rPr>
                <w:rFonts w:hint="eastAsia" w:ascii="宋体" w:hAnsi="宋体" w:eastAsia="宋体" w:cs="宋体"/>
                <w:b/>
                <w:bCs/>
                <w:color w:val="000000"/>
                <w:sz w:val="36"/>
                <w:szCs w:val="36"/>
                <w:lang w:eastAsia="ar-SA"/>
              </w:rPr>
              <w:t>收入支出决算总表</w:t>
            </w:r>
          </w:p>
        </w:tc>
      </w:tr>
      <w:tr>
        <w:tblPrEx>
          <w:tblCellMar>
            <w:top w:w="0" w:type="dxa"/>
            <w:left w:w="108" w:type="dxa"/>
            <w:bottom w:w="0" w:type="dxa"/>
            <w:right w:w="108" w:type="dxa"/>
          </w:tblCellMar>
        </w:tblPrEx>
        <w:trPr>
          <w:trHeight w:val="348" w:hRule="atLeast"/>
          <w:jc w:val="center"/>
        </w:trPr>
        <w:tc>
          <w:tcPr>
            <w:tcW w:w="3468" w:type="dxa"/>
          </w:tcPr>
          <w:p>
            <w:pPr>
              <w:widowControl w:val="0"/>
              <w:ind w:left="0" w:right="0" w:firstLine="0"/>
              <w:jc w:val="left"/>
              <w:textAlignment w:val="auto"/>
              <w:rPr>
                <w:rFonts w:hint="eastAsia" w:ascii="仿宋" w:hAnsi="仿宋" w:eastAsia="仿宋" w:cs="仿宋"/>
                <w:color w:val="000000"/>
                <w:sz w:val="20"/>
              </w:rPr>
            </w:pPr>
          </w:p>
        </w:tc>
        <w:tc>
          <w:tcPr>
            <w:tcW w:w="1777" w:type="dxa"/>
          </w:tcPr>
          <w:p>
            <w:pPr>
              <w:widowControl w:val="0"/>
              <w:ind w:left="0" w:right="0" w:firstLine="0"/>
              <w:jc w:val="left"/>
              <w:textAlignment w:val="auto"/>
              <w:rPr>
                <w:rFonts w:hint="eastAsia" w:ascii="仿宋" w:hAnsi="仿宋" w:eastAsia="仿宋" w:cs="仿宋"/>
                <w:color w:val="000000"/>
                <w:sz w:val="20"/>
              </w:rPr>
            </w:pPr>
          </w:p>
        </w:tc>
        <w:tc>
          <w:tcPr>
            <w:tcW w:w="5202" w:type="dxa"/>
            <w:gridSpan w:val="3"/>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33" w:hRule="atLeast"/>
          <w:jc w:val="center"/>
        </w:trPr>
        <w:tc>
          <w:tcPr>
            <w:tcW w:w="7280"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部门</w:t>
            </w:r>
            <w:r>
              <w:rPr>
                <w:rFonts w:ascii="仿宋" w:hAnsi="仿宋" w:eastAsia="仿宋" w:cs="仿宋"/>
                <w:color w:val="000000"/>
                <w:sz w:val="22"/>
              </w:rPr>
              <w:t>名称：</w:t>
            </w:r>
            <w:r>
              <w:rPr>
                <w:rFonts w:hint="eastAsia" w:ascii="仿宋" w:hAnsi="仿宋" w:eastAsia="仿宋" w:cs="仿宋"/>
                <w:color w:val="000000"/>
                <w:sz w:val="22"/>
                <w:szCs w:val="22"/>
                <w:lang w:eastAsia="ar-SA"/>
              </w:rPr>
              <w:t>江阴市市场监督管理局</w:t>
            </w:r>
          </w:p>
        </w:tc>
        <w:tc>
          <w:tcPr>
            <w:tcW w:w="3167"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rPr>
              <w:t>金额单位：万元</w:t>
            </w:r>
          </w:p>
        </w:tc>
      </w:tr>
      <w:tr>
        <w:tblPrEx>
          <w:tblCellMar>
            <w:top w:w="0" w:type="dxa"/>
            <w:left w:w="108" w:type="dxa"/>
            <w:bottom w:w="0" w:type="dxa"/>
            <w:right w:w="108" w:type="dxa"/>
          </w:tblCellMar>
        </w:tblPrEx>
        <w:trPr>
          <w:trHeight w:val="450" w:hRule="atLeast"/>
          <w:jc w:val="center"/>
        </w:trPr>
        <w:tc>
          <w:tcPr>
            <w:tcW w:w="5245"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收入</w:t>
            </w:r>
          </w:p>
        </w:tc>
        <w:tc>
          <w:tcPr>
            <w:tcW w:w="520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支出</w:t>
            </w:r>
          </w:p>
        </w:tc>
      </w:tr>
      <w:tr>
        <w:tblPrEx>
          <w:tblCellMar>
            <w:top w:w="0" w:type="dxa"/>
            <w:left w:w="108" w:type="dxa"/>
            <w:bottom w:w="0" w:type="dxa"/>
            <w:right w:w="108" w:type="dxa"/>
          </w:tblCellMar>
        </w:tblPrEx>
        <w:trPr>
          <w:trHeight w:val="39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ascii="仿宋" w:hAnsi="仿宋" w:eastAsia="仿宋" w:cs="仿宋"/>
                <w:color w:val="000000"/>
                <w:sz w:val="22"/>
              </w:rPr>
              <w:t>项目</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按功能分类</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一、一般公共预算财政拨款收入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22,007.41</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15,847.25</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二、政府性基金预算财政拨款收入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三、国有资本经营预算财政拨款收入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四、上级补助收入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六、经营收入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七、附属单位上缴收入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八、其他收入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1,502.72</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九、卫生健康支出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十、节能环保支出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十一、城乡社区支出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221.95</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十二、农林水支出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十三、交通运输支出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十四、资源勘探工业信息等支出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十五、商业服务业等支出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416.07</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十六、金融支出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十七、援助其他地区支出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十八、自然资源海洋气象等支出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十九、住房保障支出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3,949.52</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二十、粮油物资储备支出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二十一、国有资本经营预算支出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二十二、灾害防治及应急管理支出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二十三、其他支出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69.90</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二十四、债务还本支出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二十五、债务付息支出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二十六、抗疫特别国债安排的支出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454" w:hRule="exac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22,007.41</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本年支出合计</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22,007.41</w:t>
            </w:r>
          </w:p>
        </w:tc>
      </w:tr>
      <w:tr>
        <w:tblPrEx>
          <w:tblCellMar>
            <w:top w:w="0" w:type="dxa"/>
            <w:left w:w="108" w:type="dxa"/>
            <w:bottom w:w="0" w:type="dxa"/>
            <w:right w:w="108" w:type="dxa"/>
          </w:tblCellMar>
        </w:tblPrEx>
        <w:trPr>
          <w:trHeight w:val="413"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使用非财政拨款结余</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结余分配</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413"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年初结转和结余</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年末结转和结余</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383" w:hRule="atLeast"/>
          <w:jc w:val="center"/>
        </w:trPr>
        <w:tc>
          <w:tcPr>
            <w:tcW w:w="3468"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777"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3376" w:type="dxa"/>
            <w:gridSpan w:val="2"/>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826"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r>
      <w:tr>
        <w:tblPrEx>
          <w:tblCellMar>
            <w:top w:w="0" w:type="dxa"/>
            <w:left w:w="108" w:type="dxa"/>
            <w:bottom w:w="0" w:type="dxa"/>
            <w:right w:w="108" w:type="dxa"/>
          </w:tblCellMar>
        </w:tblPrEx>
        <w:trPr>
          <w:cantSplit/>
          <w:trHeight w:val="454" w:hRule="exac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22,007.41</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22,007.41</w:t>
            </w:r>
          </w:p>
        </w:tc>
      </w:tr>
    </w:tbl>
    <w:p>
      <w:pPr>
        <w:widowControl w:val="0"/>
        <w:suppressAutoHyphens/>
        <w:bidi w:val="0"/>
        <w:spacing w:before="66" w:after="0"/>
        <w:ind w:left="0" w:leftChars="0" w:right="0" w:rightChars="0" w:firstLine="0" w:firstLineChars="0"/>
        <w:jc w:val="both"/>
        <w:rPr>
          <w:rFonts w:hint="eastAsia" w:ascii="仿宋" w:hAnsi="仿宋" w:eastAsia="仿宋" w:cs="仿宋"/>
          <w:b w:val="0"/>
          <w:bCs w:val="0"/>
          <w:color w:val="000000"/>
          <w:sz w:val="22"/>
          <w:szCs w:val="22"/>
          <w:lang w:val="en-US" w:eastAsia="zh-CN"/>
        </w:rPr>
      </w:pPr>
      <w:r>
        <w:rPr>
          <w:rFonts w:hint="eastAsia" w:ascii="仿宋" w:hAnsi="仿宋" w:eastAsia="仿宋" w:cs="仿宋"/>
          <w:b w:val="0"/>
          <w:bCs w:val="0"/>
          <w:color w:val="000000"/>
          <w:sz w:val="22"/>
          <w:szCs w:val="22"/>
          <w:lang w:val="en-US" w:eastAsia="zh-CN"/>
        </w:rPr>
        <w:t>注：本表反映本年度的总收支和年末结转结余情况。本表金额单位转换时可能存在尾数误差。</w:t>
      </w:r>
    </w:p>
    <w:p>
      <w:pPr>
        <w:widowControl w:val="0"/>
        <w:suppressAutoHyphens/>
        <w:bidi w:val="0"/>
        <w:spacing w:before="66" w:after="0"/>
        <w:ind w:right="0"/>
        <w:jc w:val="both"/>
        <w:rPr>
          <w:rFonts w:hint="eastAsia" w:ascii="仿宋" w:hAnsi="仿宋" w:eastAsia="仿宋" w:cs="仿宋"/>
          <w:b w:val="0"/>
          <w:bCs w:val="0"/>
          <w:color w:val="000000"/>
          <w:sz w:val="22"/>
          <w:szCs w:val="22"/>
        </w:rPr>
        <w:sectPr>
          <w:footerReference r:id="rId8"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660" w:type="dxa"/>
        <w:jc w:val="center"/>
        <w:tblLayout w:type="fixed"/>
        <w:tblCellMar>
          <w:top w:w="0" w:type="dxa"/>
          <w:left w:w="108" w:type="dxa"/>
          <w:bottom w:w="0" w:type="dxa"/>
          <w:right w:w="108" w:type="dxa"/>
        </w:tblCellMar>
      </w:tblPr>
      <w:tblGrid>
        <w:gridCol w:w="1201"/>
        <w:gridCol w:w="3156"/>
        <w:gridCol w:w="1716"/>
        <w:gridCol w:w="1728"/>
        <w:gridCol w:w="1686"/>
        <w:gridCol w:w="1503"/>
        <w:gridCol w:w="1704"/>
        <w:gridCol w:w="1263"/>
        <w:gridCol w:w="1375"/>
        <w:gridCol w:w="1328"/>
      </w:tblGrid>
      <w:tr>
        <w:tblPrEx>
          <w:tblCellMar>
            <w:top w:w="0" w:type="dxa"/>
            <w:left w:w="108" w:type="dxa"/>
            <w:bottom w:w="0" w:type="dxa"/>
            <w:right w:w="108" w:type="dxa"/>
          </w:tblCellMar>
        </w:tblPrEx>
        <w:trPr>
          <w:trHeight w:val="403" w:hRule="atLeast"/>
          <w:jc w:val="center"/>
        </w:trPr>
        <w:tc>
          <w:tcPr>
            <w:tcW w:w="16660" w:type="dxa"/>
            <w:gridSpan w:val="10"/>
            <w:vAlign w:val="center"/>
          </w:tcPr>
          <w:p>
            <w:pPr>
              <w:pStyle w:val="5"/>
              <w:widowControl w:val="0"/>
              <w:rPr>
                <w:rFonts w:hint="eastAsia" w:ascii="仿宋" w:hAnsi="仿宋" w:eastAsia="仿宋" w:cs="仿宋"/>
                <w:b/>
                <w:bCs/>
                <w:sz w:val="44"/>
                <w:szCs w:val="44"/>
                <w:lang w:val="en-US" w:eastAsia="zh-CN"/>
              </w:rPr>
            </w:pPr>
            <w:r>
              <w:rPr>
                <w:rFonts w:hint="eastAsia" w:ascii="宋体" w:hAnsi="宋体" w:eastAsia="宋体" w:cs="宋体"/>
                <w:b/>
                <w:bCs/>
                <w:color w:val="000000"/>
                <w:kern w:val="0"/>
                <w:sz w:val="36"/>
                <w:szCs w:val="36"/>
                <w:lang w:val="zh-CN" w:eastAsia="ar-SA" w:bidi="zh-CN"/>
              </w:rPr>
              <w:t>收入决算表</w:t>
            </w:r>
          </w:p>
        </w:tc>
      </w:tr>
      <w:tr>
        <w:tblPrEx>
          <w:tblCellMar>
            <w:top w:w="0" w:type="dxa"/>
            <w:left w:w="108" w:type="dxa"/>
            <w:bottom w:w="0" w:type="dxa"/>
            <w:right w:w="108" w:type="dxa"/>
          </w:tblCellMar>
        </w:tblPrEx>
        <w:trPr>
          <w:trHeight w:val="247" w:hRule="atLeast"/>
          <w:jc w:val="center"/>
        </w:trPr>
        <w:tc>
          <w:tcPr>
            <w:tcW w:w="4357" w:type="dxa"/>
            <w:gridSpan w:val="2"/>
            <w:vAlign w:val="center"/>
          </w:tcPr>
          <w:p>
            <w:pPr>
              <w:pStyle w:val="22"/>
              <w:widowControl w:val="0"/>
              <w:jc w:val="center"/>
              <w:rPr>
                <w:rFonts w:hint="eastAsia" w:ascii="仿宋" w:hAnsi="仿宋" w:eastAsia="仿宋" w:cs="仿宋"/>
              </w:rPr>
            </w:pPr>
          </w:p>
        </w:tc>
        <w:tc>
          <w:tcPr>
            <w:tcW w:w="1716" w:type="dxa"/>
            <w:vAlign w:val="center"/>
          </w:tcPr>
          <w:p>
            <w:pPr>
              <w:pStyle w:val="22"/>
              <w:widowControl w:val="0"/>
              <w:jc w:val="center"/>
              <w:rPr>
                <w:rFonts w:hint="eastAsia" w:ascii="仿宋" w:hAnsi="仿宋" w:eastAsia="仿宋" w:cs="仿宋"/>
              </w:rPr>
            </w:pPr>
          </w:p>
        </w:tc>
        <w:tc>
          <w:tcPr>
            <w:tcW w:w="1728" w:type="dxa"/>
            <w:vAlign w:val="center"/>
          </w:tcPr>
          <w:p>
            <w:pPr>
              <w:pStyle w:val="22"/>
              <w:widowControl w:val="0"/>
              <w:jc w:val="center"/>
              <w:rPr>
                <w:rFonts w:hint="eastAsia" w:ascii="仿宋" w:hAnsi="仿宋" w:eastAsia="仿宋" w:cs="仿宋"/>
              </w:rPr>
            </w:pPr>
          </w:p>
        </w:tc>
        <w:tc>
          <w:tcPr>
            <w:tcW w:w="1686" w:type="dxa"/>
            <w:vAlign w:val="center"/>
          </w:tcPr>
          <w:p>
            <w:pPr>
              <w:pStyle w:val="22"/>
              <w:widowControl w:val="0"/>
              <w:jc w:val="center"/>
              <w:rPr>
                <w:rFonts w:hint="eastAsia" w:ascii="仿宋" w:hAnsi="仿宋" w:eastAsia="仿宋" w:cs="仿宋"/>
              </w:rPr>
            </w:pPr>
          </w:p>
        </w:tc>
        <w:tc>
          <w:tcPr>
            <w:tcW w:w="3207" w:type="dxa"/>
            <w:gridSpan w:val="2"/>
            <w:vAlign w:val="center"/>
          </w:tcPr>
          <w:p>
            <w:pPr>
              <w:pStyle w:val="22"/>
              <w:widowControl w:val="0"/>
              <w:jc w:val="center"/>
              <w:rPr>
                <w:rFonts w:hint="eastAsia" w:ascii="仿宋" w:hAnsi="仿宋" w:eastAsia="仿宋" w:cs="仿宋"/>
              </w:rPr>
            </w:pPr>
          </w:p>
        </w:tc>
        <w:tc>
          <w:tcPr>
            <w:tcW w:w="1263" w:type="dxa"/>
            <w:vAlign w:val="center"/>
          </w:tcPr>
          <w:p>
            <w:pPr>
              <w:pStyle w:val="22"/>
              <w:widowControl w:val="0"/>
              <w:jc w:val="center"/>
              <w:rPr>
                <w:rFonts w:hint="eastAsia" w:ascii="仿宋" w:hAnsi="仿宋" w:eastAsia="仿宋" w:cs="仿宋"/>
              </w:rPr>
            </w:pPr>
          </w:p>
        </w:tc>
        <w:tc>
          <w:tcPr>
            <w:tcW w:w="2703"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公开02表</w:t>
            </w:r>
          </w:p>
        </w:tc>
      </w:tr>
      <w:tr>
        <w:tblPrEx>
          <w:tblCellMar>
            <w:top w:w="0" w:type="dxa"/>
            <w:left w:w="108" w:type="dxa"/>
            <w:bottom w:w="0" w:type="dxa"/>
            <w:right w:w="108" w:type="dxa"/>
          </w:tblCellMar>
        </w:tblPrEx>
        <w:trPr>
          <w:trHeight w:val="247" w:hRule="atLeast"/>
          <w:jc w:val="center"/>
        </w:trPr>
        <w:tc>
          <w:tcPr>
            <w:tcW w:w="13957" w:type="dxa"/>
            <w:gridSpan w:val="8"/>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eastAsia="仿宋" w:cs="仿宋"/>
                <w:color w:val="000000"/>
                <w:sz w:val="22"/>
              </w:rPr>
              <w:t>名称：</w:t>
            </w:r>
            <w:r>
              <w:rPr>
                <w:rFonts w:hint="eastAsia" w:ascii="仿宋" w:hAnsi="仿宋" w:eastAsia="仿宋" w:cs="仿宋"/>
              </w:rPr>
              <w:t>江阴市市场监督管理局</w:t>
            </w:r>
          </w:p>
        </w:tc>
        <w:tc>
          <w:tcPr>
            <w:tcW w:w="2703"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0" w:type="dxa"/>
            <w:left w:w="108" w:type="dxa"/>
            <w:bottom w:w="0" w:type="dxa"/>
            <w:right w:w="108" w:type="dxa"/>
          </w:tblCellMar>
        </w:tblPrEx>
        <w:trPr>
          <w:cantSplit/>
          <w:trHeight w:val="255" w:hRule="atLeast"/>
          <w:jc w:val="center"/>
        </w:trPr>
        <w:tc>
          <w:tcPr>
            <w:tcW w:w="4357"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w:t>
            </w:r>
          </w:p>
        </w:tc>
        <w:tc>
          <w:tcPr>
            <w:tcW w:w="1716"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本年收入合计</w:t>
            </w:r>
          </w:p>
        </w:tc>
        <w:tc>
          <w:tcPr>
            <w:tcW w:w="1728"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财政拨款收入</w:t>
            </w:r>
          </w:p>
        </w:tc>
        <w:tc>
          <w:tcPr>
            <w:tcW w:w="1686"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上级补助收入</w:t>
            </w:r>
          </w:p>
        </w:tc>
        <w:tc>
          <w:tcPr>
            <w:tcW w:w="1503"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财政专户管理教育收费</w:t>
            </w:r>
          </w:p>
        </w:tc>
        <w:tc>
          <w:tcPr>
            <w:tcW w:w="1704"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事业收入（不含专户管理教育收费）</w:t>
            </w:r>
          </w:p>
        </w:tc>
        <w:tc>
          <w:tcPr>
            <w:tcW w:w="1263"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经营收入</w:t>
            </w:r>
          </w:p>
        </w:tc>
        <w:tc>
          <w:tcPr>
            <w:tcW w:w="1375"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附属单位上缴收入</w:t>
            </w:r>
          </w:p>
        </w:tc>
        <w:tc>
          <w:tcPr>
            <w:tcW w:w="1328"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其他收入</w:t>
            </w:r>
          </w:p>
        </w:tc>
      </w:tr>
      <w:tr>
        <w:tblPrEx>
          <w:tblCellMar>
            <w:top w:w="0" w:type="dxa"/>
            <w:left w:w="108" w:type="dxa"/>
            <w:bottom w:w="0" w:type="dxa"/>
            <w:right w:w="108" w:type="dxa"/>
          </w:tblCellMar>
        </w:tblPrEx>
        <w:trPr>
          <w:cantSplit/>
          <w:trHeight w:val="502" w:hRule="atLeast"/>
          <w:jc w:val="center"/>
        </w:trPr>
        <w:tc>
          <w:tcPr>
            <w:tcW w:w="120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156"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1716"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728"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686"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503"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704"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263"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375"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328"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0" w:type="dxa"/>
            <w:left w:w="108" w:type="dxa"/>
            <w:bottom w:w="0" w:type="dxa"/>
            <w:right w:w="108" w:type="dxa"/>
          </w:tblCellMar>
        </w:tblPrEx>
        <w:trPr>
          <w:cantSplit/>
          <w:trHeight w:val="267" w:hRule="exact"/>
          <w:jc w:val="center"/>
        </w:trPr>
        <w:tc>
          <w:tcPr>
            <w:tcW w:w="4357"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ascii="仿宋" w:hAnsi="仿宋" w:eastAsia="仿宋" w:cs="仿宋"/>
                <w:sz w:val="22"/>
              </w:rPr>
              <w:t>合计</w:t>
            </w:r>
          </w:p>
        </w:tc>
        <w:tc>
          <w:tcPr>
            <w:tcW w:w="1716"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22,007.41</w:t>
            </w:r>
          </w:p>
        </w:tc>
        <w:tc>
          <w:tcPr>
            <w:tcW w:w="1728"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22,007.41</w:t>
            </w:r>
          </w:p>
        </w:tc>
        <w:tc>
          <w:tcPr>
            <w:tcW w:w="1686"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p>
        </w:tc>
        <w:tc>
          <w:tcPr>
            <w:tcW w:w="1503"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p>
        </w:tc>
        <w:tc>
          <w:tcPr>
            <w:tcW w:w="1704"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p>
        </w:tc>
        <w:tc>
          <w:tcPr>
            <w:tcW w:w="1263"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p>
        </w:tc>
        <w:tc>
          <w:tcPr>
            <w:tcW w:w="1375"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p>
        </w:tc>
        <w:tc>
          <w:tcPr>
            <w:tcW w:w="1328"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一般公共服务支出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15,847.25</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15,847.25</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20114</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知识产权事务</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1,369.23</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1,369.23</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2011405</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知识产权战略和规划</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848.50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848.50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2011499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其他知识产权事务支出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520.73</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520.73</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20138</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市场监督管理事务</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14,478.02</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14,478.02</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2013801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行政运行</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9,984.84</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9,984.84</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2013802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一般行政管理事务</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22.28</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22.28</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2013810</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质量基础</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288.50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288.50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2013812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药品事务</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63.55</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63.55</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2013816</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食品安全监管</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7.93</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7.93</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2013850</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事业运行</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975.41</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975.41</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2013899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其他市场监督管理事务</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3,135.52</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3,135.52</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社会保障和就业支出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1,502.72</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1,502.72</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20805</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行政事业单位养老支出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1,164.48</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1,164.48</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2080505</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机关事业单位基本养老保险缴费支出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776.52</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776.52</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2080506</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机关事业单位职业年金缴费支出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387.96</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387.96</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20899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其他社会保障和就业支出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338.24</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338.24</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2089999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其他社会保障和就业支出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338.24</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338.24</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城乡社区支出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221.95</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221.95</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21205</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城乡社区环境卫生</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6.93</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6.93</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2120501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城乡社区环境卫生</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6.93</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6.93</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21299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其他城乡社区支出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215.02</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215.02</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2129999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其他城乡社区支出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215.02</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215.02</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216</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商业服务业等支出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416.07</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416.07</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21699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其他商业服务业等支出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416.07</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416.07</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2169999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其他商业服务业等支出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416.07</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416.07</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住房保障支出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3,949.52</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3,949.52</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住房改革支出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3,949.52</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3,949.52</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住房公积金</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1,012.35</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1,012.35</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提租补贴</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1,978.17</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1,978.17</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2210203</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购房补贴</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959.00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959.00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其他支出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69.90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69.90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22999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69.90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69.90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2299999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69.90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69.90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bl>
    <w:p>
      <w:pPr>
        <w:widowControl w:val="0"/>
        <w:suppressAutoHyphens/>
        <w:bidi w:val="0"/>
        <w:spacing w:before="66" w:after="0"/>
        <w:ind w:left="0" w:leftChars="0" w:right="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color w:val="000000"/>
          <w:sz w:val="22"/>
          <w:szCs w:val="22"/>
        </w:rPr>
        <w:t>注：</w:t>
      </w:r>
      <w:r>
        <w:rPr>
          <w:rFonts w:hint="eastAsia" w:ascii="仿宋" w:hAnsi="仿宋" w:eastAsia="仿宋" w:cs="仿宋"/>
          <w:b w:val="0"/>
          <w:bCs w:val="0"/>
          <w:sz w:val="22"/>
          <w:szCs w:val="22"/>
        </w:rPr>
        <w:t>本表反映本年度取得的各项收入情况。本表金额单位转换时可能存在尾数误差。</w:t>
      </w:r>
    </w:p>
    <w:p>
      <w:pPr>
        <w:widowControl w:val="0"/>
        <w:suppressAutoHyphens/>
        <w:bidi w:val="0"/>
        <w:spacing w:before="66" w:after="0"/>
        <w:ind w:left="57" w:right="0" w:firstLine="220" w:firstLineChars="100"/>
        <w:jc w:val="both"/>
        <w:rPr>
          <w:rFonts w:hint="eastAsia" w:ascii="仿宋" w:hAnsi="仿宋" w:eastAsia="仿宋" w:cs="仿宋"/>
          <w:b w:val="0"/>
          <w:bCs w:val="0"/>
          <w:sz w:val="22"/>
          <w:szCs w:val="22"/>
        </w:rPr>
        <w:sectPr>
          <w:footerReference r:id="rId9" w:type="default"/>
          <w:pgSz w:w="16838" w:h="11906" w:orient="landscape"/>
          <w:pgMar w:top="720" w:right="113" w:bottom="720" w:left="113"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689" w:type="dxa"/>
        <w:tblInd w:w="63" w:type="dxa"/>
        <w:tblLayout w:type="fixed"/>
        <w:tblCellMar>
          <w:top w:w="55" w:type="dxa"/>
          <w:left w:w="55" w:type="dxa"/>
          <w:bottom w:w="55" w:type="dxa"/>
          <w:right w:w="55" w:type="dxa"/>
        </w:tblCellMar>
      </w:tblPr>
      <w:tblGrid>
        <w:gridCol w:w="1188"/>
        <w:gridCol w:w="3927"/>
        <w:gridCol w:w="2164"/>
        <w:gridCol w:w="1897"/>
        <w:gridCol w:w="1739"/>
        <w:gridCol w:w="1715"/>
        <w:gridCol w:w="1633"/>
        <w:gridCol w:w="1426"/>
      </w:tblGrid>
      <w:tr>
        <w:tblPrEx>
          <w:tblCellMar>
            <w:top w:w="55" w:type="dxa"/>
            <w:left w:w="55" w:type="dxa"/>
            <w:bottom w:w="55" w:type="dxa"/>
            <w:right w:w="55" w:type="dxa"/>
          </w:tblCellMar>
        </w:tblPrEx>
        <w:trPr>
          <w:trHeight w:val="532" w:hRule="atLeast"/>
        </w:trPr>
        <w:tc>
          <w:tcPr>
            <w:tcW w:w="15689" w:type="dxa"/>
            <w:gridSpan w:val="8"/>
            <w:vAlign w:val="center"/>
          </w:tcPr>
          <w:p>
            <w:pPr>
              <w:pStyle w:val="5"/>
              <w:widowControl w:val="0"/>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支出决算表</w:t>
            </w:r>
          </w:p>
        </w:tc>
      </w:tr>
      <w:tr>
        <w:tblPrEx>
          <w:tblCellMar>
            <w:top w:w="55" w:type="dxa"/>
            <w:left w:w="55" w:type="dxa"/>
            <w:bottom w:w="55" w:type="dxa"/>
            <w:right w:w="55" w:type="dxa"/>
          </w:tblCellMar>
        </w:tblPrEx>
        <w:trPr>
          <w:trHeight w:val="227" w:hRule="atLeast"/>
        </w:trPr>
        <w:tc>
          <w:tcPr>
            <w:tcW w:w="5115" w:type="dxa"/>
            <w:gridSpan w:val="2"/>
            <w:vAlign w:val="center"/>
          </w:tcPr>
          <w:p>
            <w:pPr>
              <w:pStyle w:val="22"/>
              <w:widowControl w:val="0"/>
              <w:jc w:val="center"/>
              <w:rPr>
                <w:rFonts w:hint="eastAsia" w:ascii="仿宋" w:hAnsi="仿宋" w:eastAsia="仿宋" w:cs="仿宋"/>
              </w:rPr>
            </w:pPr>
          </w:p>
        </w:tc>
        <w:tc>
          <w:tcPr>
            <w:tcW w:w="2164" w:type="dxa"/>
            <w:vAlign w:val="center"/>
          </w:tcPr>
          <w:p>
            <w:pPr>
              <w:pStyle w:val="22"/>
              <w:widowControl w:val="0"/>
              <w:spacing w:before="0" w:after="0"/>
              <w:ind w:firstLine="0"/>
              <w:jc w:val="center"/>
              <w:rPr>
                <w:rFonts w:hint="eastAsia" w:ascii="仿宋" w:hAnsi="仿宋" w:eastAsia="仿宋" w:cs="仿宋"/>
                <w:sz w:val="20"/>
              </w:rPr>
            </w:pPr>
          </w:p>
        </w:tc>
        <w:tc>
          <w:tcPr>
            <w:tcW w:w="1897" w:type="dxa"/>
            <w:vAlign w:val="center"/>
          </w:tcPr>
          <w:p>
            <w:pPr>
              <w:pStyle w:val="22"/>
              <w:widowControl w:val="0"/>
              <w:spacing w:before="0" w:after="0"/>
              <w:ind w:firstLine="0"/>
              <w:jc w:val="center"/>
              <w:rPr>
                <w:rFonts w:hint="eastAsia" w:ascii="仿宋" w:hAnsi="仿宋" w:eastAsia="仿宋" w:cs="仿宋"/>
                <w:sz w:val="20"/>
              </w:rPr>
            </w:pPr>
          </w:p>
        </w:tc>
        <w:tc>
          <w:tcPr>
            <w:tcW w:w="1739" w:type="dxa"/>
            <w:vAlign w:val="center"/>
          </w:tcPr>
          <w:p>
            <w:pPr>
              <w:pStyle w:val="22"/>
              <w:widowControl w:val="0"/>
              <w:spacing w:before="0" w:after="0"/>
              <w:ind w:firstLine="0"/>
              <w:jc w:val="center"/>
              <w:rPr>
                <w:rFonts w:hint="eastAsia" w:ascii="仿宋" w:hAnsi="仿宋" w:eastAsia="仿宋" w:cs="仿宋"/>
                <w:sz w:val="20"/>
              </w:rPr>
            </w:pPr>
          </w:p>
        </w:tc>
        <w:tc>
          <w:tcPr>
            <w:tcW w:w="1715" w:type="dxa"/>
            <w:vAlign w:val="center"/>
          </w:tcPr>
          <w:p>
            <w:pPr>
              <w:pStyle w:val="22"/>
              <w:widowControl w:val="0"/>
              <w:spacing w:before="0" w:after="0"/>
              <w:ind w:firstLine="0"/>
              <w:jc w:val="center"/>
              <w:rPr>
                <w:rFonts w:hint="eastAsia" w:ascii="仿宋" w:hAnsi="仿宋" w:eastAsia="仿宋" w:cs="仿宋"/>
                <w:sz w:val="20"/>
              </w:rPr>
            </w:pPr>
          </w:p>
        </w:tc>
        <w:tc>
          <w:tcPr>
            <w:tcW w:w="3059"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90" w:hRule="atLeast"/>
        </w:trPr>
        <w:tc>
          <w:tcPr>
            <w:tcW w:w="12630" w:type="dxa"/>
            <w:gridSpan w:val="6"/>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eastAsia="仿宋" w:cs="仿宋"/>
                <w:color w:val="000000"/>
                <w:sz w:val="22"/>
              </w:rPr>
              <w:t>名称：</w:t>
            </w:r>
            <w:r>
              <w:rPr>
                <w:rFonts w:hint="eastAsia" w:ascii="仿宋" w:hAnsi="仿宋" w:eastAsia="仿宋" w:cs="仿宋"/>
              </w:rPr>
              <w:t>江阴市市场监督管理局</w:t>
            </w:r>
          </w:p>
        </w:tc>
        <w:tc>
          <w:tcPr>
            <w:tcW w:w="3059"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CellMar>
            <w:top w:w="55" w:type="dxa"/>
            <w:left w:w="55" w:type="dxa"/>
            <w:bottom w:w="55" w:type="dxa"/>
            <w:right w:w="55" w:type="dxa"/>
          </w:tblCellMar>
        </w:tblPrEx>
        <w:trPr>
          <w:trHeight w:val="90" w:hRule="atLeast"/>
        </w:trPr>
        <w:tc>
          <w:tcPr>
            <w:tcW w:w="5115"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kern w:val="0"/>
                <w:sz w:val="22"/>
                <w:szCs w:val="22"/>
              </w:rPr>
              <w:t>项目</w:t>
            </w:r>
          </w:p>
        </w:tc>
        <w:tc>
          <w:tcPr>
            <w:tcW w:w="2164"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本年支出合计</w:t>
            </w:r>
          </w:p>
        </w:tc>
        <w:tc>
          <w:tcPr>
            <w:tcW w:w="1897"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39"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715"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3"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经营支出</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176" w:hRule="atLeast"/>
        </w:trPr>
        <w:tc>
          <w:tcPr>
            <w:tcW w:w="1188"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kern w:val="0"/>
                <w:sz w:val="22"/>
                <w:szCs w:val="22"/>
              </w:rPr>
            </w:pPr>
            <w:r>
              <w:rPr>
                <w:rFonts w:hint="eastAsia" w:ascii="仿宋" w:hAnsi="仿宋" w:eastAsia="仿宋" w:cs="仿宋"/>
                <w:kern w:val="0"/>
                <w:sz w:val="22"/>
                <w:szCs w:val="22"/>
              </w:rPr>
              <w:t>功能分类</w:t>
            </w:r>
          </w:p>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927"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科目名称</w:t>
            </w:r>
          </w:p>
        </w:tc>
        <w:tc>
          <w:tcPr>
            <w:tcW w:w="2164"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897"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739"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715"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633"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426" w:type="dxa"/>
            <w:vMerge w:val="continue"/>
            <w:tcBorders>
              <w:left w:val="single" w:color="000000" w:sz="4" w:space="0"/>
              <w:bottom w:val="single" w:color="000000" w:sz="4" w:space="0"/>
              <w:right w:val="single" w:color="000000" w:sz="4" w:space="0"/>
            </w:tcBorders>
          </w:tcPr>
          <w:p>
            <w:pPr>
              <w:widowControl w:val="0"/>
              <w:spacing w:before="0" w:after="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82" w:hRule="exact"/>
        </w:trPr>
        <w:tc>
          <w:tcPr>
            <w:tcW w:w="5115"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ascii="仿宋" w:hAnsi="仿宋" w:eastAsia="仿宋" w:cs="仿宋"/>
                <w:sz w:val="22"/>
              </w:rPr>
              <w:t>合计</w:t>
            </w:r>
          </w:p>
        </w:tc>
        <w:tc>
          <w:tcPr>
            <w:tcW w:w="2164"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22,007.41</w:t>
            </w:r>
          </w:p>
        </w:tc>
        <w:tc>
          <w:tcPr>
            <w:tcW w:w="1897"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16,412.48</w:t>
            </w:r>
          </w:p>
        </w:tc>
        <w:tc>
          <w:tcPr>
            <w:tcW w:w="1739"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5,594.93</w:t>
            </w:r>
          </w:p>
        </w:tc>
        <w:tc>
          <w:tcPr>
            <w:tcW w:w="1715"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p>
        </w:tc>
        <w:tc>
          <w:tcPr>
            <w:tcW w:w="1633"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p>
        </w:tc>
        <w:tc>
          <w:tcPr>
            <w:tcW w:w="1426"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一般公共服务支出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15,847.25</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10,960.24</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4,887.00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20114</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知识产权事务</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1,369.23</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1,369.23</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2011405</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知识产权战略和规划</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848.50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848.50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2011499</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其他知识产权事务支出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520.73</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520.73</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20138</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市场监督管理事务</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14,478.02</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10,960.24</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3,517.78</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2013801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行政运行</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9,984.84</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9,984.84</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2013802</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一般行政管理事务</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22.28</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22.28</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2013810</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质量基础</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288.50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288.50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2013812</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药品事务</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63.55</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63.55</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2013816</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食品安全监管</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7.93</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7.93</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2013850</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事业运行</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975.41</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975.41</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2013899</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其他市场监督管理事务</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3,135.52</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3,135.52</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社会保障和就业支出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1,502.72</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1,502.72</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20805</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行政事业单位养老支出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1,164.48</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1,164.48</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2080505</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机关事业单位基本养老保险缴费支出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776.52</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776.52</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2080506</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机关事业单位职业年金缴费支出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387.96</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387.96</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20899</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其他社会保障和就业支出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338.24</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338.24</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2089999</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其他社会保障和就业支出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338.24</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338.24</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212</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城乡社区支出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221.95</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221.95</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21205</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城乡社区环境卫生</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6.93</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6.93</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2120501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城乡社区环境卫生</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6.93</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6.93</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21299</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其他城乡社区支出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215.02</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215.02</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2129999</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其他城乡社区支出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215.02</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215.02</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216</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商业服务业等支出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416.07</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416.07</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21699</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其他商业服务业等支出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416.07</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416.07</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2169999</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其他商业服务业等支出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416.07</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416.07</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住房保障支出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3,949.52</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3,949.52</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住房改革支出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3,949.52</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3,949.52</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住房公积金</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1,012.35</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1,012.35</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2210202</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提租补贴</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1,978.17</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1,978.17</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2210203</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购房补贴</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959.00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959.00</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229</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其他支出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69.90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69.90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22999</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69.90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69.90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2299999</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69.90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69.90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bl>
    <w:p>
      <w:pPr>
        <w:widowControl w:val="0"/>
        <w:suppressAutoHyphens/>
        <w:bidi w:val="0"/>
        <w:spacing w:before="59" w:after="0"/>
        <w:ind w:left="0" w:leftChars="0" w:right="0" w:firstLine="0" w:firstLineChars="0"/>
        <w:jc w:val="left"/>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注：本表反映本年度各项支出情况。本表金额单位转换时可能存在尾数误差。</w:t>
      </w:r>
    </w:p>
    <w:p>
      <w:pPr>
        <w:widowControl w:val="0"/>
        <w:suppressAutoHyphens/>
        <w:bidi w:val="0"/>
        <w:spacing w:before="59" w:after="0"/>
        <w:ind w:left="57" w:right="0" w:firstLine="0"/>
        <w:jc w:val="left"/>
        <w:rPr>
          <w:rFonts w:hint="eastAsia" w:ascii="仿宋" w:hAnsi="仿宋" w:eastAsia="仿宋" w:cs="仿宋"/>
          <w:b w:val="0"/>
          <w:bCs w:val="0"/>
          <w:sz w:val="22"/>
          <w:szCs w:val="22"/>
        </w:rPr>
        <w:sectPr>
          <w:footerReference r:id="rId10" w:type="default"/>
          <w:pgSz w:w="16838" w:h="11906" w:orient="landscape"/>
          <w:pgMar w:top="720" w:right="567" w:bottom="720" w:left="56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72" w:type="dxa"/>
        <w:tblInd w:w="75" w:type="dxa"/>
        <w:tblLayout w:type="fixed"/>
        <w:tblCellMar>
          <w:top w:w="55" w:type="dxa"/>
          <w:left w:w="55" w:type="dxa"/>
          <w:bottom w:w="55" w:type="dxa"/>
          <w:right w:w="55" w:type="dxa"/>
        </w:tblCellMar>
      </w:tblPr>
      <w:tblGrid>
        <w:gridCol w:w="3725"/>
        <w:gridCol w:w="1837"/>
        <w:gridCol w:w="847"/>
        <w:gridCol w:w="1913"/>
        <w:gridCol w:w="907"/>
        <w:gridCol w:w="1728"/>
        <w:gridCol w:w="1194"/>
        <w:gridCol w:w="221"/>
        <w:gridCol w:w="1500"/>
        <w:gridCol w:w="1500"/>
      </w:tblGrid>
      <w:tr>
        <w:tblPrEx>
          <w:tblCellMar>
            <w:top w:w="55" w:type="dxa"/>
            <w:left w:w="55" w:type="dxa"/>
            <w:bottom w:w="55" w:type="dxa"/>
            <w:right w:w="55" w:type="dxa"/>
          </w:tblCellMar>
        </w:tblPrEx>
        <w:trPr>
          <w:trHeight w:val="319" w:hRule="atLeast"/>
        </w:trPr>
        <w:tc>
          <w:tcPr>
            <w:tcW w:w="15372" w:type="dxa"/>
            <w:gridSpan w:val="10"/>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财政拨款收入支出决算总表</w:t>
            </w:r>
          </w:p>
        </w:tc>
      </w:tr>
      <w:tr>
        <w:tblPrEx>
          <w:tblCellMar>
            <w:top w:w="55" w:type="dxa"/>
            <w:left w:w="55" w:type="dxa"/>
            <w:bottom w:w="55" w:type="dxa"/>
            <w:right w:w="55" w:type="dxa"/>
          </w:tblCellMar>
        </w:tblPrEx>
        <w:trPr>
          <w:trHeight w:val="319" w:hRule="atLeast"/>
        </w:trPr>
        <w:tc>
          <w:tcPr>
            <w:tcW w:w="5562" w:type="dxa"/>
            <w:gridSpan w:val="2"/>
          </w:tcPr>
          <w:p>
            <w:pPr>
              <w:pStyle w:val="22"/>
              <w:widowControl w:val="0"/>
              <w:rPr>
                <w:rFonts w:hint="eastAsia" w:ascii="仿宋" w:hAnsi="仿宋" w:eastAsia="仿宋" w:cs="仿宋"/>
                <w:sz w:val="20"/>
              </w:rPr>
            </w:pPr>
          </w:p>
        </w:tc>
        <w:tc>
          <w:tcPr>
            <w:tcW w:w="847" w:type="dxa"/>
          </w:tcPr>
          <w:p>
            <w:pPr>
              <w:pStyle w:val="22"/>
              <w:widowControl w:val="0"/>
              <w:rPr>
                <w:rFonts w:hint="eastAsia" w:ascii="仿宋" w:hAnsi="仿宋" w:eastAsia="仿宋" w:cs="仿宋"/>
                <w:sz w:val="20"/>
              </w:rPr>
            </w:pPr>
          </w:p>
        </w:tc>
        <w:tc>
          <w:tcPr>
            <w:tcW w:w="1913" w:type="dxa"/>
          </w:tcPr>
          <w:p>
            <w:pPr>
              <w:pStyle w:val="22"/>
              <w:widowControl w:val="0"/>
              <w:rPr>
                <w:rFonts w:hint="eastAsia" w:ascii="仿宋" w:hAnsi="仿宋" w:eastAsia="仿宋" w:cs="仿宋"/>
                <w:sz w:val="20"/>
              </w:rPr>
            </w:pPr>
          </w:p>
        </w:tc>
        <w:tc>
          <w:tcPr>
            <w:tcW w:w="2635" w:type="dxa"/>
            <w:gridSpan w:val="2"/>
          </w:tcPr>
          <w:p>
            <w:pPr>
              <w:pStyle w:val="22"/>
              <w:widowControl w:val="0"/>
              <w:rPr>
                <w:rFonts w:hint="eastAsia" w:ascii="仿宋" w:hAnsi="仿宋" w:eastAsia="仿宋" w:cs="仿宋"/>
                <w:sz w:val="20"/>
              </w:rPr>
            </w:pPr>
          </w:p>
        </w:tc>
        <w:tc>
          <w:tcPr>
            <w:tcW w:w="1194" w:type="dxa"/>
          </w:tcPr>
          <w:p>
            <w:pPr>
              <w:pStyle w:val="22"/>
              <w:widowControl w:val="0"/>
              <w:rPr>
                <w:rFonts w:hint="eastAsia" w:ascii="仿宋" w:hAnsi="仿宋" w:eastAsia="仿宋" w:cs="仿宋"/>
                <w:sz w:val="20"/>
              </w:rPr>
            </w:pPr>
          </w:p>
        </w:tc>
        <w:tc>
          <w:tcPr>
            <w:tcW w:w="3221"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2151" w:type="dxa"/>
            <w:gridSpan w:val="7"/>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eastAsia="仿宋" w:cs="仿宋"/>
                <w:color w:val="000000"/>
                <w:sz w:val="22"/>
              </w:rPr>
              <w:t>名称：</w:t>
            </w:r>
            <w:r>
              <w:rPr>
                <w:rFonts w:hint="eastAsia" w:ascii="仿宋" w:hAnsi="仿宋" w:eastAsia="仿宋" w:cs="仿宋"/>
                <w:sz w:val="22"/>
                <w:szCs w:val="22"/>
              </w:rPr>
              <w:t>江阴市市场监督管理局</w:t>
            </w:r>
          </w:p>
        </w:tc>
        <w:tc>
          <w:tcPr>
            <w:tcW w:w="3221"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CellMar>
            <w:top w:w="55" w:type="dxa"/>
            <w:left w:w="55" w:type="dxa"/>
            <w:bottom w:w="55" w:type="dxa"/>
            <w:right w:w="55" w:type="dxa"/>
          </w:tblCellMar>
        </w:tblPrEx>
        <w:trPr>
          <w:trHeight w:val="162" w:hRule="atLeast"/>
        </w:trPr>
        <w:tc>
          <w:tcPr>
            <w:tcW w:w="5562"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收</w:t>
            </w:r>
            <w:r>
              <w:rPr>
                <w:rFonts w:hint="eastAsia" w:ascii="仿宋" w:hAnsi="仿宋" w:eastAsia="仿宋" w:cs="仿宋"/>
                <w:sz w:val="22"/>
                <w:szCs w:val="22"/>
              </w:rPr>
              <w:tab/>
            </w:r>
            <w:r>
              <w:rPr>
                <w:rFonts w:hint="eastAsia" w:ascii="仿宋" w:hAnsi="仿宋" w:eastAsia="仿宋" w:cs="仿宋"/>
                <w:sz w:val="22"/>
                <w:szCs w:val="22"/>
              </w:rPr>
              <w:t>入</w:t>
            </w:r>
          </w:p>
        </w:tc>
        <w:tc>
          <w:tcPr>
            <w:tcW w:w="9810" w:type="dxa"/>
            <w:gridSpan w:val="8"/>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支</w:t>
            </w:r>
            <w:r>
              <w:rPr>
                <w:rFonts w:hint="eastAsia" w:ascii="仿宋" w:hAnsi="仿宋" w:eastAsia="仿宋" w:cs="仿宋"/>
                <w:sz w:val="22"/>
                <w:szCs w:val="22"/>
              </w:rPr>
              <w:tab/>
            </w:r>
            <w:r>
              <w:rPr>
                <w:rFonts w:hint="eastAsia" w:ascii="仿宋" w:hAnsi="仿宋" w:eastAsia="仿宋" w:cs="仿宋"/>
                <w:sz w:val="22"/>
                <w:szCs w:val="22"/>
              </w:rPr>
              <w:t>出</w:t>
            </w:r>
          </w:p>
        </w:tc>
      </w:tr>
      <w:tr>
        <w:tblPrEx>
          <w:tblCellMar>
            <w:top w:w="55" w:type="dxa"/>
            <w:left w:w="55" w:type="dxa"/>
            <w:bottom w:w="55" w:type="dxa"/>
            <w:right w:w="55" w:type="dxa"/>
          </w:tblCellMar>
        </w:tblPrEx>
        <w:trPr>
          <w:trHeight w:val="199" w:hRule="atLeast"/>
        </w:trPr>
        <w:tc>
          <w:tcPr>
            <w:tcW w:w="3725"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1837"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c>
          <w:tcPr>
            <w:tcW w:w="3667" w:type="dxa"/>
            <w:gridSpan w:val="3"/>
            <w:vMerge w:val="restart"/>
            <w:tcBorders>
              <w:left w:val="single" w:color="000000" w:sz="4" w:space="0"/>
              <w:bottom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按功能分类</w:t>
            </w:r>
          </w:p>
        </w:tc>
        <w:tc>
          <w:tcPr>
            <w:tcW w:w="6143" w:type="dxa"/>
            <w:gridSpan w:val="5"/>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r>
      <w:tr>
        <w:tblPrEx>
          <w:tblCellMar>
            <w:top w:w="55" w:type="dxa"/>
            <w:left w:w="55" w:type="dxa"/>
            <w:bottom w:w="55" w:type="dxa"/>
            <w:right w:w="55" w:type="dxa"/>
          </w:tblCellMar>
        </w:tblPrEx>
        <w:trPr>
          <w:trHeight w:val="578" w:hRule="atLeast"/>
        </w:trPr>
        <w:tc>
          <w:tcPr>
            <w:tcW w:w="3725"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1837"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3667" w:type="dxa"/>
            <w:gridSpan w:val="3"/>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172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ascii="仿宋" w:hAnsi="仿宋" w:eastAsia="仿宋" w:cs="仿宋"/>
                <w:sz w:val="22"/>
              </w:rPr>
              <w:t>小计</w:t>
            </w:r>
          </w:p>
        </w:tc>
        <w:tc>
          <w:tcPr>
            <w:tcW w:w="1415"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一般公共预算财政拨款</w:t>
            </w:r>
          </w:p>
        </w:tc>
        <w:tc>
          <w:tcPr>
            <w:tcW w:w="150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政府性基金预算财政拨款</w:t>
            </w:r>
          </w:p>
        </w:tc>
        <w:tc>
          <w:tcPr>
            <w:tcW w:w="1500"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国有资本经营预算财政拨款</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22,007.41</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15,847.25</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15,847.25</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1,502.72</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1,502.72</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九、卫生健康支出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十、节能环保支出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十一、城乡社区支出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221.95</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221.95</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十二、农林水支出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十三、交通运输支出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十四、资源勘探工业信息等支出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十五、商业服务业等支出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416.07</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416.07</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十六、金融支出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十七、援助其他地区支出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十八、自然资源海洋气象等支出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十九、住房保障支出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3,949.52</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3,949.52</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二十、粮油物资储备支出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二十一、国有资本经营预算支出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二十二、灾害防治及应急管理支出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二十三、其他支出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69.90</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69.90</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二十四、债务还本支出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二十五、债务付息支出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二十六、抗疫特别国债安排的支出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359" w:hRule="exact"/>
        </w:trPr>
        <w:tc>
          <w:tcPr>
            <w:tcW w:w="3725" w:type="dxa"/>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本年收入合计</w:t>
            </w:r>
          </w:p>
        </w:tc>
        <w:tc>
          <w:tcPr>
            <w:tcW w:w="1837"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22,007.41</w:t>
            </w:r>
          </w:p>
        </w:tc>
        <w:tc>
          <w:tcPr>
            <w:tcW w:w="3667" w:type="dxa"/>
            <w:gridSpan w:val="3"/>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本年支出合计</w:t>
            </w:r>
          </w:p>
        </w:tc>
        <w:tc>
          <w:tcPr>
            <w:tcW w:w="1728"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22,007.41</w:t>
            </w:r>
          </w:p>
        </w:tc>
        <w:tc>
          <w:tcPr>
            <w:tcW w:w="1415" w:type="dxa"/>
            <w:gridSpan w:val="2"/>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22,007.41</w:t>
            </w:r>
          </w:p>
        </w:tc>
        <w:tc>
          <w:tcPr>
            <w:tcW w:w="1500"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年初财政拨款结转和结余</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年末财政拨款结转和结余</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22" w:hRule="exact"/>
        </w:trPr>
        <w:tc>
          <w:tcPr>
            <w:tcW w:w="372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总计</w:t>
            </w:r>
          </w:p>
        </w:tc>
        <w:tc>
          <w:tcPr>
            <w:tcW w:w="1837"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22,007.41</w:t>
            </w:r>
          </w:p>
        </w:tc>
        <w:tc>
          <w:tcPr>
            <w:tcW w:w="3667"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总计</w:t>
            </w:r>
          </w:p>
        </w:tc>
        <w:tc>
          <w:tcPr>
            <w:tcW w:w="1728"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22,007.41</w:t>
            </w:r>
          </w:p>
        </w:tc>
        <w:tc>
          <w:tcPr>
            <w:tcW w:w="1415" w:type="dxa"/>
            <w:gridSpan w:val="2"/>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22,007.41</w:t>
            </w:r>
          </w:p>
        </w:tc>
        <w:tc>
          <w:tcPr>
            <w:tcW w:w="150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bl>
    <w:p>
      <w:pPr>
        <w:ind w:left="0" w:leftChars="0" w:firstLine="0" w:firstLineChars="0"/>
        <w:jc w:val="both"/>
        <w:rPr>
          <w:rFonts w:hint="eastAsia" w:ascii="仿宋" w:hAnsi="仿宋" w:eastAsia="仿宋" w:cs="仿宋"/>
          <w:b w:val="0"/>
          <w:bCs w:val="0"/>
        </w:rPr>
      </w:pPr>
      <w:r>
        <w:rPr>
          <w:rFonts w:hint="eastAsia" w:ascii="仿宋" w:hAnsi="仿宋" w:eastAsia="仿宋" w:cs="仿宋"/>
          <w:b w:val="0"/>
          <w:bCs w:val="0"/>
          <w:lang w:val="en-US" w:eastAsia="zh-CN"/>
        </w:rPr>
        <w:t>注：</w:t>
      </w:r>
      <w:r>
        <w:rPr>
          <w:rFonts w:hint="eastAsia" w:ascii="仿宋" w:hAnsi="仿宋" w:eastAsia="仿宋" w:cs="仿宋"/>
          <w:b w:val="0"/>
          <w:bCs w:val="0"/>
        </w:rPr>
        <w:t>本表反映本年度一般公共预算财政拨款、政府性基金预算财政拨款和国有资本经营预算财政拨款的总收支和年末结转结余情况。本表金额单位转换时可能存在尾数误差。</w:t>
      </w:r>
    </w:p>
    <w:p>
      <w:pPr>
        <w:jc w:val="both"/>
        <w:rPr>
          <w:rFonts w:hint="eastAsia" w:ascii="仿宋" w:hAnsi="仿宋" w:eastAsia="仿宋" w:cs="仿宋"/>
          <w:b w:val="0"/>
          <w:bCs w:val="0"/>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17" w:type="dxa"/>
        <w:tblInd w:w="44" w:type="dxa"/>
        <w:tblLayout w:type="fixed"/>
        <w:tblCellMar>
          <w:top w:w="55" w:type="dxa"/>
          <w:left w:w="55" w:type="dxa"/>
          <w:bottom w:w="55" w:type="dxa"/>
          <w:right w:w="55" w:type="dxa"/>
        </w:tblCellMar>
      </w:tblPr>
      <w:tblGrid>
        <w:gridCol w:w="1278"/>
        <w:gridCol w:w="5022"/>
        <w:gridCol w:w="3184"/>
        <w:gridCol w:w="2778"/>
        <w:gridCol w:w="3155"/>
      </w:tblGrid>
      <w:tr>
        <w:tblPrEx>
          <w:tblCellMar>
            <w:top w:w="55" w:type="dxa"/>
            <w:left w:w="55" w:type="dxa"/>
            <w:bottom w:w="55" w:type="dxa"/>
            <w:right w:w="55" w:type="dxa"/>
          </w:tblCellMar>
        </w:tblPrEx>
        <w:trPr>
          <w:trHeight w:val="321" w:hRule="atLeast"/>
        </w:trPr>
        <w:tc>
          <w:tcPr>
            <w:tcW w:w="15417"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财政拨款支出决算表（功能科目）</w:t>
            </w:r>
          </w:p>
        </w:tc>
      </w:tr>
      <w:tr>
        <w:tblPrEx>
          <w:tblCellMar>
            <w:top w:w="55" w:type="dxa"/>
            <w:left w:w="55" w:type="dxa"/>
            <w:bottom w:w="55" w:type="dxa"/>
            <w:right w:w="55" w:type="dxa"/>
          </w:tblCellMar>
        </w:tblPrEx>
        <w:trPr>
          <w:trHeight w:val="321" w:hRule="atLeast"/>
        </w:trPr>
        <w:tc>
          <w:tcPr>
            <w:tcW w:w="6300" w:type="dxa"/>
            <w:gridSpan w:val="2"/>
          </w:tcPr>
          <w:p>
            <w:pPr>
              <w:pStyle w:val="22"/>
              <w:widowControl w:val="0"/>
              <w:rPr>
                <w:rFonts w:hint="eastAsia" w:ascii="仿宋" w:hAnsi="仿宋" w:eastAsia="仿宋" w:cs="仿宋"/>
                <w:sz w:val="20"/>
              </w:rPr>
            </w:pPr>
          </w:p>
        </w:tc>
        <w:tc>
          <w:tcPr>
            <w:tcW w:w="3184" w:type="dxa"/>
          </w:tcPr>
          <w:p>
            <w:pPr>
              <w:pStyle w:val="22"/>
              <w:widowControl w:val="0"/>
              <w:rPr>
                <w:rFonts w:hint="eastAsia" w:ascii="仿宋" w:hAnsi="仿宋" w:eastAsia="仿宋" w:cs="仿宋"/>
                <w:sz w:val="27"/>
              </w:rPr>
            </w:pPr>
          </w:p>
        </w:tc>
        <w:tc>
          <w:tcPr>
            <w:tcW w:w="5933" w:type="dxa"/>
            <w:gridSpan w:val="2"/>
            <w:vAlign w:val="center"/>
          </w:tcPr>
          <w:p>
            <w:pPr>
              <w:pStyle w:val="22"/>
              <w:widowControl w:val="0"/>
              <w:jc w:val="right"/>
              <w:rPr>
                <w:rFonts w:hint="eastAsia" w:ascii="仿宋" w:hAnsi="仿宋" w:eastAsia="仿宋" w:cs="仿宋"/>
                <w:sz w:val="27"/>
              </w:rPr>
            </w:pPr>
            <w:r>
              <w:rPr>
                <w:rFonts w:hint="eastAsia" w:ascii="仿宋" w:hAnsi="仿宋" w:eastAsia="仿宋" w:cs="仿宋"/>
              </w:rPr>
              <w:t>公开05表</w:t>
            </w:r>
          </w:p>
        </w:tc>
      </w:tr>
      <w:tr>
        <w:tblPrEx>
          <w:tblCellMar>
            <w:top w:w="55" w:type="dxa"/>
            <w:left w:w="55" w:type="dxa"/>
            <w:bottom w:w="55" w:type="dxa"/>
            <w:right w:w="55" w:type="dxa"/>
          </w:tblCellMar>
        </w:tblPrEx>
        <w:trPr>
          <w:trHeight w:val="288" w:hRule="atLeast"/>
        </w:trPr>
        <w:tc>
          <w:tcPr>
            <w:tcW w:w="6300" w:type="dxa"/>
            <w:gridSpan w:val="2"/>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eastAsia="仿宋" w:cs="仿宋"/>
                <w:color w:val="000000"/>
                <w:sz w:val="22"/>
              </w:rPr>
              <w:t>名称：</w:t>
            </w:r>
            <w:r>
              <w:rPr>
                <w:rFonts w:hint="eastAsia" w:ascii="仿宋" w:hAnsi="仿宋" w:eastAsia="仿宋" w:cs="仿宋"/>
              </w:rPr>
              <w:t>江阴市市场监督管理局</w:t>
            </w:r>
          </w:p>
        </w:tc>
        <w:tc>
          <w:tcPr>
            <w:tcW w:w="3184" w:type="dxa"/>
          </w:tcPr>
          <w:p>
            <w:pPr>
              <w:pStyle w:val="22"/>
              <w:widowControl w:val="0"/>
              <w:rPr>
                <w:rFonts w:hint="eastAsia" w:ascii="仿宋" w:hAnsi="仿宋" w:eastAsia="仿宋" w:cs="仿宋"/>
                <w:sz w:val="27"/>
              </w:rPr>
            </w:pPr>
          </w:p>
        </w:tc>
        <w:tc>
          <w:tcPr>
            <w:tcW w:w="2778" w:type="dxa"/>
            <w:vAlign w:val="center"/>
          </w:tcPr>
          <w:p>
            <w:pPr>
              <w:pStyle w:val="22"/>
              <w:widowControl w:val="0"/>
              <w:jc w:val="right"/>
              <w:rPr>
                <w:rFonts w:hint="eastAsia" w:ascii="仿宋" w:hAnsi="仿宋" w:eastAsia="仿宋" w:cs="仿宋"/>
                <w:sz w:val="27"/>
              </w:rPr>
            </w:pPr>
          </w:p>
        </w:tc>
        <w:tc>
          <w:tcPr>
            <w:tcW w:w="3155"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300"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3184"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本年支出合计</w:t>
            </w:r>
          </w:p>
        </w:tc>
        <w:tc>
          <w:tcPr>
            <w:tcW w:w="2778"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3155"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278"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功能分类</w:t>
            </w:r>
          </w:p>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5022"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3184"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2778"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3155"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275" w:hRule="atLeast"/>
        </w:trPr>
        <w:tc>
          <w:tcPr>
            <w:tcW w:w="6300"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栏次</w:t>
            </w:r>
          </w:p>
        </w:tc>
        <w:tc>
          <w:tcPr>
            <w:tcW w:w="3184"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1</w:t>
            </w:r>
          </w:p>
        </w:tc>
        <w:tc>
          <w:tcPr>
            <w:tcW w:w="2778"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2</w:t>
            </w:r>
          </w:p>
        </w:tc>
        <w:tc>
          <w:tcPr>
            <w:tcW w:w="3155"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3</w:t>
            </w:r>
          </w:p>
        </w:tc>
      </w:tr>
      <w:tr>
        <w:tblPrEx>
          <w:tblCellMar>
            <w:top w:w="55" w:type="dxa"/>
            <w:left w:w="55" w:type="dxa"/>
            <w:bottom w:w="55" w:type="dxa"/>
            <w:right w:w="55" w:type="dxa"/>
          </w:tblCellMar>
        </w:tblPrEx>
        <w:trPr>
          <w:trHeight w:val="374" w:hRule="exact"/>
        </w:trPr>
        <w:tc>
          <w:tcPr>
            <w:tcW w:w="6300"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3184"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22,007.41</w:t>
            </w:r>
          </w:p>
        </w:tc>
        <w:tc>
          <w:tcPr>
            <w:tcW w:w="2778"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rPr>
              <w:t>16,412.48</w:t>
            </w:r>
          </w:p>
        </w:tc>
        <w:tc>
          <w:tcPr>
            <w:tcW w:w="3155"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5,594.93</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15,847.25</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10,960.24</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4,887.00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20114</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知识产权事务</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1,369.23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1,369.23</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2011405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知识产权战略和规划</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848.50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848.50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2011499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其他知识产权事务支出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520.73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520.73</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20138</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市场监督管理事务</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14,478.02</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10,960.24</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3,517.78</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2013801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行政运行</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9,984.84</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9,984.84</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2013802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一般行政管理事务</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22.28</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22.28</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2013810</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质量基础</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288.50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288.50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2013812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药品事务</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63.55</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63.55</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2013816</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食品安全监管</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7.93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7.93</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2013850</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事业运行</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975.41</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975.41</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2013899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其他市场监督管理事务</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3,135.52</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3,135.52</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1,502.72</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1,502.72</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行政事业单位养老支出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1,164.48</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1,164.48</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机关事业单位基本养老保险缴费支出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776.52</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776.52</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2080506</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机关事业单位职业年金缴费支出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387.96</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387.96</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其他社会保障和就业支出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338.24</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338.24</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2089999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其他社会保障和就业支出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338.24</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338.24</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城乡社区支出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221.95</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221.95</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21205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城乡社区环境卫生</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6.93</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2120501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城乡社区环境卫生</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6.93</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21299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其他城乡社区支出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215.02</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215.02</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2129999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其他城乡社区支出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215.02</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215.02</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216</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商业服务业等支出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416.07</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416.07</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21699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其他商业服务业等支出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416.07</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416.07</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2169999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其他商业服务业等支出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416.07</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416.07</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3,949.52</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3,949.52</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住房改革支出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3,949.52</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3,949.52</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住房公积金</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1,012.35</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1,012.35</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提租补贴</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1,978.17</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1,978.17</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2210203</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购房补贴</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959.00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959.00</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69.90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69.90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22999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69.90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69.90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2299999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69.90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69.90</w:t>
            </w:r>
          </w:p>
        </w:tc>
      </w:tr>
    </w:tbl>
    <w:p>
      <w:pPr>
        <w:widowControl w:val="0"/>
        <w:tabs>
          <w:tab w:val="left" w:pos="0"/>
        </w:tabs>
        <w:suppressAutoHyphens/>
        <w:bidi w:val="0"/>
        <w:spacing w:before="0" w:after="0"/>
        <w:ind w:left="0" w:leftChars="0" w:right="0" w:firstLine="0" w:firstLineChars="0"/>
        <w:jc w:val="both"/>
        <w:rPr>
          <w:rFonts w:hint="eastAsia" w:ascii="仿宋" w:hAnsi="仿宋" w:eastAsia="仿宋" w:cs="仿宋"/>
          <w:b w:val="0"/>
          <w:bCs w:val="0"/>
        </w:rPr>
      </w:pPr>
      <w:r>
        <w:rPr>
          <w:rFonts w:hint="eastAsia" w:ascii="仿宋" w:hAnsi="仿宋" w:eastAsia="仿宋" w:cs="仿宋"/>
          <w:b w:val="0"/>
          <w:bCs w:val="0"/>
        </w:rPr>
        <w:t>注：本表反映本年度一般公共预算财政拨款、政府性基金预算财政拨款和国有资本经营预算财政拨款支出情况。本表金额单位转换时可能存在尾数误差。</w:t>
      </w:r>
    </w:p>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val="0"/>
          <w:bCs w:val="0"/>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515" w:type="dxa"/>
        <w:tblInd w:w="38" w:type="dxa"/>
        <w:tblLayout w:type="fixed"/>
        <w:tblCellMar>
          <w:top w:w="55" w:type="dxa"/>
          <w:left w:w="55" w:type="dxa"/>
          <w:bottom w:w="55" w:type="dxa"/>
          <w:right w:w="55" w:type="dxa"/>
        </w:tblCellMar>
      </w:tblPr>
      <w:tblGrid>
        <w:gridCol w:w="990"/>
        <w:gridCol w:w="3542"/>
        <w:gridCol w:w="2047"/>
        <w:gridCol w:w="2040"/>
        <w:gridCol w:w="1896"/>
      </w:tblGrid>
      <w:tr>
        <w:tblPrEx>
          <w:tblCellMar>
            <w:top w:w="55" w:type="dxa"/>
            <w:left w:w="55" w:type="dxa"/>
            <w:bottom w:w="55" w:type="dxa"/>
            <w:right w:w="55" w:type="dxa"/>
          </w:tblCellMar>
        </w:tblPrEx>
        <w:trPr>
          <w:trHeight w:val="319" w:hRule="atLeast"/>
        </w:trPr>
        <w:tc>
          <w:tcPr>
            <w:tcW w:w="10515"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财政拨款基本支出决算表（经济科目）</w:t>
            </w:r>
          </w:p>
        </w:tc>
      </w:tr>
      <w:tr>
        <w:tblPrEx>
          <w:tblCellMar>
            <w:top w:w="55" w:type="dxa"/>
            <w:left w:w="55" w:type="dxa"/>
            <w:bottom w:w="55" w:type="dxa"/>
            <w:right w:w="55" w:type="dxa"/>
          </w:tblCellMar>
        </w:tblPrEx>
        <w:trPr>
          <w:trHeight w:val="319" w:hRule="atLeast"/>
        </w:trPr>
        <w:tc>
          <w:tcPr>
            <w:tcW w:w="4532" w:type="dxa"/>
            <w:gridSpan w:val="2"/>
          </w:tcPr>
          <w:p>
            <w:pPr>
              <w:pStyle w:val="22"/>
              <w:widowControl w:val="0"/>
              <w:rPr>
                <w:rFonts w:hint="eastAsia" w:ascii="仿宋" w:hAnsi="仿宋" w:eastAsia="仿宋" w:cs="仿宋"/>
                <w:sz w:val="20"/>
              </w:rPr>
            </w:pPr>
          </w:p>
        </w:tc>
        <w:tc>
          <w:tcPr>
            <w:tcW w:w="2047" w:type="dxa"/>
          </w:tcPr>
          <w:p>
            <w:pPr>
              <w:pStyle w:val="22"/>
              <w:widowControl w:val="0"/>
              <w:rPr>
                <w:rFonts w:hint="eastAsia" w:ascii="仿宋" w:hAnsi="仿宋" w:eastAsia="仿宋" w:cs="仿宋"/>
                <w:sz w:val="20"/>
              </w:rPr>
            </w:pPr>
          </w:p>
        </w:tc>
        <w:tc>
          <w:tcPr>
            <w:tcW w:w="2040" w:type="dxa"/>
          </w:tcPr>
          <w:p>
            <w:pPr>
              <w:pStyle w:val="22"/>
              <w:widowControl w:val="0"/>
              <w:rPr>
                <w:rFonts w:hint="eastAsia" w:ascii="仿宋" w:hAnsi="仿宋" w:eastAsia="仿宋" w:cs="仿宋"/>
                <w:sz w:val="20"/>
              </w:rPr>
            </w:pPr>
          </w:p>
        </w:tc>
        <w:tc>
          <w:tcPr>
            <w:tcW w:w="1896"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8619"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eastAsia="仿宋" w:cs="仿宋"/>
                <w:color w:val="000000"/>
                <w:sz w:val="22"/>
              </w:rPr>
              <w:t>名称：</w:t>
            </w:r>
            <w:r>
              <w:rPr>
                <w:rFonts w:hint="eastAsia" w:ascii="仿宋" w:hAnsi="仿宋" w:eastAsia="仿宋" w:cs="仿宋"/>
                <w:sz w:val="22"/>
                <w:szCs w:val="22"/>
              </w:rPr>
              <w:t>江阴市市场监督管理局</w:t>
            </w:r>
          </w:p>
        </w:tc>
        <w:tc>
          <w:tcPr>
            <w:tcW w:w="1896"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43" w:hRule="atLeast"/>
        </w:trPr>
        <w:tc>
          <w:tcPr>
            <w:tcW w:w="4532"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983"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财政拨款基本支出</w:t>
            </w:r>
          </w:p>
        </w:tc>
      </w:tr>
      <w:tr>
        <w:tblPrEx>
          <w:tblCellMar>
            <w:top w:w="55" w:type="dxa"/>
            <w:left w:w="55" w:type="dxa"/>
            <w:bottom w:w="55" w:type="dxa"/>
            <w:right w:w="55" w:type="dxa"/>
          </w:tblCellMar>
        </w:tblPrEx>
        <w:trPr>
          <w:trHeight w:val="483" w:hRule="atLeast"/>
        </w:trPr>
        <w:tc>
          <w:tcPr>
            <w:tcW w:w="99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896"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409" w:hRule="exact"/>
        </w:trPr>
        <w:tc>
          <w:tcPr>
            <w:tcW w:w="4532"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ascii="仿宋" w:hAnsi="仿宋" w:eastAsia="仿宋" w:cs="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16,412.48</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15,379.29</w:t>
            </w:r>
          </w:p>
        </w:tc>
        <w:tc>
          <w:tcPr>
            <w:tcW w:w="1896"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1,033.19</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14,402.08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14,402.08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1,633.24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1,633.24</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5,476.12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5,476.12</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2,836.69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2,836.69</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226.92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226.92</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457.38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457.38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776.52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776.52</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387.96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387.96</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326.58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326.58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11.65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11.65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1,012.35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1,012.35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38.56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38.56</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1,218.11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1,218.11</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998.19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998.19</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146.37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146.37</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25.06</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9.65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9.65</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163.83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163.83</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44.64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44.64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33.73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33.73</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93.43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93.43</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5.37</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28.74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28.74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12.40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12.40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36.71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36.71</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132.23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132.23</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0.05</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120.15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120.15</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7.07</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30240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129.23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129.23</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977.21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977.21</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782.24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782.24</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154.52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154.52</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22.85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22.85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7.60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7.60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债务利息及费用支出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其他支出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经常性赠与</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资本性赠与</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widowControl w:val="0"/>
        <w:tabs>
          <w:tab w:val="left" w:pos="660"/>
          <w:tab w:val="left" w:pos="10780"/>
        </w:tabs>
        <w:suppressAutoHyphens/>
        <w:bidi w:val="0"/>
        <w:spacing w:before="25" w:after="0" w:line="290" w:lineRule="auto"/>
        <w:ind w:left="0" w:leftChars="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注：本表反映本年度一般公共预算财政拨款、政府性基金预算财政拨款和国有资本经营预算财政拨款基本支出情况。本表金额单位转换时可能存在尾数误差。</w:t>
      </w:r>
    </w:p>
    <w:p>
      <w:pPr>
        <w:widowControl w:val="0"/>
        <w:numPr>
          <w:ilvl w:val="0"/>
          <w:numId w:val="0"/>
        </w:numPr>
        <w:suppressAutoHyphens/>
        <w:bidi w:val="0"/>
        <w:spacing w:before="0" w:after="0" w:line="255" w:lineRule="exact"/>
        <w:jc w:val="both"/>
        <w:rPr>
          <w:rFonts w:hint="eastAsia" w:ascii="仿宋" w:hAnsi="仿宋" w:eastAsia="仿宋" w:cs="仿宋"/>
          <w:b w:val="0"/>
          <w:bCs w:val="0"/>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46" w:type="dxa"/>
        <w:tblInd w:w="78" w:type="dxa"/>
        <w:tblLayout w:type="fixed"/>
        <w:tblCellMar>
          <w:top w:w="55" w:type="dxa"/>
          <w:left w:w="55" w:type="dxa"/>
          <w:bottom w:w="55" w:type="dxa"/>
          <w:right w:w="55" w:type="dxa"/>
        </w:tblCellMar>
      </w:tblPr>
      <w:tblGrid>
        <w:gridCol w:w="1134"/>
        <w:gridCol w:w="4332"/>
        <w:gridCol w:w="1969"/>
        <w:gridCol w:w="1499"/>
        <w:gridCol w:w="1512"/>
      </w:tblGrid>
      <w:tr>
        <w:tblPrEx>
          <w:tblCellMar>
            <w:top w:w="55" w:type="dxa"/>
            <w:left w:w="55" w:type="dxa"/>
            <w:bottom w:w="55" w:type="dxa"/>
            <w:right w:w="55" w:type="dxa"/>
          </w:tblCellMar>
        </w:tblPrEx>
        <w:trPr>
          <w:trHeight w:val="560" w:hRule="atLeast"/>
        </w:trPr>
        <w:tc>
          <w:tcPr>
            <w:tcW w:w="10446"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一般公共预算支出决算表（功能科目）</w:t>
            </w:r>
          </w:p>
        </w:tc>
      </w:tr>
      <w:tr>
        <w:tblPrEx>
          <w:tblCellMar>
            <w:top w:w="55" w:type="dxa"/>
            <w:left w:w="55" w:type="dxa"/>
            <w:bottom w:w="55" w:type="dxa"/>
            <w:right w:w="55" w:type="dxa"/>
          </w:tblCellMar>
        </w:tblPrEx>
        <w:trPr>
          <w:trHeight w:val="147" w:hRule="atLeast"/>
        </w:trPr>
        <w:tc>
          <w:tcPr>
            <w:tcW w:w="5466" w:type="dxa"/>
            <w:gridSpan w:val="2"/>
          </w:tcPr>
          <w:p>
            <w:pPr>
              <w:pStyle w:val="22"/>
              <w:widowControl w:val="0"/>
              <w:rPr>
                <w:rFonts w:hint="eastAsia" w:ascii="仿宋" w:hAnsi="仿宋" w:eastAsia="仿宋" w:cs="仿宋"/>
                <w:sz w:val="20"/>
              </w:rPr>
            </w:pPr>
          </w:p>
        </w:tc>
        <w:tc>
          <w:tcPr>
            <w:tcW w:w="1969" w:type="dxa"/>
          </w:tcPr>
          <w:p>
            <w:pPr>
              <w:pStyle w:val="22"/>
              <w:widowControl w:val="0"/>
              <w:rPr>
                <w:rFonts w:hint="eastAsia" w:ascii="仿宋" w:hAnsi="仿宋" w:eastAsia="仿宋" w:cs="仿宋"/>
                <w:sz w:val="20"/>
              </w:rPr>
            </w:pPr>
          </w:p>
        </w:tc>
        <w:tc>
          <w:tcPr>
            <w:tcW w:w="1499" w:type="dxa"/>
          </w:tcPr>
          <w:p>
            <w:pPr>
              <w:pStyle w:val="22"/>
              <w:widowControl w:val="0"/>
              <w:rPr>
                <w:rFonts w:hint="eastAsia" w:ascii="仿宋" w:hAnsi="仿宋" w:eastAsia="仿宋" w:cs="仿宋"/>
                <w:sz w:val="20"/>
              </w:rPr>
            </w:pPr>
          </w:p>
        </w:tc>
        <w:tc>
          <w:tcPr>
            <w:tcW w:w="1512"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公开07表</w:t>
            </w:r>
          </w:p>
        </w:tc>
      </w:tr>
      <w:tr>
        <w:tblPrEx>
          <w:tblCellMar>
            <w:top w:w="55" w:type="dxa"/>
            <w:left w:w="55" w:type="dxa"/>
            <w:bottom w:w="55" w:type="dxa"/>
            <w:right w:w="55" w:type="dxa"/>
          </w:tblCellMar>
        </w:tblPrEx>
        <w:trPr>
          <w:trHeight w:val="303" w:hRule="atLeast"/>
        </w:trPr>
        <w:tc>
          <w:tcPr>
            <w:tcW w:w="7435" w:type="dxa"/>
            <w:gridSpan w:val="3"/>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eastAsia="仿宋" w:cs="仿宋"/>
                <w:color w:val="000000"/>
                <w:sz w:val="22"/>
              </w:rPr>
              <w:t>名称：</w:t>
            </w:r>
            <w:r>
              <w:rPr>
                <w:rFonts w:hint="eastAsia" w:ascii="仿宋" w:hAnsi="仿宋" w:eastAsia="仿宋" w:cs="仿宋"/>
              </w:rPr>
              <w:t>江阴市市场监督管理局</w:t>
            </w:r>
          </w:p>
        </w:tc>
        <w:tc>
          <w:tcPr>
            <w:tcW w:w="3011" w:type="dxa"/>
            <w:gridSpan w:val="2"/>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58" w:hRule="atLeast"/>
        </w:trPr>
        <w:tc>
          <w:tcPr>
            <w:tcW w:w="5466"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1969"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1499"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512"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561" w:hRule="atLeast"/>
        </w:trPr>
        <w:tc>
          <w:tcPr>
            <w:tcW w:w="1134"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功能分类科目编码</w:t>
            </w:r>
          </w:p>
        </w:tc>
        <w:tc>
          <w:tcPr>
            <w:tcW w:w="4332"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1969"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499"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512"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trHeight w:val="152" w:hRule="atLeast"/>
        </w:trPr>
        <w:tc>
          <w:tcPr>
            <w:tcW w:w="5466"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1969"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w:t>
            </w:r>
          </w:p>
        </w:tc>
        <w:tc>
          <w:tcPr>
            <w:tcW w:w="1499"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1512"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3</w:t>
            </w:r>
          </w:p>
        </w:tc>
      </w:tr>
      <w:tr>
        <w:tblPrEx>
          <w:tblCellMar>
            <w:top w:w="55" w:type="dxa"/>
            <w:left w:w="55" w:type="dxa"/>
            <w:bottom w:w="55" w:type="dxa"/>
            <w:right w:w="55" w:type="dxa"/>
          </w:tblCellMar>
        </w:tblPrEx>
        <w:trPr>
          <w:trHeight w:val="298" w:hRule="exact"/>
        </w:trPr>
        <w:tc>
          <w:tcPr>
            <w:tcW w:w="5466"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合计</w:t>
            </w:r>
          </w:p>
        </w:tc>
        <w:tc>
          <w:tcPr>
            <w:tcW w:w="1969"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22,007.41</w:t>
            </w:r>
          </w:p>
        </w:tc>
        <w:tc>
          <w:tcPr>
            <w:tcW w:w="1499"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16,412.48</w:t>
            </w:r>
          </w:p>
        </w:tc>
        <w:tc>
          <w:tcPr>
            <w:tcW w:w="1512" w:type="dxa"/>
            <w:tcBorders>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5,594.93</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一般公共服务支出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15,847.25</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10,960.24</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4,887.00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20114</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知识产权事务</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1,369.23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1,369.23</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2011405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知识产权战略和规划</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848.50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848.50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2011499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其他知识产权事务支出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520.73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520.73</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20138</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市场监督管理事务</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14,478.02</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10,960.24</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3,517.78</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2013801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行政运行</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9,984.84</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9,984.84</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2013802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一般行政管理事务</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22.28</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22.28</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2013810</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质量基础</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288.50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288.50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2013812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药品事务</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63.55</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63.55</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2013816</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食品安全监管</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7.93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7.93</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2013850</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事业运行</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975.41</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975.41</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2013899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其他市场监督管理事务</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3,135.52</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3,135.52</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社会保障和就业支出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1,502.72</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1,502.72</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行政事业单位养老支出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1,164.48</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1,164.48</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2080505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776.52</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776.52</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2080506</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机关事业单位职业年金缴费支出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387.96</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387.96</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其他社会保障和就业支出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338.24</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338.24</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2089999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其他社会保障和就业支出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338.24</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338.24</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城乡社区支出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221.95</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221.95</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21205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城乡社区环境卫生</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6.93</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2120501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城乡社区环境卫生</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6.93</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21299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其他城乡社区支出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215.02</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215.02</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2129999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其他城乡社区支出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215.02</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215.02</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216</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商业服务业等支出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416.07</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416.07</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21699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其他商业服务业等支出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416.07</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416.07</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2169999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其他商业服务业等支出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416.07</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416.07</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住房保障支出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3,949.52</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3,949.52</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住房改革支出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3,949.52</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3,949.52</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1,012.35</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1,012.35</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提租补贴</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1,978.17</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1,978.17</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2210203</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购房补贴</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959.00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959.00</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69.90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69.90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22999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69.90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69.90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2299999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69.90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69.90</w:t>
            </w:r>
          </w:p>
        </w:tc>
      </w:tr>
    </w:tbl>
    <w:p>
      <w:pPr>
        <w:tabs>
          <w:tab w:val="left" w:pos="0"/>
        </w:tabs>
        <w:spacing w:before="25" w:after="0"/>
        <w:ind w:left="0" w:leftChars="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注：本表反映本年度一般公共预算财政拨款支出情况。本表金额单位转换时可能存在尾数误差。</w:t>
      </w:r>
    </w:p>
    <w:p>
      <w:pPr>
        <w:widowControl w:val="0"/>
        <w:numPr>
          <w:ilvl w:val="0"/>
          <w:numId w:val="0"/>
        </w:numPr>
        <w:suppressAutoHyphens/>
        <w:bidi w:val="0"/>
        <w:spacing w:before="25" w:after="0"/>
        <w:jc w:val="both"/>
        <w:rPr>
          <w:rFonts w:hint="eastAsia" w:ascii="仿宋" w:hAnsi="仿宋" w:eastAsia="仿宋" w:cs="仿宋"/>
          <w:b w:val="0"/>
          <w:bCs w:val="0"/>
          <w:sz w:val="22"/>
          <w:szCs w:val="22"/>
        </w:rPr>
        <w:sectPr>
          <w:footerReference r:id="rId14"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73" w:type="dxa"/>
        <w:tblInd w:w="65" w:type="dxa"/>
        <w:tblLayout w:type="fixed"/>
        <w:tblCellMar>
          <w:top w:w="55" w:type="dxa"/>
          <w:left w:w="55" w:type="dxa"/>
          <w:bottom w:w="55" w:type="dxa"/>
          <w:right w:w="55" w:type="dxa"/>
        </w:tblCellMar>
      </w:tblPr>
      <w:tblGrid>
        <w:gridCol w:w="1121"/>
        <w:gridCol w:w="3566"/>
        <w:gridCol w:w="2200"/>
        <w:gridCol w:w="1708"/>
        <w:gridCol w:w="1878"/>
      </w:tblGrid>
      <w:tr>
        <w:tblPrEx>
          <w:tblCellMar>
            <w:top w:w="55" w:type="dxa"/>
            <w:left w:w="55" w:type="dxa"/>
            <w:bottom w:w="55" w:type="dxa"/>
            <w:right w:w="55" w:type="dxa"/>
          </w:tblCellMar>
        </w:tblPrEx>
        <w:trPr>
          <w:trHeight w:val="319" w:hRule="atLeast"/>
        </w:trPr>
        <w:tc>
          <w:tcPr>
            <w:tcW w:w="10473" w:type="dxa"/>
            <w:gridSpan w:val="5"/>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一般公共预算基本支出决算表（经济科目）</w:t>
            </w:r>
          </w:p>
        </w:tc>
      </w:tr>
      <w:tr>
        <w:tblPrEx>
          <w:tblCellMar>
            <w:top w:w="55" w:type="dxa"/>
            <w:left w:w="55" w:type="dxa"/>
            <w:bottom w:w="55" w:type="dxa"/>
            <w:right w:w="55" w:type="dxa"/>
          </w:tblCellMar>
        </w:tblPrEx>
        <w:trPr>
          <w:trHeight w:val="199" w:hRule="atLeast"/>
        </w:trPr>
        <w:tc>
          <w:tcPr>
            <w:tcW w:w="8595" w:type="dxa"/>
            <w:gridSpan w:val="4"/>
            <w:vAlign w:val="center"/>
          </w:tcPr>
          <w:p>
            <w:pPr>
              <w:pStyle w:val="22"/>
              <w:widowControl w:val="0"/>
              <w:jc w:val="right"/>
              <w:rPr>
                <w:rFonts w:hint="eastAsia" w:ascii="仿宋" w:hAnsi="仿宋" w:eastAsia="仿宋" w:cs="仿宋"/>
                <w:color w:val="000000"/>
                <w:sz w:val="22"/>
                <w:szCs w:val="22"/>
                <w:lang w:eastAsia="zh-CN"/>
              </w:rPr>
            </w:pPr>
          </w:p>
        </w:tc>
        <w:tc>
          <w:tcPr>
            <w:tcW w:w="1878" w:type="dxa"/>
            <w:vAlign w:val="center"/>
          </w:tcPr>
          <w:p>
            <w:pPr>
              <w:pStyle w:val="22"/>
              <w:widowControl w:val="0"/>
              <w:jc w:val="right"/>
              <w:rPr>
                <w:rFonts w:hint="eastAsia" w:ascii="仿宋" w:hAnsi="仿宋" w:eastAsia="仿宋" w:cs="仿宋"/>
              </w:rPr>
            </w:pPr>
            <w:r>
              <w:rPr>
                <w:rFonts w:hint="eastAsia" w:ascii="仿宋" w:hAnsi="仿宋" w:eastAsia="仿宋" w:cs="仿宋"/>
              </w:rPr>
              <w:t>公开08表</w:t>
            </w:r>
          </w:p>
        </w:tc>
      </w:tr>
      <w:tr>
        <w:tblPrEx>
          <w:tblCellMar>
            <w:top w:w="55" w:type="dxa"/>
            <w:left w:w="55" w:type="dxa"/>
            <w:bottom w:w="55" w:type="dxa"/>
            <w:right w:w="55" w:type="dxa"/>
          </w:tblCellMar>
        </w:tblPrEx>
        <w:trPr>
          <w:trHeight w:val="320" w:hRule="atLeast"/>
        </w:trPr>
        <w:tc>
          <w:tcPr>
            <w:tcW w:w="8595"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eastAsia="仿宋" w:cs="仿宋"/>
                <w:color w:val="000000"/>
                <w:sz w:val="22"/>
              </w:rPr>
              <w:t>名称：</w:t>
            </w:r>
            <w:r>
              <w:rPr>
                <w:rFonts w:hint="eastAsia" w:ascii="仿宋" w:hAnsi="仿宋" w:eastAsia="仿宋" w:cs="仿宋"/>
              </w:rPr>
              <w:t>江阴市市场监督管理局</w:t>
            </w:r>
          </w:p>
        </w:tc>
        <w:tc>
          <w:tcPr>
            <w:tcW w:w="1878"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80" w:hRule="atLeast"/>
        </w:trPr>
        <w:tc>
          <w:tcPr>
            <w:tcW w:w="4687"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786"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一般公共预算财政拨款基本支出</w:t>
            </w:r>
          </w:p>
        </w:tc>
      </w:tr>
      <w:tr>
        <w:tblPrEx>
          <w:tblCellMar>
            <w:top w:w="55" w:type="dxa"/>
            <w:left w:w="55" w:type="dxa"/>
            <w:bottom w:w="55" w:type="dxa"/>
            <w:right w:w="55" w:type="dxa"/>
          </w:tblCellMar>
        </w:tblPrEx>
        <w:trPr>
          <w:trHeight w:val="474" w:hRule="atLeast"/>
        </w:trPr>
        <w:tc>
          <w:tcPr>
            <w:tcW w:w="112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3566"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20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70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87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94" w:hRule="exact"/>
        </w:trPr>
        <w:tc>
          <w:tcPr>
            <w:tcW w:w="4687"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2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16,412.48</w:t>
            </w:r>
          </w:p>
        </w:tc>
        <w:tc>
          <w:tcPr>
            <w:tcW w:w="170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15,379.29</w:t>
            </w:r>
          </w:p>
        </w:tc>
        <w:tc>
          <w:tcPr>
            <w:tcW w:w="187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1,033.19</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14,402.08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14,402.08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1,633.24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1,633.24</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5,476.12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5,476.12</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2,836.69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2,836.69</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226.92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226.92</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457.38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457.38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776.52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776.52</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387.96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387.96</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326.58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326.58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11.65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11.65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1,012.35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1,012.35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38.56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38.56</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1,218.11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1,218.11</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998.19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998.19</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146.37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146.37</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25.06</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9.65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9.65</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163.83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163.83</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44.64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44.64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33.73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33.73</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93.43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93.43</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5.37</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28.74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28.74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12.40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12.40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36.71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36.71</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132.23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132.23</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0.05</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120.15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120.15</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7.07</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30240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129.23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129.23</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977.21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977.21</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782.24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782.24</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154.52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154.52</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22.85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22.85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7.60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7.60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债务利息及费用支出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其他支出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经常性赠与</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资本性赠与</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spacing w:before="25" w:after="0"/>
        <w:ind w:left="0" w:leftChars="0" w:right="-92" w:rightChars="-42"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注：本表反映本年度一般公共预算财政拨款基本支出情况。本表金额单位转换时可能存在尾数误差。</w:t>
      </w:r>
    </w:p>
    <w:p>
      <w:pPr>
        <w:widowControl w:val="0"/>
        <w:numPr>
          <w:ilvl w:val="0"/>
          <w:numId w:val="0"/>
        </w:numPr>
        <w:suppressAutoHyphens/>
        <w:bidi w:val="0"/>
        <w:spacing w:before="25" w:after="0"/>
        <w:jc w:val="both"/>
        <w:rPr>
          <w:rFonts w:hint="eastAsia" w:ascii="仿宋" w:hAnsi="仿宋" w:eastAsia="仿宋" w:cs="仿宋"/>
          <w:b w:val="0"/>
          <w:bCs w:val="0"/>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486" w:type="dxa"/>
        <w:tblInd w:w="62" w:type="dxa"/>
        <w:tblLayout w:type="fixed"/>
        <w:tblCellMar>
          <w:top w:w="55" w:type="dxa"/>
          <w:left w:w="55" w:type="dxa"/>
          <w:bottom w:w="55" w:type="dxa"/>
          <w:right w:w="55" w:type="dxa"/>
        </w:tblCellMar>
      </w:tblPr>
      <w:tblGrid>
        <w:gridCol w:w="1044"/>
        <w:gridCol w:w="1042"/>
        <w:gridCol w:w="1020"/>
        <w:gridCol w:w="1029"/>
        <w:gridCol w:w="998"/>
        <w:gridCol w:w="1026"/>
        <w:gridCol w:w="1043"/>
        <w:gridCol w:w="1010"/>
        <w:gridCol w:w="1058"/>
        <w:gridCol w:w="1010"/>
        <w:gridCol w:w="948"/>
        <w:gridCol w:w="1089"/>
        <w:gridCol w:w="1042"/>
        <w:gridCol w:w="1043"/>
        <w:gridCol w:w="1057"/>
        <w:gridCol w:w="1027"/>
      </w:tblGrid>
      <w:tr>
        <w:tblPrEx>
          <w:tblCellMar>
            <w:top w:w="55" w:type="dxa"/>
            <w:left w:w="55" w:type="dxa"/>
            <w:bottom w:w="55" w:type="dxa"/>
            <w:right w:w="55" w:type="dxa"/>
          </w:tblCellMar>
        </w:tblPrEx>
        <w:trPr>
          <w:trHeight w:val="321" w:hRule="atLeast"/>
        </w:trPr>
        <w:tc>
          <w:tcPr>
            <w:tcW w:w="16486" w:type="dxa"/>
            <w:gridSpan w:val="16"/>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en-US" w:eastAsia="zh-CN" w:bidi="zh-CN"/>
              </w:rPr>
              <w:t>财政拨款“三公”经费、会议费和培训费支出决算表</w:t>
            </w:r>
          </w:p>
        </w:tc>
      </w:tr>
      <w:tr>
        <w:tblPrEx>
          <w:tblCellMar>
            <w:top w:w="55" w:type="dxa"/>
            <w:left w:w="55" w:type="dxa"/>
            <w:bottom w:w="55" w:type="dxa"/>
            <w:right w:w="55" w:type="dxa"/>
          </w:tblCellMar>
        </w:tblPrEx>
        <w:trPr>
          <w:trHeight w:val="207" w:hRule="atLeast"/>
        </w:trPr>
        <w:tc>
          <w:tcPr>
            <w:tcW w:w="16486" w:type="dxa"/>
            <w:gridSpan w:val="16"/>
          </w:tcPr>
          <w:p>
            <w:pPr>
              <w:pStyle w:val="22"/>
              <w:widowControl w:val="0"/>
              <w:jc w:val="right"/>
              <w:rPr>
                <w:rFonts w:hint="eastAsia" w:ascii="仿宋" w:hAnsi="仿宋" w:eastAsia="仿宋" w:cs="仿宋"/>
                <w:sz w:val="20"/>
              </w:rPr>
            </w:pPr>
            <w:r>
              <w:rPr>
                <w:rFonts w:hint="eastAsia" w:ascii="仿宋" w:hAnsi="仿宋" w:eastAsia="仿宋" w:cs="仿宋"/>
              </w:rPr>
              <w:t>公开09表</w:t>
            </w:r>
          </w:p>
        </w:tc>
      </w:tr>
      <w:tr>
        <w:tblPrEx>
          <w:tblCellMar>
            <w:top w:w="55" w:type="dxa"/>
            <w:left w:w="55" w:type="dxa"/>
            <w:bottom w:w="55" w:type="dxa"/>
            <w:right w:w="55" w:type="dxa"/>
          </w:tblCellMar>
        </w:tblPrEx>
        <w:trPr>
          <w:trHeight w:val="103" w:hRule="atLeast"/>
        </w:trPr>
        <w:tc>
          <w:tcPr>
            <w:tcW w:w="8212" w:type="dxa"/>
            <w:gridSpan w:val="8"/>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eastAsia="仿宋" w:cs="仿宋"/>
                <w:color w:val="000000"/>
                <w:sz w:val="22"/>
              </w:rPr>
              <w:t>名称：</w:t>
            </w:r>
            <w:r>
              <w:rPr>
                <w:rFonts w:hint="eastAsia" w:ascii="仿宋" w:hAnsi="仿宋" w:eastAsia="仿宋" w:cs="仿宋"/>
              </w:rPr>
              <w:t>江阴市市场监督管理局</w:t>
            </w:r>
          </w:p>
        </w:tc>
        <w:tc>
          <w:tcPr>
            <w:tcW w:w="8274" w:type="dxa"/>
            <w:gridSpan w:val="8"/>
            <w:tcBorders>
              <w:bottom w:val="single" w:color="auto" w:sz="4" w:space="0"/>
            </w:tcBorders>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71" w:hRule="atLeast"/>
        </w:trPr>
        <w:tc>
          <w:tcPr>
            <w:tcW w:w="8212" w:type="dxa"/>
            <w:gridSpan w:val="8"/>
            <w:tcBorders>
              <w:top w:val="single" w:color="auto" w:sz="4" w:space="0"/>
              <w:left w:val="single" w:color="auto" w:sz="4" w:space="0"/>
              <w:bottom w:val="single" w:color="auto" w:sz="4" w:space="0"/>
              <w:right w:val="single" w:color="auto" w:sz="4" w:space="0"/>
            </w:tcBorders>
          </w:tcPr>
          <w:p>
            <w:pPr>
              <w:pStyle w:val="22"/>
              <w:widowControl w:val="0"/>
              <w:jc w:val="center"/>
              <w:rPr>
                <w:rFonts w:hint="eastAsia" w:ascii="仿宋" w:hAnsi="仿宋" w:eastAsia="仿宋" w:cs="仿宋"/>
              </w:rPr>
            </w:pPr>
            <w:r>
              <w:rPr>
                <w:rFonts w:hint="eastAsia" w:ascii="仿宋" w:hAnsi="仿宋" w:eastAsia="仿宋" w:cs="仿宋"/>
                <w:lang w:val="en-US" w:eastAsia="zh-CN"/>
              </w:rPr>
              <w:t>预算数</w:t>
            </w:r>
          </w:p>
        </w:tc>
        <w:tc>
          <w:tcPr>
            <w:tcW w:w="8274" w:type="dxa"/>
            <w:gridSpan w:val="8"/>
            <w:tcBorders>
              <w:top w:val="single" w:color="auto" w:sz="4" w:space="0"/>
              <w:left w:val="single" w:color="auto" w:sz="4" w:space="0"/>
              <w:bottom w:val="single" w:color="auto" w:sz="4" w:space="0"/>
              <w:right w:val="single" w:color="auto" w:sz="4" w:space="0"/>
            </w:tcBorders>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决算数</w:t>
            </w:r>
          </w:p>
        </w:tc>
      </w:tr>
      <w:tr>
        <w:tblPrEx>
          <w:tblCellMar>
            <w:top w:w="55" w:type="dxa"/>
            <w:left w:w="55" w:type="dxa"/>
            <w:bottom w:w="55" w:type="dxa"/>
            <w:right w:w="55" w:type="dxa"/>
          </w:tblCellMar>
        </w:tblPrEx>
        <w:trPr>
          <w:trHeight w:val="179" w:hRule="atLeast"/>
        </w:trPr>
        <w:tc>
          <w:tcPr>
            <w:tcW w:w="6159" w:type="dxa"/>
            <w:gridSpan w:val="6"/>
            <w:tcBorders>
              <w:top w:val="single" w:color="auto"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w:t>
            </w:r>
          </w:p>
        </w:tc>
        <w:tc>
          <w:tcPr>
            <w:tcW w:w="1043" w:type="dxa"/>
            <w:vMerge w:val="restart"/>
            <w:tcBorders>
              <w:top w:val="single" w:color="auto"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会议费</w:t>
            </w:r>
          </w:p>
        </w:tc>
        <w:tc>
          <w:tcPr>
            <w:tcW w:w="1010"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培训费</w:t>
            </w:r>
          </w:p>
        </w:tc>
        <w:tc>
          <w:tcPr>
            <w:tcW w:w="6190" w:type="dxa"/>
            <w:gridSpan w:val="6"/>
            <w:tcBorders>
              <w:top w:val="single" w:color="auto"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w:t>
            </w:r>
          </w:p>
        </w:tc>
        <w:tc>
          <w:tcPr>
            <w:tcW w:w="1057"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会议费</w:t>
            </w:r>
          </w:p>
        </w:tc>
        <w:tc>
          <w:tcPr>
            <w:tcW w:w="1027"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培训费</w:t>
            </w:r>
          </w:p>
        </w:tc>
      </w:tr>
      <w:tr>
        <w:tblPrEx>
          <w:tblCellMar>
            <w:top w:w="55" w:type="dxa"/>
            <w:left w:w="55" w:type="dxa"/>
            <w:bottom w:w="55" w:type="dxa"/>
            <w:right w:w="55" w:type="dxa"/>
          </w:tblCellMar>
        </w:tblPrEx>
        <w:trPr>
          <w:trHeight w:val="297" w:hRule="atLeast"/>
        </w:trPr>
        <w:tc>
          <w:tcPr>
            <w:tcW w:w="1044"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1042"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3047"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公务用车购置及运行费</w:t>
            </w:r>
          </w:p>
        </w:tc>
        <w:tc>
          <w:tcPr>
            <w:tcW w:w="1026"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w:t>
            </w:r>
          </w:p>
          <w:p>
            <w:pPr>
              <w:pStyle w:val="22"/>
              <w:widowControl w:val="0"/>
              <w:jc w:val="center"/>
              <w:rPr>
                <w:rFonts w:hint="eastAsia" w:ascii="仿宋" w:hAnsi="仿宋" w:eastAsia="仿宋" w:cs="仿宋"/>
              </w:rPr>
            </w:pPr>
            <w:r>
              <w:rPr>
                <w:rFonts w:hint="eastAsia" w:ascii="仿宋" w:hAnsi="仿宋" w:eastAsia="仿宋" w:cs="仿宋"/>
              </w:rPr>
              <w:t>接待费</w:t>
            </w:r>
          </w:p>
        </w:tc>
        <w:tc>
          <w:tcPr>
            <w:tcW w:w="1043" w:type="dxa"/>
            <w:vMerge w:val="continue"/>
            <w:tcBorders>
              <w:left w:val="single" w:color="000000" w:sz="4" w:space="0"/>
              <w:bottom w:val="single" w:color="000000" w:sz="4" w:space="0"/>
            </w:tcBorders>
            <w:vAlign w:val="center"/>
          </w:tcPr>
          <w:p>
            <w:pPr>
              <w:widowControl w:val="0"/>
              <w:jc w:val="center"/>
              <w:rPr>
                <w:rFonts w:hint="eastAsia" w:ascii="仿宋" w:hAnsi="仿宋" w:eastAsia="仿宋" w:cs="仿宋"/>
                <w:sz w:val="20"/>
              </w:rPr>
            </w:pPr>
          </w:p>
        </w:tc>
        <w:tc>
          <w:tcPr>
            <w:tcW w:w="1010"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c>
          <w:tcPr>
            <w:tcW w:w="1058"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“三公”经费合计</w:t>
            </w:r>
          </w:p>
        </w:tc>
        <w:tc>
          <w:tcPr>
            <w:tcW w:w="1010"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因公出国（境）费</w:t>
            </w:r>
          </w:p>
        </w:tc>
        <w:tc>
          <w:tcPr>
            <w:tcW w:w="3079" w:type="dxa"/>
            <w:gridSpan w:val="3"/>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公务用车购置及运行费</w:t>
            </w:r>
          </w:p>
        </w:tc>
        <w:tc>
          <w:tcPr>
            <w:tcW w:w="1043"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w:t>
            </w:r>
          </w:p>
          <w:p>
            <w:pPr>
              <w:pStyle w:val="22"/>
              <w:widowControl w:val="0"/>
              <w:jc w:val="center"/>
              <w:rPr>
                <w:rFonts w:hint="eastAsia" w:ascii="仿宋" w:hAnsi="仿宋" w:eastAsia="仿宋" w:cs="仿宋"/>
                <w:sz w:val="20"/>
              </w:rPr>
            </w:pPr>
            <w:r>
              <w:rPr>
                <w:rFonts w:hint="eastAsia" w:ascii="仿宋" w:hAnsi="仿宋" w:eastAsia="仿宋" w:cs="仿宋"/>
              </w:rPr>
              <w:t>接待费</w:t>
            </w:r>
          </w:p>
        </w:tc>
        <w:tc>
          <w:tcPr>
            <w:tcW w:w="1057"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c>
          <w:tcPr>
            <w:tcW w:w="1027"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r>
      <w:tr>
        <w:tblPrEx>
          <w:tblCellMar>
            <w:top w:w="55" w:type="dxa"/>
            <w:left w:w="55" w:type="dxa"/>
            <w:bottom w:w="55" w:type="dxa"/>
            <w:right w:w="55" w:type="dxa"/>
          </w:tblCellMar>
        </w:tblPrEx>
        <w:trPr>
          <w:trHeight w:val="621" w:hRule="exact"/>
        </w:trPr>
        <w:tc>
          <w:tcPr>
            <w:tcW w:w="1044"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42"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2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ascii="仿宋" w:hAnsi="仿宋" w:eastAsia="仿宋" w:cs="仿宋"/>
              </w:rPr>
              <w:t>小计</w:t>
            </w:r>
          </w:p>
        </w:tc>
        <w:tc>
          <w:tcPr>
            <w:tcW w:w="102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99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公务用车运行费</w:t>
            </w:r>
          </w:p>
        </w:tc>
        <w:tc>
          <w:tcPr>
            <w:tcW w:w="1026"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43"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
                <w:szCs w:val="2"/>
              </w:rPr>
            </w:pPr>
          </w:p>
        </w:tc>
        <w:tc>
          <w:tcPr>
            <w:tcW w:w="1058"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94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ascii="仿宋" w:hAnsi="仿宋" w:eastAsia="仿宋" w:cs="仿宋"/>
              </w:rPr>
              <w:t>小计</w:t>
            </w:r>
          </w:p>
        </w:tc>
        <w:tc>
          <w:tcPr>
            <w:tcW w:w="1089"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公务用车购置费</w:t>
            </w:r>
          </w:p>
        </w:tc>
        <w:tc>
          <w:tcPr>
            <w:tcW w:w="1042"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公务用车运行费</w:t>
            </w:r>
          </w:p>
        </w:tc>
        <w:tc>
          <w:tcPr>
            <w:tcW w:w="1043"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57"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27"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380" w:hRule="atLeast"/>
        </w:trPr>
        <w:tc>
          <w:tcPr>
            <w:tcW w:w="104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158.51</w:t>
            </w:r>
          </w:p>
        </w:tc>
        <w:tc>
          <w:tcPr>
            <w:tcW w:w="104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153.14</w:t>
            </w:r>
          </w:p>
        </w:tc>
        <w:tc>
          <w:tcPr>
            <w:tcW w:w="102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32.99</w:t>
            </w:r>
          </w:p>
        </w:tc>
        <w:tc>
          <w:tcPr>
            <w:tcW w:w="99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120.15</w:t>
            </w:r>
          </w:p>
        </w:tc>
        <w:tc>
          <w:tcPr>
            <w:tcW w:w="1026"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5.37</w:t>
            </w:r>
          </w:p>
        </w:tc>
        <w:tc>
          <w:tcPr>
            <w:tcW w:w="104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1.40</w:t>
            </w:r>
          </w:p>
        </w:tc>
        <w:tc>
          <w:tcPr>
            <w:tcW w:w="101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4.20</w:t>
            </w:r>
          </w:p>
        </w:tc>
        <w:tc>
          <w:tcPr>
            <w:tcW w:w="105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156.01</w:t>
            </w:r>
          </w:p>
        </w:tc>
        <w:tc>
          <w:tcPr>
            <w:tcW w:w="101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94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150.64</w:t>
            </w:r>
          </w:p>
        </w:tc>
        <w:tc>
          <w:tcPr>
            <w:tcW w:w="1089"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30.49</w:t>
            </w:r>
          </w:p>
        </w:tc>
        <w:tc>
          <w:tcPr>
            <w:tcW w:w="1042"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120.15</w:t>
            </w:r>
          </w:p>
        </w:tc>
        <w:tc>
          <w:tcPr>
            <w:tcW w:w="104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5.37</w:t>
            </w:r>
          </w:p>
        </w:tc>
        <w:tc>
          <w:tcPr>
            <w:tcW w:w="1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1.40</w:t>
            </w:r>
          </w:p>
        </w:tc>
        <w:tc>
          <w:tcPr>
            <w:tcW w:w="102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4.20</w:t>
            </w:r>
          </w:p>
        </w:tc>
      </w:tr>
    </w:tbl>
    <w:p>
      <w:pPr>
        <w:spacing w:before="30" w:after="33"/>
        <w:ind w:left="220" w:leftChars="100" w:firstLine="0" w:firstLineChars="0"/>
        <w:rPr>
          <w:rFonts w:hint="eastAsia" w:ascii="仿宋" w:hAnsi="仿宋" w:eastAsia="仿宋" w:cs="仿宋"/>
          <w:sz w:val="22"/>
          <w:szCs w:val="22"/>
        </w:rPr>
      </w:pPr>
      <w:r>
        <w:rPr>
          <w:rFonts w:hint="eastAsia" w:ascii="仿宋" w:hAnsi="仿宋" w:eastAsia="仿宋" w:cs="仿宋"/>
          <w:sz w:val="22"/>
          <w:szCs w:val="22"/>
        </w:rPr>
        <w:t>相关统计数：</w:t>
      </w:r>
    </w:p>
    <w:tbl>
      <w:tblPr>
        <w:tblStyle w:val="12"/>
        <w:tblW w:w="11798" w:type="dxa"/>
        <w:tblInd w:w="62" w:type="dxa"/>
        <w:tblLayout w:type="fixed"/>
        <w:tblCellMar>
          <w:top w:w="55" w:type="dxa"/>
          <w:left w:w="55" w:type="dxa"/>
          <w:bottom w:w="55" w:type="dxa"/>
          <w:right w:w="55" w:type="dxa"/>
        </w:tblCellMar>
      </w:tblPr>
      <w:tblGrid>
        <w:gridCol w:w="4028"/>
        <w:gridCol w:w="1976"/>
        <w:gridCol w:w="3908"/>
        <w:gridCol w:w="1886"/>
      </w:tblGrid>
      <w:tr>
        <w:tblPrEx>
          <w:tblCellMar>
            <w:top w:w="55" w:type="dxa"/>
            <w:left w:w="55" w:type="dxa"/>
            <w:bottom w:w="55" w:type="dxa"/>
            <w:right w:w="55" w:type="dxa"/>
          </w:tblCellMar>
        </w:tblPrEx>
        <w:trPr>
          <w:cantSplit/>
          <w:trHeight w:val="214"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ascii="仿宋" w:hAnsi="仿宋" w:eastAsia="仿宋" w:cs="仿宋"/>
                <w:sz w:val="22"/>
              </w:rPr>
              <w:t>项目</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项目</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因公出国（境）团组数</w:t>
            </w:r>
            <w:r>
              <w:rPr>
                <w:rFonts w:hint="eastAsia" w:ascii="仿宋" w:hAnsi="仿宋" w:eastAsia="仿宋" w:cs="仿宋"/>
                <w:lang w:eastAsia="zh-CN"/>
              </w:rPr>
              <w:t>（</w:t>
            </w:r>
            <w:r>
              <w:rPr>
                <w:rFonts w:hint="eastAsia" w:ascii="仿宋" w:hAnsi="仿宋" w:eastAsia="仿宋" w:cs="仿宋"/>
              </w:rPr>
              <w:t>个</w:t>
            </w:r>
            <w:r>
              <w:rPr>
                <w:rFonts w:hint="eastAsia" w:ascii="仿宋" w:hAnsi="仿宋" w:eastAsia="仿宋" w:cs="仿宋"/>
                <w:lang w:eastAsia="zh-CN"/>
              </w:rPr>
              <w:t>）</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因公出国（境）人次数</w:t>
            </w:r>
            <w:r>
              <w:rPr>
                <w:rFonts w:hint="eastAsia" w:ascii="仿宋" w:hAnsi="仿宋" w:eastAsia="仿宋" w:cs="仿宋"/>
                <w:lang w:eastAsia="zh-CN"/>
              </w:rPr>
              <w:t>（</w:t>
            </w:r>
            <w:r>
              <w:rPr>
                <w:rFonts w:hint="eastAsia" w:ascii="仿宋" w:hAnsi="仿宋" w:eastAsia="仿宋" w:cs="仿宋"/>
              </w:rPr>
              <w:t>人</w:t>
            </w:r>
            <w:r>
              <w:rPr>
                <w:rFonts w:hint="eastAsia" w:ascii="仿宋" w:hAnsi="仿宋" w:eastAsia="仿宋" w:cs="仿宋"/>
                <w:lang w:eastAsia="zh-CN"/>
              </w:rPr>
              <w:t>）</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公务用车购置数</w:t>
            </w:r>
            <w:r>
              <w:rPr>
                <w:rFonts w:hint="eastAsia" w:ascii="仿宋" w:hAnsi="仿宋" w:eastAsia="仿宋" w:cs="仿宋"/>
                <w:lang w:eastAsia="zh-CN"/>
              </w:rPr>
              <w:t>（</w:t>
            </w:r>
            <w:r>
              <w:rPr>
                <w:rFonts w:hint="eastAsia" w:ascii="仿宋" w:hAnsi="仿宋" w:eastAsia="仿宋" w:cs="仿宋"/>
              </w:rPr>
              <w:t>辆</w:t>
            </w:r>
            <w:r>
              <w:rPr>
                <w:rFonts w:hint="eastAsia" w:ascii="仿宋" w:hAnsi="仿宋" w:eastAsia="仿宋" w:cs="仿宋"/>
                <w:lang w:eastAsia="zh-CN"/>
              </w:rPr>
              <w:t>）</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公务用车保有量</w:t>
            </w:r>
            <w:r>
              <w:rPr>
                <w:rFonts w:hint="eastAsia" w:ascii="仿宋" w:hAnsi="仿宋" w:eastAsia="仿宋" w:cs="仿宋"/>
                <w:lang w:eastAsia="zh-CN"/>
              </w:rPr>
              <w:t>（</w:t>
            </w:r>
            <w:r>
              <w:rPr>
                <w:rFonts w:hint="eastAsia" w:ascii="仿宋" w:hAnsi="仿宋" w:eastAsia="仿宋" w:cs="仿宋"/>
              </w:rPr>
              <w:t>辆</w:t>
            </w:r>
            <w:r>
              <w:rPr>
                <w:rFonts w:hint="eastAsia" w:ascii="仿宋" w:hAnsi="仿宋" w:eastAsia="仿宋" w:cs="仿宋"/>
                <w:lang w:eastAsia="zh-CN"/>
              </w:rPr>
              <w:t>）</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62</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国内公务接待批次</w:t>
            </w:r>
            <w:r>
              <w:rPr>
                <w:rFonts w:hint="eastAsia" w:ascii="仿宋" w:hAnsi="仿宋" w:eastAsia="仿宋" w:cs="仿宋"/>
                <w:lang w:eastAsia="zh-CN"/>
              </w:rPr>
              <w:t>（</w:t>
            </w:r>
            <w:r>
              <w:rPr>
                <w:rFonts w:hint="eastAsia" w:ascii="仿宋" w:hAnsi="仿宋" w:eastAsia="仿宋" w:cs="仿宋"/>
              </w:rPr>
              <w:t>个</w:t>
            </w:r>
            <w:r>
              <w:rPr>
                <w:rFonts w:hint="eastAsia" w:ascii="仿宋" w:hAnsi="仿宋" w:eastAsia="仿宋" w:cs="仿宋"/>
                <w:lang w:eastAsia="zh-CN"/>
              </w:rPr>
              <w:t>）</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96</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国内公务接待人次</w:t>
            </w:r>
            <w:r>
              <w:rPr>
                <w:rFonts w:hint="eastAsia" w:ascii="仿宋" w:hAnsi="仿宋" w:eastAsia="仿宋" w:cs="仿宋"/>
                <w:lang w:eastAsia="zh-CN"/>
              </w:rPr>
              <w:t>（</w:t>
            </w:r>
            <w:r>
              <w:rPr>
                <w:rFonts w:hint="eastAsia" w:ascii="仿宋" w:hAnsi="仿宋" w:eastAsia="仿宋" w:cs="仿宋"/>
              </w:rPr>
              <w:t>人</w:t>
            </w:r>
            <w:r>
              <w:rPr>
                <w:rFonts w:hint="eastAsia" w:ascii="仿宋" w:hAnsi="仿宋" w:eastAsia="仿宋" w:cs="仿宋"/>
                <w:lang w:eastAsia="zh-CN"/>
              </w:rPr>
              <w:t>）</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1,082</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国（境）外公务接待批次</w:t>
            </w:r>
            <w:r>
              <w:rPr>
                <w:rFonts w:hint="eastAsia" w:ascii="仿宋" w:hAnsi="仿宋" w:eastAsia="仿宋" w:cs="仿宋"/>
                <w:lang w:eastAsia="zh-CN"/>
              </w:rPr>
              <w:t>（</w:t>
            </w:r>
            <w:r>
              <w:rPr>
                <w:rFonts w:hint="eastAsia" w:ascii="仿宋" w:hAnsi="仿宋" w:eastAsia="仿宋" w:cs="仿宋"/>
              </w:rPr>
              <w:t>个</w:t>
            </w:r>
            <w:r>
              <w:rPr>
                <w:rFonts w:hint="eastAsia" w:ascii="仿宋" w:hAnsi="仿宋" w:eastAsia="仿宋" w:cs="仿宋"/>
                <w:lang w:eastAsia="zh-CN"/>
              </w:rPr>
              <w:t>）</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国（境）外公务接待人次</w:t>
            </w:r>
            <w:r>
              <w:rPr>
                <w:rFonts w:hint="eastAsia" w:ascii="仿宋" w:hAnsi="仿宋" w:eastAsia="仿宋" w:cs="仿宋"/>
                <w:lang w:eastAsia="zh-CN"/>
              </w:rPr>
              <w:t>（</w:t>
            </w:r>
            <w:r>
              <w:rPr>
                <w:rFonts w:hint="eastAsia" w:ascii="仿宋" w:hAnsi="仿宋" w:eastAsia="仿宋" w:cs="仿宋"/>
              </w:rPr>
              <w:t>人</w:t>
            </w:r>
            <w:r>
              <w:rPr>
                <w:rFonts w:hint="eastAsia" w:ascii="仿宋" w:hAnsi="仿宋" w:eastAsia="仿宋" w:cs="仿宋"/>
                <w:lang w:eastAsia="zh-CN"/>
              </w:rPr>
              <w:t>）</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召开会议次数</w:t>
            </w:r>
            <w:r>
              <w:rPr>
                <w:rFonts w:hint="eastAsia" w:ascii="仿宋" w:hAnsi="仿宋" w:eastAsia="仿宋" w:cs="仿宋"/>
                <w:lang w:eastAsia="zh-CN"/>
              </w:rPr>
              <w:t>（</w:t>
            </w:r>
            <w:r>
              <w:rPr>
                <w:rFonts w:hint="eastAsia" w:ascii="仿宋" w:hAnsi="仿宋" w:eastAsia="仿宋" w:cs="仿宋"/>
              </w:rPr>
              <w:t>个</w:t>
            </w:r>
            <w:r>
              <w:rPr>
                <w:rFonts w:hint="eastAsia" w:ascii="仿宋" w:hAnsi="仿宋" w:eastAsia="仿宋" w:cs="仿宋"/>
                <w:lang w:eastAsia="zh-CN"/>
              </w:rPr>
              <w:t>）</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7</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参加会议人次</w:t>
            </w:r>
            <w:r>
              <w:rPr>
                <w:rFonts w:hint="eastAsia" w:ascii="仿宋" w:hAnsi="仿宋" w:eastAsia="仿宋" w:cs="仿宋"/>
                <w:lang w:eastAsia="zh-CN"/>
              </w:rPr>
              <w:t>（</w:t>
            </w:r>
            <w:r>
              <w:rPr>
                <w:rFonts w:hint="eastAsia" w:ascii="仿宋" w:hAnsi="仿宋" w:eastAsia="仿宋" w:cs="仿宋"/>
              </w:rPr>
              <w:t>人</w:t>
            </w:r>
            <w:r>
              <w:rPr>
                <w:rFonts w:hint="eastAsia" w:ascii="仿宋" w:hAnsi="仿宋" w:eastAsia="仿宋" w:cs="仿宋"/>
                <w:lang w:eastAsia="zh-CN"/>
              </w:rPr>
              <w:t>）</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3,500</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组织培训次数</w:t>
            </w:r>
            <w:r>
              <w:rPr>
                <w:rFonts w:hint="eastAsia" w:ascii="仿宋" w:hAnsi="仿宋" w:eastAsia="仿宋" w:cs="仿宋"/>
                <w:lang w:eastAsia="zh-CN"/>
              </w:rPr>
              <w:t>（</w:t>
            </w:r>
            <w:r>
              <w:rPr>
                <w:rFonts w:hint="eastAsia" w:ascii="仿宋" w:hAnsi="仿宋" w:eastAsia="仿宋" w:cs="仿宋"/>
              </w:rPr>
              <w:t>个</w:t>
            </w:r>
            <w:r>
              <w:rPr>
                <w:rFonts w:hint="eastAsia" w:ascii="仿宋" w:hAnsi="仿宋" w:eastAsia="仿宋" w:cs="仿宋"/>
                <w:lang w:eastAsia="zh-CN"/>
              </w:rPr>
              <w:t>）</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24</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参加培训人次</w:t>
            </w:r>
            <w:r>
              <w:rPr>
                <w:rFonts w:hint="eastAsia" w:ascii="仿宋" w:hAnsi="仿宋" w:eastAsia="仿宋" w:cs="仿宋"/>
                <w:lang w:eastAsia="zh-CN"/>
              </w:rPr>
              <w:t>（</w:t>
            </w:r>
            <w:r>
              <w:rPr>
                <w:rFonts w:hint="eastAsia" w:ascii="仿宋" w:hAnsi="仿宋" w:eastAsia="仿宋" w:cs="仿宋"/>
              </w:rPr>
              <w:t>人</w:t>
            </w:r>
            <w:r>
              <w:rPr>
                <w:rFonts w:hint="eastAsia" w:ascii="仿宋" w:hAnsi="仿宋" w:eastAsia="仿宋" w:cs="仿宋"/>
                <w:lang w:eastAsia="zh-CN"/>
              </w:rPr>
              <w:t>）</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827</w:t>
            </w:r>
          </w:p>
        </w:tc>
      </w:tr>
    </w:tbl>
    <w:p>
      <w:pPr>
        <w:widowControl w:val="0"/>
        <w:suppressAutoHyphens/>
        <w:bidi w:val="0"/>
        <w:spacing w:before="0" w:after="0"/>
        <w:ind w:left="0" w:leftChars="0" w:right="-2"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w:t>
      </w:r>
      <w:r>
        <w:rPr>
          <w:rFonts w:hint="eastAsia" w:ascii="仿宋" w:hAnsi="仿宋" w:eastAsia="仿宋" w:cs="仿宋"/>
          <w:b w:val="0"/>
          <w:bCs w:val="0"/>
          <w:sz w:val="22"/>
          <w:szCs w:val="22"/>
          <w:lang w:val="en-US" w:eastAsia="zh-CN"/>
        </w:rPr>
        <w:t>本表反映本年度财政拨款“三公”经费、会议费和培训费支出情况。其中，预算数为全年预算数，反映按规定程序调整后的预算数；决算数是包括当年财政拨款和以前年度结转资金安排的实际支出。本表金额单位转换时可能存在尾数误差</w:t>
      </w:r>
      <w:r>
        <w:rPr>
          <w:rFonts w:hint="eastAsia" w:ascii="仿宋" w:hAnsi="仿宋" w:eastAsia="仿宋" w:cs="仿宋"/>
          <w:b w:val="0"/>
          <w:bCs w:val="0"/>
          <w:sz w:val="22"/>
          <w:szCs w:val="22"/>
        </w:rPr>
        <w:t>。</w:t>
      </w:r>
    </w:p>
    <w:p>
      <w:pPr>
        <w:widowControl w:val="0"/>
        <w:suppressAutoHyphens/>
        <w:bidi w:val="0"/>
        <w:spacing w:before="0" w:after="0"/>
        <w:ind w:left="227" w:right="0" w:firstLine="220" w:firstLineChars="100"/>
        <w:jc w:val="both"/>
        <w:rPr>
          <w:rFonts w:hint="eastAsia" w:ascii="仿宋" w:hAnsi="仿宋" w:eastAsia="仿宋" w:cs="仿宋"/>
          <w:b w:val="0"/>
          <w:bCs w:val="0"/>
          <w:sz w:val="22"/>
          <w:szCs w:val="22"/>
        </w:rPr>
        <w:sectPr>
          <w:footerReference r:id="rId16" w:type="default"/>
          <w:pgSz w:w="16838" w:h="11906" w:orient="landscape"/>
          <w:pgMar w:top="720" w:right="153" w:bottom="720" w:left="153"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00" w:type="dxa"/>
        <w:tblInd w:w="62" w:type="dxa"/>
        <w:tblLayout w:type="fixed"/>
        <w:tblCellMar>
          <w:top w:w="55" w:type="dxa"/>
          <w:left w:w="55" w:type="dxa"/>
          <w:bottom w:w="55" w:type="dxa"/>
          <w:right w:w="55" w:type="dxa"/>
        </w:tblCellMar>
      </w:tblPr>
      <w:tblGrid>
        <w:gridCol w:w="1431"/>
        <w:gridCol w:w="6995"/>
        <w:gridCol w:w="2684"/>
        <w:gridCol w:w="2432"/>
        <w:gridCol w:w="1858"/>
      </w:tblGrid>
      <w:tr>
        <w:tblPrEx>
          <w:tblCellMar>
            <w:top w:w="55" w:type="dxa"/>
            <w:left w:w="55" w:type="dxa"/>
            <w:bottom w:w="55" w:type="dxa"/>
            <w:right w:w="55" w:type="dxa"/>
          </w:tblCellMar>
        </w:tblPrEx>
        <w:trPr>
          <w:trHeight w:val="395" w:hRule="atLeast"/>
        </w:trPr>
        <w:tc>
          <w:tcPr>
            <w:tcW w:w="15400"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政府性基金预算支出决算表</w:t>
            </w:r>
          </w:p>
        </w:tc>
      </w:tr>
      <w:tr>
        <w:tblPrEx>
          <w:tblCellMar>
            <w:top w:w="55" w:type="dxa"/>
            <w:left w:w="55" w:type="dxa"/>
            <w:bottom w:w="55" w:type="dxa"/>
            <w:right w:w="55" w:type="dxa"/>
          </w:tblCellMar>
        </w:tblPrEx>
        <w:trPr>
          <w:trHeight w:val="323" w:hRule="atLeast"/>
        </w:trPr>
        <w:tc>
          <w:tcPr>
            <w:tcW w:w="8426" w:type="dxa"/>
            <w:gridSpan w:val="2"/>
          </w:tcPr>
          <w:p>
            <w:pPr>
              <w:pStyle w:val="22"/>
              <w:widowControl w:val="0"/>
              <w:rPr>
                <w:rFonts w:hint="eastAsia" w:ascii="仿宋" w:hAnsi="仿宋" w:eastAsia="仿宋" w:cs="仿宋"/>
                <w:sz w:val="20"/>
              </w:rPr>
            </w:pPr>
          </w:p>
        </w:tc>
        <w:tc>
          <w:tcPr>
            <w:tcW w:w="2684" w:type="dxa"/>
          </w:tcPr>
          <w:p>
            <w:pPr>
              <w:pStyle w:val="22"/>
              <w:widowControl w:val="0"/>
              <w:rPr>
                <w:rFonts w:hint="eastAsia" w:ascii="仿宋" w:hAnsi="仿宋" w:eastAsia="仿宋" w:cs="仿宋"/>
                <w:sz w:val="27"/>
              </w:rPr>
            </w:pPr>
          </w:p>
        </w:tc>
        <w:tc>
          <w:tcPr>
            <w:tcW w:w="2432" w:type="dxa"/>
          </w:tcPr>
          <w:p>
            <w:pPr>
              <w:pStyle w:val="22"/>
              <w:widowControl w:val="0"/>
              <w:rPr>
                <w:rFonts w:hint="eastAsia" w:ascii="仿宋" w:hAnsi="仿宋" w:eastAsia="仿宋" w:cs="仿宋"/>
                <w:sz w:val="20"/>
              </w:rPr>
            </w:pPr>
          </w:p>
        </w:tc>
        <w:tc>
          <w:tcPr>
            <w:tcW w:w="1858"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公开10表</w:t>
            </w:r>
          </w:p>
        </w:tc>
      </w:tr>
      <w:tr>
        <w:tblPrEx>
          <w:tblCellMar>
            <w:top w:w="55" w:type="dxa"/>
            <w:left w:w="55" w:type="dxa"/>
            <w:bottom w:w="55" w:type="dxa"/>
            <w:right w:w="55" w:type="dxa"/>
          </w:tblCellMar>
        </w:tblPrEx>
        <w:trPr>
          <w:trHeight w:val="152" w:hRule="atLeast"/>
        </w:trPr>
        <w:tc>
          <w:tcPr>
            <w:tcW w:w="13542"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eastAsia="仿宋" w:cs="仿宋"/>
                <w:color w:val="000000"/>
                <w:sz w:val="22"/>
              </w:rPr>
              <w:t>名称：</w:t>
            </w:r>
            <w:r>
              <w:rPr>
                <w:rFonts w:hint="eastAsia" w:ascii="仿宋" w:hAnsi="仿宋" w:eastAsia="仿宋" w:cs="仿宋"/>
              </w:rPr>
              <w:t>江阴市市场监督管理局</w:t>
            </w:r>
          </w:p>
        </w:tc>
        <w:tc>
          <w:tcPr>
            <w:tcW w:w="1858"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67" w:hRule="atLeast"/>
        </w:trPr>
        <w:tc>
          <w:tcPr>
            <w:tcW w:w="8426"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684"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2432"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858"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699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684"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2432"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858"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55" w:type="dxa"/>
            <w:left w:w="55" w:type="dxa"/>
            <w:bottom w:w="55" w:type="dxa"/>
            <w:right w:w="55" w:type="dxa"/>
          </w:tblCellMar>
        </w:tblPrEx>
        <w:trPr>
          <w:trHeight w:val="275" w:hRule="atLeast"/>
        </w:trPr>
        <w:tc>
          <w:tcPr>
            <w:tcW w:w="8426"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68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243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1858" w:type="dxa"/>
            <w:tcBorders>
              <w:left w:val="single" w:color="000000" w:sz="4" w:space="0"/>
              <w:bottom w:val="single" w:color="000000" w:sz="4" w:space="0"/>
              <w:right w:val="single" w:color="000000"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3</w:t>
            </w:r>
          </w:p>
        </w:tc>
      </w:tr>
      <w:tr>
        <w:tblPrEx>
          <w:tblCellMar>
            <w:top w:w="55" w:type="dxa"/>
            <w:left w:w="55" w:type="dxa"/>
            <w:bottom w:w="55" w:type="dxa"/>
            <w:right w:w="55" w:type="dxa"/>
          </w:tblCellMar>
        </w:tblPrEx>
        <w:trPr>
          <w:trHeight w:val="389" w:hRule="exact"/>
        </w:trPr>
        <w:tc>
          <w:tcPr>
            <w:tcW w:w="8426"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68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p>
        </w:tc>
        <w:tc>
          <w:tcPr>
            <w:tcW w:w="243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p>
        </w:tc>
        <w:tc>
          <w:tcPr>
            <w:tcW w:w="185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r>
    </w:tbl>
    <w:p>
      <w:pPr>
        <w:spacing w:before="25" w:after="0"/>
        <w:ind w:left="0" w:lef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注：本表反映本年度政府性基金预算财政拨款支出情况。</w:t>
      </w:r>
    </w:p>
    <w:p>
      <w:pPr>
        <w:numPr>
          <w:ilvl w:val="0"/>
          <w:numId w:val="0"/>
        </w:numPr>
        <w:spacing w:before="25" w:after="0"/>
        <w:ind w:left="440" w:leftChars="200" w:firstLine="0" w:firstLineChars="0"/>
        <w:jc w:val="both"/>
        <w:rPr>
          <w:rFonts w:hint="default" w:ascii="仿宋" w:hAnsi="仿宋" w:eastAsia="仿宋" w:cs="仿宋"/>
          <w:b w:val="0"/>
          <w:bCs w:val="0"/>
          <w:sz w:val="22"/>
          <w:szCs w:val="22"/>
          <w:lang w:val="en-US" w:eastAsia="zh-CN"/>
        </w:rPr>
      </w:pPr>
      <w:r>
        <w:rPr>
          <w:rFonts w:ascii="仿宋" w:hAnsi="仿宋" w:eastAsia="仿宋" w:cs="仿宋"/>
          <w:sz w:val="22"/>
        </w:rPr>
        <w:t>本部门无政府性基金预算收入支出决算，故本表为空。</w:t>
      </w:r>
    </w:p>
    <w:p>
      <w:pPr>
        <w:widowControl w:val="0"/>
        <w:numPr>
          <w:ilvl w:val="0"/>
          <w:numId w:val="0"/>
        </w:numPr>
        <w:suppressAutoHyphens/>
        <w:bidi w:val="0"/>
        <w:spacing w:before="25" w:after="0"/>
        <w:jc w:val="both"/>
        <w:rPr>
          <w:rFonts w:hint="default" w:ascii="仿宋" w:hAnsi="仿宋" w:eastAsia="仿宋" w:cs="仿宋"/>
          <w:b w:val="0"/>
          <w:bCs w:val="0"/>
          <w:sz w:val="22"/>
          <w:szCs w:val="22"/>
          <w:lang w:val="en-US" w:eastAsia="zh-CN"/>
        </w:rPr>
        <w:sectPr>
          <w:footerReference r:id="rId17"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00" w:type="dxa"/>
        <w:tblInd w:w="47" w:type="dxa"/>
        <w:tblLayout w:type="fixed"/>
        <w:tblCellMar>
          <w:top w:w="55" w:type="dxa"/>
          <w:left w:w="55" w:type="dxa"/>
          <w:bottom w:w="55" w:type="dxa"/>
          <w:right w:w="55" w:type="dxa"/>
        </w:tblCellMar>
      </w:tblPr>
      <w:tblGrid>
        <w:gridCol w:w="1462"/>
        <w:gridCol w:w="7058"/>
        <w:gridCol w:w="2510"/>
        <w:gridCol w:w="2309"/>
        <w:gridCol w:w="2061"/>
      </w:tblGrid>
      <w:tr>
        <w:tblPrEx>
          <w:tblCellMar>
            <w:top w:w="55" w:type="dxa"/>
            <w:left w:w="55" w:type="dxa"/>
            <w:bottom w:w="55" w:type="dxa"/>
            <w:right w:w="55" w:type="dxa"/>
          </w:tblCellMar>
        </w:tblPrEx>
        <w:trPr>
          <w:trHeight w:val="395" w:hRule="atLeast"/>
        </w:trPr>
        <w:tc>
          <w:tcPr>
            <w:tcW w:w="15400"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国有资本经营预算支出决算表</w:t>
            </w:r>
          </w:p>
        </w:tc>
      </w:tr>
      <w:tr>
        <w:tblPrEx>
          <w:tblCellMar>
            <w:top w:w="55" w:type="dxa"/>
            <w:left w:w="55" w:type="dxa"/>
            <w:bottom w:w="55" w:type="dxa"/>
            <w:right w:w="55" w:type="dxa"/>
          </w:tblCellMar>
        </w:tblPrEx>
        <w:trPr>
          <w:trHeight w:val="323" w:hRule="atLeast"/>
        </w:trPr>
        <w:tc>
          <w:tcPr>
            <w:tcW w:w="8520" w:type="dxa"/>
            <w:gridSpan w:val="2"/>
          </w:tcPr>
          <w:p>
            <w:pPr>
              <w:pStyle w:val="22"/>
              <w:widowControl w:val="0"/>
              <w:rPr>
                <w:rFonts w:hint="eastAsia" w:ascii="仿宋" w:hAnsi="仿宋" w:eastAsia="仿宋" w:cs="仿宋"/>
                <w:sz w:val="20"/>
              </w:rPr>
            </w:pPr>
          </w:p>
        </w:tc>
        <w:tc>
          <w:tcPr>
            <w:tcW w:w="2510" w:type="dxa"/>
          </w:tcPr>
          <w:p>
            <w:pPr>
              <w:pStyle w:val="22"/>
              <w:widowControl w:val="0"/>
              <w:rPr>
                <w:rFonts w:hint="eastAsia" w:ascii="仿宋" w:hAnsi="仿宋" w:eastAsia="仿宋" w:cs="仿宋"/>
                <w:sz w:val="27"/>
              </w:rPr>
            </w:pPr>
          </w:p>
        </w:tc>
        <w:tc>
          <w:tcPr>
            <w:tcW w:w="2309" w:type="dxa"/>
          </w:tcPr>
          <w:p>
            <w:pPr>
              <w:pStyle w:val="22"/>
              <w:widowControl w:val="0"/>
              <w:rPr>
                <w:rFonts w:hint="eastAsia" w:ascii="仿宋" w:hAnsi="仿宋" w:eastAsia="仿宋" w:cs="仿宋"/>
                <w:sz w:val="20"/>
              </w:rPr>
            </w:pPr>
          </w:p>
        </w:tc>
        <w:tc>
          <w:tcPr>
            <w:tcW w:w="2061"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公开1</w:t>
            </w:r>
            <w:r>
              <w:rPr>
                <w:rFonts w:hint="eastAsia" w:ascii="仿宋" w:hAnsi="仿宋" w:eastAsia="仿宋" w:cs="仿宋"/>
                <w:lang w:val="en-US" w:eastAsia="zh-CN"/>
              </w:rPr>
              <w:t>1</w:t>
            </w:r>
            <w:r>
              <w:rPr>
                <w:rFonts w:hint="eastAsia" w:ascii="仿宋" w:hAnsi="仿宋" w:eastAsia="仿宋" w:cs="仿宋"/>
              </w:rPr>
              <w:t>表</w:t>
            </w:r>
          </w:p>
        </w:tc>
      </w:tr>
      <w:tr>
        <w:tblPrEx>
          <w:tblCellMar>
            <w:top w:w="55" w:type="dxa"/>
            <w:left w:w="55" w:type="dxa"/>
            <w:bottom w:w="55" w:type="dxa"/>
            <w:right w:w="55" w:type="dxa"/>
          </w:tblCellMar>
        </w:tblPrEx>
        <w:trPr>
          <w:trHeight w:val="152" w:hRule="atLeast"/>
        </w:trPr>
        <w:tc>
          <w:tcPr>
            <w:tcW w:w="13339"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eastAsia="仿宋" w:cs="仿宋"/>
                <w:color w:val="000000"/>
                <w:sz w:val="22"/>
              </w:rPr>
              <w:t>名称：</w:t>
            </w:r>
            <w:r>
              <w:rPr>
                <w:rFonts w:hint="eastAsia" w:ascii="仿宋" w:hAnsi="仿宋" w:eastAsia="仿宋" w:cs="仿宋"/>
              </w:rPr>
              <w:t>江阴市市场监督管理局</w:t>
            </w:r>
          </w:p>
        </w:tc>
        <w:tc>
          <w:tcPr>
            <w:tcW w:w="2061"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67" w:hRule="atLeast"/>
        </w:trPr>
        <w:tc>
          <w:tcPr>
            <w:tcW w:w="8520"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510"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2309"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061"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6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705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510"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2309"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2061"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55" w:type="dxa"/>
            <w:left w:w="55" w:type="dxa"/>
            <w:bottom w:w="55" w:type="dxa"/>
            <w:right w:w="55" w:type="dxa"/>
          </w:tblCellMar>
        </w:tblPrEx>
        <w:trPr>
          <w:trHeight w:val="275" w:hRule="atLeast"/>
        </w:trPr>
        <w:tc>
          <w:tcPr>
            <w:tcW w:w="852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51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230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2061" w:type="dxa"/>
            <w:tcBorders>
              <w:left w:val="single" w:color="000000" w:sz="4" w:space="0"/>
              <w:bottom w:val="single" w:color="000000" w:sz="4" w:space="0"/>
              <w:right w:val="single" w:color="000000"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3</w:t>
            </w:r>
          </w:p>
        </w:tc>
      </w:tr>
      <w:tr>
        <w:tblPrEx>
          <w:tblCellMar>
            <w:top w:w="55" w:type="dxa"/>
            <w:left w:w="55" w:type="dxa"/>
            <w:bottom w:w="55" w:type="dxa"/>
            <w:right w:w="55" w:type="dxa"/>
          </w:tblCellMar>
        </w:tblPrEx>
        <w:trPr>
          <w:trHeight w:val="389" w:hRule="exact"/>
        </w:trPr>
        <w:tc>
          <w:tcPr>
            <w:tcW w:w="852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51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p>
        </w:tc>
        <w:tc>
          <w:tcPr>
            <w:tcW w:w="230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p>
        </w:tc>
        <w:tc>
          <w:tcPr>
            <w:tcW w:w="2061"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r>
    </w:tbl>
    <w:p>
      <w:pPr>
        <w:bidi w:val="0"/>
        <w:ind w:left="0" w:lef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注：本表反映本年度国有资本经营预算财政拨款支出情况。</w:t>
      </w:r>
    </w:p>
    <w:p>
      <w:pPr>
        <w:numPr>
          <w:ilvl w:val="0"/>
          <w:numId w:val="0"/>
        </w:numPr>
        <w:bidi w:val="0"/>
        <w:ind w:left="440" w:leftChars="200" w:firstLine="0" w:firstLineChars="0"/>
        <w:jc w:val="both"/>
        <w:rPr>
          <w:rFonts w:hint="default" w:ascii="仿宋" w:hAnsi="仿宋" w:eastAsia="仿宋" w:cs="仿宋"/>
          <w:b w:val="0"/>
          <w:bCs w:val="0"/>
          <w:sz w:val="22"/>
          <w:szCs w:val="22"/>
          <w:lang w:val="en-US" w:eastAsia="zh-CN"/>
        </w:rPr>
      </w:pPr>
      <w:r>
        <w:rPr>
          <w:rFonts w:ascii="仿宋" w:hAnsi="仿宋" w:eastAsia="仿宋" w:cs="仿宋"/>
          <w:sz w:val="22"/>
        </w:rPr>
        <w:t>本部门无</w:t>
      </w:r>
      <w:r>
        <w:rPr>
          <w:rFonts w:hint="eastAsia" w:ascii="仿宋" w:hAnsi="仿宋" w:eastAsia="仿宋" w:cs="仿宋"/>
          <w:b w:val="0"/>
          <w:bCs w:val="0"/>
          <w:sz w:val="22"/>
          <w:szCs w:val="22"/>
        </w:rPr>
        <w:t>国有资本经营预算支出</w:t>
      </w:r>
      <w:r>
        <w:rPr>
          <w:rFonts w:hint="eastAsia" w:ascii="仿宋" w:hAnsi="仿宋" w:eastAsia="仿宋" w:cs="仿宋"/>
          <w:b w:val="0"/>
          <w:bCs w:val="0"/>
          <w:sz w:val="22"/>
          <w:szCs w:val="22"/>
          <w:lang w:val="en-US" w:eastAsia="zh-CN"/>
        </w:rPr>
        <w:t>决算，故本表为空。</w:t>
      </w:r>
    </w:p>
    <w:p>
      <w:pPr>
        <w:spacing w:before="25" w:after="0"/>
        <w:ind w:left="-220" w:leftChars="-100" w:firstLine="0" w:firstLineChars="0"/>
        <w:jc w:val="both"/>
        <w:rPr>
          <w:rFonts w:hint="default" w:ascii="仿宋" w:hAnsi="仿宋" w:eastAsia="仿宋" w:cs="仿宋"/>
          <w:b w:val="0"/>
          <w:bCs w:val="0"/>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66" w:type="dxa"/>
        <w:tblInd w:w="53" w:type="dxa"/>
        <w:tblLayout w:type="fixed"/>
        <w:tblCellMar>
          <w:top w:w="55" w:type="dxa"/>
          <w:left w:w="55" w:type="dxa"/>
          <w:bottom w:w="55" w:type="dxa"/>
          <w:right w:w="55" w:type="dxa"/>
        </w:tblCellMar>
      </w:tblPr>
      <w:tblGrid>
        <w:gridCol w:w="1642"/>
        <w:gridCol w:w="4990"/>
        <w:gridCol w:w="3834"/>
      </w:tblGrid>
      <w:tr>
        <w:tblPrEx>
          <w:tblCellMar>
            <w:top w:w="55" w:type="dxa"/>
            <w:left w:w="55" w:type="dxa"/>
            <w:bottom w:w="55" w:type="dxa"/>
            <w:right w:w="55" w:type="dxa"/>
          </w:tblCellMar>
        </w:tblPrEx>
        <w:trPr>
          <w:trHeight w:val="319" w:hRule="atLeast"/>
        </w:trPr>
        <w:tc>
          <w:tcPr>
            <w:tcW w:w="10466" w:type="dxa"/>
            <w:gridSpan w:val="3"/>
          </w:tcPr>
          <w:p>
            <w:pPr>
              <w:pStyle w:val="22"/>
              <w:widowControl w:val="0"/>
              <w:tabs>
                <w:tab w:val="left" w:pos="610"/>
              </w:tabs>
              <w:spacing w:before="28" w:after="0"/>
              <w:ind w:left="8" w:firstLine="0"/>
              <w:jc w:val="center"/>
              <w:rPr>
                <w:rFonts w:hint="eastAsia" w:ascii="仿宋" w:hAnsi="仿宋" w:eastAsia="仿宋" w:cs="仿宋"/>
                <w:b/>
                <w:bCs/>
                <w:sz w:val="44"/>
                <w:szCs w:val="44"/>
              </w:rPr>
            </w:pPr>
            <w:r>
              <w:rPr>
                <w:rFonts w:hint="eastAsia" w:cs="宋体"/>
                <w:b/>
                <w:bCs/>
                <w:color w:val="000000"/>
                <w:kern w:val="0"/>
                <w:sz w:val="36"/>
                <w:szCs w:val="36"/>
                <w:lang w:val="en-US" w:eastAsia="ar-SA" w:bidi="zh-CN"/>
              </w:rPr>
              <w:t>财政拨款</w:t>
            </w:r>
            <w:r>
              <w:rPr>
                <w:rFonts w:hint="eastAsia" w:ascii="宋体" w:hAnsi="宋体" w:eastAsia="宋体" w:cs="宋体"/>
                <w:b/>
                <w:bCs/>
                <w:color w:val="000000"/>
                <w:kern w:val="0"/>
                <w:sz w:val="36"/>
                <w:szCs w:val="36"/>
                <w:lang w:val="zh-CN" w:eastAsia="ar-SA" w:bidi="zh-CN"/>
              </w:rPr>
              <w:t>机关运行经费支出决算表</w:t>
            </w:r>
          </w:p>
        </w:tc>
      </w:tr>
      <w:tr>
        <w:tblPrEx>
          <w:tblCellMar>
            <w:top w:w="55" w:type="dxa"/>
            <w:left w:w="55" w:type="dxa"/>
            <w:bottom w:w="55" w:type="dxa"/>
            <w:right w:w="55" w:type="dxa"/>
          </w:tblCellMar>
        </w:tblPrEx>
        <w:trPr>
          <w:trHeight w:val="90" w:hRule="atLeast"/>
        </w:trPr>
        <w:tc>
          <w:tcPr>
            <w:tcW w:w="6632" w:type="dxa"/>
            <w:gridSpan w:val="2"/>
          </w:tcPr>
          <w:p>
            <w:pPr>
              <w:pStyle w:val="22"/>
              <w:widowControl w:val="0"/>
              <w:rPr>
                <w:rFonts w:hint="eastAsia" w:ascii="仿宋" w:hAnsi="仿宋" w:eastAsia="仿宋" w:cs="仿宋"/>
                <w:sz w:val="20"/>
              </w:rPr>
            </w:pPr>
          </w:p>
        </w:tc>
        <w:tc>
          <w:tcPr>
            <w:tcW w:w="3834" w:type="dxa"/>
            <w:vAlign w:val="center"/>
          </w:tcPr>
          <w:p>
            <w:pPr>
              <w:pStyle w:val="22"/>
              <w:widowControl w:val="0"/>
              <w:jc w:val="right"/>
              <w:rPr>
                <w:rFonts w:hint="eastAsia" w:ascii="仿宋" w:hAnsi="仿宋" w:eastAsia="仿宋" w:cs="仿宋"/>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6632" w:type="dxa"/>
            <w:gridSpan w:val="2"/>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eastAsia="仿宋" w:cs="仿宋"/>
                <w:color w:val="000000"/>
                <w:sz w:val="22"/>
              </w:rPr>
              <w:t>名称：</w:t>
            </w:r>
            <w:r>
              <w:rPr>
                <w:rFonts w:hint="eastAsia" w:ascii="仿宋" w:hAnsi="仿宋" w:eastAsia="仿宋" w:cs="仿宋"/>
              </w:rPr>
              <w:t>江阴市市场监督管理局</w:t>
            </w:r>
          </w:p>
        </w:tc>
        <w:tc>
          <w:tcPr>
            <w:tcW w:w="3834"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632"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3834"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机关运行经费支出决算</w:t>
            </w:r>
          </w:p>
        </w:tc>
      </w:tr>
      <w:tr>
        <w:tblPrEx>
          <w:tblCellMar>
            <w:top w:w="55" w:type="dxa"/>
            <w:left w:w="55" w:type="dxa"/>
            <w:bottom w:w="55" w:type="dxa"/>
            <w:right w:w="55" w:type="dxa"/>
          </w:tblCellMar>
        </w:tblPrEx>
        <w:trPr>
          <w:trHeight w:val="363" w:hRule="atLeast"/>
        </w:trPr>
        <w:tc>
          <w:tcPr>
            <w:tcW w:w="16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99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3834"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229" w:hRule="atLeast"/>
        </w:trPr>
        <w:tc>
          <w:tcPr>
            <w:tcW w:w="6632"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3834"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954.11</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302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919.11</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办公费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140.21</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印刷费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24.00</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咨询费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手续费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水费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9.21</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123.78</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邮电费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43.39</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取暖费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物业管理费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3.90</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差旅费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33.70</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因公出国（境）费用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维修（护）费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93.03</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租赁费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会议费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1.40</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培训费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3.18</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公务接待费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5.28</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专用材料费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被装购置费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28.74</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专用燃料费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劳务费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12.40</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委托业务费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35.42</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工会经费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116.13</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福利费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30231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公务用车运行维护费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120.15</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30239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其他交通费用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30240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税金及附加费用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125.20</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307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债务利息及费用支出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310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35.00</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房屋建筑物购建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办公设备购置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35.00</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基础设施建设</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大型修缮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信息网络及软件购置更新</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物资储备</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土地补偿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安置补助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地上附着物和青苗补偿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拆迁补偿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公务用车购置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其他交通工具购置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31021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文物和陈列品购置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31022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无形资产购置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312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对企业补助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399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其他支出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bl>
    <w:p>
      <w:pPr>
        <w:spacing w:before="25" w:after="0"/>
        <w:ind w:left="0" w:leftChars="0" w:right="-92" w:rightChars="-42" w:firstLine="0" w:firstLineChars="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rPr>
        <w:t>注：“机关运行经费” 指行政单位（含参照公务员法管理的事业单位）使用</w:t>
      </w:r>
      <w:r>
        <w:rPr>
          <w:rFonts w:hint="eastAsia" w:ascii="仿宋" w:hAnsi="仿宋" w:eastAsia="仿宋" w:cs="仿宋"/>
          <w:b w:val="0"/>
          <w:bCs w:val="0"/>
          <w:sz w:val="22"/>
          <w:szCs w:val="22"/>
          <w:lang w:val="en-US" w:eastAsia="zh-CN"/>
        </w:rPr>
        <w:t>财政拨款</w:t>
      </w:r>
      <w:r>
        <w:rPr>
          <w:rFonts w:hint="eastAsia" w:ascii="仿宋" w:hAnsi="仿宋" w:eastAsia="仿宋" w:cs="仿宋"/>
          <w:b w:val="0"/>
          <w:bCs w:val="0"/>
          <w:sz w:val="22"/>
          <w:szCs w:val="22"/>
        </w:rPr>
        <w:t>安排的基本支出中的日常公用经费支出，包括办公及印刷费、邮电费、差旅费、会议费、福利费、日常维修费、专用材料及一般设备购置费、办公用房水电费、办公用房取暖费、办公用房物业管理费、公务用车运行维护费及其他费用。本表金额单位转换时可能存在尾数误差。</w:t>
      </w:r>
    </w:p>
    <w:p>
      <w:pPr>
        <w:numPr>
          <w:ilvl w:val="0"/>
          <w:numId w:val="0"/>
        </w:numPr>
        <w:tabs>
          <w:tab w:val="left" w:pos="440"/>
        </w:tabs>
        <w:spacing w:before="25" w:after="0"/>
        <w:ind w:left="440" w:leftChars="200" w:firstLine="0" w:firstLineChars="0"/>
        <w:jc w:val="both"/>
        <w:rPr>
          <w:rFonts w:hint="eastAsia" w:ascii="仿宋" w:hAnsi="仿宋" w:eastAsia="仿宋" w:cs="仿宋"/>
          <w:b w:val="0"/>
          <w:bCs w:val="0"/>
          <w:sz w:val="22"/>
          <w:szCs w:val="22"/>
          <w:lang w:val="en-US" w:eastAsia="zh-CN"/>
        </w:rPr>
        <w:sectPr>
          <w:footerReference r:id="rId18" w:type="default"/>
          <w:type w:val="continuous"/>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59" w:type="dxa"/>
        <w:tblInd w:w="45" w:type="dxa"/>
        <w:tblLayout w:type="fixed"/>
        <w:tblCellMar>
          <w:top w:w="55" w:type="dxa"/>
          <w:left w:w="55" w:type="dxa"/>
          <w:bottom w:w="55" w:type="dxa"/>
          <w:right w:w="55" w:type="dxa"/>
        </w:tblCellMar>
      </w:tblPr>
      <w:tblGrid>
        <w:gridCol w:w="4472"/>
        <w:gridCol w:w="722"/>
        <w:gridCol w:w="1992"/>
        <w:gridCol w:w="3273"/>
      </w:tblGrid>
      <w:tr>
        <w:tblPrEx>
          <w:tblCellMar>
            <w:top w:w="55" w:type="dxa"/>
            <w:left w:w="55" w:type="dxa"/>
            <w:bottom w:w="55" w:type="dxa"/>
            <w:right w:w="55" w:type="dxa"/>
          </w:tblCellMar>
        </w:tblPrEx>
        <w:trPr>
          <w:trHeight w:val="333" w:hRule="atLeast"/>
        </w:trPr>
        <w:tc>
          <w:tcPr>
            <w:tcW w:w="10459" w:type="dxa"/>
            <w:gridSpan w:val="4"/>
            <w:vAlign w:val="center"/>
          </w:tcPr>
          <w:p>
            <w:pPr>
              <w:pStyle w:val="22"/>
              <w:widowControl w:val="0"/>
              <w:bidi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政府采购支出决算表</w:t>
            </w:r>
          </w:p>
        </w:tc>
      </w:tr>
      <w:tr>
        <w:tblPrEx>
          <w:tblCellMar>
            <w:top w:w="55" w:type="dxa"/>
            <w:left w:w="55" w:type="dxa"/>
            <w:bottom w:w="55" w:type="dxa"/>
            <w:right w:w="55" w:type="dxa"/>
          </w:tblCellMar>
        </w:tblPrEx>
        <w:trPr>
          <w:trHeight w:val="333" w:hRule="atLeast"/>
        </w:trPr>
        <w:tc>
          <w:tcPr>
            <w:tcW w:w="4472" w:type="dxa"/>
          </w:tcPr>
          <w:p>
            <w:pPr>
              <w:pStyle w:val="22"/>
              <w:widowControl w:val="0"/>
              <w:bidi w:val="0"/>
              <w:rPr>
                <w:rFonts w:hint="eastAsia" w:ascii="仿宋" w:hAnsi="仿宋" w:eastAsia="仿宋" w:cs="仿宋"/>
              </w:rPr>
            </w:pPr>
          </w:p>
        </w:tc>
        <w:tc>
          <w:tcPr>
            <w:tcW w:w="722" w:type="dxa"/>
          </w:tcPr>
          <w:p>
            <w:pPr>
              <w:pStyle w:val="22"/>
              <w:widowControl w:val="0"/>
              <w:rPr>
                <w:rFonts w:hint="eastAsia" w:ascii="仿宋" w:hAnsi="仿宋" w:eastAsia="仿宋" w:cs="仿宋"/>
              </w:rPr>
            </w:pPr>
          </w:p>
        </w:tc>
        <w:tc>
          <w:tcPr>
            <w:tcW w:w="1992" w:type="dxa"/>
          </w:tcPr>
          <w:p>
            <w:pPr>
              <w:pStyle w:val="22"/>
              <w:widowControl w:val="0"/>
              <w:rPr>
                <w:rFonts w:hint="eastAsia" w:ascii="仿宋" w:hAnsi="仿宋" w:eastAsia="仿宋" w:cs="仿宋"/>
              </w:rPr>
            </w:pPr>
          </w:p>
        </w:tc>
        <w:tc>
          <w:tcPr>
            <w:tcW w:w="3273" w:type="dxa"/>
            <w:vAlign w:val="center"/>
          </w:tcPr>
          <w:p>
            <w:pPr>
              <w:pStyle w:val="22"/>
              <w:widowControl w:val="0"/>
              <w:jc w:val="right"/>
              <w:rPr>
                <w:rFonts w:hint="eastAsia" w:ascii="仿宋" w:hAnsi="仿宋" w:eastAsia="仿宋" w:cs="仿宋"/>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7186" w:type="dxa"/>
            <w:gridSpan w:val="3"/>
          </w:tcPr>
          <w:p>
            <w:pPr>
              <w:pStyle w:val="22"/>
              <w:widowControl w:val="0"/>
              <w:bidi w:val="0"/>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eastAsia="仿宋" w:cs="仿宋"/>
                <w:color w:val="000000"/>
                <w:sz w:val="22"/>
              </w:rPr>
              <w:t>名称：</w:t>
            </w:r>
            <w:r>
              <w:rPr>
                <w:rFonts w:hint="eastAsia" w:ascii="仿宋" w:hAnsi="仿宋" w:eastAsia="仿宋" w:cs="仿宋"/>
              </w:rPr>
              <w:t>江阴市市场监督管理局</w:t>
            </w:r>
          </w:p>
        </w:tc>
        <w:tc>
          <w:tcPr>
            <w:tcW w:w="3273" w:type="dxa"/>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244" w:hRule="atLeast"/>
        </w:trPr>
        <w:tc>
          <w:tcPr>
            <w:tcW w:w="4472" w:type="dxa"/>
            <w:tcBorders>
              <w:top w:val="single" w:color="000000" w:sz="4" w:space="0"/>
              <w:left w:val="single" w:color="000000" w:sz="4" w:space="0"/>
              <w:bottom w:val="single" w:color="000000" w:sz="4" w:space="0"/>
            </w:tcBorders>
            <w:vAlign w:val="center"/>
          </w:tcPr>
          <w:p>
            <w:pPr>
              <w:pStyle w:val="22"/>
              <w:widowControl w:val="0"/>
              <w:bidi w:val="0"/>
              <w:jc w:val="center"/>
              <w:rPr>
                <w:rFonts w:hint="eastAsia" w:ascii="仿宋" w:hAnsi="仿宋" w:eastAsia="仿宋" w:cs="仿宋"/>
                <w:lang w:val="en-US" w:eastAsia="zh-CN"/>
              </w:rPr>
            </w:pPr>
            <w:r>
              <w:rPr>
                <w:rFonts w:ascii="仿宋" w:hAnsi="仿宋" w:eastAsia="仿宋" w:cs="仿宋"/>
              </w:rPr>
              <w:t>项目</w:t>
            </w:r>
          </w:p>
        </w:tc>
        <w:tc>
          <w:tcPr>
            <w:tcW w:w="598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金</w:t>
            </w:r>
            <w:r>
              <w:rPr>
                <w:rFonts w:hint="eastAsia" w:ascii="仿宋" w:hAnsi="仿宋" w:eastAsia="仿宋" w:cs="仿宋"/>
              </w:rPr>
              <w:tab/>
            </w:r>
            <w:r>
              <w:rPr>
                <w:rFonts w:hint="eastAsia" w:ascii="仿宋" w:hAnsi="仿宋" w:eastAsia="仿宋" w:cs="仿宋"/>
              </w:rPr>
              <w:t>额</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一、政府采购支出合计</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800.23</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（一）政府采购货物支出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59.23</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（二）政府采购工程支出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（三）政府采购服务支出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741.00</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二、政府采购授予中小企业合同金额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其中：授予小微企业合同金额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bidi w:val="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rPr>
        <w:t>注：</w:t>
      </w:r>
      <w:r>
        <w:rPr>
          <w:rFonts w:hint="eastAsia" w:ascii="仿宋" w:hAnsi="仿宋" w:eastAsia="仿宋" w:cs="仿宋"/>
          <w:b w:val="0"/>
          <w:bCs w:val="0"/>
          <w:sz w:val="22"/>
          <w:szCs w:val="22"/>
          <w:lang w:val="en-US" w:eastAsia="zh-CN"/>
        </w:rPr>
        <w:t>政府采购支出信息为单位纳入部门预算范围的各项政府采购支出情况。本表金额单位转换时可能存在尾数误差</w:t>
      </w:r>
      <w:r>
        <w:rPr>
          <w:rFonts w:hint="eastAsia" w:ascii="仿宋" w:hAnsi="仿宋" w:eastAsia="仿宋" w:cs="仿宋"/>
          <w:b w:val="0"/>
          <w:bCs w:val="0"/>
          <w:sz w:val="22"/>
          <w:szCs w:val="22"/>
        </w:rPr>
        <w:t>。</w:t>
      </w:r>
    </w:p>
    <w:p>
      <w:pPr>
        <w:numPr>
          <w:ilvl w:val="0"/>
          <w:numId w:val="0"/>
        </w:numPr>
        <w:bidi w:val="0"/>
        <w:ind w:left="440" w:leftChars="200" w:firstLine="0" w:firstLineChars="0"/>
        <w:jc w:val="both"/>
        <w:rPr>
          <w:rFonts w:hint="eastAsia" w:ascii="仿宋" w:hAnsi="仿宋" w:eastAsia="仿宋" w:cs="仿宋"/>
          <w:b w:val="0"/>
          <w:bCs w:val="0"/>
          <w:sz w:val="22"/>
          <w:szCs w:val="22"/>
        </w:rPr>
        <w:sectPr>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outlineLvl w:val="0"/>
        <w:rPr>
          <w:rFonts w:hint="eastAsia" w:ascii="宋体" w:hAnsi="宋体" w:eastAsia="宋体" w:cs="宋体"/>
          <w:b/>
          <w:bCs/>
          <w:color w:val="000000"/>
          <w:kern w:val="0"/>
          <w:sz w:val="36"/>
          <w:szCs w:val="36"/>
          <w:lang w:val="zh-CN" w:eastAsia="ar-SA" w:bidi="zh-CN"/>
        </w:rPr>
      </w:pPr>
      <w:r>
        <w:rPr>
          <w:rFonts w:hint="eastAsia" w:ascii="宋体" w:hAnsi="宋体" w:eastAsia="宋体" w:cs="宋体"/>
          <w:b/>
          <w:bCs/>
          <w:color w:val="000000"/>
          <w:kern w:val="0"/>
          <w:sz w:val="36"/>
          <w:szCs w:val="36"/>
          <w:lang w:val="zh-CN" w:eastAsia="ar-SA" w:bidi="zh-CN"/>
        </w:rPr>
        <w:t>第三部分</w:t>
      </w:r>
      <w:r>
        <w:rPr>
          <w:rFonts w:hint="eastAsia" w:ascii="宋体" w:hAnsi="宋体" w:eastAsia="宋体" w:cs="宋体"/>
          <w:b/>
          <w:bCs/>
          <w:color w:val="000000"/>
          <w:kern w:val="0"/>
          <w:sz w:val="36"/>
          <w:szCs w:val="36"/>
          <w:lang w:val="en-US" w:eastAsia="zh-CN" w:bidi="zh-CN"/>
        </w:rPr>
        <w:t xml:space="preserve"> </w:t>
      </w:r>
      <w:r>
        <w:rPr>
          <w:rFonts w:hint="eastAsia" w:ascii="宋体" w:hAnsi="宋体" w:eastAsia="宋体" w:cs="宋体"/>
          <w:b/>
          <w:bCs/>
          <w:color w:val="000000"/>
          <w:kern w:val="0"/>
          <w:sz w:val="36"/>
          <w:szCs w:val="36"/>
          <w:lang w:val="zh-CN" w:eastAsia="zh-CN" w:bidi="zh-CN"/>
        </w:rPr>
        <w:t>2022</w:t>
      </w:r>
      <w:r>
        <w:rPr>
          <w:rFonts w:hint="eastAsia" w:ascii="宋体" w:hAnsi="宋体" w:eastAsia="宋体" w:cs="宋体"/>
          <w:b/>
          <w:bCs/>
          <w:color w:val="000000"/>
          <w:kern w:val="0"/>
          <w:sz w:val="36"/>
          <w:szCs w:val="36"/>
          <w:lang w:val="zh-CN" w:eastAsia="ar-SA" w:bidi="zh-CN"/>
        </w:rPr>
        <w:t>年度</w:t>
      </w:r>
      <w:r>
        <w:rPr>
          <w:rFonts w:ascii="宋体" w:hAnsi="宋体" w:eastAsia="宋体" w:cs="宋体"/>
          <w:b/>
          <w:color w:val="000000"/>
          <w:sz w:val="36"/>
        </w:rPr>
        <w:t>部门决算情况说明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一、收入支出决算总体情况说明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2022年度收入、支出决算总计22,007.41万元。与上年相比，收、支总计各减少1,830.92万元，减少7.68%。其中：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（一）收入决算总计22,007.41万元。包括：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收入决算合计22,007.41万元。与上年相比，减少1,830.92万元，减少7.68%，变动原因：人员变动及政策性调整导致人员经费减少；资金紧张，知识产权专项经费和品牌、质量、标准化专项资金仅部分拨付，导致项目经费减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2.使用非财政拨款结余0万元。与上年决算数相同。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3.年初结转和结余0万元。与上年决算数相同。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（二）支出决算总计22,007.41万元。包括：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支出决算合计22,007.41万元。与上年相比，减少1,830.92万元，减少7.68%，变动原因：人员变动及政策性调整导致人员经费减少；资金紧张，知识产权专项经费和品牌、质量、标准化专项资金仅部分拨付，导致项目经费减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2.结余分配0万元。与上年决算数相同。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3.年末结转和结余0万元。与上年决算数相同。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二、收入决算情况说明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本年收入决算合计22,007.41万元，其中：财政拨款收入22,007.41万元，占100%；上级补助收入0万元，占0%；财政专户管理教育收费0万元，占0%；事业收入（不含专户管理教育收费）0万元，占0%；经营收入0万元，占0%；附属单位上缴收入0万元，占0%；其他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1" name="Drawing 1"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 1" descr="Generated"/>
                    <pic:cNvPicPr>
                      <a:picLocks noChangeAspect="1"/>
                    </pic:cNvPicPr>
                  </pic:nvPicPr>
                  <pic:blipFill>
                    <a:blip r:embed="rId20"/>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三、支出决算情况说明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2022年度本年支出决算合计22,007.41万元，其中：基本支出16,412.48万元，占74.58%；项目支出5,594.93万元，占25.42%；上缴上级支出0万元，占0%；经营支出0万元，占0%；对附属单位补助支出0万元，占0%。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2" name="Drawing 2"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ing 2" descr="Generated"/>
                    <pic:cNvPicPr>
                      <a:picLocks noChangeAspect="1"/>
                    </pic:cNvPicPr>
                  </pic:nvPicPr>
                  <pic:blipFill>
                    <a:blip r:embed="rId21"/>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四、财政拨款收入支出决算总体情况说明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财政拨款收入、支出决算总计22,007.41万元。与上年相比，收、支总计各减少1,830.92万元，减少7.68%，变动原因：人员变动及政策性调整导致人员经费减少；资金紧张，知识产权专项经费和品牌、质量、标准化专项资金仅部分拨付，导致项目经费减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五、财政拨款支出决算情况说明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财政拨款支出决算反映的是一般公共预算、政府性基金预算和国有资本经营预算财政拨款支出的总体情况，既包括使用本年从本级财政取得的财政拨款发生的支出，也包括使用上年度财政拨款结转资金发生的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2022年度财政拨款支出决算22,007.41万元，占本年支出合计的100%。与2022年度财政拨款支出年初预算23,733.7万元相比，完成年初预算的92.73%。其中：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（一）一般公共服务支出（类）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知识产权事务（款）知识产权战略和规划（项）。年初预算0万元，支出决算848.5万元，（年初预算数为0万元，无法计算完成比率）决算数与年初预算数的差异原因：该项经费为上级拨款的知识产权专项资金，未纳入年初预算。</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知识产权事务（款）其他知识产权事务支出（项）。年初预算1,162.5万元，支出决算520.73万元，完成年初预算的44.79%。决算数与年初预算数的差异原因：因资金紧张，知识产权专项奖补资金仅部分支付，其余下年度支付。</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市场监督管理事务（款）行政运行（项）。年初预算12,101.03万元，支出决算9,984.84万元，完成年初预算的82.51%。决算数与年初预算数的差异原因：因资金紧张，知识产权专项经费和品牌、质量、标准化专项资金仅部分拨付，导致经费支出减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4.市场监督管理事务（款）一般行政管理事务（项）。年初预算23万元，支出决算22.28万元，完成年初预算的96.87%。决算数与年初预算数的差异原因：该项电梯责任保险补贴按照实际申报台数支付。</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5.市场监督管理事务（款）质量基础（项）。年初预算0万元，支出决算288.5万元，（年初预算数为0万元，无法计算完成比率）决算数与年初预算数的差异原因：该项资金为上级拨款的质量专项资金，未纳入年初预算。</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6.市场监督管理事务（款）药品事务（项）。年初预算0万元，支出决算63.55万元，（年初预算数为0万元，无法计算完成比率）决算数与年初预算数的差异原因：该项资金为上级拨款的药品监管专项资金，未纳入年初预算。</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7.市场监督管理事务（款）食品安全监管（项）。年初预算0万元，支出决算7.93万元，（年初预算数为0万元，无法计算完成比率）决算数与年初预算数的差异原因：该项资金为上级拨款的药品抽样专项资金，未纳入年初预算。</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8.市场监督管理事务（款）事业运行（项）。年初预算1,131.27万元，支出决算975.41万元，完成年初预算的86.22%。决算数与年初预算数的差异原因：因疫情原因，导致零星检测和市场监管相关费用发生减少。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9.市场监督管理事务（款）其他市场监督管理事务（项）。年初预算3,525.04万元，支出决算3,135.52万元，完成年初预算的88.95%。决算数与年初预算数的差异原因：因资金紧张，品牌、质量、标准化专项资金未能拨付，导致经费支出减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（二）社会保障和就业支出（类）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行政事业单位养老支出（款）机关事业单位基本养老保险缴费支出（项）。年初预算793.8万元，支出决算776.52万元，完成年初预算的97.82%。决算数与年初预算数的差异原因：人员退休和新录用导致人数变动及养老金政策性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行政事业单位养老支出（款）机关事业单位职业年金缴费支出（项）。年初预算396.9万元，支出决算387.96万元，完成年初预算的97.75%。决算数与年初预算数的差异原因：人员退休和新录用导致人数变动及职业金政策性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其他社会保障和就业支出（款）其他社会保障和就业支出（项）。年初预算349.91万元，支出决算338.24万元，完成年初预算的96.66%。决算数与年初预算数的差异原因：人员退休和新录用导致人数变动及其他社会保障金政策性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（三）城乡社区支出（类）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城乡社区环境卫生（款）城乡社区环境卫生（项）。年初预算0万元，支出决算6.93万元，（年初预算数为0万元，无法计算完成比率）决算数与年初预算数的差异原因：该项经费为年中拨付的文明创建专项资金，未纳入年初预算。</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其他城乡社区支出（款）其他城乡社区支出（项）。年初预算216.9万元，支出决算215.02万元，完成年初预算的99.13%。决算数与年初预算数的差异原因：物业人员工资按照实际发生月份支付，其中人员变动及病假等导致人员费用减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（四）商业服务业等支出（类）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他商业服务业等支出（款）其他商业服务业等支出（项）。年初预算0万元，支出决算416.07万元，（年初预算数为0万元，无法计算完成比率）决算数与年初预算数的差异原因：该项资金为上级拨款的知识产权专项资金，未纳入年初预算。</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（五）住房保障支出（类）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1.住房改革支出（款）住房公积金（项）。年初预算1,050.19万元，支出决算1,012.35万元，完成年初预算的96.4%。决算数与年初预算数的差异原因：人员退休和新录用导致人数变动及公积金政策性调整。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2.住房改革支出（款）提租补贴（项）。年初预算2,020.68万元，支出决算1,978.17万元，完成年初预算的97.9%。决算数与年初预算数的差异原因：人员退休和新录用导致人数变动及政策性调整。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3.住房改革支出（款）购房补贴（项）。年初预算962.48万元，支出决算959万元，完成年初预算的99.64%。决算数与年初预算数的差异原因：人员退休和新录用导致人数变动及政策性调整。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（六）其他支出（类）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他支出（款）其他支出（项）。年初预算0万元，支出决算69.9万元，（年初预算数为0万元，无法计算完成比率）决算数与年初预算数的差异原因：该项资金为上级拨款的市场监管及技术能力建设专项资金，未纳入年初预算。</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六、财政拨款基本支出决算情况说明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2022年度财政拨款基本支出决算16,412.48万元，其中：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楷体" w:hAnsi="楷体" w:eastAsia="楷体" w:cs="楷体"/>
        </w:rPr>
        <w:t>（一）人员经费15,379.29万元。</w:t>
      </w:r>
      <w:r>
        <w:rPr>
          <w:rFonts w:ascii="仿宋" w:hAnsi="仿宋" w:eastAsia="仿宋" w:cs="仿宋"/>
        </w:rPr>
        <w:t>主要包括：基本工资、津贴补贴、奖金、伙食补助费、绩效工资、机关事业单位基本养老保险缴费、职业年金缴费、职工基本医疗保险缴费、其他社会保障缴费、住房公积金、医疗费、其他工资福利支出、离休费、退休费、抚恤金、生活补助、其他对个人和家庭的补助。</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楷体" w:hAnsi="楷体" w:eastAsia="楷体" w:cs="楷体"/>
        </w:rPr>
        <w:t>（二）公用经费1,033.19万元。</w:t>
      </w:r>
      <w:r>
        <w:rPr>
          <w:rFonts w:ascii="仿宋" w:hAnsi="仿宋" w:eastAsia="仿宋" w:cs="仿宋"/>
        </w:rPr>
        <w:t>主要包括：办公费、印刷费、手续费、水费、电费、邮电费、物业管理费、差旅费、维修（护）费、会议费、培训费、公务接待费、被装购置费、劳务费、委托业务费、工会经费、福利费、公务用车运行维护费、其他交通费用、其他商品和服务支出、办公设备购置。</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七、一般公共预算支出决算情况说明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一般公共预算财政拨款支出决算22,007.41万元。与上年相比，减少1,830.92万元，减少7.68%，变动原因：人员变动及政策性调整导致人员经费减少；资金紧张，知识产权专项经费和品牌、质量、标准化专项资金仅部分拨付，导致项目经费减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八、一般公共预算基本支出决算情况说明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2022年度一般公共预算财政拨款基本支出决算16,412.48万元，其中：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楷体" w:hAnsi="楷体" w:eastAsia="楷体" w:cs="楷体"/>
        </w:rPr>
        <w:t>（一）人员经费15,379.29万元。</w:t>
      </w:r>
      <w:r>
        <w:rPr>
          <w:rFonts w:ascii="仿宋" w:hAnsi="仿宋" w:eastAsia="仿宋" w:cs="仿宋"/>
        </w:rPr>
        <w:t>主要包括：基本工资、津贴补贴、奖金、伙食补助费、绩效工资、机关事业单位基本养老保险缴费、职业年金缴费、职工基本医疗保险缴费、其他社会保障缴费、住房公积金、医疗费、其他工资福利支出、离休费、退休费、抚恤金、生活补助、其他对个人和家庭的补助。</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楷体" w:hAnsi="楷体" w:eastAsia="楷体" w:cs="楷体"/>
        </w:rPr>
        <w:t>（二）公用经费1,033.19万元。</w:t>
      </w:r>
      <w:r>
        <w:rPr>
          <w:rFonts w:ascii="仿宋" w:hAnsi="仿宋" w:eastAsia="仿宋" w:cs="仿宋"/>
        </w:rPr>
        <w:t>主要包括：办公费、印刷费、手续费、水费、电费、邮电费、物业管理费、差旅费、维修（护）费、会议费、培训费、公务接待费、被装购置费、劳务费、委托业务费、工会经费、福利费、公务用车运行维护费、其他交通费用、其他商品和服务支出、办公设备购置。</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九、财政拨款“三公”经费、会议费和培训费支出情况说明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（一）财政拨款“三公”经费支出总体情况说明。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财政拨款“三公”经费支出决算156.01万元（其中：一般公共预算支出156.01万元；政府性基金预算支出0万元；国有资本经营预算支出0万元）。与上年相比，增加20.26万元，变动原因：公务用车运行维护费因汽油费上涨导致燃料费用增加。其中，因公出国（境）费支出0万元，占“三公”经费的0%；公务用车购置及运行维护费支出150.64万元，占“三公”经费的96.56%；公务接待费支出5.37万元，占“三公”经费的3.44%。</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（二）财政拨款“三公”经费支出具体情况说明。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因公出国（境）费支出预算0万元（其中：一般公共预算支出0万元；政府性基金预算支出0万元；国有资本经营预算支出0万元），支出决算0万元（其中：一般公共预算支出0万元；政府性基金预算支出0万元；国有资本经营预算支出0万元），完成调整后预算的100%，决算数与预算数相同。全年使用财政拨款涉及的出国（境）团组0个，累计0人次。</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购置及运行维护费支出预算153.14万元（其中：一般公共预算支出153.14万元；政府性基金预算支出0万元；国有资本经营预算支出0万元），支出决算150.64万元（其中：一般公共预算支出150.64万元；政府性基金预算支出0万元；国有资本经营预算支出0万元），完成调整后预算的98.37%，决算数与预算数的差异原因：公务用车购置按照实际发生费用予以支付。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（1）公务用车购置支出决算30.49万元。本年度使用财政拨款购置公务用车2辆，开支内容：购置公务用车2辆。</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运行维护费支出决算120.15万元。公务用车运行维护费主要用于按规定保留的公务用车的燃料费、维修费、过桥过路费、保险费、安全奖励费用等支出。截至2022年12月31日，使用财政拨款开支的公务用车保有量为62辆。</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公务接待费支出预算5.37万元（其中：一般公共预算支出5.37万元；政府性基金预算支出0万元；国有资本经营预算支出0万元），支出决算5.37万元（其中：一般公共预算支出5.37万元；政府性基金预算支出0万元；国有资本经营预算支出0万元），完成调整后预算的100%，决算数与预算数相同。其中：国内公务接待支出5.37万元，接待96批次，1082人次，开支内容：接待上级局莅临指导工作、调研、检查餐费支出；国（境）外公务接待支出0万元，接待0批次0人次。</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（三）财政拨款会议费支出决算情况说明。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财政拨款会议费支出预算1.4万元（其中：一般公共预算支出1.4万元；政府性基金预算支出0万元；国有资本经营预算支出0万元），支出决算1.4万元（其中：一般公共预算支出1.4万元；政府性基金预算支出0万元；国有资本经营预算支出0万元），完成调整后预算的100%，决算数与预算数相同。2022年度全年召开会议7个，参加会议3500人次，开支内容：会议场租费、资料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（四）财政拨款培训费支出决算情况说明。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财政拨款培训费支出预算4.2万元（其中：一般公共预算支出4.2万元；政府性基金预算支出0万元；国有资本经营预算支出0万元），支出决算4.2万元（其中：一般公共预算支出4.2万元；政府性基金预算支出0万元；国有资本经营预算支出0万元），完成调整后预算的100%，决算数与预算数相同。2022年度全年组织培训24个，组织培训827人次，开支内容：各业务条线开展的业务培训讲课费、培训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十、政府性基金预算财政拨款支出决算情况说明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2022年度政府性基金预算财政拨款支出决算0万元。与上年决算数相同。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十一、国有资本经营预算财政拨款支出决算情况说明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2022年度国有资本经营预算财政拨款支出决算0万元。与上年决算数相同。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十二、财政拨款机关运行经费支出决算情况说明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机关运行经费支出决算954.11万元（其中：一般公共预算支出954.11万元；政府性基金预算支出0万元；国有资本经营预算支出0万元）。与上年相比，减少422.75万元，减少30.7%，变动原因：人均经费减少且厉行节约，杜绝浪费，公用经费下降。</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十三、政府采购支出决算情况说明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政府采购支出总额800.23万元，其中：政府采购货物支出59.23万元、政府采购工程支出0万元、政府采购服务支出741万元。政府采购授予中小企业合同金额0万元，占政府采购支出总额的0%，其中：授予小微企业合同金额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十四、国有资产占用情况说明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截至2022年12月31日，本部门共有车辆69辆，其中：副部</w:t>
      </w:r>
      <w:r>
        <w:rPr>
          <w:rFonts w:hint="eastAsia" w:ascii="仿宋" w:hAnsi="仿宋" w:eastAsia="仿宋" w:cs="仿宋"/>
          <w:lang w:eastAsia="zh-CN"/>
        </w:rPr>
        <w:t>（</w:t>
      </w:r>
      <w:r>
        <w:rPr>
          <w:rFonts w:ascii="仿宋" w:hAnsi="仿宋" w:eastAsia="仿宋" w:cs="仿宋"/>
        </w:rPr>
        <w:t>省</w:t>
      </w:r>
      <w:r>
        <w:rPr>
          <w:rFonts w:hint="eastAsia" w:ascii="仿宋" w:hAnsi="仿宋" w:eastAsia="仿宋" w:cs="仿宋"/>
          <w:lang w:eastAsia="zh-CN"/>
        </w:rPr>
        <w:t>）</w:t>
      </w:r>
      <w:r>
        <w:rPr>
          <w:rFonts w:ascii="仿宋" w:hAnsi="仿宋" w:eastAsia="仿宋" w:cs="仿宋"/>
        </w:rPr>
        <w:t>级及以上领导用车0辆、主要领导干部用车0辆、机要通信用车62辆、应急保障用车0辆、执法执勤用车0辆、特种专业技术用车5辆、离退休干部用车0辆、其他用车2辆；单价50万元（含）以上的通用设备0台（套），单价100万元（含）以上的专用设备0台（套）。</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十五、预算绩效评价工作开展情况</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2022年度，本部门共0个项目开展了财政重点绩效评价，涉及财政性资金合计0万元；本部门未开展部门整体支出财政重点绩效评价，涉及财政性资金0万元。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本部门共对上年度已实施完成的15个项目开展了绩效自评价，涉及财政性资金合计3,562.8万元；本部门共开展1项部门整体支出绩效自评价，涉及财政性资金合计19,975.29万元。</w:t>
      </w:r>
    </w:p>
    <w:p>
      <w:pPr>
        <w:pStyle w:val="5"/>
        <w:tabs>
          <w:tab w:val="left" w:pos="3077"/>
        </w:tabs>
        <w:spacing w:line="616" w:lineRule="exact"/>
        <w:jc w:val="center"/>
        <w:outlineLvl w:val="0"/>
        <w:rPr>
          <w:rFonts w:hint="eastAsia" w:ascii="宋体" w:hAnsi="宋体" w:eastAsia="宋体" w:cs="宋体"/>
          <w:b/>
          <w:bCs/>
          <w:sz w:val="36"/>
          <w:szCs w:val="36"/>
        </w:rPr>
      </w:pPr>
      <w:r>
        <w:rPr>
          <w:rFonts w:hint="eastAsia" w:ascii="宋体" w:hAnsi="宋体" w:eastAsia="宋体" w:cs="宋体"/>
          <w:b/>
          <w:bCs/>
          <w:sz w:val="36"/>
          <w:szCs w:val="36"/>
        </w:rPr>
        <w:t>第四部分 名词</w:t>
      </w:r>
      <w:r>
        <w:rPr>
          <w:rFonts w:hint="eastAsia" w:ascii="宋体" w:hAnsi="宋体" w:eastAsia="宋体" w:cs="宋体"/>
          <w:b/>
          <w:bCs/>
          <w:color w:val="000000"/>
          <w:kern w:val="0"/>
          <w:sz w:val="36"/>
          <w:szCs w:val="36"/>
          <w:lang w:val="zh-CN" w:eastAsia="ar-SA" w:bidi="zh-CN"/>
        </w:rPr>
        <w:t>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一、财政拨款收入</w:t>
      </w:r>
      <w:r>
        <w:rPr>
          <w:rFonts w:ascii="仿宋" w:hAnsi="仿宋" w:eastAsia="仿宋" w:cs="仿宋"/>
          <w:b/>
        </w:rPr>
        <w:t>：</w:t>
      </w:r>
      <w:r>
        <w:rPr>
          <w:rFonts w:hint="eastAsia" w:ascii="仿宋" w:hAnsi="仿宋" w:eastAsia="仿宋" w:cs="仿宋"/>
        </w:rPr>
        <w:t>指单位从同级财政部门取得的各类财政拨款，包括一般公共预算财政拨款、政府性基金预算财政拨款、国有资本经营预算财政拨款。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二、上级补助收入</w:t>
      </w:r>
      <w:r>
        <w:rPr>
          <w:rFonts w:ascii="仿宋" w:hAnsi="仿宋" w:eastAsia="仿宋" w:cs="仿宋"/>
          <w:b/>
        </w:rPr>
        <w:t>：</w:t>
      </w:r>
      <w:r>
        <w:rPr>
          <w:rFonts w:hint="eastAsia" w:ascii="仿宋" w:hAnsi="仿宋" w:eastAsia="仿宋" w:cs="仿宋"/>
        </w:rPr>
        <w:t>指事业单位从主管部门和上级单位取得的非财政补助收入。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三、财政专户管理教育收费</w:t>
      </w:r>
      <w:r>
        <w:rPr>
          <w:rFonts w:ascii="仿宋" w:hAnsi="仿宋" w:eastAsia="仿宋" w:cs="仿宋"/>
          <w:b/>
        </w:rPr>
        <w:t>：</w:t>
      </w:r>
      <w:r>
        <w:rPr>
          <w:rFonts w:hint="eastAsia" w:ascii="仿宋" w:hAnsi="仿宋" w:eastAsia="仿宋" w:cs="仿宋"/>
        </w:rPr>
        <w:t>指缴入财政专户、实行专项管理的高中以上学费、住宿费、高校委托培养费、函大、电大、夜大及短训班培训费等教育收费。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四、事业收入</w:t>
      </w:r>
      <w:r>
        <w:rPr>
          <w:rFonts w:ascii="仿宋" w:hAnsi="仿宋" w:eastAsia="仿宋" w:cs="仿宋"/>
          <w:b/>
        </w:rPr>
        <w:t>：</w:t>
      </w:r>
      <w:r>
        <w:rPr>
          <w:rFonts w:hint="eastAsia" w:ascii="仿宋" w:hAnsi="仿宋" w:eastAsia="仿宋" w:cs="仿宋"/>
        </w:rPr>
        <w:t>指事业单位开展专业业务活动及其辅助活动取得的收入。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五、经营收入</w:t>
      </w:r>
      <w:r>
        <w:rPr>
          <w:rFonts w:ascii="仿宋" w:hAnsi="仿宋" w:eastAsia="仿宋" w:cs="仿宋"/>
          <w:b/>
        </w:rPr>
        <w:t>：</w:t>
      </w:r>
      <w:r>
        <w:rPr>
          <w:rFonts w:hint="eastAsia" w:ascii="仿宋" w:hAnsi="仿宋" w:eastAsia="仿宋" w:cs="仿宋"/>
        </w:rPr>
        <w:t>指事业单位在专业业务活动及其辅助活动之外开展非独立核算经营活动取得的收入。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六、附属单位上缴收入</w:t>
      </w:r>
      <w:r>
        <w:rPr>
          <w:rFonts w:ascii="仿宋" w:hAnsi="仿宋" w:eastAsia="仿宋" w:cs="仿宋"/>
          <w:b/>
        </w:rPr>
        <w:t>：</w:t>
      </w:r>
      <w:r>
        <w:rPr>
          <w:rFonts w:hint="eastAsia" w:ascii="仿宋" w:hAnsi="仿宋" w:eastAsia="仿宋" w:cs="仿宋"/>
        </w:rPr>
        <w:t>指事业单位附属独立核算单位按照有关规定上缴的收入。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七、其他收入</w:t>
      </w:r>
      <w:r>
        <w:rPr>
          <w:rFonts w:ascii="仿宋" w:hAnsi="仿宋" w:eastAsia="仿宋" w:cs="仿宋"/>
          <w:b/>
        </w:rPr>
        <w:t>：</w:t>
      </w:r>
      <w:r>
        <w:rPr>
          <w:rFonts w:hint="eastAsia" w:ascii="仿宋" w:hAnsi="仿宋" w:eastAsia="仿宋" w:cs="仿宋"/>
        </w:rPr>
        <w:t>指单位取得的除上述“财政拨款收入”、 “上级补助收入”“事业收入”“经营收入”</w:t>
      </w:r>
      <w:bookmarkStart w:id="0" w:name="_GoBack"/>
      <w:bookmarkEnd w:id="0"/>
      <w:r>
        <w:rPr>
          <w:rFonts w:hint="eastAsia" w:ascii="仿宋" w:hAnsi="仿宋" w:eastAsia="仿宋" w:cs="仿宋"/>
        </w:rPr>
        <w:t>“附属单位上缴收入”等以外的各项收入。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八、使用非财政拨款结余</w:t>
      </w:r>
      <w:r>
        <w:rPr>
          <w:rFonts w:ascii="仿宋" w:hAnsi="仿宋" w:eastAsia="仿宋" w:cs="仿宋"/>
          <w:b/>
        </w:rPr>
        <w:t>：</w:t>
      </w:r>
      <w:r>
        <w:rPr>
          <w:rFonts w:hint="eastAsia" w:ascii="仿宋" w:hAnsi="仿宋" w:eastAsia="仿宋" w:cs="仿宋"/>
        </w:rPr>
        <w:t>指事业单位按照预算管理要求使用非财政拨款结余（原事业基金）弥补当年收支差额的数额。</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九、年初结转和结余</w:t>
      </w:r>
      <w:r>
        <w:rPr>
          <w:rFonts w:ascii="仿宋" w:hAnsi="仿宋" w:eastAsia="仿宋" w:cs="仿宋"/>
          <w:b/>
        </w:rPr>
        <w:t>：</w:t>
      </w:r>
      <w:r>
        <w:rPr>
          <w:rFonts w:hint="eastAsia" w:ascii="仿宋" w:hAnsi="仿宋" w:eastAsia="仿宋" w:cs="仿宋"/>
        </w:rPr>
        <w:t>指单位上年结转本年使用的基本支出结转、项目支出结转和结余、经营结余。</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十、结余分配</w:t>
      </w:r>
      <w:r>
        <w:rPr>
          <w:rFonts w:ascii="仿宋" w:hAnsi="仿宋" w:eastAsia="仿宋" w:cs="仿宋"/>
          <w:b/>
        </w:rPr>
        <w:t>：</w:t>
      </w:r>
      <w:r>
        <w:rPr>
          <w:rFonts w:hint="eastAsia" w:ascii="仿宋" w:hAnsi="仿宋" w:eastAsia="仿宋" w:cs="仿宋"/>
        </w:rPr>
        <w:t>指事业单位按规定缴纳的所得税以及从非财政拨款结余中提取各类结余的情况。</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十一、年末结转和结余资金</w:t>
      </w:r>
      <w:r>
        <w:rPr>
          <w:rFonts w:ascii="仿宋" w:hAnsi="仿宋" w:eastAsia="仿宋" w:cs="仿宋"/>
          <w:b/>
        </w:rPr>
        <w:t>：</w:t>
      </w:r>
      <w:r>
        <w:rPr>
          <w:rFonts w:hint="eastAsia" w:ascii="仿宋" w:hAnsi="仿宋" w:eastAsia="仿宋" w:cs="仿宋"/>
        </w:rPr>
        <w:t>指单位结转下年的基本支出结转、项目支出结转和结余、经营结余。</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十二、基本支出</w:t>
      </w:r>
      <w:r>
        <w:rPr>
          <w:rFonts w:ascii="仿宋" w:hAnsi="仿宋" w:eastAsia="仿宋" w:cs="仿宋"/>
          <w:b/>
        </w:rPr>
        <w:t>：</w:t>
      </w:r>
      <w:r>
        <w:rPr>
          <w:rFonts w:hint="eastAsia" w:ascii="仿宋" w:hAnsi="仿宋" w:eastAsia="仿宋" w:cs="仿宋"/>
        </w:rPr>
        <w:t>指为保障机构正常运转、完成日常工作任务所发生的支出，包括人员经费和公用经费。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十三、项目支出</w:t>
      </w:r>
      <w:r>
        <w:rPr>
          <w:rFonts w:ascii="仿宋" w:hAnsi="仿宋" w:eastAsia="仿宋" w:cs="仿宋"/>
          <w:b/>
        </w:rPr>
        <w:t>：</w:t>
      </w:r>
      <w:r>
        <w:rPr>
          <w:rFonts w:hint="eastAsia" w:ascii="仿宋" w:hAnsi="仿宋" w:eastAsia="仿宋" w:cs="仿宋"/>
        </w:rPr>
        <w:t>指在为完成特定的工作任务和事业发展目标所发生的支出。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十四、上缴上级支出</w:t>
      </w:r>
      <w:r>
        <w:rPr>
          <w:rFonts w:ascii="仿宋" w:hAnsi="仿宋" w:eastAsia="仿宋" w:cs="仿宋"/>
          <w:b/>
        </w:rPr>
        <w:t>：</w:t>
      </w:r>
      <w:r>
        <w:rPr>
          <w:rFonts w:hint="eastAsia" w:ascii="仿宋" w:hAnsi="仿宋" w:eastAsia="仿宋" w:cs="仿宋"/>
        </w:rPr>
        <w:t>指事业单位按照财政部门和主管部门的规定上缴上级单位的支出。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十五、经营支出</w:t>
      </w:r>
      <w:r>
        <w:rPr>
          <w:rFonts w:ascii="仿宋" w:hAnsi="仿宋" w:eastAsia="仿宋" w:cs="仿宋"/>
          <w:b/>
        </w:rPr>
        <w:t>：</w:t>
      </w:r>
      <w:r>
        <w:rPr>
          <w:rFonts w:hint="eastAsia" w:ascii="仿宋" w:hAnsi="仿宋" w:eastAsia="仿宋" w:cs="仿宋"/>
        </w:rPr>
        <w:t>指事业单位在专业业务活动及其辅助活动之外开展非独立核算经营活动发生的支出。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十六、对附属单位补助支出</w:t>
      </w:r>
      <w:r>
        <w:rPr>
          <w:rFonts w:ascii="仿宋" w:hAnsi="仿宋" w:eastAsia="仿宋" w:cs="仿宋"/>
          <w:b/>
        </w:rPr>
        <w:t>：</w:t>
      </w:r>
      <w:r>
        <w:rPr>
          <w:rFonts w:hint="eastAsia" w:ascii="仿宋" w:hAnsi="仿宋" w:eastAsia="仿宋" w:cs="仿宋"/>
        </w:rPr>
        <w:t>指事业单位用财政拨款收入之外的收入对附属单位补助发生的支出。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十七、“三公”经费</w:t>
      </w:r>
      <w:r>
        <w:rPr>
          <w:rFonts w:ascii="仿宋" w:hAnsi="仿宋" w:eastAsia="仿宋" w:cs="仿宋"/>
          <w:b/>
        </w:rPr>
        <w:t>：</w:t>
      </w:r>
      <w:r>
        <w:rPr>
          <w:rFonts w:hint="eastAsia" w:ascii="仿宋" w:hAnsi="仿宋" w:eastAsia="仿宋" w:cs="仿宋"/>
        </w:rPr>
        <w:t>指部门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十八、机关运行经费</w:t>
      </w:r>
      <w:r>
        <w:rPr>
          <w:rFonts w:ascii="仿宋" w:hAnsi="仿宋" w:eastAsia="仿宋" w:cs="仿宋"/>
          <w:b/>
        </w:rPr>
        <w:t>：</w:t>
      </w:r>
      <w:r>
        <w:rPr>
          <w:rFonts w:hint="eastAsia" w:ascii="仿宋" w:hAnsi="仿宋" w:eastAsia="仿宋" w:cs="仿宋"/>
        </w:rPr>
        <w:t>指行政单位（含参照公务员法管理的事业单位）使用财政拨款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十九、一般公共服务支出</w:t>
      </w:r>
      <w:r>
        <w:rPr>
          <w:rFonts w:hint="eastAsia" w:ascii="仿宋" w:hAnsi="仿宋" w:eastAsia="仿宋" w:cs="仿宋"/>
          <w:b/>
          <w:bCs/>
          <w:lang w:eastAsia="zh-CN"/>
        </w:rPr>
        <w:t>（</w:t>
      </w:r>
      <w:r>
        <w:rPr>
          <w:rFonts w:hint="eastAsia" w:ascii="仿宋" w:hAnsi="仿宋" w:eastAsia="仿宋" w:cs="仿宋"/>
          <w:b/>
          <w:bCs/>
        </w:rPr>
        <w:t>类</w:t>
      </w:r>
      <w:r>
        <w:rPr>
          <w:rFonts w:hint="eastAsia" w:ascii="仿宋" w:hAnsi="仿宋" w:eastAsia="仿宋" w:cs="仿宋"/>
          <w:b/>
          <w:bCs/>
          <w:lang w:eastAsia="zh-CN"/>
        </w:rPr>
        <w:t>）</w:t>
      </w:r>
      <w:r>
        <w:rPr>
          <w:rFonts w:hint="eastAsia" w:ascii="仿宋" w:hAnsi="仿宋" w:eastAsia="仿宋" w:cs="仿宋"/>
          <w:b/>
          <w:bCs/>
        </w:rPr>
        <w:t>知识产权事务</w:t>
      </w:r>
      <w:r>
        <w:rPr>
          <w:rFonts w:hint="eastAsia" w:ascii="仿宋" w:hAnsi="仿宋" w:eastAsia="仿宋" w:cs="仿宋"/>
          <w:b/>
          <w:bCs/>
          <w:lang w:eastAsia="zh-CN"/>
        </w:rPr>
        <w:t>（</w:t>
      </w:r>
      <w:r>
        <w:rPr>
          <w:rFonts w:hint="eastAsia" w:ascii="仿宋" w:hAnsi="仿宋" w:eastAsia="仿宋" w:cs="仿宋"/>
          <w:b/>
          <w:bCs/>
        </w:rPr>
        <w:t>款</w:t>
      </w:r>
      <w:r>
        <w:rPr>
          <w:rFonts w:hint="eastAsia" w:ascii="仿宋" w:hAnsi="仿宋" w:eastAsia="仿宋" w:cs="仿宋"/>
          <w:b/>
          <w:bCs/>
          <w:lang w:eastAsia="zh-CN"/>
        </w:rPr>
        <w:t>）</w:t>
      </w:r>
      <w:r>
        <w:rPr>
          <w:rFonts w:hint="eastAsia" w:ascii="仿宋" w:hAnsi="仿宋" w:eastAsia="仿宋" w:cs="仿宋"/>
          <w:b/>
          <w:bCs/>
        </w:rPr>
        <w:t>知识产权战略和规划</w:t>
      </w:r>
      <w:r>
        <w:rPr>
          <w:rFonts w:hint="eastAsia" w:ascii="仿宋" w:hAnsi="仿宋" w:eastAsia="仿宋" w:cs="仿宋"/>
          <w:b/>
          <w:bCs/>
          <w:lang w:eastAsia="zh-CN"/>
        </w:rPr>
        <w:t>（</w:t>
      </w:r>
      <w:r>
        <w:rPr>
          <w:rFonts w:hint="eastAsia" w:ascii="仿宋" w:hAnsi="仿宋" w:eastAsia="仿宋" w:cs="仿宋"/>
          <w:b/>
          <w:bCs/>
        </w:rPr>
        <w:t>项</w:t>
      </w:r>
      <w:r>
        <w:rPr>
          <w:rFonts w:hint="eastAsia" w:ascii="仿宋" w:hAnsi="仿宋" w:eastAsia="仿宋" w:cs="仿宋"/>
          <w:b/>
          <w:bCs/>
          <w:lang w:eastAsia="zh-CN"/>
        </w:rPr>
        <w:t>）</w:t>
      </w:r>
      <w:r>
        <w:rPr>
          <w:rFonts w:ascii="仿宋" w:hAnsi="仿宋" w:eastAsia="仿宋" w:cs="仿宋"/>
          <w:b/>
        </w:rPr>
        <w:t>：</w:t>
      </w:r>
      <w:r>
        <w:rPr>
          <w:rFonts w:hint="eastAsia" w:ascii="仿宋" w:hAnsi="仿宋" w:eastAsia="仿宋" w:cs="仿宋"/>
        </w:rPr>
        <w:t>反映知识产权战略和规划的制定、实施、评估和统计监测等方面的支出。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二十、一般公共服务支出</w:t>
      </w:r>
      <w:r>
        <w:rPr>
          <w:rFonts w:hint="eastAsia" w:ascii="仿宋" w:hAnsi="仿宋" w:eastAsia="仿宋" w:cs="仿宋"/>
          <w:b/>
          <w:bCs/>
          <w:lang w:eastAsia="zh-CN"/>
        </w:rPr>
        <w:t>（</w:t>
      </w:r>
      <w:r>
        <w:rPr>
          <w:rFonts w:hint="eastAsia" w:ascii="仿宋" w:hAnsi="仿宋" w:eastAsia="仿宋" w:cs="仿宋"/>
          <w:b/>
          <w:bCs/>
        </w:rPr>
        <w:t>类</w:t>
      </w:r>
      <w:r>
        <w:rPr>
          <w:rFonts w:hint="eastAsia" w:ascii="仿宋" w:hAnsi="仿宋" w:eastAsia="仿宋" w:cs="仿宋"/>
          <w:b/>
          <w:bCs/>
          <w:lang w:eastAsia="zh-CN"/>
        </w:rPr>
        <w:t>）</w:t>
      </w:r>
      <w:r>
        <w:rPr>
          <w:rFonts w:hint="eastAsia" w:ascii="仿宋" w:hAnsi="仿宋" w:eastAsia="仿宋" w:cs="仿宋"/>
          <w:b/>
          <w:bCs/>
        </w:rPr>
        <w:t>知识产权事务</w:t>
      </w:r>
      <w:r>
        <w:rPr>
          <w:rFonts w:hint="eastAsia" w:ascii="仿宋" w:hAnsi="仿宋" w:eastAsia="仿宋" w:cs="仿宋"/>
          <w:b/>
          <w:bCs/>
          <w:lang w:eastAsia="zh-CN"/>
        </w:rPr>
        <w:t>（</w:t>
      </w:r>
      <w:r>
        <w:rPr>
          <w:rFonts w:hint="eastAsia" w:ascii="仿宋" w:hAnsi="仿宋" w:eastAsia="仿宋" w:cs="仿宋"/>
          <w:b/>
          <w:bCs/>
        </w:rPr>
        <w:t>款</w:t>
      </w:r>
      <w:r>
        <w:rPr>
          <w:rFonts w:hint="eastAsia" w:ascii="仿宋" w:hAnsi="仿宋" w:eastAsia="仿宋" w:cs="仿宋"/>
          <w:b/>
          <w:bCs/>
          <w:lang w:eastAsia="zh-CN"/>
        </w:rPr>
        <w:t>）</w:t>
      </w:r>
      <w:r>
        <w:rPr>
          <w:rFonts w:hint="eastAsia" w:ascii="仿宋" w:hAnsi="仿宋" w:eastAsia="仿宋" w:cs="仿宋"/>
          <w:b/>
          <w:bCs/>
        </w:rPr>
        <w:t>其他知识产权事务支出</w:t>
      </w:r>
      <w:r>
        <w:rPr>
          <w:rFonts w:hint="eastAsia" w:ascii="仿宋" w:hAnsi="仿宋" w:eastAsia="仿宋" w:cs="仿宋"/>
          <w:b/>
          <w:bCs/>
          <w:lang w:eastAsia="zh-CN"/>
        </w:rPr>
        <w:t>（</w:t>
      </w:r>
      <w:r>
        <w:rPr>
          <w:rFonts w:hint="eastAsia" w:ascii="仿宋" w:hAnsi="仿宋" w:eastAsia="仿宋" w:cs="仿宋"/>
          <w:b/>
          <w:bCs/>
        </w:rPr>
        <w:t>项</w:t>
      </w:r>
      <w:r>
        <w:rPr>
          <w:rFonts w:hint="eastAsia" w:ascii="仿宋" w:hAnsi="仿宋" w:eastAsia="仿宋" w:cs="仿宋"/>
          <w:b/>
          <w:bCs/>
          <w:lang w:eastAsia="zh-CN"/>
        </w:rPr>
        <w:t>）</w:t>
      </w:r>
      <w:r>
        <w:rPr>
          <w:rFonts w:ascii="仿宋" w:hAnsi="仿宋" w:eastAsia="仿宋" w:cs="仿宋"/>
          <w:b/>
        </w:rPr>
        <w:t>：</w:t>
      </w:r>
      <w:r>
        <w:rPr>
          <w:rFonts w:hint="eastAsia" w:ascii="仿宋" w:hAnsi="仿宋" w:eastAsia="仿宋" w:cs="仿宋"/>
        </w:rPr>
        <w:t>反映除上述项目以外其他用于知识产权事务方面的支出。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二十一、一般公共服务支出</w:t>
      </w:r>
      <w:r>
        <w:rPr>
          <w:rFonts w:hint="eastAsia" w:ascii="仿宋" w:hAnsi="仿宋" w:eastAsia="仿宋" w:cs="仿宋"/>
          <w:b/>
          <w:bCs/>
          <w:lang w:eastAsia="zh-CN"/>
        </w:rPr>
        <w:t>（</w:t>
      </w:r>
      <w:r>
        <w:rPr>
          <w:rFonts w:hint="eastAsia" w:ascii="仿宋" w:hAnsi="仿宋" w:eastAsia="仿宋" w:cs="仿宋"/>
          <w:b/>
          <w:bCs/>
        </w:rPr>
        <w:t>类</w:t>
      </w:r>
      <w:r>
        <w:rPr>
          <w:rFonts w:hint="eastAsia" w:ascii="仿宋" w:hAnsi="仿宋" w:eastAsia="仿宋" w:cs="仿宋"/>
          <w:b/>
          <w:bCs/>
          <w:lang w:eastAsia="zh-CN"/>
        </w:rPr>
        <w:t>）</w:t>
      </w:r>
      <w:r>
        <w:rPr>
          <w:rFonts w:hint="eastAsia" w:ascii="仿宋" w:hAnsi="仿宋" w:eastAsia="仿宋" w:cs="仿宋"/>
          <w:b/>
          <w:bCs/>
        </w:rPr>
        <w:t>市场监督管理事务</w:t>
      </w:r>
      <w:r>
        <w:rPr>
          <w:rFonts w:hint="eastAsia" w:ascii="仿宋" w:hAnsi="仿宋" w:eastAsia="仿宋" w:cs="仿宋"/>
          <w:b/>
          <w:bCs/>
          <w:lang w:eastAsia="zh-CN"/>
        </w:rPr>
        <w:t>（</w:t>
      </w:r>
      <w:r>
        <w:rPr>
          <w:rFonts w:hint="eastAsia" w:ascii="仿宋" w:hAnsi="仿宋" w:eastAsia="仿宋" w:cs="仿宋"/>
          <w:b/>
          <w:bCs/>
        </w:rPr>
        <w:t>款</w:t>
      </w:r>
      <w:r>
        <w:rPr>
          <w:rFonts w:hint="eastAsia" w:ascii="仿宋" w:hAnsi="仿宋" w:eastAsia="仿宋" w:cs="仿宋"/>
          <w:b/>
          <w:bCs/>
          <w:lang w:eastAsia="zh-CN"/>
        </w:rPr>
        <w:t>）</w:t>
      </w:r>
      <w:r>
        <w:rPr>
          <w:rFonts w:hint="eastAsia" w:ascii="仿宋" w:hAnsi="仿宋" w:eastAsia="仿宋" w:cs="仿宋"/>
          <w:b/>
          <w:bCs/>
        </w:rPr>
        <w:t>行政运行</w:t>
      </w:r>
      <w:r>
        <w:rPr>
          <w:rFonts w:hint="eastAsia" w:ascii="仿宋" w:hAnsi="仿宋" w:eastAsia="仿宋" w:cs="仿宋"/>
          <w:b/>
          <w:bCs/>
          <w:lang w:eastAsia="zh-CN"/>
        </w:rPr>
        <w:t>（</w:t>
      </w:r>
      <w:r>
        <w:rPr>
          <w:rFonts w:hint="eastAsia" w:ascii="仿宋" w:hAnsi="仿宋" w:eastAsia="仿宋" w:cs="仿宋"/>
          <w:b/>
          <w:bCs/>
        </w:rPr>
        <w:t>项</w:t>
      </w:r>
      <w:r>
        <w:rPr>
          <w:rFonts w:hint="eastAsia" w:ascii="仿宋" w:hAnsi="仿宋" w:eastAsia="仿宋" w:cs="仿宋"/>
          <w:b/>
          <w:bCs/>
          <w:lang w:eastAsia="zh-CN"/>
        </w:rPr>
        <w:t>）</w:t>
      </w:r>
      <w:r>
        <w:rPr>
          <w:rFonts w:ascii="仿宋" w:hAnsi="仿宋" w:eastAsia="仿宋" w:cs="仿宋"/>
          <w:b/>
        </w:rPr>
        <w:t>：</w:t>
      </w:r>
      <w:r>
        <w:rPr>
          <w:rFonts w:hint="eastAsia" w:ascii="仿宋" w:hAnsi="仿宋" w:eastAsia="仿宋" w:cs="仿宋"/>
        </w:rPr>
        <w:t>反映行政单位（包括实行公务员管理的事业单位）的基本支出。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二十二、一般公共服务支出</w:t>
      </w:r>
      <w:r>
        <w:rPr>
          <w:rFonts w:hint="eastAsia" w:ascii="仿宋" w:hAnsi="仿宋" w:eastAsia="仿宋" w:cs="仿宋"/>
          <w:b/>
          <w:bCs/>
          <w:lang w:eastAsia="zh-CN"/>
        </w:rPr>
        <w:t>（</w:t>
      </w:r>
      <w:r>
        <w:rPr>
          <w:rFonts w:hint="eastAsia" w:ascii="仿宋" w:hAnsi="仿宋" w:eastAsia="仿宋" w:cs="仿宋"/>
          <w:b/>
          <w:bCs/>
        </w:rPr>
        <w:t>类</w:t>
      </w:r>
      <w:r>
        <w:rPr>
          <w:rFonts w:hint="eastAsia" w:ascii="仿宋" w:hAnsi="仿宋" w:eastAsia="仿宋" w:cs="仿宋"/>
          <w:b/>
          <w:bCs/>
          <w:lang w:eastAsia="zh-CN"/>
        </w:rPr>
        <w:t>）</w:t>
      </w:r>
      <w:r>
        <w:rPr>
          <w:rFonts w:hint="eastAsia" w:ascii="仿宋" w:hAnsi="仿宋" w:eastAsia="仿宋" w:cs="仿宋"/>
          <w:b/>
          <w:bCs/>
        </w:rPr>
        <w:t>市场监督管理事务</w:t>
      </w:r>
      <w:r>
        <w:rPr>
          <w:rFonts w:hint="eastAsia" w:ascii="仿宋" w:hAnsi="仿宋" w:eastAsia="仿宋" w:cs="仿宋"/>
          <w:b/>
          <w:bCs/>
          <w:lang w:eastAsia="zh-CN"/>
        </w:rPr>
        <w:t>（</w:t>
      </w:r>
      <w:r>
        <w:rPr>
          <w:rFonts w:hint="eastAsia" w:ascii="仿宋" w:hAnsi="仿宋" w:eastAsia="仿宋" w:cs="仿宋"/>
          <w:b/>
          <w:bCs/>
        </w:rPr>
        <w:t>款</w:t>
      </w:r>
      <w:r>
        <w:rPr>
          <w:rFonts w:hint="eastAsia" w:ascii="仿宋" w:hAnsi="仿宋" w:eastAsia="仿宋" w:cs="仿宋"/>
          <w:b/>
          <w:bCs/>
          <w:lang w:eastAsia="zh-CN"/>
        </w:rPr>
        <w:t>）</w:t>
      </w:r>
      <w:r>
        <w:rPr>
          <w:rFonts w:hint="eastAsia" w:ascii="仿宋" w:hAnsi="仿宋" w:eastAsia="仿宋" w:cs="仿宋"/>
          <w:b/>
          <w:bCs/>
        </w:rPr>
        <w:t>一般行政管理事务</w:t>
      </w:r>
      <w:r>
        <w:rPr>
          <w:rFonts w:hint="eastAsia" w:ascii="仿宋" w:hAnsi="仿宋" w:eastAsia="仿宋" w:cs="仿宋"/>
          <w:b/>
          <w:bCs/>
          <w:lang w:eastAsia="zh-CN"/>
        </w:rPr>
        <w:t>（</w:t>
      </w:r>
      <w:r>
        <w:rPr>
          <w:rFonts w:hint="eastAsia" w:ascii="仿宋" w:hAnsi="仿宋" w:eastAsia="仿宋" w:cs="仿宋"/>
          <w:b/>
          <w:bCs/>
        </w:rPr>
        <w:t>项</w:t>
      </w:r>
      <w:r>
        <w:rPr>
          <w:rFonts w:hint="eastAsia" w:ascii="仿宋" w:hAnsi="仿宋" w:eastAsia="仿宋" w:cs="仿宋"/>
          <w:b/>
          <w:bCs/>
          <w:lang w:eastAsia="zh-CN"/>
        </w:rPr>
        <w:t>）</w:t>
      </w:r>
      <w:r>
        <w:rPr>
          <w:rFonts w:ascii="仿宋" w:hAnsi="仿宋" w:eastAsia="仿宋" w:cs="仿宋"/>
          <w:b/>
        </w:rPr>
        <w:t>：</w:t>
      </w:r>
      <w:r>
        <w:rPr>
          <w:rFonts w:hint="eastAsia" w:ascii="仿宋" w:hAnsi="仿宋" w:eastAsia="仿宋" w:cs="仿宋"/>
        </w:rPr>
        <w:t>反映行政单位（包括实行公务员管理的事业单位）未单独设置项级科目的其他项目支出。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二十三、一般公共服务支出</w:t>
      </w:r>
      <w:r>
        <w:rPr>
          <w:rFonts w:hint="eastAsia" w:ascii="仿宋" w:hAnsi="仿宋" w:eastAsia="仿宋" w:cs="仿宋"/>
          <w:b/>
          <w:bCs/>
          <w:lang w:eastAsia="zh-CN"/>
        </w:rPr>
        <w:t>（</w:t>
      </w:r>
      <w:r>
        <w:rPr>
          <w:rFonts w:hint="eastAsia" w:ascii="仿宋" w:hAnsi="仿宋" w:eastAsia="仿宋" w:cs="仿宋"/>
          <w:b/>
          <w:bCs/>
        </w:rPr>
        <w:t>类</w:t>
      </w:r>
      <w:r>
        <w:rPr>
          <w:rFonts w:hint="eastAsia" w:ascii="仿宋" w:hAnsi="仿宋" w:eastAsia="仿宋" w:cs="仿宋"/>
          <w:b/>
          <w:bCs/>
          <w:lang w:eastAsia="zh-CN"/>
        </w:rPr>
        <w:t>）</w:t>
      </w:r>
      <w:r>
        <w:rPr>
          <w:rFonts w:hint="eastAsia" w:ascii="仿宋" w:hAnsi="仿宋" w:eastAsia="仿宋" w:cs="仿宋"/>
          <w:b/>
          <w:bCs/>
        </w:rPr>
        <w:t>市场监督管理事务</w:t>
      </w:r>
      <w:r>
        <w:rPr>
          <w:rFonts w:hint="eastAsia" w:ascii="仿宋" w:hAnsi="仿宋" w:eastAsia="仿宋" w:cs="仿宋"/>
          <w:b/>
          <w:bCs/>
          <w:lang w:eastAsia="zh-CN"/>
        </w:rPr>
        <w:t>（</w:t>
      </w:r>
      <w:r>
        <w:rPr>
          <w:rFonts w:hint="eastAsia" w:ascii="仿宋" w:hAnsi="仿宋" w:eastAsia="仿宋" w:cs="仿宋"/>
          <w:b/>
          <w:bCs/>
        </w:rPr>
        <w:t>款</w:t>
      </w:r>
      <w:r>
        <w:rPr>
          <w:rFonts w:hint="eastAsia" w:ascii="仿宋" w:hAnsi="仿宋" w:eastAsia="仿宋" w:cs="仿宋"/>
          <w:b/>
          <w:bCs/>
          <w:lang w:eastAsia="zh-CN"/>
        </w:rPr>
        <w:t>）</w:t>
      </w:r>
      <w:r>
        <w:rPr>
          <w:rFonts w:hint="eastAsia" w:ascii="仿宋" w:hAnsi="仿宋" w:eastAsia="仿宋" w:cs="仿宋"/>
          <w:b/>
          <w:bCs/>
        </w:rPr>
        <w:t>质量基础</w:t>
      </w:r>
      <w:r>
        <w:rPr>
          <w:rFonts w:hint="eastAsia" w:ascii="仿宋" w:hAnsi="仿宋" w:eastAsia="仿宋" w:cs="仿宋"/>
          <w:b/>
          <w:bCs/>
          <w:lang w:eastAsia="zh-CN"/>
        </w:rPr>
        <w:t>（</w:t>
      </w:r>
      <w:r>
        <w:rPr>
          <w:rFonts w:hint="eastAsia" w:ascii="仿宋" w:hAnsi="仿宋" w:eastAsia="仿宋" w:cs="仿宋"/>
          <w:b/>
          <w:bCs/>
        </w:rPr>
        <w:t>项</w:t>
      </w:r>
      <w:r>
        <w:rPr>
          <w:rFonts w:hint="eastAsia" w:ascii="仿宋" w:hAnsi="仿宋" w:eastAsia="仿宋" w:cs="仿宋"/>
          <w:b/>
          <w:bCs/>
          <w:lang w:eastAsia="zh-CN"/>
        </w:rPr>
        <w:t>）</w:t>
      </w:r>
      <w:r>
        <w:rPr>
          <w:rFonts w:ascii="仿宋" w:hAnsi="仿宋" w:eastAsia="仿宋" w:cs="仿宋"/>
          <w:b/>
        </w:rPr>
        <w:t>：</w:t>
      </w:r>
      <w:r>
        <w:rPr>
          <w:rFonts w:hint="eastAsia" w:ascii="仿宋" w:hAnsi="仿宋" w:eastAsia="仿宋" w:cs="仿宋"/>
        </w:rPr>
        <w:t>反映计量、标准、认证认可、检验检测等质量基础专项工作支出。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二十四、一般公共服务支出</w:t>
      </w:r>
      <w:r>
        <w:rPr>
          <w:rFonts w:hint="eastAsia" w:ascii="仿宋" w:hAnsi="仿宋" w:eastAsia="仿宋" w:cs="仿宋"/>
          <w:b/>
          <w:bCs/>
          <w:lang w:eastAsia="zh-CN"/>
        </w:rPr>
        <w:t>（</w:t>
      </w:r>
      <w:r>
        <w:rPr>
          <w:rFonts w:hint="eastAsia" w:ascii="仿宋" w:hAnsi="仿宋" w:eastAsia="仿宋" w:cs="仿宋"/>
          <w:b/>
          <w:bCs/>
        </w:rPr>
        <w:t>类</w:t>
      </w:r>
      <w:r>
        <w:rPr>
          <w:rFonts w:hint="eastAsia" w:ascii="仿宋" w:hAnsi="仿宋" w:eastAsia="仿宋" w:cs="仿宋"/>
          <w:b/>
          <w:bCs/>
          <w:lang w:eastAsia="zh-CN"/>
        </w:rPr>
        <w:t>）</w:t>
      </w:r>
      <w:r>
        <w:rPr>
          <w:rFonts w:hint="eastAsia" w:ascii="仿宋" w:hAnsi="仿宋" w:eastAsia="仿宋" w:cs="仿宋"/>
          <w:b/>
          <w:bCs/>
        </w:rPr>
        <w:t>市场监督管理事务</w:t>
      </w:r>
      <w:r>
        <w:rPr>
          <w:rFonts w:hint="eastAsia" w:ascii="仿宋" w:hAnsi="仿宋" w:eastAsia="仿宋" w:cs="仿宋"/>
          <w:b/>
          <w:bCs/>
          <w:lang w:eastAsia="zh-CN"/>
        </w:rPr>
        <w:t>（</w:t>
      </w:r>
      <w:r>
        <w:rPr>
          <w:rFonts w:hint="eastAsia" w:ascii="仿宋" w:hAnsi="仿宋" w:eastAsia="仿宋" w:cs="仿宋"/>
          <w:b/>
          <w:bCs/>
        </w:rPr>
        <w:t>款</w:t>
      </w:r>
      <w:r>
        <w:rPr>
          <w:rFonts w:hint="eastAsia" w:ascii="仿宋" w:hAnsi="仿宋" w:eastAsia="仿宋" w:cs="仿宋"/>
          <w:b/>
          <w:bCs/>
          <w:lang w:eastAsia="zh-CN"/>
        </w:rPr>
        <w:t>）</w:t>
      </w:r>
      <w:r>
        <w:rPr>
          <w:rFonts w:hint="eastAsia" w:ascii="仿宋" w:hAnsi="仿宋" w:eastAsia="仿宋" w:cs="仿宋"/>
          <w:b/>
          <w:bCs/>
        </w:rPr>
        <w:t>药品事务</w:t>
      </w:r>
      <w:r>
        <w:rPr>
          <w:rFonts w:hint="eastAsia" w:ascii="仿宋" w:hAnsi="仿宋" w:eastAsia="仿宋" w:cs="仿宋"/>
          <w:b/>
          <w:bCs/>
          <w:lang w:eastAsia="zh-CN"/>
        </w:rPr>
        <w:t>（</w:t>
      </w:r>
      <w:r>
        <w:rPr>
          <w:rFonts w:hint="eastAsia" w:ascii="仿宋" w:hAnsi="仿宋" w:eastAsia="仿宋" w:cs="仿宋"/>
          <w:b/>
          <w:bCs/>
        </w:rPr>
        <w:t>项</w:t>
      </w:r>
      <w:r>
        <w:rPr>
          <w:rFonts w:hint="eastAsia" w:ascii="仿宋" w:hAnsi="仿宋" w:eastAsia="仿宋" w:cs="仿宋"/>
          <w:b/>
          <w:bCs/>
          <w:lang w:eastAsia="zh-CN"/>
        </w:rPr>
        <w:t>）</w:t>
      </w:r>
      <w:r>
        <w:rPr>
          <w:rFonts w:ascii="仿宋" w:hAnsi="仿宋" w:eastAsia="仿宋" w:cs="仿宋"/>
          <w:b/>
        </w:rPr>
        <w:t>：</w:t>
      </w:r>
      <w:r>
        <w:rPr>
          <w:rFonts w:hint="eastAsia" w:ascii="仿宋" w:hAnsi="仿宋" w:eastAsia="仿宋" w:cs="仿宋"/>
        </w:rPr>
        <w:t>反映用于药品（含中药、民族药）监督管理方面的支出。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二十五、一般公共服务支出</w:t>
      </w:r>
      <w:r>
        <w:rPr>
          <w:rFonts w:hint="eastAsia" w:ascii="仿宋" w:hAnsi="仿宋" w:eastAsia="仿宋" w:cs="仿宋"/>
          <w:b/>
          <w:bCs/>
          <w:lang w:eastAsia="zh-CN"/>
        </w:rPr>
        <w:t>（</w:t>
      </w:r>
      <w:r>
        <w:rPr>
          <w:rFonts w:hint="eastAsia" w:ascii="仿宋" w:hAnsi="仿宋" w:eastAsia="仿宋" w:cs="仿宋"/>
          <w:b/>
          <w:bCs/>
        </w:rPr>
        <w:t>类</w:t>
      </w:r>
      <w:r>
        <w:rPr>
          <w:rFonts w:hint="eastAsia" w:ascii="仿宋" w:hAnsi="仿宋" w:eastAsia="仿宋" w:cs="仿宋"/>
          <w:b/>
          <w:bCs/>
          <w:lang w:eastAsia="zh-CN"/>
        </w:rPr>
        <w:t>）</w:t>
      </w:r>
      <w:r>
        <w:rPr>
          <w:rFonts w:hint="eastAsia" w:ascii="仿宋" w:hAnsi="仿宋" w:eastAsia="仿宋" w:cs="仿宋"/>
          <w:b/>
          <w:bCs/>
        </w:rPr>
        <w:t>市场监督管理事务</w:t>
      </w:r>
      <w:r>
        <w:rPr>
          <w:rFonts w:hint="eastAsia" w:ascii="仿宋" w:hAnsi="仿宋" w:eastAsia="仿宋" w:cs="仿宋"/>
          <w:b/>
          <w:bCs/>
          <w:lang w:eastAsia="zh-CN"/>
        </w:rPr>
        <w:t>（</w:t>
      </w:r>
      <w:r>
        <w:rPr>
          <w:rFonts w:hint="eastAsia" w:ascii="仿宋" w:hAnsi="仿宋" w:eastAsia="仿宋" w:cs="仿宋"/>
          <w:b/>
          <w:bCs/>
        </w:rPr>
        <w:t>款</w:t>
      </w:r>
      <w:r>
        <w:rPr>
          <w:rFonts w:hint="eastAsia" w:ascii="仿宋" w:hAnsi="仿宋" w:eastAsia="仿宋" w:cs="仿宋"/>
          <w:b/>
          <w:bCs/>
          <w:lang w:eastAsia="zh-CN"/>
        </w:rPr>
        <w:t>）</w:t>
      </w:r>
      <w:r>
        <w:rPr>
          <w:rFonts w:hint="eastAsia" w:ascii="仿宋" w:hAnsi="仿宋" w:eastAsia="仿宋" w:cs="仿宋"/>
          <w:b/>
          <w:bCs/>
        </w:rPr>
        <w:t>食品安全监管</w:t>
      </w:r>
      <w:r>
        <w:rPr>
          <w:rFonts w:hint="eastAsia" w:ascii="仿宋" w:hAnsi="仿宋" w:eastAsia="仿宋" w:cs="仿宋"/>
          <w:b/>
          <w:bCs/>
          <w:lang w:eastAsia="zh-CN"/>
        </w:rPr>
        <w:t>（</w:t>
      </w:r>
      <w:r>
        <w:rPr>
          <w:rFonts w:hint="eastAsia" w:ascii="仿宋" w:hAnsi="仿宋" w:eastAsia="仿宋" w:cs="仿宋"/>
          <w:b/>
          <w:bCs/>
        </w:rPr>
        <w:t>项</w:t>
      </w:r>
      <w:r>
        <w:rPr>
          <w:rFonts w:hint="eastAsia" w:ascii="仿宋" w:hAnsi="仿宋" w:eastAsia="仿宋" w:cs="仿宋"/>
          <w:b/>
          <w:bCs/>
          <w:lang w:eastAsia="zh-CN"/>
        </w:rPr>
        <w:t>）</w:t>
      </w:r>
      <w:r>
        <w:rPr>
          <w:rFonts w:ascii="仿宋" w:hAnsi="仿宋" w:eastAsia="仿宋" w:cs="仿宋"/>
          <w:b/>
        </w:rPr>
        <w:t>：</w:t>
      </w:r>
      <w:r>
        <w:rPr>
          <w:rFonts w:hint="eastAsia" w:ascii="仿宋" w:hAnsi="仿宋" w:eastAsia="仿宋" w:cs="仿宋"/>
        </w:rPr>
        <w:t>反映食品安全监管等专项工作支出。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二十六、一般公共服务支出</w:t>
      </w:r>
      <w:r>
        <w:rPr>
          <w:rFonts w:hint="eastAsia" w:ascii="仿宋" w:hAnsi="仿宋" w:eastAsia="仿宋" w:cs="仿宋"/>
          <w:b/>
          <w:bCs/>
          <w:lang w:eastAsia="zh-CN"/>
        </w:rPr>
        <w:t>（</w:t>
      </w:r>
      <w:r>
        <w:rPr>
          <w:rFonts w:hint="eastAsia" w:ascii="仿宋" w:hAnsi="仿宋" w:eastAsia="仿宋" w:cs="仿宋"/>
          <w:b/>
          <w:bCs/>
        </w:rPr>
        <w:t>类</w:t>
      </w:r>
      <w:r>
        <w:rPr>
          <w:rFonts w:hint="eastAsia" w:ascii="仿宋" w:hAnsi="仿宋" w:eastAsia="仿宋" w:cs="仿宋"/>
          <w:b/>
          <w:bCs/>
          <w:lang w:eastAsia="zh-CN"/>
        </w:rPr>
        <w:t>）</w:t>
      </w:r>
      <w:r>
        <w:rPr>
          <w:rFonts w:hint="eastAsia" w:ascii="仿宋" w:hAnsi="仿宋" w:eastAsia="仿宋" w:cs="仿宋"/>
          <w:b/>
          <w:bCs/>
        </w:rPr>
        <w:t>市场监督管理事务</w:t>
      </w:r>
      <w:r>
        <w:rPr>
          <w:rFonts w:hint="eastAsia" w:ascii="仿宋" w:hAnsi="仿宋" w:eastAsia="仿宋" w:cs="仿宋"/>
          <w:b/>
          <w:bCs/>
          <w:lang w:eastAsia="zh-CN"/>
        </w:rPr>
        <w:t>（</w:t>
      </w:r>
      <w:r>
        <w:rPr>
          <w:rFonts w:hint="eastAsia" w:ascii="仿宋" w:hAnsi="仿宋" w:eastAsia="仿宋" w:cs="仿宋"/>
          <w:b/>
          <w:bCs/>
        </w:rPr>
        <w:t>款</w:t>
      </w:r>
      <w:r>
        <w:rPr>
          <w:rFonts w:hint="eastAsia" w:ascii="仿宋" w:hAnsi="仿宋" w:eastAsia="仿宋" w:cs="仿宋"/>
          <w:b/>
          <w:bCs/>
          <w:lang w:eastAsia="zh-CN"/>
        </w:rPr>
        <w:t>）</w:t>
      </w:r>
      <w:r>
        <w:rPr>
          <w:rFonts w:hint="eastAsia" w:ascii="仿宋" w:hAnsi="仿宋" w:eastAsia="仿宋" w:cs="仿宋"/>
          <w:b/>
          <w:bCs/>
        </w:rPr>
        <w:t>事业运行</w:t>
      </w:r>
      <w:r>
        <w:rPr>
          <w:rFonts w:hint="eastAsia" w:ascii="仿宋" w:hAnsi="仿宋" w:eastAsia="仿宋" w:cs="仿宋"/>
          <w:b/>
          <w:bCs/>
          <w:lang w:eastAsia="zh-CN"/>
        </w:rPr>
        <w:t>（</w:t>
      </w:r>
      <w:r>
        <w:rPr>
          <w:rFonts w:hint="eastAsia" w:ascii="仿宋" w:hAnsi="仿宋" w:eastAsia="仿宋" w:cs="仿宋"/>
          <w:b/>
          <w:bCs/>
        </w:rPr>
        <w:t>项</w:t>
      </w:r>
      <w:r>
        <w:rPr>
          <w:rFonts w:hint="eastAsia" w:ascii="仿宋" w:hAnsi="仿宋" w:eastAsia="仿宋" w:cs="仿宋"/>
          <w:b/>
          <w:bCs/>
          <w:lang w:eastAsia="zh-CN"/>
        </w:rPr>
        <w:t>）</w:t>
      </w:r>
      <w:r>
        <w:rPr>
          <w:rFonts w:ascii="仿宋" w:hAnsi="仿宋" w:eastAsia="仿宋" w:cs="仿宋"/>
          <w:b/>
        </w:rPr>
        <w:t>：</w:t>
      </w:r>
      <w:r>
        <w:rPr>
          <w:rFonts w:hint="eastAsia" w:ascii="仿宋" w:hAnsi="仿宋" w:eastAsia="仿宋" w:cs="仿宋"/>
        </w:rPr>
        <w:t>反映事业单位的基本支出，不包括行政单位（包括实行公务员管理的事业单位）后勤服务中心、医务室等附属事业单位。</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二十七、一般公共服务支出</w:t>
      </w:r>
      <w:r>
        <w:rPr>
          <w:rFonts w:hint="eastAsia" w:ascii="仿宋" w:hAnsi="仿宋" w:eastAsia="仿宋" w:cs="仿宋"/>
          <w:b/>
          <w:bCs/>
          <w:lang w:eastAsia="zh-CN"/>
        </w:rPr>
        <w:t>（</w:t>
      </w:r>
      <w:r>
        <w:rPr>
          <w:rFonts w:hint="eastAsia" w:ascii="仿宋" w:hAnsi="仿宋" w:eastAsia="仿宋" w:cs="仿宋"/>
          <w:b/>
          <w:bCs/>
        </w:rPr>
        <w:t>类</w:t>
      </w:r>
      <w:r>
        <w:rPr>
          <w:rFonts w:hint="eastAsia" w:ascii="仿宋" w:hAnsi="仿宋" w:eastAsia="仿宋" w:cs="仿宋"/>
          <w:b/>
          <w:bCs/>
          <w:lang w:eastAsia="zh-CN"/>
        </w:rPr>
        <w:t>）</w:t>
      </w:r>
      <w:r>
        <w:rPr>
          <w:rFonts w:hint="eastAsia" w:ascii="仿宋" w:hAnsi="仿宋" w:eastAsia="仿宋" w:cs="仿宋"/>
          <w:b/>
          <w:bCs/>
        </w:rPr>
        <w:t>市场监督管理事务</w:t>
      </w:r>
      <w:r>
        <w:rPr>
          <w:rFonts w:hint="eastAsia" w:ascii="仿宋" w:hAnsi="仿宋" w:eastAsia="仿宋" w:cs="仿宋"/>
          <w:b/>
          <w:bCs/>
          <w:lang w:eastAsia="zh-CN"/>
        </w:rPr>
        <w:t>（</w:t>
      </w:r>
      <w:r>
        <w:rPr>
          <w:rFonts w:hint="eastAsia" w:ascii="仿宋" w:hAnsi="仿宋" w:eastAsia="仿宋" w:cs="仿宋"/>
          <w:b/>
          <w:bCs/>
        </w:rPr>
        <w:t>款</w:t>
      </w:r>
      <w:r>
        <w:rPr>
          <w:rFonts w:hint="eastAsia" w:ascii="仿宋" w:hAnsi="仿宋" w:eastAsia="仿宋" w:cs="仿宋"/>
          <w:b/>
          <w:bCs/>
          <w:lang w:eastAsia="zh-CN"/>
        </w:rPr>
        <w:t>）</w:t>
      </w:r>
      <w:r>
        <w:rPr>
          <w:rFonts w:hint="eastAsia" w:ascii="仿宋" w:hAnsi="仿宋" w:eastAsia="仿宋" w:cs="仿宋"/>
          <w:b/>
          <w:bCs/>
        </w:rPr>
        <w:t>其他市场监督管理事务</w:t>
      </w:r>
      <w:r>
        <w:rPr>
          <w:rFonts w:hint="eastAsia" w:ascii="仿宋" w:hAnsi="仿宋" w:eastAsia="仿宋" w:cs="仿宋"/>
          <w:b/>
          <w:bCs/>
          <w:lang w:eastAsia="zh-CN"/>
        </w:rPr>
        <w:t>（</w:t>
      </w:r>
      <w:r>
        <w:rPr>
          <w:rFonts w:hint="eastAsia" w:ascii="仿宋" w:hAnsi="仿宋" w:eastAsia="仿宋" w:cs="仿宋"/>
          <w:b/>
          <w:bCs/>
        </w:rPr>
        <w:t>项</w:t>
      </w:r>
      <w:r>
        <w:rPr>
          <w:rFonts w:hint="eastAsia" w:ascii="仿宋" w:hAnsi="仿宋" w:eastAsia="仿宋" w:cs="仿宋"/>
          <w:b/>
          <w:bCs/>
          <w:lang w:eastAsia="zh-CN"/>
        </w:rPr>
        <w:t>）</w:t>
      </w:r>
      <w:r>
        <w:rPr>
          <w:rFonts w:ascii="仿宋" w:hAnsi="仿宋" w:eastAsia="仿宋" w:cs="仿宋"/>
          <w:b/>
        </w:rPr>
        <w:t>：</w:t>
      </w:r>
      <w:r>
        <w:rPr>
          <w:rFonts w:hint="eastAsia" w:ascii="仿宋" w:hAnsi="仿宋" w:eastAsia="仿宋" w:cs="仿宋"/>
        </w:rPr>
        <w:t>反映用于除上述项目以外其他市场监督管理事务方面的支出。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二十八、社会保障和就业支出</w:t>
      </w:r>
      <w:r>
        <w:rPr>
          <w:rFonts w:hint="eastAsia" w:ascii="仿宋" w:hAnsi="仿宋" w:eastAsia="仿宋" w:cs="仿宋"/>
          <w:b/>
          <w:bCs/>
          <w:lang w:eastAsia="zh-CN"/>
        </w:rPr>
        <w:t>（</w:t>
      </w:r>
      <w:r>
        <w:rPr>
          <w:rFonts w:hint="eastAsia" w:ascii="仿宋" w:hAnsi="仿宋" w:eastAsia="仿宋" w:cs="仿宋"/>
          <w:b/>
          <w:bCs/>
        </w:rPr>
        <w:t>类</w:t>
      </w:r>
      <w:r>
        <w:rPr>
          <w:rFonts w:hint="eastAsia" w:ascii="仿宋" w:hAnsi="仿宋" w:eastAsia="仿宋" w:cs="仿宋"/>
          <w:b/>
          <w:bCs/>
          <w:lang w:eastAsia="zh-CN"/>
        </w:rPr>
        <w:t>）</w:t>
      </w:r>
      <w:r>
        <w:rPr>
          <w:rFonts w:hint="eastAsia" w:ascii="仿宋" w:hAnsi="仿宋" w:eastAsia="仿宋" w:cs="仿宋"/>
          <w:b/>
          <w:bCs/>
        </w:rPr>
        <w:t>行政事业单位养老支出</w:t>
      </w:r>
      <w:r>
        <w:rPr>
          <w:rFonts w:hint="eastAsia" w:ascii="仿宋" w:hAnsi="仿宋" w:eastAsia="仿宋" w:cs="仿宋"/>
          <w:b/>
          <w:bCs/>
          <w:lang w:eastAsia="zh-CN"/>
        </w:rPr>
        <w:t>（</w:t>
      </w:r>
      <w:r>
        <w:rPr>
          <w:rFonts w:hint="eastAsia" w:ascii="仿宋" w:hAnsi="仿宋" w:eastAsia="仿宋" w:cs="仿宋"/>
          <w:b/>
          <w:bCs/>
        </w:rPr>
        <w:t>款</w:t>
      </w:r>
      <w:r>
        <w:rPr>
          <w:rFonts w:hint="eastAsia" w:ascii="仿宋" w:hAnsi="仿宋" w:eastAsia="仿宋" w:cs="仿宋"/>
          <w:b/>
          <w:bCs/>
          <w:lang w:eastAsia="zh-CN"/>
        </w:rPr>
        <w:t>）</w:t>
      </w:r>
      <w:r>
        <w:rPr>
          <w:rFonts w:hint="eastAsia" w:ascii="仿宋" w:hAnsi="仿宋" w:eastAsia="仿宋" w:cs="仿宋"/>
          <w:b/>
          <w:bCs/>
        </w:rPr>
        <w:t>机关事业单位基本养老保险缴费支出</w:t>
      </w:r>
      <w:r>
        <w:rPr>
          <w:rFonts w:hint="eastAsia" w:ascii="仿宋" w:hAnsi="仿宋" w:eastAsia="仿宋" w:cs="仿宋"/>
          <w:b/>
          <w:bCs/>
          <w:lang w:eastAsia="zh-CN"/>
        </w:rPr>
        <w:t>（</w:t>
      </w:r>
      <w:r>
        <w:rPr>
          <w:rFonts w:hint="eastAsia" w:ascii="仿宋" w:hAnsi="仿宋" w:eastAsia="仿宋" w:cs="仿宋"/>
          <w:b/>
          <w:bCs/>
        </w:rPr>
        <w:t>项</w:t>
      </w:r>
      <w:r>
        <w:rPr>
          <w:rFonts w:hint="eastAsia" w:ascii="仿宋" w:hAnsi="仿宋" w:eastAsia="仿宋" w:cs="仿宋"/>
          <w:b/>
          <w:bCs/>
          <w:lang w:eastAsia="zh-CN"/>
        </w:rPr>
        <w:t>）</w:t>
      </w:r>
      <w:r>
        <w:rPr>
          <w:rFonts w:ascii="仿宋" w:hAnsi="仿宋" w:eastAsia="仿宋" w:cs="仿宋"/>
          <w:b/>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二十九、社会保障和就业支出</w:t>
      </w:r>
      <w:r>
        <w:rPr>
          <w:rFonts w:hint="eastAsia" w:ascii="仿宋" w:hAnsi="仿宋" w:eastAsia="仿宋" w:cs="仿宋"/>
          <w:b/>
          <w:bCs/>
          <w:lang w:eastAsia="zh-CN"/>
        </w:rPr>
        <w:t>（</w:t>
      </w:r>
      <w:r>
        <w:rPr>
          <w:rFonts w:hint="eastAsia" w:ascii="仿宋" w:hAnsi="仿宋" w:eastAsia="仿宋" w:cs="仿宋"/>
          <w:b/>
          <w:bCs/>
        </w:rPr>
        <w:t>类</w:t>
      </w:r>
      <w:r>
        <w:rPr>
          <w:rFonts w:hint="eastAsia" w:ascii="仿宋" w:hAnsi="仿宋" w:eastAsia="仿宋" w:cs="仿宋"/>
          <w:b/>
          <w:bCs/>
          <w:lang w:eastAsia="zh-CN"/>
        </w:rPr>
        <w:t>）</w:t>
      </w:r>
      <w:r>
        <w:rPr>
          <w:rFonts w:hint="eastAsia" w:ascii="仿宋" w:hAnsi="仿宋" w:eastAsia="仿宋" w:cs="仿宋"/>
          <w:b/>
          <w:bCs/>
        </w:rPr>
        <w:t>行政事业单位养老支出</w:t>
      </w:r>
      <w:r>
        <w:rPr>
          <w:rFonts w:hint="eastAsia" w:ascii="仿宋" w:hAnsi="仿宋" w:eastAsia="仿宋" w:cs="仿宋"/>
          <w:b/>
          <w:bCs/>
          <w:lang w:eastAsia="zh-CN"/>
        </w:rPr>
        <w:t>（</w:t>
      </w:r>
      <w:r>
        <w:rPr>
          <w:rFonts w:hint="eastAsia" w:ascii="仿宋" w:hAnsi="仿宋" w:eastAsia="仿宋" w:cs="仿宋"/>
          <w:b/>
          <w:bCs/>
        </w:rPr>
        <w:t>款</w:t>
      </w:r>
      <w:r>
        <w:rPr>
          <w:rFonts w:hint="eastAsia" w:ascii="仿宋" w:hAnsi="仿宋" w:eastAsia="仿宋" w:cs="仿宋"/>
          <w:b/>
          <w:bCs/>
          <w:lang w:eastAsia="zh-CN"/>
        </w:rPr>
        <w:t>）</w:t>
      </w:r>
      <w:r>
        <w:rPr>
          <w:rFonts w:hint="eastAsia" w:ascii="仿宋" w:hAnsi="仿宋" w:eastAsia="仿宋" w:cs="仿宋"/>
          <w:b/>
          <w:bCs/>
        </w:rPr>
        <w:t>机关事业单位职业年金缴费支出</w:t>
      </w:r>
      <w:r>
        <w:rPr>
          <w:rFonts w:hint="eastAsia" w:ascii="仿宋" w:hAnsi="仿宋" w:eastAsia="仿宋" w:cs="仿宋"/>
          <w:b/>
          <w:bCs/>
          <w:lang w:eastAsia="zh-CN"/>
        </w:rPr>
        <w:t>（</w:t>
      </w:r>
      <w:r>
        <w:rPr>
          <w:rFonts w:hint="eastAsia" w:ascii="仿宋" w:hAnsi="仿宋" w:eastAsia="仿宋" w:cs="仿宋"/>
          <w:b/>
          <w:bCs/>
        </w:rPr>
        <w:t>项</w:t>
      </w:r>
      <w:r>
        <w:rPr>
          <w:rFonts w:hint="eastAsia" w:ascii="仿宋" w:hAnsi="仿宋" w:eastAsia="仿宋" w:cs="仿宋"/>
          <w:b/>
          <w:bCs/>
          <w:lang w:eastAsia="zh-CN"/>
        </w:rPr>
        <w:t>）</w:t>
      </w:r>
      <w:r>
        <w:rPr>
          <w:rFonts w:ascii="仿宋" w:hAnsi="仿宋" w:eastAsia="仿宋" w:cs="仿宋"/>
          <w:b/>
        </w:rPr>
        <w:t>：</w:t>
      </w:r>
      <w:r>
        <w:rPr>
          <w:rFonts w:hint="eastAsia" w:ascii="仿宋" w:hAnsi="仿宋" w:eastAsia="仿宋" w:cs="仿宋"/>
        </w:rPr>
        <w:t>反映机关事业单位实施养老保险制度由单位实际缴纳的职业年金支出。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三十、社会保障和就业支出</w:t>
      </w:r>
      <w:r>
        <w:rPr>
          <w:rFonts w:hint="eastAsia" w:ascii="仿宋" w:hAnsi="仿宋" w:eastAsia="仿宋" w:cs="仿宋"/>
          <w:b/>
          <w:bCs/>
          <w:lang w:eastAsia="zh-CN"/>
        </w:rPr>
        <w:t>（</w:t>
      </w:r>
      <w:r>
        <w:rPr>
          <w:rFonts w:hint="eastAsia" w:ascii="仿宋" w:hAnsi="仿宋" w:eastAsia="仿宋" w:cs="仿宋"/>
          <w:b/>
          <w:bCs/>
        </w:rPr>
        <w:t>类</w:t>
      </w:r>
      <w:r>
        <w:rPr>
          <w:rFonts w:hint="eastAsia" w:ascii="仿宋" w:hAnsi="仿宋" w:eastAsia="仿宋" w:cs="仿宋"/>
          <w:b/>
          <w:bCs/>
          <w:lang w:eastAsia="zh-CN"/>
        </w:rPr>
        <w:t>）</w:t>
      </w:r>
      <w:r>
        <w:rPr>
          <w:rFonts w:hint="eastAsia" w:ascii="仿宋" w:hAnsi="仿宋" w:eastAsia="仿宋" w:cs="仿宋"/>
          <w:b/>
          <w:bCs/>
        </w:rPr>
        <w:t>其他社会保障和就业支出</w:t>
      </w:r>
      <w:r>
        <w:rPr>
          <w:rFonts w:hint="eastAsia" w:ascii="仿宋" w:hAnsi="仿宋" w:eastAsia="仿宋" w:cs="仿宋"/>
          <w:b/>
          <w:bCs/>
          <w:lang w:eastAsia="zh-CN"/>
        </w:rPr>
        <w:t>（</w:t>
      </w:r>
      <w:r>
        <w:rPr>
          <w:rFonts w:hint="eastAsia" w:ascii="仿宋" w:hAnsi="仿宋" w:eastAsia="仿宋" w:cs="仿宋"/>
          <w:b/>
          <w:bCs/>
        </w:rPr>
        <w:t>款</w:t>
      </w:r>
      <w:r>
        <w:rPr>
          <w:rFonts w:hint="eastAsia" w:ascii="仿宋" w:hAnsi="仿宋" w:eastAsia="仿宋" w:cs="仿宋"/>
          <w:b/>
          <w:bCs/>
          <w:lang w:eastAsia="zh-CN"/>
        </w:rPr>
        <w:t>）</w:t>
      </w:r>
      <w:r>
        <w:rPr>
          <w:rFonts w:hint="eastAsia" w:ascii="仿宋" w:hAnsi="仿宋" w:eastAsia="仿宋" w:cs="仿宋"/>
          <w:b/>
          <w:bCs/>
        </w:rPr>
        <w:t>其他社会保障和就业支出</w:t>
      </w:r>
      <w:r>
        <w:rPr>
          <w:rFonts w:hint="eastAsia" w:ascii="仿宋" w:hAnsi="仿宋" w:eastAsia="仿宋" w:cs="仿宋"/>
          <w:b/>
          <w:bCs/>
          <w:lang w:eastAsia="zh-CN"/>
        </w:rPr>
        <w:t>（</w:t>
      </w:r>
      <w:r>
        <w:rPr>
          <w:rFonts w:hint="eastAsia" w:ascii="仿宋" w:hAnsi="仿宋" w:eastAsia="仿宋" w:cs="仿宋"/>
          <w:b/>
          <w:bCs/>
        </w:rPr>
        <w:t>项</w:t>
      </w:r>
      <w:r>
        <w:rPr>
          <w:rFonts w:hint="eastAsia" w:ascii="仿宋" w:hAnsi="仿宋" w:eastAsia="仿宋" w:cs="仿宋"/>
          <w:b/>
          <w:bCs/>
          <w:lang w:eastAsia="zh-CN"/>
        </w:rPr>
        <w:t>）</w:t>
      </w:r>
      <w:r>
        <w:rPr>
          <w:rFonts w:ascii="仿宋" w:hAnsi="仿宋" w:eastAsia="仿宋" w:cs="仿宋"/>
          <w:b/>
        </w:rPr>
        <w:t>：</w:t>
      </w:r>
      <w:r>
        <w:rPr>
          <w:rFonts w:hint="eastAsia" w:ascii="仿宋" w:hAnsi="仿宋" w:eastAsia="仿宋" w:cs="仿宋"/>
        </w:rPr>
        <w:t>反映除上述项目以外其他用于社会保障和就业方面的支出。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三十一、城乡社区支出</w:t>
      </w:r>
      <w:r>
        <w:rPr>
          <w:rFonts w:hint="eastAsia" w:ascii="仿宋" w:hAnsi="仿宋" w:eastAsia="仿宋" w:cs="仿宋"/>
          <w:b/>
          <w:bCs/>
          <w:lang w:eastAsia="zh-CN"/>
        </w:rPr>
        <w:t>（</w:t>
      </w:r>
      <w:r>
        <w:rPr>
          <w:rFonts w:hint="eastAsia" w:ascii="仿宋" w:hAnsi="仿宋" w:eastAsia="仿宋" w:cs="仿宋"/>
          <w:b/>
          <w:bCs/>
        </w:rPr>
        <w:t>类</w:t>
      </w:r>
      <w:r>
        <w:rPr>
          <w:rFonts w:hint="eastAsia" w:ascii="仿宋" w:hAnsi="仿宋" w:eastAsia="仿宋" w:cs="仿宋"/>
          <w:b/>
          <w:bCs/>
          <w:lang w:eastAsia="zh-CN"/>
        </w:rPr>
        <w:t>）</w:t>
      </w:r>
      <w:r>
        <w:rPr>
          <w:rFonts w:hint="eastAsia" w:ascii="仿宋" w:hAnsi="仿宋" w:eastAsia="仿宋" w:cs="仿宋"/>
          <w:b/>
          <w:bCs/>
        </w:rPr>
        <w:t>城乡社区环境卫生</w:t>
      </w:r>
      <w:r>
        <w:rPr>
          <w:rFonts w:hint="eastAsia" w:ascii="仿宋" w:hAnsi="仿宋" w:eastAsia="仿宋" w:cs="仿宋"/>
          <w:b/>
          <w:bCs/>
          <w:lang w:eastAsia="zh-CN"/>
        </w:rPr>
        <w:t>（</w:t>
      </w:r>
      <w:r>
        <w:rPr>
          <w:rFonts w:hint="eastAsia" w:ascii="仿宋" w:hAnsi="仿宋" w:eastAsia="仿宋" w:cs="仿宋"/>
          <w:b/>
          <w:bCs/>
        </w:rPr>
        <w:t>款</w:t>
      </w:r>
      <w:r>
        <w:rPr>
          <w:rFonts w:hint="eastAsia" w:ascii="仿宋" w:hAnsi="仿宋" w:eastAsia="仿宋" w:cs="仿宋"/>
          <w:b/>
          <w:bCs/>
          <w:lang w:eastAsia="zh-CN"/>
        </w:rPr>
        <w:t>）</w:t>
      </w:r>
      <w:r>
        <w:rPr>
          <w:rFonts w:hint="eastAsia" w:ascii="仿宋" w:hAnsi="仿宋" w:eastAsia="仿宋" w:cs="仿宋"/>
          <w:b/>
          <w:bCs/>
        </w:rPr>
        <w:t>城乡社区环境卫生</w:t>
      </w:r>
      <w:r>
        <w:rPr>
          <w:rFonts w:hint="eastAsia" w:ascii="仿宋" w:hAnsi="仿宋" w:eastAsia="仿宋" w:cs="仿宋"/>
          <w:b/>
          <w:bCs/>
          <w:lang w:eastAsia="zh-CN"/>
        </w:rPr>
        <w:t>（</w:t>
      </w:r>
      <w:r>
        <w:rPr>
          <w:rFonts w:hint="eastAsia" w:ascii="仿宋" w:hAnsi="仿宋" w:eastAsia="仿宋" w:cs="仿宋"/>
          <w:b/>
          <w:bCs/>
        </w:rPr>
        <w:t>项</w:t>
      </w:r>
      <w:r>
        <w:rPr>
          <w:rFonts w:hint="eastAsia" w:ascii="仿宋" w:hAnsi="仿宋" w:eastAsia="仿宋" w:cs="仿宋"/>
          <w:b/>
          <w:bCs/>
          <w:lang w:eastAsia="zh-CN"/>
        </w:rPr>
        <w:t>）</w:t>
      </w:r>
      <w:r>
        <w:rPr>
          <w:rFonts w:ascii="仿宋" w:hAnsi="仿宋" w:eastAsia="仿宋" w:cs="仿宋"/>
          <w:b/>
        </w:rPr>
        <w:t>：</w:t>
      </w:r>
      <w:r>
        <w:rPr>
          <w:rFonts w:hint="eastAsia" w:ascii="仿宋" w:hAnsi="仿宋" w:eastAsia="仿宋" w:cs="仿宋"/>
        </w:rPr>
        <w:t>反映城乡社区道路清扫、垃圾清运与处理、公厕建设与维护、园林绿化等方面的支出。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三十二、城乡社区支出</w:t>
      </w:r>
      <w:r>
        <w:rPr>
          <w:rFonts w:hint="eastAsia" w:ascii="仿宋" w:hAnsi="仿宋" w:eastAsia="仿宋" w:cs="仿宋"/>
          <w:b/>
          <w:bCs/>
          <w:lang w:eastAsia="zh-CN"/>
        </w:rPr>
        <w:t>（</w:t>
      </w:r>
      <w:r>
        <w:rPr>
          <w:rFonts w:hint="eastAsia" w:ascii="仿宋" w:hAnsi="仿宋" w:eastAsia="仿宋" w:cs="仿宋"/>
          <w:b/>
          <w:bCs/>
        </w:rPr>
        <w:t>类</w:t>
      </w:r>
      <w:r>
        <w:rPr>
          <w:rFonts w:hint="eastAsia" w:ascii="仿宋" w:hAnsi="仿宋" w:eastAsia="仿宋" w:cs="仿宋"/>
          <w:b/>
          <w:bCs/>
          <w:lang w:eastAsia="zh-CN"/>
        </w:rPr>
        <w:t>）</w:t>
      </w:r>
      <w:r>
        <w:rPr>
          <w:rFonts w:hint="eastAsia" w:ascii="仿宋" w:hAnsi="仿宋" w:eastAsia="仿宋" w:cs="仿宋"/>
          <w:b/>
          <w:bCs/>
        </w:rPr>
        <w:t>其他城乡社区支出</w:t>
      </w:r>
      <w:r>
        <w:rPr>
          <w:rFonts w:hint="eastAsia" w:ascii="仿宋" w:hAnsi="仿宋" w:eastAsia="仿宋" w:cs="仿宋"/>
          <w:b/>
          <w:bCs/>
          <w:lang w:eastAsia="zh-CN"/>
        </w:rPr>
        <w:t>（</w:t>
      </w:r>
      <w:r>
        <w:rPr>
          <w:rFonts w:hint="eastAsia" w:ascii="仿宋" w:hAnsi="仿宋" w:eastAsia="仿宋" w:cs="仿宋"/>
          <w:b/>
          <w:bCs/>
        </w:rPr>
        <w:t>款</w:t>
      </w:r>
      <w:r>
        <w:rPr>
          <w:rFonts w:hint="eastAsia" w:ascii="仿宋" w:hAnsi="仿宋" w:eastAsia="仿宋" w:cs="仿宋"/>
          <w:b/>
          <w:bCs/>
          <w:lang w:eastAsia="zh-CN"/>
        </w:rPr>
        <w:t>）</w:t>
      </w:r>
      <w:r>
        <w:rPr>
          <w:rFonts w:hint="eastAsia" w:ascii="仿宋" w:hAnsi="仿宋" w:eastAsia="仿宋" w:cs="仿宋"/>
          <w:b/>
          <w:bCs/>
        </w:rPr>
        <w:t>其他城乡社区支出</w:t>
      </w:r>
      <w:r>
        <w:rPr>
          <w:rFonts w:hint="eastAsia" w:ascii="仿宋" w:hAnsi="仿宋" w:eastAsia="仿宋" w:cs="仿宋"/>
          <w:b/>
          <w:bCs/>
          <w:lang w:eastAsia="zh-CN"/>
        </w:rPr>
        <w:t>（</w:t>
      </w:r>
      <w:r>
        <w:rPr>
          <w:rFonts w:hint="eastAsia" w:ascii="仿宋" w:hAnsi="仿宋" w:eastAsia="仿宋" w:cs="仿宋"/>
          <w:b/>
          <w:bCs/>
        </w:rPr>
        <w:t>项</w:t>
      </w:r>
      <w:r>
        <w:rPr>
          <w:rFonts w:hint="eastAsia" w:ascii="仿宋" w:hAnsi="仿宋" w:eastAsia="仿宋" w:cs="仿宋"/>
          <w:b/>
          <w:bCs/>
          <w:lang w:eastAsia="zh-CN"/>
        </w:rPr>
        <w:t>）</w:t>
      </w:r>
      <w:r>
        <w:rPr>
          <w:rFonts w:ascii="仿宋" w:hAnsi="仿宋" w:eastAsia="仿宋" w:cs="仿宋"/>
          <w:b/>
        </w:rPr>
        <w:t>：</w:t>
      </w:r>
      <w:r>
        <w:rPr>
          <w:rFonts w:hint="eastAsia" w:ascii="仿宋" w:hAnsi="仿宋" w:eastAsia="仿宋" w:cs="仿宋"/>
        </w:rPr>
        <w:t>反映除上述项目以外其他用于城乡社区方面的支出。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三十三、商业服务业等支出</w:t>
      </w:r>
      <w:r>
        <w:rPr>
          <w:rFonts w:hint="eastAsia" w:ascii="仿宋" w:hAnsi="仿宋" w:eastAsia="仿宋" w:cs="仿宋"/>
          <w:b/>
          <w:bCs/>
          <w:lang w:eastAsia="zh-CN"/>
        </w:rPr>
        <w:t>（</w:t>
      </w:r>
      <w:r>
        <w:rPr>
          <w:rFonts w:hint="eastAsia" w:ascii="仿宋" w:hAnsi="仿宋" w:eastAsia="仿宋" w:cs="仿宋"/>
          <w:b/>
          <w:bCs/>
        </w:rPr>
        <w:t>类</w:t>
      </w:r>
      <w:r>
        <w:rPr>
          <w:rFonts w:hint="eastAsia" w:ascii="仿宋" w:hAnsi="仿宋" w:eastAsia="仿宋" w:cs="仿宋"/>
          <w:b/>
          <w:bCs/>
          <w:lang w:eastAsia="zh-CN"/>
        </w:rPr>
        <w:t>）</w:t>
      </w:r>
      <w:r>
        <w:rPr>
          <w:rFonts w:hint="eastAsia" w:ascii="仿宋" w:hAnsi="仿宋" w:eastAsia="仿宋" w:cs="仿宋"/>
          <w:b/>
          <w:bCs/>
        </w:rPr>
        <w:t>其他商业服务业等支出</w:t>
      </w:r>
      <w:r>
        <w:rPr>
          <w:rFonts w:hint="eastAsia" w:ascii="仿宋" w:hAnsi="仿宋" w:eastAsia="仿宋" w:cs="仿宋"/>
          <w:b/>
          <w:bCs/>
          <w:lang w:eastAsia="zh-CN"/>
        </w:rPr>
        <w:t>（</w:t>
      </w:r>
      <w:r>
        <w:rPr>
          <w:rFonts w:hint="eastAsia" w:ascii="仿宋" w:hAnsi="仿宋" w:eastAsia="仿宋" w:cs="仿宋"/>
          <w:b/>
          <w:bCs/>
        </w:rPr>
        <w:t>款</w:t>
      </w:r>
      <w:r>
        <w:rPr>
          <w:rFonts w:hint="eastAsia" w:ascii="仿宋" w:hAnsi="仿宋" w:eastAsia="仿宋" w:cs="仿宋"/>
          <w:b/>
          <w:bCs/>
          <w:lang w:eastAsia="zh-CN"/>
        </w:rPr>
        <w:t>）</w:t>
      </w:r>
      <w:r>
        <w:rPr>
          <w:rFonts w:hint="eastAsia" w:ascii="仿宋" w:hAnsi="仿宋" w:eastAsia="仿宋" w:cs="仿宋"/>
          <w:b/>
          <w:bCs/>
        </w:rPr>
        <w:t>其他商业服务业等支出</w:t>
      </w:r>
      <w:r>
        <w:rPr>
          <w:rFonts w:hint="eastAsia" w:ascii="仿宋" w:hAnsi="仿宋" w:eastAsia="仿宋" w:cs="仿宋"/>
          <w:b/>
          <w:bCs/>
          <w:lang w:eastAsia="zh-CN"/>
        </w:rPr>
        <w:t>（</w:t>
      </w:r>
      <w:r>
        <w:rPr>
          <w:rFonts w:hint="eastAsia" w:ascii="仿宋" w:hAnsi="仿宋" w:eastAsia="仿宋" w:cs="仿宋"/>
          <w:b/>
          <w:bCs/>
        </w:rPr>
        <w:t>项</w:t>
      </w:r>
      <w:r>
        <w:rPr>
          <w:rFonts w:hint="eastAsia" w:ascii="仿宋" w:hAnsi="仿宋" w:eastAsia="仿宋" w:cs="仿宋"/>
          <w:b/>
          <w:bCs/>
          <w:lang w:eastAsia="zh-CN"/>
        </w:rPr>
        <w:t>）</w:t>
      </w:r>
      <w:r>
        <w:rPr>
          <w:rFonts w:ascii="仿宋" w:hAnsi="仿宋" w:eastAsia="仿宋" w:cs="仿宋"/>
          <w:b/>
        </w:rPr>
        <w:t>：</w:t>
      </w:r>
      <w:r>
        <w:rPr>
          <w:rFonts w:hint="eastAsia" w:ascii="仿宋" w:hAnsi="仿宋" w:eastAsia="仿宋" w:cs="仿宋"/>
        </w:rPr>
        <w:t>反映其他商业服务业等支出中除上述项目以外的其他支出。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三十四、住房保障支出</w:t>
      </w:r>
      <w:r>
        <w:rPr>
          <w:rFonts w:hint="eastAsia" w:ascii="仿宋" w:hAnsi="仿宋" w:eastAsia="仿宋" w:cs="仿宋"/>
          <w:b/>
          <w:bCs/>
          <w:lang w:eastAsia="zh-CN"/>
        </w:rPr>
        <w:t>（</w:t>
      </w:r>
      <w:r>
        <w:rPr>
          <w:rFonts w:hint="eastAsia" w:ascii="仿宋" w:hAnsi="仿宋" w:eastAsia="仿宋" w:cs="仿宋"/>
          <w:b/>
          <w:bCs/>
        </w:rPr>
        <w:t>类</w:t>
      </w:r>
      <w:r>
        <w:rPr>
          <w:rFonts w:hint="eastAsia" w:ascii="仿宋" w:hAnsi="仿宋" w:eastAsia="仿宋" w:cs="仿宋"/>
          <w:b/>
          <w:bCs/>
          <w:lang w:eastAsia="zh-CN"/>
        </w:rPr>
        <w:t>）</w:t>
      </w:r>
      <w:r>
        <w:rPr>
          <w:rFonts w:hint="eastAsia" w:ascii="仿宋" w:hAnsi="仿宋" w:eastAsia="仿宋" w:cs="仿宋"/>
          <w:b/>
          <w:bCs/>
        </w:rPr>
        <w:t>住房改革支出</w:t>
      </w:r>
      <w:r>
        <w:rPr>
          <w:rFonts w:hint="eastAsia" w:ascii="仿宋" w:hAnsi="仿宋" w:eastAsia="仿宋" w:cs="仿宋"/>
          <w:b/>
          <w:bCs/>
          <w:lang w:eastAsia="zh-CN"/>
        </w:rPr>
        <w:t>（</w:t>
      </w:r>
      <w:r>
        <w:rPr>
          <w:rFonts w:hint="eastAsia" w:ascii="仿宋" w:hAnsi="仿宋" w:eastAsia="仿宋" w:cs="仿宋"/>
          <w:b/>
          <w:bCs/>
        </w:rPr>
        <w:t>款</w:t>
      </w:r>
      <w:r>
        <w:rPr>
          <w:rFonts w:hint="eastAsia" w:ascii="仿宋" w:hAnsi="仿宋" w:eastAsia="仿宋" w:cs="仿宋"/>
          <w:b/>
          <w:bCs/>
          <w:lang w:eastAsia="zh-CN"/>
        </w:rPr>
        <w:t>）</w:t>
      </w:r>
      <w:r>
        <w:rPr>
          <w:rFonts w:hint="eastAsia" w:ascii="仿宋" w:hAnsi="仿宋" w:eastAsia="仿宋" w:cs="仿宋"/>
          <w:b/>
          <w:bCs/>
        </w:rPr>
        <w:t>住房公积金</w:t>
      </w:r>
      <w:r>
        <w:rPr>
          <w:rFonts w:hint="eastAsia" w:ascii="仿宋" w:hAnsi="仿宋" w:eastAsia="仿宋" w:cs="仿宋"/>
          <w:b/>
          <w:bCs/>
          <w:lang w:eastAsia="zh-CN"/>
        </w:rPr>
        <w:t>（</w:t>
      </w:r>
      <w:r>
        <w:rPr>
          <w:rFonts w:hint="eastAsia" w:ascii="仿宋" w:hAnsi="仿宋" w:eastAsia="仿宋" w:cs="仿宋"/>
          <w:b/>
          <w:bCs/>
        </w:rPr>
        <w:t>项</w:t>
      </w:r>
      <w:r>
        <w:rPr>
          <w:rFonts w:hint="eastAsia" w:ascii="仿宋" w:hAnsi="仿宋" w:eastAsia="仿宋" w:cs="仿宋"/>
          <w:b/>
          <w:bCs/>
          <w:lang w:eastAsia="zh-CN"/>
        </w:rPr>
        <w:t>）</w:t>
      </w:r>
      <w:r>
        <w:rPr>
          <w:rFonts w:ascii="仿宋" w:hAnsi="仿宋" w:eastAsia="仿宋" w:cs="仿宋"/>
          <w:b/>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三十五、住房保障支出</w:t>
      </w:r>
      <w:r>
        <w:rPr>
          <w:rFonts w:hint="eastAsia" w:ascii="仿宋" w:hAnsi="仿宋" w:eastAsia="仿宋" w:cs="仿宋"/>
          <w:b/>
          <w:bCs/>
          <w:lang w:eastAsia="zh-CN"/>
        </w:rPr>
        <w:t>（</w:t>
      </w:r>
      <w:r>
        <w:rPr>
          <w:rFonts w:hint="eastAsia" w:ascii="仿宋" w:hAnsi="仿宋" w:eastAsia="仿宋" w:cs="仿宋"/>
          <w:b/>
          <w:bCs/>
        </w:rPr>
        <w:t>类</w:t>
      </w:r>
      <w:r>
        <w:rPr>
          <w:rFonts w:hint="eastAsia" w:ascii="仿宋" w:hAnsi="仿宋" w:eastAsia="仿宋" w:cs="仿宋"/>
          <w:b/>
          <w:bCs/>
          <w:lang w:eastAsia="zh-CN"/>
        </w:rPr>
        <w:t>）</w:t>
      </w:r>
      <w:r>
        <w:rPr>
          <w:rFonts w:hint="eastAsia" w:ascii="仿宋" w:hAnsi="仿宋" w:eastAsia="仿宋" w:cs="仿宋"/>
          <w:b/>
          <w:bCs/>
        </w:rPr>
        <w:t>住房改革支出</w:t>
      </w:r>
      <w:r>
        <w:rPr>
          <w:rFonts w:hint="eastAsia" w:ascii="仿宋" w:hAnsi="仿宋" w:eastAsia="仿宋" w:cs="仿宋"/>
          <w:b/>
          <w:bCs/>
          <w:lang w:eastAsia="zh-CN"/>
        </w:rPr>
        <w:t>（</w:t>
      </w:r>
      <w:r>
        <w:rPr>
          <w:rFonts w:hint="eastAsia" w:ascii="仿宋" w:hAnsi="仿宋" w:eastAsia="仿宋" w:cs="仿宋"/>
          <w:b/>
          <w:bCs/>
        </w:rPr>
        <w:t>款</w:t>
      </w:r>
      <w:r>
        <w:rPr>
          <w:rFonts w:hint="eastAsia" w:ascii="仿宋" w:hAnsi="仿宋" w:eastAsia="仿宋" w:cs="仿宋"/>
          <w:b/>
          <w:bCs/>
          <w:lang w:eastAsia="zh-CN"/>
        </w:rPr>
        <w:t>）</w:t>
      </w:r>
      <w:r>
        <w:rPr>
          <w:rFonts w:hint="eastAsia" w:ascii="仿宋" w:hAnsi="仿宋" w:eastAsia="仿宋" w:cs="仿宋"/>
          <w:b/>
          <w:bCs/>
        </w:rPr>
        <w:t>提租补贴</w:t>
      </w:r>
      <w:r>
        <w:rPr>
          <w:rFonts w:hint="eastAsia" w:ascii="仿宋" w:hAnsi="仿宋" w:eastAsia="仿宋" w:cs="仿宋"/>
          <w:b/>
          <w:bCs/>
          <w:lang w:eastAsia="zh-CN"/>
        </w:rPr>
        <w:t>（</w:t>
      </w:r>
      <w:r>
        <w:rPr>
          <w:rFonts w:hint="eastAsia" w:ascii="仿宋" w:hAnsi="仿宋" w:eastAsia="仿宋" w:cs="仿宋"/>
          <w:b/>
          <w:bCs/>
        </w:rPr>
        <w:t>项</w:t>
      </w:r>
      <w:r>
        <w:rPr>
          <w:rFonts w:hint="eastAsia" w:ascii="仿宋" w:hAnsi="仿宋" w:eastAsia="仿宋" w:cs="仿宋"/>
          <w:b/>
          <w:bCs/>
          <w:lang w:eastAsia="zh-CN"/>
        </w:rPr>
        <w:t>）</w:t>
      </w:r>
      <w:r>
        <w:rPr>
          <w:rFonts w:ascii="仿宋" w:hAnsi="仿宋" w:eastAsia="仿宋" w:cs="仿宋"/>
          <w:b/>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三十六、住房保障支出</w:t>
      </w:r>
      <w:r>
        <w:rPr>
          <w:rFonts w:hint="eastAsia" w:ascii="仿宋" w:hAnsi="仿宋" w:eastAsia="仿宋" w:cs="仿宋"/>
          <w:b/>
          <w:bCs/>
          <w:lang w:eastAsia="zh-CN"/>
        </w:rPr>
        <w:t>（</w:t>
      </w:r>
      <w:r>
        <w:rPr>
          <w:rFonts w:hint="eastAsia" w:ascii="仿宋" w:hAnsi="仿宋" w:eastAsia="仿宋" w:cs="仿宋"/>
          <w:b/>
          <w:bCs/>
        </w:rPr>
        <w:t>类</w:t>
      </w:r>
      <w:r>
        <w:rPr>
          <w:rFonts w:hint="eastAsia" w:ascii="仿宋" w:hAnsi="仿宋" w:eastAsia="仿宋" w:cs="仿宋"/>
          <w:b/>
          <w:bCs/>
          <w:lang w:eastAsia="zh-CN"/>
        </w:rPr>
        <w:t>）</w:t>
      </w:r>
      <w:r>
        <w:rPr>
          <w:rFonts w:hint="eastAsia" w:ascii="仿宋" w:hAnsi="仿宋" w:eastAsia="仿宋" w:cs="仿宋"/>
          <w:b/>
          <w:bCs/>
        </w:rPr>
        <w:t>住房改革支出</w:t>
      </w:r>
      <w:r>
        <w:rPr>
          <w:rFonts w:hint="eastAsia" w:ascii="仿宋" w:hAnsi="仿宋" w:eastAsia="仿宋" w:cs="仿宋"/>
          <w:b/>
          <w:bCs/>
          <w:lang w:eastAsia="zh-CN"/>
        </w:rPr>
        <w:t>（</w:t>
      </w:r>
      <w:r>
        <w:rPr>
          <w:rFonts w:hint="eastAsia" w:ascii="仿宋" w:hAnsi="仿宋" w:eastAsia="仿宋" w:cs="仿宋"/>
          <w:b/>
          <w:bCs/>
        </w:rPr>
        <w:t>款</w:t>
      </w:r>
      <w:r>
        <w:rPr>
          <w:rFonts w:hint="eastAsia" w:ascii="仿宋" w:hAnsi="仿宋" w:eastAsia="仿宋" w:cs="仿宋"/>
          <w:b/>
          <w:bCs/>
          <w:lang w:eastAsia="zh-CN"/>
        </w:rPr>
        <w:t>）</w:t>
      </w:r>
      <w:r>
        <w:rPr>
          <w:rFonts w:hint="eastAsia" w:ascii="仿宋" w:hAnsi="仿宋" w:eastAsia="仿宋" w:cs="仿宋"/>
          <w:b/>
          <w:bCs/>
        </w:rPr>
        <w:t>购房补贴</w:t>
      </w:r>
      <w:r>
        <w:rPr>
          <w:rFonts w:hint="eastAsia" w:ascii="仿宋" w:hAnsi="仿宋" w:eastAsia="仿宋" w:cs="仿宋"/>
          <w:b/>
          <w:bCs/>
          <w:lang w:eastAsia="zh-CN"/>
        </w:rPr>
        <w:t>（</w:t>
      </w:r>
      <w:r>
        <w:rPr>
          <w:rFonts w:hint="eastAsia" w:ascii="仿宋" w:hAnsi="仿宋" w:eastAsia="仿宋" w:cs="仿宋"/>
          <w:b/>
          <w:bCs/>
        </w:rPr>
        <w:t>项</w:t>
      </w:r>
      <w:r>
        <w:rPr>
          <w:rFonts w:hint="eastAsia" w:ascii="仿宋" w:hAnsi="仿宋" w:eastAsia="仿宋" w:cs="仿宋"/>
          <w:b/>
          <w:bCs/>
          <w:lang w:eastAsia="zh-CN"/>
        </w:rPr>
        <w:t>）</w:t>
      </w:r>
      <w:r>
        <w:rPr>
          <w:rFonts w:ascii="仿宋" w:hAnsi="仿宋" w:eastAsia="仿宋" w:cs="仿宋"/>
          <w:b/>
        </w:rPr>
        <w:t>：</w:t>
      </w:r>
      <w:r>
        <w:rPr>
          <w:rFonts w:hint="eastAsia" w:ascii="仿宋" w:hAnsi="仿宋" w:eastAsia="仿宋" w:cs="仿宋"/>
        </w:rPr>
        <w:t>反映按房改政策规定，行政事业单位向符合条件职工（含离退休人员）、军队</w:t>
      </w:r>
      <w:r>
        <w:rPr>
          <w:rFonts w:hint="eastAsia" w:ascii="仿宋" w:hAnsi="仿宋" w:eastAsia="仿宋" w:cs="仿宋"/>
          <w:lang w:eastAsia="zh-CN"/>
        </w:rPr>
        <w:t>（</w:t>
      </w:r>
      <w:r>
        <w:rPr>
          <w:rFonts w:hint="eastAsia" w:ascii="仿宋" w:hAnsi="仿宋" w:eastAsia="仿宋" w:cs="仿宋"/>
        </w:rPr>
        <w:t>含武警</w:t>
      </w:r>
      <w:r>
        <w:rPr>
          <w:rFonts w:hint="eastAsia" w:ascii="仿宋" w:hAnsi="仿宋" w:eastAsia="仿宋" w:cs="仿宋"/>
          <w:lang w:eastAsia="zh-CN"/>
        </w:rPr>
        <w:t>）</w:t>
      </w:r>
      <w:r>
        <w:rPr>
          <w:rFonts w:hint="eastAsia" w:ascii="仿宋" w:hAnsi="仿宋" w:eastAsia="仿宋" w:cs="仿宋"/>
        </w:rPr>
        <w:t>向转役复员离退休人员发放的用于购买住房的补贴。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三十七、其他支出</w:t>
      </w:r>
      <w:r>
        <w:rPr>
          <w:rFonts w:hint="eastAsia" w:ascii="仿宋" w:hAnsi="仿宋" w:eastAsia="仿宋" w:cs="仿宋"/>
          <w:b/>
          <w:bCs/>
          <w:lang w:eastAsia="zh-CN"/>
        </w:rPr>
        <w:t>（</w:t>
      </w:r>
      <w:r>
        <w:rPr>
          <w:rFonts w:hint="eastAsia" w:ascii="仿宋" w:hAnsi="仿宋" w:eastAsia="仿宋" w:cs="仿宋"/>
          <w:b/>
          <w:bCs/>
        </w:rPr>
        <w:t>类</w:t>
      </w:r>
      <w:r>
        <w:rPr>
          <w:rFonts w:hint="eastAsia" w:ascii="仿宋" w:hAnsi="仿宋" w:eastAsia="仿宋" w:cs="仿宋"/>
          <w:b/>
          <w:bCs/>
          <w:lang w:eastAsia="zh-CN"/>
        </w:rPr>
        <w:t>）</w:t>
      </w:r>
      <w:r>
        <w:rPr>
          <w:rFonts w:hint="eastAsia" w:ascii="仿宋" w:hAnsi="仿宋" w:eastAsia="仿宋" w:cs="仿宋"/>
          <w:b/>
          <w:bCs/>
        </w:rPr>
        <w:t>其他支出</w:t>
      </w:r>
      <w:r>
        <w:rPr>
          <w:rFonts w:hint="eastAsia" w:ascii="仿宋" w:hAnsi="仿宋" w:eastAsia="仿宋" w:cs="仿宋"/>
          <w:b/>
          <w:bCs/>
          <w:lang w:eastAsia="zh-CN"/>
        </w:rPr>
        <w:t>（</w:t>
      </w:r>
      <w:r>
        <w:rPr>
          <w:rFonts w:hint="eastAsia" w:ascii="仿宋" w:hAnsi="仿宋" w:eastAsia="仿宋" w:cs="仿宋"/>
          <w:b/>
          <w:bCs/>
        </w:rPr>
        <w:t>款</w:t>
      </w:r>
      <w:r>
        <w:rPr>
          <w:rFonts w:hint="eastAsia" w:ascii="仿宋" w:hAnsi="仿宋" w:eastAsia="仿宋" w:cs="仿宋"/>
          <w:b/>
          <w:bCs/>
          <w:lang w:eastAsia="zh-CN"/>
        </w:rPr>
        <w:t>）</w:t>
      </w:r>
      <w:r>
        <w:rPr>
          <w:rFonts w:hint="eastAsia" w:ascii="仿宋" w:hAnsi="仿宋" w:eastAsia="仿宋" w:cs="仿宋"/>
          <w:b/>
          <w:bCs/>
        </w:rPr>
        <w:t>其他支出</w:t>
      </w:r>
      <w:r>
        <w:rPr>
          <w:rFonts w:hint="eastAsia" w:ascii="仿宋" w:hAnsi="仿宋" w:eastAsia="仿宋" w:cs="仿宋"/>
          <w:b/>
          <w:bCs/>
          <w:lang w:eastAsia="zh-CN"/>
        </w:rPr>
        <w:t>（</w:t>
      </w:r>
      <w:r>
        <w:rPr>
          <w:rFonts w:hint="eastAsia" w:ascii="仿宋" w:hAnsi="仿宋" w:eastAsia="仿宋" w:cs="仿宋"/>
          <w:b/>
          <w:bCs/>
        </w:rPr>
        <w:t>项</w:t>
      </w:r>
      <w:r>
        <w:rPr>
          <w:rFonts w:hint="eastAsia" w:ascii="仿宋" w:hAnsi="仿宋" w:eastAsia="仿宋" w:cs="仿宋"/>
          <w:b/>
          <w:bCs/>
          <w:lang w:eastAsia="zh-CN"/>
        </w:rPr>
        <w:t>）</w:t>
      </w:r>
      <w:r>
        <w:rPr>
          <w:rFonts w:ascii="仿宋" w:hAnsi="仿宋" w:eastAsia="仿宋" w:cs="仿宋"/>
          <w:b/>
        </w:rPr>
        <w:t>：</w:t>
      </w:r>
      <w:r>
        <w:rPr>
          <w:rFonts w:hint="eastAsia" w:ascii="仿宋" w:hAnsi="仿宋" w:eastAsia="仿宋" w:cs="仿宋"/>
        </w:rPr>
        <w:t>反映除上述项目以外其他不能划分到具体功能科目中的支出项目。</w:t>
      </w:r>
    </w:p>
    <w:sectPr>
      <w:pgSz w:w="11906" w:h="16838"/>
      <w:pgMar w:top="1440" w:right="1080" w:bottom="1440" w:left="1080"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Liberation Sans">
    <w:altName w:val="宋体"/>
    <w:panose1 w:val="020B0604020202020204"/>
    <w:charset w:val="86"/>
    <w:family w:val="roman"/>
    <w:pitch w:val="default"/>
    <w:sig w:usb0="00000000" w:usb1="00000000" w:usb2="00000021" w:usb3="00000000" w:csb0="600001BF" w:csb1="DFF70000"/>
  </w:font>
  <w:font w:name="Liberation Mono">
    <w:altName w:val="宋体"/>
    <w:panose1 w:val="02070409020205020404"/>
    <w:charset w:val="86"/>
    <w:family w:val="roman"/>
    <w:pitch w:val="default"/>
    <w:sig w:usb0="00000000" w:usb1="00000000"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江阴市市场监督管理局</w:t>
    </w:r>
    <w:r>
      <w:t>2022年度部门决算公开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NjU5NWJlM2YyZWY2Y2Y5MTJlYTVlOWJkNmY3OGFmYzEifQ=="/>
  </w:docVars>
  <w:rsids>
    <w:rsidRoot w:val="00000000"/>
    <w:rsid w:val="00064984"/>
    <w:rsid w:val="00071789"/>
    <w:rsid w:val="000C024B"/>
    <w:rsid w:val="000F12AB"/>
    <w:rsid w:val="001C31F9"/>
    <w:rsid w:val="002E63B1"/>
    <w:rsid w:val="00407CA7"/>
    <w:rsid w:val="00413AD8"/>
    <w:rsid w:val="004C0647"/>
    <w:rsid w:val="00671ED7"/>
    <w:rsid w:val="00672164"/>
    <w:rsid w:val="006732F1"/>
    <w:rsid w:val="007C0F2D"/>
    <w:rsid w:val="008322BB"/>
    <w:rsid w:val="00867423"/>
    <w:rsid w:val="008B5B05"/>
    <w:rsid w:val="009965EA"/>
    <w:rsid w:val="00A6752E"/>
    <w:rsid w:val="00B92181"/>
    <w:rsid w:val="00BD7F33"/>
    <w:rsid w:val="00C15920"/>
    <w:rsid w:val="00C82582"/>
    <w:rsid w:val="00FA3233"/>
    <w:rsid w:val="010F1E77"/>
    <w:rsid w:val="01536131"/>
    <w:rsid w:val="01657C13"/>
    <w:rsid w:val="01714809"/>
    <w:rsid w:val="017240DE"/>
    <w:rsid w:val="01875334"/>
    <w:rsid w:val="018E7014"/>
    <w:rsid w:val="019803DB"/>
    <w:rsid w:val="01C22655"/>
    <w:rsid w:val="01C61170"/>
    <w:rsid w:val="01D4677F"/>
    <w:rsid w:val="01F17DF5"/>
    <w:rsid w:val="01FA65AD"/>
    <w:rsid w:val="01FF1E15"/>
    <w:rsid w:val="02005B8D"/>
    <w:rsid w:val="021F4E94"/>
    <w:rsid w:val="023277C7"/>
    <w:rsid w:val="02377801"/>
    <w:rsid w:val="02420B21"/>
    <w:rsid w:val="02443CCC"/>
    <w:rsid w:val="0247556A"/>
    <w:rsid w:val="02624152"/>
    <w:rsid w:val="026604FF"/>
    <w:rsid w:val="027F398B"/>
    <w:rsid w:val="0284231A"/>
    <w:rsid w:val="02987B74"/>
    <w:rsid w:val="02A822D0"/>
    <w:rsid w:val="02AF69EA"/>
    <w:rsid w:val="02B14230"/>
    <w:rsid w:val="02C378BB"/>
    <w:rsid w:val="02C92423"/>
    <w:rsid w:val="02D43672"/>
    <w:rsid w:val="02DD471D"/>
    <w:rsid w:val="02E5431C"/>
    <w:rsid w:val="02E8449D"/>
    <w:rsid w:val="02F0175E"/>
    <w:rsid w:val="02F513AC"/>
    <w:rsid w:val="02FE6DAE"/>
    <w:rsid w:val="03005360"/>
    <w:rsid w:val="03060F81"/>
    <w:rsid w:val="03121471"/>
    <w:rsid w:val="033F3F8A"/>
    <w:rsid w:val="034C108A"/>
    <w:rsid w:val="03673847"/>
    <w:rsid w:val="03690F36"/>
    <w:rsid w:val="03793778"/>
    <w:rsid w:val="037E4FBC"/>
    <w:rsid w:val="03802AE2"/>
    <w:rsid w:val="039F7320"/>
    <w:rsid w:val="03F86EFB"/>
    <w:rsid w:val="04137DFA"/>
    <w:rsid w:val="04156348"/>
    <w:rsid w:val="04212517"/>
    <w:rsid w:val="04461F7D"/>
    <w:rsid w:val="044E689B"/>
    <w:rsid w:val="0458580D"/>
    <w:rsid w:val="045E5FB7"/>
    <w:rsid w:val="04820ADC"/>
    <w:rsid w:val="048408D1"/>
    <w:rsid w:val="049256F0"/>
    <w:rsid w:val="0495610D"/>
    <w:rsid w:val="04C730A4"/>
    <w:rsid w:val="04DA4474"/>
    <w:rsid w:val="04DF580C"/>
    <w:rsid w:val="04E946A2"/>
    <w:rsid w:val="04EA46EB"/>
    <w:rsid w:val="05185546"/>
    <w:rsid w:val="052126A9"/>
    <w:rsid w:val="05247FC3"/>
    <w:rsid w:val="05346113"/>
    <w:rsid w:val="05423E9C"/>
    <w:rsid w:val="05600A24"/>
    <w:rsid w:val="05656433"/>
    <w:rsid w:val="05685F23"/>
    <w:rsid w:val="056A1C9B"/>
    <w:rsid w:val="057525F6"/>
    <w:rsid w:val="05843580"/>
    <w:rsid w:val="05856AD5"/>
    <w:rsid w:val="058C526F"/>
    <w:rsid w:val="05AB4AE4"/>
    <w:rsid w:val="05AB7BBE"/>
    <w:rsid w:val="05BD2716"/>
    <w:rsid w:val="05BE6B06"/>
    <w:rsid w:val="05C432C0"/>
    <w:rsid w:val="05C73A91"/>
    <w:rsid w:val="05DB04A3"/>
    <w:rsid w:val="05DB339C"/>
    <w:rsid w:val="05E80F9E"/>
    <w:rsid w:val="05F04613"/>
    <w:rsid w:val="05FE3016"/>
    <w:rsid w:val="06006806"/>
    <w:rsid w:val="060D1C4C"/>
    <w:rsid w:val="061C50DF"/>
    <w:rsid w:val="062B491C"/>
    <w:rsid w:val="06417385"/>
    <w:rsid w:val="06423C78"/>
    <w:rsid w:val="064A6451"/>
    <w:rsid w:val="064C13A1"/>
    <w:rsid w:val="06542957"/>
    <w:rsid w:val="0681129C"/>
    <w:rsid w:val="06824DC3"/>
    <w:rsid w:val="0695552F"/>
    <w:rsid w:val="069B5E85"/>
    <w:rsid w:val="06C87B62"/>
    <w:rsid w:val="06E710CA"/>
    <w:rsid w:val="06EB2968"/>
    <w:rsid w:val="06F23CF7"/>
    <w:rsid w:val="07293490"/>
    <w:rsid w:val="072A453E"/>
    <w:rsid w:val="073A470E"/>
    <w:rsid w:val="07520D7A"/>
    <w:rsid w:val="075575FE"/>
    <w:rsid w:val="07580A5A"/>
    <w:rsid w:val="07656047"/>
    <w:rsid w:val="077C711D"/>
    <w:rsid w:val="078F7797"/>
    <w:rsid w:val="079361A1"/>
    <w:rsid w:val="07AE39F0"/>
    <w:rsid w:val="07BE007D"/>
    <w:rsid w:val="07C509DD"/>
    <w:rsid w:val="080041F1"/>
    <w:rsid w:val="08031AA7"/>
    <w:rsid w:val="0806186F"/>
    <w:rsid w:val="080C528C"/>
    <w:rsid w:val="080F6B2A"/>
    <w:rsid w:val="08214CF0"/>
    <w:rsid w:val="083B723A"/>
    <w:rsid w:val="084A5DB4"/>
    <w:rsid w:val="08582C83"/>
    <w:rsid w:val="085D1644"/>
    <w:rsid w:val="0860441B"/>
    <w:rsid w:val="08694955"/>
    <w:rsid w:val="08913758"/>
    <w:rsid w:val="08A333FC"/>
    <w:rsid w:val="08D342E7"/>
    <w:rsid w:val="08E003AE"/>
    <w:rsid w:val="08E93645"/>
    <w:rsid w:val="08FC0605"/>
    <w:rsid w:val="09165D85"/>
    <w:rsid w:val="091D32CD"/>
    <w:rsid w:val="0947142F"/>
    <w:rsid w:val="095F763D"/>
    <w:rsid w:val="096204B4"/>
    <w:rsid w:val="0969226A"/>
    <w:rsid w:val="096B0C35"/>
    <w:rsid w:val="09891979"/>
    <w:rsid w:val="098926B4"/>
    <w:rsid w:val="09896468"/>
    <w:rsid w:val="09931095"/>
    <w:rsid w:val="09984875"/>
    <w:rsid w:val="09B3067A"/>
    <w:rsid w:val="09E82283"/>
    <w:rsid w:val="09EB3C7D"/>
    <w:rsid w:val="09F00295"/>
    <w:rsid w:val="09F032D5"/>
    <w:rsid w:val="09F45579"/>
    <w:rsid w:val="09F6640F"/>
    <w:rsid w:val="09FE0C6E"/>
    <w:rsid w:val="0A112BB9"/>
    <w:rsid w:val="0A1D215F"/>
    <w:rsid w:val="0A2639C8"/>
    <w:rsid w:val="0A2D2344"/>
    <w:rsid w:val="0A3F45FE"/>
    <w:rsid w:val="0A434869"/>
    <w:rsid w:val="0A516F86"/>
    <w:rsid w:val="0A6273E5"/>
    <w:rsid w:val="0A636CB9"/>
    <w:rsid w:val="0A7F08D2"/>
    <w:rsid w:val="0A964BFD"/>
    <w:rsid w:val="0A9D666F"/>
    <w:rsid w:val="0AAC5ED9"/>
    <w:rsid w:val="0ADA70C2"/>
    <w:rsid w:val="0AFD463B"/>
    <w:rsid w:val="0B05614C"/>
    <w:rsid w:val="0B134992"/>
    <w:rsid w:val="0B160131"/>
    <w:rsid w:val="0B2B4189"/>
    <w:rsid w:val="0B392278"/>
    <w:rsid w:val="0B675A67"/>
    <w:rsid w:val="0B6B4077"/>
    <w:rsid w:val="0B752A0F"/>
    <w:rsid w:val="0B813D25"/>
    <w:rsid w:val="0B89728A"/>
    <w:rsid w:val="0B9E71AD"/>
    <w:rsid w:val="0BAC43D1"/>
    <w:rsid w:val="0BB91287"/>
    <w:rsid w:val="0BBA4FFF"/>
    <w:rsid w:val="0BCD6A8D"/>
    <w:rsid w:val="0BCF6DAD"/>
    <w:rsid w:val="0BD87EAC"/>
    <w:rsid w:val="0BE46B89"/>
    <w:rsid w:val="0BF41C52"/>
    <w:rsid w:val="0C047996"/>
    <w:rsid w:val="0C0E112C"/>
    <w:rsid w:val="0C1337D7"/>
    <w:rsid w:val="0C2215AA"/>
    <w:rsid w:val="0C64719F"/>
    <w:rsid w:val="0C6536DB"/>
    <w:rsid w:val="0C797590"/>
    <w:rsid w:val="0C9B273A"/>
    <w:rsid w:val="0CA00951"/>
    <w:rsid w:val="0CBD0903"/>
    <w:rsid w:val="0CC51EAD"/>
    <w:rsid w:val="0CD230A9"/>
    <w:rsid w:val="0CD65166"/>
    <w:rsid w:val="0CDB2BBC"/>
    <w:rsid w:val="0CE84C0B"/>
    <w:rsid w:val="0CEF2113"/>
    <w:rsid w:val="0CEF2581"/>
    <w:rsid w:val="0D05225F"/>
    <w:rsid w:val="0D1424ED"/>
    <w:rsid w:val="0D261419"/>
    <w:rsid w:val="0D42705A"/>
    <w:rsid w:val="0D545049"/>
    <w:rsid w:val="0D617032"/>
    <w:rsid w:val="0D673696"/>
    <w:rsid w:val="0D6C5D61"/>
    <w:rsid w:val="0D760FDB"/>
    <w:rsid w:val="0D766D04"/>
    <w:rsid w:val="0D7F345D"/>
    <w:rsid w:val="0D991370"/>
    <w:rsid w:val="0DAC0D2B"/>
    <w:rsid w:val="0DAD6BC9"/>
    <w:rsid w:val="0DBA3094"/>
    <w:rsid w:val="0DD06A00"/>
    <w:rsid w:val="0DDF0D4D"/>
    <w:rsid w:val="0DFC3CDF"/>
    <w:rsid w:val="0DFD772C"/>
    <w:rsid w:val="0DFF5826"/>
    <w:rsid w:val="0E0A51F9"/>
    <w:rsid w:val="0E1F1C4F"/>
    <w:rsid w:val="0E2252C7"/>
    <w:rsid w:val="0E27451D"/>
    <w:rsid w:val="0E4806AD"/>
    <w:rsid w:val="0E52151F"/>
    <w:rsid w:val="0E5E7568"/>
    <w:rsid w:val="0E601E8E"/>
    <w:rsid w:val="0E662847"/>
    <w:rsid w:val="0E854C8B"/>
    <w:rsid w:val="0E8D69FB"/>
    <w:rsid w:val="0E94230E"/>
    <w:rsid w:val="0E946F22"/>
    <w:rsid w:val="0EA37FCC"/>
    <w:rsid w:val="0EB75826"/>
    <w:rsid w:val="0EE7610B"/>
    <w:rsid w:val="0EF65551"/>
    <w:rsid w:val="0EFE25F0"/>
    <w:rsid w:val="0F111837"/>
    <w:rsid w:val="0F135152"/>
    <w:rsid w:val="0F256D3C"/>
    <w:rsid w:val="0F711E78"/>
    <w:rsid w:val="0F807B33"/>
    <w:rsid w:val="0F8C6CB2"/>
    <w:rsid w:val="0F8F17E6"/>
    <w:rsid w:val="0FB029A1"/>
    <w:rsid w:val="0FB02B15"/>
    <w:rsid w:val="0FB21F29"/>
    <w:rsid w:val="0FB47D1E"/>
    <w:rsid w:val="0FCE598D"/>
    <w:rsid w:val="0FD77F2D"/>
    <w:rsid w:val="0FD849C7"/>
    <w:rsid w:val="0FE03B0E"/>
    <w:rsid w:val="0FE663C2"/>
    <w:rsid w:val="0FEF37CA"/>
    <w:rsid w:val="100928FC"/>
    <w:rsid w:val="10093E5F"/>
    <w:rsid w:val="101A62D4"/>
    <w:rsid w:val="10260EB5"/>
    <w:rsid w:val="1027035F"/>
    <w:rsid w:val="102A2753"/>
    <w:rsid w:val="102A69EF"/>
    <w:rsid w:val="102C3484"/>
    <w:rsid w:val="103D6600"/>
    <w:rsid w:val="10463305"/>
    <w:rsid w:val="106204CB"/>
    <w:rsid w:val="1068327B"/>
    <w:rsid w:val="1069097D"/>
    <w:rsid w:val="10703EDE"/>
    <w:rsid w:val="108C6F6A"/>
    <w:rsid w:val="10A90FB7"/>
    <w:rsid w:val="10B95885"/>
    <w:rsid w:val="10F845FF"/>
    <w:rsid w:val="11092167"/>
    <w:rsid w:val="110C3973"/>
    <w:rsid w:val="110D47B0"/>
    <w:rsid w:val="11110225"/>
    <w:rsid w:val="111930E1"/>
    <w:rsid w:val="111E1B8C"/>
    <w:rsid w:val="11252430"/>
    <w:rsid w:val="112E0021"/>
    <w:rsid w:val="1143676B"/>
    <w:rsid w:val="11471791"/>
    <w:rsid w:val="117C1012"/>
    <w:rsid w:val="11872569"/>
    <w:rsid w:val="118B7221"/>
    <w:rsid w:val="11AB09B5"/>
    <w:rsid w:val="11B7025F"/>
    <w:rsid w:val="11C36B1F"/>
    <w:rsid w:val="11C52DC5"/>
    <w:rsid w:val="11E46932"/>
    <w:rsid w:val="11F221C7"/>
    <w:rsid w:val="11F2605E"/>
    <w:rsid w:val="11F724E3"/>
    <w:rsid w:val="122227BF"/>
    <w:rsid w:val="12313173"/>
    <w:rsid w:val="12313682"/>
    <w:rsid w:val="12437AFC"/>
    <w:rsid w:val="127A1044"/>
    <w:rsid w:val="128157F4"/>
    <w:rsid w:val="12AA36D7"/>
    <w:rsid w:val="12B566A2"/>
    <w:rsid w:val="12C448B1"/>
    <w:rsid w:val="12D32267"/>
    <w:rsid w:val="12E60488"/>
    <w:rsid w:val="12F05187"/>
    <w:rsid w:val="13142710"/>
    <w:rsid w:val="1335650B"/>
    <w:rsid w:val="133E1FA2"/>
    <w:rsid w:val="13871C6A"/>
    <w:rsid w:val="139377AA"/>
    <w:rsid w:val="13A44407"/>
    <w:rsid w:val="13A46379"/>
    <w:rsid w:val="13BD743A"/>
    <w:rsid w:val="13E2730D"/>
    <w:rsid w:val="13F85ED3"/>
    <w:rsid w:val="140626B0"/>
    <w:rsid w:val="140C350F"/>
    <w:rsid w:val="14207DA2"/>
    <w:rsid w:val="142101C9"/>
    <w:rsid w:val="143164E8"/>
    <w:rsid w:val="14341A45"/>
    <w:rsid w:val="146856DB"/>
    <w:rsid w:val="146B3433"/>
    <w:rsid w:val="14795A57"/>
    <w:rsid w:val="147C72F5"/>
    <w:rsid w:val="14933F94"/>
    <w:rsid w:val="14A34882"/>
    <w:rsid w:val="14A95C11"/>
    <w:rsid w:val="14AA0D30"/>
    <w:rsid w:val="14BA3B44"/>
    <w:rsid w:val="14CD6BF6"/>
    <w:rsid w:val="14EE3158"/>
    <w:rsid w:val="1504334D"/>
    <w:rsid w:val="15085477"/>
    <w:rsid w:val="152578C2"/>
    <w:rsid w:val="154755A3"/>
    <w:rsid w:val="15664CCA"/>
    <w:rsid w:val="156C1118"/>
    <w:rsid w:val="159E0364"/>
    <w:rsid w:val="15A959CF"/>
    <w:rsid w:val="15B93CF7"/>
    <w:rsid w:val="15D36B14"/>
    <w:rsid w:val="15F07F9B"/>
    <w:rsid w:val="16053674"/>
    <w:rsid w:val="16146EAD"/>
    <w:rsid w:val="161A451C"/>
    <w:rsid w:val="161E395E"/>
    <w:rsid w:val="1621543B"/>
    <w:rsid w:val="163E1726"/>
    <w:rsid w:val="16565924"/>
    <w:rsid w:val="167F1A6B"/>
    <w:rsid w:val="16971C37"/>
    <w:rsid w:val="16A448E1"/>
    <w:rsid w:val="16BE14E7"/>
    <w:rsid w:val="16BE34FA"/>
    <w:rsid w:val="16DA6212"/>
    <w:rsid w:val="16ED632E"/>
    <w:rsid w:val="1705386D"/>
    <w:rsid w:val="170A0BE8"/>
    <w:rsid w:val="170D692B"/>
    <w:rsid w:val="1717031D"/>
    <w:rsid w:val="17367C2F"/>
    <w:rsid w:val="17451C21"/>
    <w:rsid w:val="175D47C3"/>
    <w:rsid w:val="176B2704"/>
    <w:rsid w:val="178C5AA1"/>
    <w:rsid w:val="178D35C8"/>
    <w:rsid w:val="17BC2D29"/>
    <w:rsid w:val="17EC4792"/>
    <w:rsid w:val="18025D64"/>
    <w:rsid w:val="1808589E"/>
    <w:rsid w:val="181B6E25"/>
    <w:rsid w:val="18272F04"/>
    <w:rsid w:val="183F0D66"/>
    <w:rsid w:val="1847137D"/>
    <w:rsid w:val="18473583"/>
    <w:rsid w:val="18585984"/>
    <w:rsid w:val="188B47DF"/>
    <w:rsid w:val="18916DBC"/>
    <w:rsid w:val="18AA3C15"/>
    <w:rsid w:val="18BA5D81"/>
    <w:rsid w:val="18C07826"/>
    <w:rsid w:val="18C77023"/>
    <w:rsid w:val="18E45469"/>
    <w:rsid w:val="18EE62E8"/>
    <w:rsid w:val="18FD3C01"/>
    <w:rsid w:val="190E24E6"/>
    <w:rsid w:val="19195D82"/>
    <w:rsid w:val="193033EC"/>
    <w:rsid w:val="19322678"/>
    <w:rsid w:val="194A216C"/>
    <w:rsid w:val="19517451"/>
    <w:rsid w:val="19562DE7"/>
    <w:rsid w:val="19603977"/>
    <w:rsid w:val="196D1879"/>
    <w:rsid w:val="19810F0A"/>
    <w:rsid w:val="199D3E22"/>
    <w:rsid w:val="19A676CD"/>
    <w:rsid w:val="19B34CEE"/>
    <w:rsid w:val="19C57B31"/>
    <w:rsid w:val="19CE54E8"/>
    <w:rsid w:val="19DA0E66"/>
    <w:rsid w:val="1A051B3B"/>
    <w:rsid w:val="1A0868DE"/>
    <w:rsid w:val="1A386BB6"/>
    <w:rsid w:val="1A3E0B9C"/>
    <w:rsid w:val="1A5A0D30"/>
    <w:rsid w:val="1A641248"/>
    <w:rsid w:val="1A6B178B"/>
    <w:rsid w:val="1A6E7911"/>
    <w:rsid w:val="1AA11864"/>
    <w:rsid w:val="1ABF618E"/>
    <w:rsid w:val="1AD90120"/>
    <w:rsid w:val="1AEB035A"/>
    <w:rsid w:val="1AF0114F"/>
    <w:rsid w:val="1AF61156"/>
    <w:rsid w:val="1B114FF8"/>
    <w:rsid w:val="1B136BC2"/>
    <w:rsid w:val="1B1C5890"/>
    <w:rsid w:val="1B2C6156"/>
    <w:rsid w:val="1B363B76"/>
    <w:rsid w:val="1B394ECA"/>
    <w:rsid w:val="1B4D379A"/>
    <w:rsid w:val="1B612DA1"/>
    <w:rsid w:val="1B6F2A95"/>
    <w:rsid w:val="1B7011A6"/>
    <w:rsid w:val="1B894395"/>
    <w:rsid w:val="1BC84BF9"/>
    <w:rsid w:val="1BDD4B1E"/>
    <w:rsid w:val="1BE008E5"/>
    <w:rsid w:val="1BE426E0"/>
    <w:rsid w:val="1BEF5EDC"/>
    <w:rsid w:val="1BF3045F"/>
    <w:rsid w:val="1C171374"/>
    <w:rsid w:val="1C324768"/>
    <w:rsid w:val="1C383244"/>
    <w:rsid w:val="1C4928ED"/>
    <w:rsid w:val="1C6E7E6B"/>
    <w:rsid w:val="1C706707"/>
    <w:rsid w:val="1C881C55"/>
    <w:rsid w:val="1C8C6E3B"/>
    <w:rsid w:val="1C8F4549"/>
    <w:rsid w:val="1C9B1094"/>
    <w:rsid w:val="1C9D7829"/>
    <w:rsid w:val="1CA25487"/>
    <w:rsid w:val="1CC01D49"/>
    <w:rsid w:val="1CCB706C"/>
    <w:rsid w:val="1CD36541"/>
    <w:rsid w:val="1CD53375"/>
    <w:rsid w:val="1CD770E1"/>
    <w:rsid w:val="1CDF3C35"/>
    <w:rsid w:val="1CDF48C5"/>
    <w:rsid w:val="1CED64E7"/>
    <w:rsid w:val="1CF10155"/>
    <w:rsid w:val="1CF655C7"/>
    <w:rsid w:val="1CF70CE3"/>
    <w:rsid w:val="1D083787"/>
    <w:rsid w:val="1D0E4D1B"/>
    <w:rsid w:val="1D1B1576"/>
    <w:rsid w:val="1D201166"/>
    <w:rsid w:val="1D235D75"/>
    <w:rsid w:val="1D464944"/>
    <w:rsid w:val="1D5A4782"/>
    <w:rsid w:val="1D623037"/>
    <w:rsid w:val="1D660B43"/>
    <w:rsid w:val="1D672CB3"/>
    <w:rsid w:val="1D7C0925"/>
    <w:rsid w:val="1D817975"/>
    <w:rsid w:val="1D951979"/>
    <w:rsid w:val="1DAF110E"/>
    <w:rsid w:val="1DB61054"/>
    <w:rsid w:val="1DC835AB"/>
    <w:rsid w:val="1DC94431"/>
    <w:rsid w:val="1DD41F50"/>
    <w:rsid w:val="1DF7725D"/>
    <w:rsid w:val="1DFC15A1"/>
    <w:rsid w:val="1DFC3255"/>
    <w:rsid w:val="1DFD14A7"/>
    <w:rsid w:val="1E107489"/>
    <w:rsid w:val="1E120047"/>
    <w:rsid w:val="1E2456FC"/>
    <w:rsid w:val="1E387717"/>
    <w:rsid w:val="1E426EBA"/>
    <w:rsid w:val="1E5227F5"/>
    <w:rsid w:val="1E5B1486"/>
    <w:rsid w:val="1E6037E4"/>
    <w:rsid w:val="1E6C2CB1"/>
    <w:rsid w:val="1E86604F"/>
    <w:rsid w:val="1E8B2478"/>
    <w:rsid w:val="1EA55F87"/>
    <w:rsid w:val="1EAB38DD"/>
    <w:rsid w:val="1EB06519"/>
    <w:rsid w:val="1EBB4C20"/>
    <w:rsid w:val="1EC57AB3"/>
    <w:rsid w:val="1ECE40F1"/>
    <w:rsid w:val="1EEE7042"/>
    <w:rsid w:val="1EEF2C2E"/>
    <w:rsid w:val="1EF87EC0"/>
    <w:rsid w:val="1EF93282"/>
    <w:rsid w:val="1EFC05DA"/>
    <w:rsid w:val="1F242409"/>
    <w:rsid w:val="1F260691"/>
    <w:rsid w:val="1F274302"/>
    <w:rsid w:val="1F2F1476"/>
    <w:rsid w:val="1F342CDC"/>
    <w:rsid w:val="1F364345"/>
    <w:rsid w:val="1F3C055E"/>
    <w:rsid w:val="1F3F5AEF"/>
    <w:rsid w:val="1F5350F7"/>
    <w:rsid w:val="1F5838AB"/>
    <w:rsid w:val="1F65551D"/>
    <w:rsid w:val="1F721347"/>
    <w:rsid w:val="1F724421"/>
    <w:rsid w:val="1F8B39C7"/>
    <w:rsid w:val="1F925C1F"/>
    <w:rsid w:val="1FA17CC2"/>
    <w:rsid w:val="1FAE057F"/>
    <w:rsid w:val="1FB77434"/>
    <w:rsid w:val="1FCB1131"/>
    <w:rsid w:val="1FD866E0"/>
    <w:rsid w:val="1FEA282E"/>
    <w:rsid w:val="1FF73CD4"/>
    <w:rsid w:val="1FF92872"/>
    <w:rsid w:val="1FFE4976"/>
    <w:rsid w:val="20054643"/>
    <w:rsid w:val="200945DD"/>
    <w:rsid w:val="200B03E4"/>
    <w:rsid w:val="200E293D"/>
    <w:rsid w:val="201802D4"/>
    <w:rsid w:val="20362A4E"/>
    <w:rsid w:val="2043516B"/>
    <w:rsid w:val="204A1446"/>
    <w:rsid w:val="20571955"/>
    <w:rsid w:val="20594713"/>
    <w:rsid w:val="20632091"/>
    <w:rsid w:val="20834EBA"/>
    <w:rsid w:val="20900DEF"/>
    <w:rsid w:val="209B6228"/>
    <w:rsid w:val="20B61DE1"/>
    <w:rsid w:val="20CA13E8"/>
    <w:rsid w:val="20CA3D8E"/>
    <w:rsid w:val="20D245C5"/>
    <w:rsid w:val="20E47858"/>
    <w:rsid w:val="20EE2134"/>
    <w:rsid w:val="20F375E8"/>
    <w:rsid w:val="20F544F1"/>
    <w:rsid w:val="211508B6"/>
    <w:rsid w:val="21182154"/>
    <w:rsid w:val="21206CAA"/>
    <w:rsid w:val="2127683B"/>
    <w:rsid w:val="213F3B84"/>
    <w:rsid w:val="2148186B"/>
    <w:rsid w:val="21776D10"/>
    <w:rsid w:val="218F0CEB"/>
    <w:rsid w:val="21A47E8B"/>
    <w:rsid w:val="21B52099"/>
    <w:rsid w:val="21EA64FE"/>
    <w:rsid w:val="223236E9"/>
    <w:rsid w:val="223F0861"/>
    <w:rsid w:val="224A27E1"/>
    <w:rsid w:val="224D407F"/>
    <w:rsid w:val="22543660"/>
    <w:rsid w:val="225F78FB"/>
    <w:rsid w:val="227347E3"/>
    <w:rsid w:val="227D4749"/>
    <w:rsid w:val="22B66C67"/>
    <w:rsid w:val="22B96619"/>
    <w:rsid w:val="22C34214"/>
    <w:rsid w:val="22C9349D"/>
    <w:rsid w:val="22CF4CB9"/>
    <w:rsid w:val="22E5714F"/>
    <w:rsid w:val="23073234"/>
    <w:rsid w:val="23153D35"/>
    <w:rsid w:val="231859C4"/>
    <w:rsid w:val="233651B2"/>
    <w:rsid w:val="233C5C01"/>
    <w:rsid w:val="235A2EF8"/>
    <w:rsid w:val="23655593"/>
    <w:rsid w:val="237044C9"/>
    <w:rsid w:val="23873CA0"/>
    <w:rsid w:val="23A668C2"/>
    <w:rsid w:val="23B5012E"/>
    <w:rsid w:val="23B50BF5"/>
    <w:rsid w:val="23C6058D"/>
    <w:rsid w:val="23CC2CE3"/>
    <w:rsid w:val="23E97DD8"/>
    <w:rsid w:val="23F81D1C"/>
    <w:rsid w:val="24004EF0"/>
    <w:rsid w:val="242552B4"/>
    <w:rsid w:val="242D23BA"/>
    <w:rsid w:val="24361C71"/>
    <w:rsid w:val="244514B2"/>
    <w:rsid w:val="245222E6"/>
    <w:rsid w:val="2455798C"/>
    <w:rsid w:val="246851A0"/>
    <w:rsid w:val="246E4FE1"/>
    <w:rsid w:val="247771B1"/>
    <w:rsid w:val="24797436"/>
    <w:rsid w:val="24893698"/>
    <w:rsid w:val="248A0DA1"/>
    <w:rsid w:val="248B0DC9"/>
    <w:rsid w:val="24AC7248"/>
    <w:rsid w:val="24B228BF"/>
    <w:rsid w:val="24BC54EC"/>
    <w:rsid w:val="24DE364C"/>
    <w:rsid w:val="24EF440E"/>
    <w:rsid w:val="25007ACF"/>
    <w:rsid w:val="25076767"/>
    <w:rsid w:val="25191A92"/>
    <w:rsid w:val="25290357"/>
    <w:rsid w:val="253C3B25"/>
    <w:rsid w:val="25513E86"/>
    <w:rsid w:val="255F5B0A"/>
    <w:rsid w:val="25664EB1"/>
    <w:rsid w:val="257302A1"/>
    <w:rsid w:val="2573629D"/>
    <w:rsid w:val="257B7E43"/>
    <w:rsid w:val="25A7022D"/>
    <w:rsid w:val="25B06295"/>
    <w:rsid w:val="25C32FD6"/>
    <w:rsid w:val="25C603D0"/>
    <w:rsid w:val="25E1520A"/>
    <w:rsid w:val="25E2513A"/>
    <w:rsid w:val="25F45922"/>
    <w:rsid w:val="25FD2F48"/>
    <w:rsid w:val="261E645E"/>
    <w:rsid w:val="262E21CA"/>
    <w:rsid w:val="26713F63"/>
    <w:rsid w:val="26753166"/>
    <w:rsid w:val="267B561B"/>
    <w:rsid w:val="267C5A99"/>
    <w:rsid w:val="2682148D"/>
    <w:rsid w:val="26832765"/>
    <w:rsid w:val="268D22B5"/>
    <w:rsid w:val="269240CC"/>
    <w:rsid w:val="269A47B4"/>
    <w:rsid w:val="269E759F"/>
    <w:rsid w:val="26A526DC"/>
    <w:rsid w:val="26A5448A"/>
    <w:rsid w:val="26BF5BA2"/>
    <w:rsid w:val="26CB1A16"/>
    <w:rsid w:val="26D96B5A"/>
    <w:rsid w:val="26EC7F5B"/>
    <w:rsid w:val="27016CF5"/>
    <w:rsid w:val="27175BDC"/>
    <w:rsid w:val="271B299E"/>
    <w:rsid w:val="271E071C"/>
    <w:rsid w:val="272B00CD"/>
    <w:rsid w:val="27381EB7"/>
    <w:rsid w:val="275E5E47"/>
    <w:rsid w:val="276C4FA7"/>
    <w:rsid w:val="27924AA1"/>
    <w:rsid w:val="27942BC4"/>
    <w:rsid w:val="27962E21"/>
    <w:rsid w:val="279768B3"/>
    <w:rsid w:val="279A19EA"/>
    <w:rsid w:val="27B169B4"/>
    <w:rsid w:val="27B21745"/>
    <w:rsid w:val="27B32BD6"/>
    <w:rsid w:val="27B45C73"/>
    <w:rsid w:val="27B911ED"/>
    <w:rsid w:val="27D27F60"/>
    <w:rsid w:val="27E744FA"/>
    <w:rsid w:val="27F83B89"/>
    <w:rsid w:val="27FE146D"/>
    <w:rsid w:val="28037CCB"/>
    <w:rsid w:val="28321D4D"/>
    <w:rsid w:val="283E36E3"/>
    <w:rsid w:val="283F446A"/>
    <w:rsid w:val="284675E2"/>
    <w:rsid w:val="284E0B22"/>
    <w:rsid w:val="28543497"/>
    <w:rsid w:val="28630B61"/>
    <w:rsid w:val="286C012F"/>
    <w:rsid w:val="286E4D4F"/>
    <w:rsid w:val="289B5942"/>
    <w:rsid w:val="28B77612"/>
    <w:rsid w:val="28BB465F"/>
    <w:rsid w:val="28D728F5"/>
    <w:rsid w:val="28E55011"/>
    <w:rsid w:val="28F25980"/>
    <w:rsid w:val="29012269"/>
    <w:rsid w:val="291451AB"/>
    <w:rsid w:val="29157417"/>
    <w:rsid w:val="29285E0F"/>
    <w:rsid w:val="294477FD"/>
    <w:rsid w:val="2947617E"/>
    <w:rsid w:val="29505C1F"/>
    <w:rsid w:val="296323DA"/>
    <w:rsid w:val="297158AB"/>
    <w:rsid w:val="29807966"/>
    <w:rsid w:val="299D065B"/>
    <w:rsid w:val="29B50FF4"/>
    <w:rsid w:val="29C02FCD"/>
    <w:rsid w:val="29C63807"/>
    <w:rsid w:val="29EB45D3"/>
    <w:rsid w:val="2A0312F6"/>
    <w:rsid w:val="2A07685B"/>
    <w:rsid w:val="2A0A72B2"/>
    <w:rsid w:val="2A102562"/>
    <w:rsid w:val="2A125E2D"/>
    <w:rsid w:val="2A250422"/>
    <w:rsid w:val="2A2569D8"/>
    <w:rsid w:val="2A2F7528"/>
    <w:rsid w:val="2A3E46F3"/>
    <w:rsid w:val="2A5F36CE"/>
    <w:rsid w:val="2A613F70"/>
    <w:rsid w:val="2A7975D0"/>
    <w:rsid w:val="2A7B46D0"/>
    <w:rsid w:val="2A7E694A"/>
    <w:rsid w:val="2A88405F"/>
    <w:rsid w:val="2AB54EB7"/>
    <w:rsid w:val="2AC03F74"/>
    <w:rsid w:val="2AC86999"/>
    <w:rsid w:val="2ACD4D90"/>
    <w:rsid w:val="2ADC43C4"/>
    <w:rsid w:val="2AE07B98"/>
    <w:rsid w:val="2AE337D3"/>
    <w:rsid w:val="2B057BED"/>
    <w:rsid w:val="2B1B36C2"/>
    <w:rsid w:val="2B3C1AAA"/>
    <w:rsid w:val="2B77216D"/>
    <w:rsid w:val="2B7A42C1"/>
    <w:rsid w:val="2B82668D"/>
    <w:rsid w:val="2B8C19B3"/>
    <w:rsid w:val="2B9A7EB4"/>
    <w:rsid w:val="2BB8407D"/>
    <w:rsid w:val="2BBE24DE"/>
    <w:rsid w:val="2BBF0C02"/>
    <w:rsid w:val="2BC270C8"/>
    <w:rsid w:val="2BDD28EB"/>
    <w:rsid w:val="2BE5357A"/>
    <w:rsid w:val="2BEC66B7"/>
    <w:rsid w:val="2BF43094"/>
    <w:rsid w:val="2BF909AA"/>
    <w:rsid w:val="2BFC0D12"/>
    <w:rsid w:val="2C016606"/>
    <w:rsid w:val="2C0757B7"/>
    <w:rsid w:val="2C153E60"/>
    <w:rsid w:val="2C1E422F"/>
    <w:rsid w:val="2C3818FC"/>
    <w:rsid w:val="2C5950A4"/>
    <w:rsid w:val="2C660130"/>
    <w:rsid w:val="2C73502A"/>
    <w:rsid w:val="2CAD3317"/>
    <w:rsid w:val="2CB9711D"/>
    <w:rsid w:val="2CDA0C05"/>
    <w:rsid w:val="2CEA52EC"/>
    <w:rsid w:val="2CF3363A"/>
    <w:rsid w:val="2D000C25"/>
    <w:rsid w:val="2D0F4DB4"/>
    <w:rsid w:val="2D2D36A5"/>
    <w:rsid w:val="2D365B16"/>
    <w:rsid w:val="2D4B38B1"/>
    <w:rsid w:val="2D5646DC"/>
    <w:rsid w:val="2D584691"/>
    <w:rsid w:val="2D6D2070"/>
    <w:rsid w:val="2D9708A4"/>
    <w:rsid w:val="2D9D0838"/>
    <w:rsid w:val="2D9E1C33"/>
    <w:rsid w:val="2DB652A4"/>
    <w:rsid w:val="2DB943B8"/>
    <w:rsid w:val="2DBA2F11"/>
    <w:rsid w:val="2DBB2419"/>
    <w:rsid w:val="2DBF7001"/>
    <w:rsid w:val="2DC26166"/>
    <w:rsid w:val="2DCF44E2"/>
    <w:rsid w:val="2DD13DB6"/>
    <w:rsid w:val="2DD903A8"/>
    <w:rsid w:val="2DEA2F76"/>
    <w:rsid w:val="2DF041FF"/>
    <w:rsid w:val="2DF05F6F"/>
    <w:rsid w:val="2DF76E1B"/>
    <w:rsid w:val="2DFD2DFD"/>
    <w:rsid w:val="2E020414"/>
    <w:rsid w:val="2E10357E"/>
    <w:rsid w:val="2E177A17"/>
    <w:rsid w:val="2E1B30B3"/>
    <w:rsid w:val="2E310CF9"/>
    <w:rsid w:val="2E3E487D"/>
    <w:rsid w:val="2E41360C"/>
    <w:rsid w:val="2E450300"/>
    <w:rsid w:val="2E607FBE"/>
    <w:rsid w:val="2E615CAF"/>
    <w:rsid w:val="2E64456A"/>
    <w:rsid w:val="2E7264C5"/>
    <w:rsid w:val="2E7653DE"/>
    <w:rsid w:val="2E842882"/>
    <w:rsid w:val="2E8C6A3D"/>
    <w:rsid w:val="2EB508B8"/>
    <w:rsid w:val="2ED71BB4"/>
    <w:rsid w:val="2EF47A31"/>
    <w:rsid w:val="2F04472C"/>
    <w:rsid w:val="2F066396"/>
    <w:rsid w:val="2F2220C8"/>
    <w:rsid w:val="2F2655A5"/>
    <w:rsid w:val="2F30138F"/>
    <w:rsid w:val="2F5628C1"/>
    <w:rsid w:val="2F666780"/>
    <w:rsid w:val="2F6C2646"/>
    <w:rsid w:val="2F715851"/>
    <w:rsid w:val="2F81781A"/>
    <w:rsid w:val="2F8310E0"/>
    <w:rsid w:val="2FBA6AB0"/>
    <w:rsid w:val="2FDA5233"/>
    <w:rsid w:val="30186987"/>
    <w:rsid w:val="30383160"/>
    <w:rsid w:val="30396B3B"/>
    <w:rsid w:val="303D3D8D"/>
    <w:rsid w:val="30410449"/>
    <w:rsid w:val="304B34C7"/>
    <w:rsid w:val="304C3BC8"/>
    <w:rsid w:val="306F3884"/>
    <w:rsid w:val="30817D16"/>
    <w:rsid w:val="308C6F5A"/>
    <w:rsid w:val="3095731D"/>
    <w:rsid w:val="30977539"/>
    <w:rsid w:val="30AE1C64"/>
    <w:rsid w:val="30B654E5"/>
    <w:rsid w:val="30B73737"/>
    <w:rsid w:val="30C65728"/>
    <w:rsid w:val="30D06AF0"/>
    <w:rsid w:val="30DC1248"/>
    <w:rsid w:val="30E16401"/>
    <w:rsid w:val="30F229C1"/>
    <w:rsid w:val="30F93D50"/>
    <w:rsid w:val="310149B3"/>
    <w:rsid w:val="31175F84"/>
    <w:rsid w:val="313C3C3D"/>
    <w:rsid w:val="31405015"/>
    <w:rsid w:val="31537EEC"/>
    <w:rsid w:val="31591892"/>
    <w:rsid w:val="316F0F32"/>
    <w:rsid w:val="31736100"/>
    <w:rsid w:val="31750446"/>
    <w:rsid w:val="31773981"/>
    <w:rsid w:val="318F234F"/>
    <w:rsid w:val="319C6FC9"/>
    <w:rsid w:val="3205097C"/>
    <w:rsid w:val="3219245E"/>
    <w:rsid w:val="323677EC"/>
    <w:rsid w:val="32382656"/>
    <w:rsid w:val="323827BE"/>
    <w:rsid w:val="3240775C"/>
    <w:rsid w:val="32495754"/>
    <w:rsid w:val="32541D1E"/>
    <w:rsid w:val="32601BAD"/>
    <w:rsid w:val="32605AA8"/>
    <w:rsid w:val="32615E04"/>
    <w:rsid w:val="326849A2"/>
    <w:rsid w:val="326B0F6E"/>
    <w:rsid w:val="327B69E7"/>
    <w:rsid w:val="328126D8"/>
    <w:rsid w:val="3284589B"/>
    <w:rsid w:val="32847649"/>
    <w:rsid w:val="32A04DB4"/>
    <w:rsid w:val="32BB4137"/>
    <w:rsid w:val="32C57C62"/>
    <w:rsid w:val="32D07FAA"/>
    <w:rsid w:val="32DE0BF1"/>
    <w:rsid w:val="32E158F1"/>
    <w:rsid w:val="33031007"/>
    <w:rsid w:val="330A1B9B"/>
    <w:rsid w:val="331C3D26"/>
    <w:rsid w:val="33341058"/>
    <w:rsid w:val="333472C1"/>
    <w:rsid w:val="33501C21"/>
    <w:rsid w:val="3361588C"/>
    <w:rsid w:val="33797999"/>
    <w:rsid w:val="338032CF"/>
    <w:rsid w:val="339F17B8"/>
    <w:rsid w:val="339F3BDD"/>
    <w:rsid w:val="33A9773C"/>
    <w:rsid w:val="33BE302F"/>
    <w:rsid w:val="33CE4708"/>
    <w:rsid w:val="33D00CCC"/>
    <w:rsid w:val="33DE722D"/>
    <w:rsid w:val="33E93AE7"/>
    <w:rsid w:val="33FB47B2"/>
    <w:rsid w:val="33FE062C"/>
    <w:rsid w:val="34000F51"/>
    <w:rsid w:val="34056B2D"/>
    <w:rsid w:val="340D123D"/>
    <w:rsid w:val="340D402A"/>
    <w:rsid w:val="34117F4A"/>
    <w:rsid w:val="34157A69"/>
    <w:rsid w:val="342F04EE"/>
    <w:rsid w:val="343278F3"/>
    <w:rsid w:val="343773FE"/>
    <w:rsid w:val="344352BB"/>
    <w:rsid w:val="34565015"/>
    <w:rsid w:val="345F13D2"/>
    <w:rsid w:val="346614E2"/>
    <w:rsid w:val="346F44E7"/>
    <w:rsid w:val="3477121B"/>
    <w:rsid w:val="34833930"/>
    <w:rsid w:val="348576A9"/>
    <w:rsid w:val="34880F47"/>
    <w:rsid w:val="34C33940"/>
    <w:rsid w:val="34CE5612"/>
    <w:rsid w:val="34CF786E"/>
    <w:rsid w:val="34D67F04"/>
    <w:rsid w:val="34DA288E"/>
    <w:rsid w:val="34E07C21"/>
    <w:rsid w:val="34E11C57"/>
    <w:rsid w:val="34E43EEA"/>
    <w:rsid w:val="34F47C15"/>
    <w:rsid w:val="34F540BD"/>
    <w:rsid w:val="34FF3C2C"/>
    <w:rsid w:val="35063B46"/>
    <w:rsid w:val="35095EB0"/>
    <w:rsid w:val="351C3CD0"/>
    <w:rsid w:val="352F1E92"/>
    <w:rsid w:val="353763F9"/>
    <w:rsid w:val="353C79F3"/>
    <w:rsid w:val="353F5F9A"/>
    <w:rsid w:val="35600779"/>
    <w:rsid w:val="35657FED"/>
    <w:rsid w:val="35976ED7"/>
    <w:rsid w:val="35977693"/>
    <w:rsid w:val="35980087"/>
    <w:rsid w:val="35B84DAB"/>
    <w:rsid w:val="35C52894"/>
    <w:rsid w:val="35D07049"/>
    <w:rsid w:val="35F036ED"/>
    <w:rsid w:val="35FB5BA7"/>
    <w:rsid w:val="36021E5F"/>
    <w:rsid w:val="36327AC4"/>
    <w:rsid w:val="3634601F"/>
    <w:rsid w:val="36496AF6"/>
    <w:rsid w:val="36547421"/>
    <w:rsid w:val="365E6403"/>
    <w:rsid w:val="367251E5"/>
    <w:rsid w:val="36826596"/>
    <w:rsid w:val="36903B9D"/>
    <w:rsid w:val="369736C3"/>
    <w:rsid w:val="36C301B0"/>
    <w:rsid w:val="36C40C39"/>
    <w:rsid w:val="36C95739"/>
    <w:rsid w:val="36D6243D"/>
    <w:rsid w:val="36DE6128"/>
    <w:rsid w:val="36DE6652"/>
    <w:rsid w:val="36F01751"/>
    <w:rsid w:val="36FD0B04"/>
    <w:rsid w:val="370275A1"/>
    <w:rsid w:val="3709636F"/>
    <w:rsid w:val="370C2D55"/>
    <w:rsid w:val="370E7E29"/>
    <w:rsid w:val="37215DAE"/>
    <w:rsid w:val="372633C5"/>
    <w:rsid w:val="372F7F54"/>
    <w:rsid w:val="37425D25"/>
    <w:rsid w:val="374754B1"/>
    <w:rsid w:val="374E45F3"/>
    <w:rsid w:val="37624933"/>
    <w:rsid w:val="37710FF7"/>
    <w:rsid w:val="377870D5"/>
    <w:rsid w:val="378C7B63"/>
    <w:rsid w:val="37C01AB5"/>
    <w:rsid w:val="37C357B7"/>
    <w:rsid w:val="37C8480D"/>
    <w:rsid w:val="38107733"/>
    <w:rsid w:val="38156F95"/>
    <w:rsid w:val="38246750"/>
    <w:rsid w:val="382A0C93"/>
    <w:rsid w:val="382E7411"/>
    <w:rsid w:val="38552071"/>
    <w:rsid w:val="385F25BB"/>
    <w:rsid w:val="386609E8"/>
    <w:rsid w:val="387B2A25"/>
    <w:rsid w:val="38997BC6"/>
    <w:rsid w:val="38A0575D"/>
    <w:rsid w:val="38A14437"/>
    <w:rsid w:val="38AC16A8"/>
    <w:rsid w:val="38B577A9"/>
    <w:rsid w:val="38B74C05"/>
    <w:rsid w:val="38CC421D"/>
    <w:rsid w:val="38D16635"/>
    <w:rsid w:val="38D373E7"/>
    <w:rsid w:val="38FA57F0"/>
    <w:rsid w:val="3936186D"/>
    <w:rsid w:val="395104A1"/>
    <w:rsid w:val="39514E0B"/>
    <w:rsid w:val="39566F53"/>
    <w:rsid w:val="395941C6"/>
    <w:rsid w:val="39693A3D"/>
    <w:rsid w:val="397905D6"/>
    <w:rsid w:val="39864DE3"/>
    <w:rsid w:val="39976270"/>
    <w:rsid w:val="399C32F4"/>
    <w:rsid w:val="399D5638"/>
    <w:rsid w:val="39B41C18"/>
    <w:rsid w:val="39B653E7"/>
    <w:rsid w:val="39C538F9"/>
    <w:rsid w:val="39CF5727"/>
    <w:rsid w:val="39D210D0"/>
    <w:rsid w:val="39D31839"/>
    <w:rsid w:val="39D7425E"/>
    <w:rsid w:val="39F2758E"/>
    <w:rsid w:val="39F82FB1"/>
    <w:rsid w:val="3A086DB2"/>
    <w:rsid w:val="3A1C273B"/>
    <w:rsid w:val="3A255D6F"/>
    <w:rsid w:val="3A291776"/>
    <w:rsid w:val="3A2B2AA0"/>
    <w:rsid w:val="3A30455A"/>
    <w:rsid w:val="3A43382A"/>
    <w:rsid w:val="3A51108A"/>
    <w:rsid w:val="3A5C534F"/>
    <w:rsid w:val="3A604CCB"/>
    <w:rsid w:val="3A667F7C"/>
    <w:rsid w:val="3A6711EA"/>
    <w:rsid w:val="3A6B021B"/>
    <w:rsid w:val="3A6C27C7"/>
    <w:rsid w:val="3A7D77A0"/>
    <w:rsid w:val="3A7E7CFE"/>
    <w:rsid w:val="3A95616C"/>
    <w:rsid w:val="3AB03D58"/>
    <w:rsid w:val="3AC0143A"/>
    <w:rsid w:val="3AE72E6B"/>
    <w:rsid w:val="3AF31112"/>
    <w:rsid w:val="3AF71C4F"/>
    <w:rsid w:val="3B0C28E2"/>
    <w:rsid w:val="3B325752"/>
    <w:rsid w:val="3B4113F9"/>
    <w:rsid w:val="3B4503AF"/>
    <w:rsid w:val="3B4B164C"/>
    <w:rsid w:val="3B4C0F20"/>
    <w:rsid w:val="3B4F0A10"/>
    <w:rsid w:val="3B5E513D"/>
    <w:rsid w:val="3B6E2308"/>
    <w:rsid w:val="3B700B9E"/>
    <w:rsid w:val="3B7A70C3"/>
    <w:rsid w:val="3B8C568A"/>
    <w:rsid w:val="3B8C6B52"/>
    <w:rsid w:val="3B9265F7"/>
    <w:rsid w:val="3BB36501"/>
    <w:rsid w:val="3BC10F8A"/>
    <w:rsid w:val="3BCA0430"/>
    <w:rsid w:val="3BD66A3C"/>
    <w:rsid w:val="3BDC3F68"/>
    <w:rsid w:val="3BDD601C"/>
    <w:rsid w:val="3BE21884"/>
    <w:rsid w:val="3C0D7BA2"/>
    <w:rsid w:val="3C1464E6"/>
    <w:rsid w:val="3C1F3B0A"/>
    <w:rsid w:val="3C2F5079"/>
    <w:rsid w:val="3C3814A4"/>
    <w:rsid w:val="3C3D7460"/>
    <w:rsid w:val="3C616C4D"/>
    <w:rsid w:val="3C6248AD"/>
    <w:rsid w:val="3C795D45"/>
    <w:rsid w:val="3C820BF8"/>
    <w:rsid w:val="3C9A772E"/>
    <w:rsid w:val="3CB974FB"/>
    <w:rsid w:val="3CD16A6C"/>
    <w:rsid w:val="3CFC0724"/>
    <w:rsid w:val="3CFF2A56"/>
    <w:rsid w:val="3D015D3A"/>
    <w:rsid w:val="3D083C3D"/>
    <w:rsid w:val="3D0F0BF5"/>
    <w:rsid w:val="3D254DA7"/>
    <w:rsid w:val="3D31435C"/>
    <w:rsid w:val="3D367754"/>
    <w:rsid w:val="3D4D01FD"/>
    <w:rsid w:val="3D8116F1"/>
    <w:rsid w:val="3D842DB5"/>
    <w:rsid w:val="3D927E3F"/>
    <w:rsid w:val="3DB345FF"/>
    <w:rsid w:val="3DB41B96"/>
    <w:rsid w:val="3DD76D85"/>
    <w:rsid w:val="3DD83ABF"/>
    <w:rsid w:val="3DD86A9B"/>
    <w:rsid w:val="3DDA437C"/>
    <w:rsid w:val="3DEE4511"/>
    <w:rsid w:val="3DF461A3"/>
    <w:rsid w:val="3E03072B"/>
    <w:rsid w:val="3E0B6234"/>
    <w:rsid w:val="3E0C4997"/>
    <w:rsid w:val="3E104487"/>
    <w:rsid w:val="3E1516BF"/>
    <w:rsid w:val="3E201151"/>
    <w:rsid w:val="3E54572C"/>
    <w:rsid w:val="3E600BB4"/>
    <w:rsid w:val="3E704F26"/>
    <w:rsid w:val="3E726EF0"/>
    <w:rsid w:val="3E8A2129"/>
    <w:rsid w:val="3E8C3990"/>
    <w:rsid w:val="3EA90437"/>
    <w:rsid w:val="3EC534C3"/>
    <w:rsid w:val="3EDA4D3F"/>
    <w:rsid w:val="3F0B745A"/>
    <w:rsid w:val="3F1708AB"/>
    <w:rsid w:val="3F8A0269"/>
    <w:rsid w:val="3F8A3D39"/>
    <w:rsid w:val="3F8D0174"/>
    <w:rsid w:val="3F95226A"/>
    <w:rsid w:val="3F987717"/>
    <w:rsid w:val="3FD23300"/>
    <w:rsid w:val="3FF47042"/>
    <w:rsid w:val="3FF54785"/>
    <w:rsid w:val="3FFC0AB7"/>
    <w:rsid w:val="3FFF0B26"/>
    <w:rsid w:val="4001677D"/>
    <w:rsid w:val="400445D6"/>
    <w:rsid w:val="4015659C"/>
    <w:rsid w:val="401D268F"/>
    <w:rsid w:val="40271F5C"/>
    <w:rsid w:val="403D5DB4"/>
    <w:rsid w:val="40444047"/>
    <w:rsid w:val="40452250"/>
    <w:rsid w:val="40501155"/>
    <w:rsid w:val="405229A9"/>
    <w:rsid w:val="40534AFF"/>
    <w:rsid w:val="406D3E12"/>
    <w:rsid w:val="408175F7"/>
    <w:rsid w:val="40955117"/>
    <w:rsid w:val="409E45E2"/>
    <w:rsid w:val="40A52125"/>
    <w:rsid w:val="40AE436A"/>
    <w:rsid w:val="40B61FF8"/>
    <w:rsid w:val="40C7171A"/>
    <w:rsid w:val="40D724A1"/>
    <w:rsid w:val="40DB5220"/>
    <w:rsid w:val="40E72D37"/>
    <w:rsid w:val="40E8793D"/>
    <w:rsid w:val="40EF4827"/>
    <w:rsid w:val="4114603C"/>
    <w:rsid w:val="413E57AF"/>
    <w:rsid w:val="415A1391"/>
    <w:rsid w:val="415E5B0A"/>
    <w:rsid w:val="41801923"/>
    <w:rsid w:val="41965A41"/>
    <w:rsid w:val="41970D49"/>
    <w:rsid w:val="41A25D3E"/>
    <w:rsid w:val="41B92A4F"/>
    <w:rsid w:val="41C964B4"/>
    <w:rsid w:val="41D13F2D"/>
    <w:rsid w:val="41D517BE"/>
    <w:rsid w:val="41D5429B"/>
    <w:rsid w:val="41F92ABD"/>
    <w:rsid w:val="41FC1B6A"/>
    <w:rsid w:val="42332E3A"/>
    <w:rsid w:val="423C4D26"/>
    <w:rsid w:val="42416CF7"/>
    <w:rsid w:val="424D1C7F"/>
    <w:rsid w:val="425846A6"/>
    <w:rsid w:val="426137A1"/>
    <w:rsid w:val="42624E34"/>
    <w:rsid w:val="427F218F"/>
    <w:rsid w:val="42840AD6"/>
    <w:rsid w:val="42870A90"/>
    <w:rsid w:val="428B63CF"/>
    <w:rsid w:val="42AF67D0"/>
    <w:rsid w:val="42BC0E70"/>
    <w:rsid w:val="42C245CE"/>
    <w:rsid w:val="42C35F6C"/>
    <w:rsid w:val="42CE53D3"/>
    <w:rsid w:val="42CF6F4F"/>
    <w:rsid w:val="42DD0E52"/>
    <w:rsid w:val="42F25C9A"/>
    <w:rsid w:val="43055AE1"/>
    <w:rsid w:val="430976F7"/>
    <w:rsid w:val="431A0C24"/>
    <w:rsid w:val="43284021"/>
    <w:rsid w:val="432D1637"/>
    <w:rsid w:val="43386236"/>
    <w:rsid w:val="434E1C20"/>
    <w:rsid w:val="43620283"/>
    <w:rsid w:val="4363286E"/>
    <w:rsid w:val="437101AA"/>
    <w:rsid w:val="43741014"/>
    <w:rsid w:val="43A73BE3"/>
    <w:rsid w:val="43AE7A7E"/>
    <w:rsid w:val="43B01826"/>
    <w:rsid w:val="43C7383A"/>
    <w:rsid w:val="43CA157C"/>
    <w:rsid w:val="43CF502D"/>
    <w:rsid w:val="43E8521C"/>
    <w:rsid w:val="43FD36FF"/>
    <w:rsid w:val="440B02B4"/>
    <w:rsid w:val="441C5080"/>
    <w:rsid w:val="44233849"/>
    <w:rsid w:val="44496945"/>
    <w:rsid w:val="446B500C"/>
    <w:rsid w:val="448508DF"/>
    <w:rsid w:val="44BF18A2"/>
    <w:rsid w:val="44CF71AB"/>
    <w:rsid w:val="44E23735"/>
    <w:rsid w:val="44E26451"/>
    <w:rsid w:val="44E67CEF"/>
    <w:rsid w:val="44EA77F7"/>
    <w:rsid w:val="4517434D"/>
    <w:rsid w:val="45357785"/>
    <w:rsid w:val="45387766"/>
    <w:rsid w:val="453A760F"/>
    <w:rsid w:val="45491A3E"/>
    <w:rsid w:val="45503B28"/>
    <w:rsid w:val="45853082"/>
    <w:rsid w:val="45857508"/>
    <w:rsid w:val="45891F3C"/>
    <w:rsid w:val="4590274A"/>
    <w:rsid w:val="45905EAD"/>
    <w:rsid w:val="45A32084"/>
    <w:rsid w:val="45A8769B"/>
    <w:rsid w:val="45C344D5"/>
    <w:rsid w:val="45C864B7"/>
    <w:rsid w:val="45D264C6"/>
    <w:rsid w:val="45ED50AE"/>
    <w:rsid w:val="45FD0891"/>
    <w:rsid w:val="46185D52"/>
    <w:rsid w:val="46192347"/>
    <w:rsid w:val="46252A99"/>
    <w:rsid w:val="462C285E"/>
    <w:rsid w:val="4639249F"/>
    <w:rsid w:val="463A0304"/>
    <w:rsid w:val="464A4975"/>
    <w:rsid w:val="465670F7"/>
    <w:rsid w:val="4665558C"/>
    <w:rsid w:val="467C2D95"/>
    <w:rsid w:val="46805F22"/>
    <w:rsid w:val="468477C0"/>
    <w:rsid w:val="4689127A"/>
    <w:rsid w:val="4695468D"/>
    <w:rsid w:val="469A6A31"/>
    <w:rsid w:val="46C73B51"/>
    <w:rsid w:val="46CA3A9F"/>
    <w:rsid w:val="46D83FB0"/>
    <w:rsid w:val="46F25071"/>
    <w:rsid w:val="471553B4"/>
    <w:rsid w:val="471E6457"/>
    <w:rsid w:val="471F398D"/>
    <w:rsid w:val="47232D85"/>
    <w:rsid w:val="475F6267"/>
    <w:rsid w:val="4760207C"/>
    <w:rsid w:val="4766336A"/>
    <w:rsid w:val="47743C9D"/>
    <w:rsid w:val="478657BA"/>
    <w:rsid w:val="478B55A3"/>
    <w:rsid w:val="47906F17"/>
    <w:rsid w:val="479A7A31"/>
    <w:rsid w:val="479B1699"/>
    <w:rsid w:val="479B3721"/>
    <w:rsid w:val="47A10846"/>
    <w:rsid w:val="47AF51BF"/>
    <w:rsid w:val="47B81E12"/>
    <w:rsid w:val="47C12FC5"/>
    <w:rsid w:val="47D03B18"/>
    <w:rsid w:val="47DB1D58"/>
    <w:rsid w:val="47ED29D3"/>
    <w:rsid w:val="47EF74A3"/>
    <w:rsid w:val="47F50C9B"/>
    <w:rsid w:val="480C5CBF"/>
    <w:rsid w:val="480F1D14"/>
    <w:rsid w:val="4834394A"/>
    <w:rsid w:val="48390A7E"/>
    <w:rsid w:val="48515DC8"/>
    <w:rsid w:val="48531B40"/>
    <w:rsid w:val="485A65F3"/>
    <w:rsid w:val="48987720"/>
    <w:rsid w:val="489B34E7"/>
    <w:rsid w:val="489D4A92"/>
    <w:rsid w:val="48AA0D47"/>
    <w:rsid w:val="48AB437A"/>
    <w:rsid w:val="48B63E7D"/>
    <w:rsid w:val="48BB5E99"/>
    <w:rsid w:val="48C7608A"/>
    <w:rsid w:val="48E704DA"/>
    <w:rsid w:val="48E709AB"/>
    <w:rsid w:val="48FD1AAC"/>
    <w:rsid w:val="49074129"/>
    <w:rsid w:val="491C4628"/>
    <w:rsid w:val="491E413A"/>
    <w:rsid w:val="492B5D1A"/>
    <w:rsid w:val="49356195"/>
    <w:rsid w:val="493E72F4"/>
    <w:rsid w:val="49477CA3"/>
    <w:rsid w:val="495105E0"/>
    <w:rsid w:val="495530D2"/>
    <w:rsid w:val="495D4FB7"/>
    <w:rsid w:val="495F0F47"/>
    <w:rsid w:val="497F0713"/>
    <w:rsid w:val="49850611"/>
    <w:rsid w:val="49902920"/>
    <w:rsid w:val="499C3073"/>
    <w:rsid w:val="49B4660E"/>
    <w:rsid w:val="49E47F0A"/>
    <w:rsid w:val="4A221E06"/>
    <w:rsid w:val="4A2C05A1"/>
    <w:rsid w:val="4A487A49"/>
    <w:rsid w:val="4A563B69"/>
    <w:rsid w:val="4A661827"/>
    <w:rsid w:val="4A77137D"/>
    <w:rsid w:val="4A995804"/>
    <w:rsid w:val="4A9D3546"/>
    <w:rsid w:val="4AAA5C63"/>
    <w:rsid w:val="4AAC19DB"/>
    <w:rsid w:val="4ABE4002"/>
    <w:rsid w:val="4AD3789D"/>
    <w:rsid w:val="4AE61558"/>
    <w:rsid w:val="4AE629A4"/>
    <w:rsid w:val="4AF93679"/>
    <w:rsid w:val="4B1E0386"/>
    <w:rsid w:val="4B2B6DA4"/>
    <w:rsid w:val="4B327DA5"/>
    <w:rsid w:val="4B483ECE"/>
    <w:rsid w:val="4B4D5DE5"/>
    <w:rsid w:val="4B53713F"/>
    <w:rsid w:val="4B5918B4"/>
    <w:rsid w:val="4B5E178B"/>
    <w:rsid w:val="4B7A3887"/>
    <w:rsid w:val="4B7D53C9"/>
    <w:rsid w:val="4B85293F"/>
    <w:rsid w:val="4B902502"/>
    <w:rsid w:val="4B9B344B"/>
    <w:rsid w:val="4BA44460"/>
    <w:rsid w:val="4BDB55FA"/>
    <w:rsid w:val="4BF70A34"/>
    <w:rsid w:val="4C017B05"/>
    <w:rsid w:val="4C0849EF"/>
    <w:rsid w:val="4C125927"/>
    <w:rsid w:val="4C3A3FC8"/>
    <w:rsid w:val="4C3D55C6"/>
    <w:rsid w:val="4C520360"/>
    <w:rsid w:val="4C583BC9"/>
    <w:rsid w:val="4C667A5B"/>
    <w:rsid w:val="4C823BCA"/>
    <w:rsid w:val="4C8C73CE"/>
    <w:rsid w:val="4C9F1330"/>
    <w:rsid w:val="4CA23096"/>
    <w:rsid w:val="4CAB3457"/>
    <w:rsid w:val="4CAF57B3"/>
    <w:rsid w:val="4CD82614"/>
    <w:rsid w:val="4CEA67EB"/>
    <w:rsid w:val="4CF124C7"/>
    <w:rsid w:val="4CF70170"/>
    <w:rsid w:val="4CF907DC"/>
    <w:rsid w:val="4CFA619E"/>
    <w:rsid w:val="4CFD777A"/>
    <w:rsid w:val="4D043409"/>
    <w:rsid w:val="4D201110"/>
    <w:rsid w:val="4D3431C7"/>
    <w:rsid w:val="4D526F59"/>
    <w:rsid w:val="4D650150"/>
    <w:rsid w:val="4D7F0CE1"/>
    <w:rsid w:val="4D981DA3"/>
    <w:rsid w:val="4D9A5B1B"/>
    <w:rsid w:val="4D9C7AE5"/>
    <w:rsid w:val="4DA229B3"/>
    <w:rsid w:val="4DB35F12"/>
    <w:rsid w:val="4DE03AC2"/>
    <w:rsid w:val="4DEF02BD"/>
    <w:rsid w:val="4DFB0EC4"/>
    <w:rsid w:val="4E0336C0"/>
    <w:rsid w:val="4E0D72D8"/>
    <w:rsid w:val="4E125FF9"/>
    <w:rsid w:val="4E214868"/>
    <w:rsid w:val="4E274307"/>
    <w:rsid w:val="4E383ED6"/>
    <w:rsid w:val="4E3B5C73"/>
    <w:rsid w:val="4E560D60"/>
    <w:rsid w:val="4E564593"/>
    <w:rsid w:val="4E703F51"/>
    <w:rsid w:val="4E802F63"/>
    <w:rsid w:val="4E8A5B90"/>
    <w:rsid w:val="4E942C0A"/>
    <w:rsid w:val="4E98220D"/>
    <w:rsid w:val="4EA67471"/>
    <w:rsid w:val="4EB7399D"/>
    <w:rsid w:val="4EB96475"/>
    <w:rsid w:val="4EC372F3"/>
    <w:rsid w:val="4ECD2716"/>
    <w:rsid w:val="4ED35788"/>
    <w:rsid w:val="4EE73AF5"/>
    <w:rsid w:val="4EE84EA5"/>
    <w:rsid w:val="4EEE4AF5"/>
    <w:rsid w:val="4F0B544D"/>
    <w:rsid w:val="4F0C0C9A"/>
    <w:rsid w:val="4F165675"/>
    <w:rsid w:val="4F301FB1"/>
    <w:rsid w:val="4F473A81"/>
    <w:rsid w:val="4F4F7329"/>
    <w:rsid w:val="4F5260B5"/>
    <w:rsid w:val="4F5543EF"/>
    <w:rsid w:val="4F56624C"/>
    <w:rsid w:val="4F58224C"/>
    <w:rsid w:val="4F5A7FFE"/>
    <w:rsid w:val="4F5B752C"/>
    <w:rsid w:val="4F5F701C"/>
    <w:rsid w:val="4F846A83"/>
    <w:rsid w:val="4F8B2726"/>
    <w:rsid w:val="4F8B4457"/>
    <w:rsid w:val="4FA41146"/>
    <w:rsid w:val="4FA90297"/>
    <w:rsid w:val="4FD80B7D"/>
    <w:rsid w:val="4FDA01F8"/>
    <w:rsid w:val="4FE561E5"/>
    <w:rsid w:val="4FF221C3"/>
    <w:rsid w:val="4FF27E90"/>
    <w:rsid w:val="4FF5172F"/>
    <w:rsid w:val="4FFA0634"/>
    <w:rsid w:val="500032A2"/>
    <w:rsid w:val="50146059"/>
    <w:rsid w:val="504E08AD"/>
    <w:rsid w:val="50575F45"/>
    <w:rsid w:val="505C4D01"/>
    <w:rsid w:val="506F4A92"/>
    <w:rsid w:val="507419FE"/>
    <w:rsid w:val="507C1E50"/>
    <w:rsid w:val="508B1CA1"/>
    <w:rsid w:val="50901457"/>
    <w:rsid w:val="509E5922"/>
    <w:rsid w:val="50A54F03"/>
    <w:rsid w:val="50AA168D"/>
    <w:rsid w:val="50AF4B30"/>
    <w:rsid w:val="50BC5CDC"/>
    <w:rsid w:val="50CA2BBB"/>
    <w:rsid w:val="50E74C38"/>
    <w:rsid w:val="50FC089B"/>
    <w:rsid w:val="50FD0D89"/>
    <w:rsid w:val="50FE2865"/>
    <w:rsid w:val="51024103"/>
    <w:rsid w:val="51025571"/>
    <w:rsid w:val="51071719"/>
    <w:rsid w:val="510819A0"/>
    <w:rsid w:val="51200E5F"/>
    <w:rsid w:val="5123009E"/>
    <w:rsid w:val="512C2CA7"/>
    <w:rsid w:val="512D289E"/>
    <w:rsid w:val="514152FB"/>
    <w:rsid w:val="51434ED1"/>
    <w:rsid w:val="514D0397"/>
    <w:rsid w:val="51595CED"/>
    <w:rsid w:val="516445A0"/>
    <w:rsid w:val="518956A9"/>
    <w:rsid w:val="51E101BC"/>
    <w:rsid w:val="521D4F6D"/>
    <w:rsid w:val="523A416D"/>
    <w:rsid w:val="52490C2A"/>
    <w:rsid w:val="5253273C"/>
    <w:rsid w:val="525505B5"/>
    <w:rsid w:val="5261544F"/>
    <w:rsid w:val="529414C0"/>
    <w:rsid w:val="52A01E26"/>
    <w:rsid w:val="52A52223"/>
    <w:rsid w:val="52B97CAE"/>
    <w:rsid w:val="52C504FB"/>
    <w:rsid w:val="52DC6BD6"/>
    <w:rsid w:val="52E13756"/>
    <w:rsid w:val="52E65840"/>
    <w:rsid w:val="52EF5C2D"/>
    <w:rsid w:val="52EF6909"/>
    <w:rsid w:val="52F47582"/>
    <w:rsid w:val="5311687F"/>
    <w:rsid w:val="531E71EE"/>
    <w:rsid w:val="5322283B"/>
    <w:rsid w:val="53230361"/>
    <w:rsid w:val="536270DB"/>
    <w:rsid w:val="5371534A"/>
    <w:rsid w:val="53720C63"/>
    <w:rsid w:val="53764934"/>
    <w:rsid w:val="537700D3"/>
    <w:rsid w:val="537A4622"/>
    <w:rsid w:val="53811681"/>
    <w:rsid w:val="538A520F"/>
    <w:rsid w:val="53933E3F"/>
    <w:rsid w:val="53AC4A7F"/>
    <w:rsid w:val="53B418CC"/>
    <w:rsid w:val="53F32910"/>
    <w:rsid w:val="53F4098D"/>
    <w:rsid w:val="53FC3AD9"/>
    <w:rsid w:val="53FE04C8"/>
    <w:rsid w:val="54206BE2"/>
    <w:rsid w:val="54297BB6"/>
    <w:rsid w:val="542B571F"/>
    <w:rsid w:val="54336DD4"/>
    <w:rsid w:val="543660C2"/>
    <w:rsid w:val="54375971"/>
    <w:rsid w:val="54453F00"/>
    <w:rsid w:val="544D196D"/>
    <w:rsid w:val="54723C7D"/>
    <w:rsid w:val="5478326E"/>
    <w:rsid w:val="547F6951"/>
    <w:rsid w:val="54854CE2"/>
    <w:rsid w:val="548965FC"/>
    <w:rsid w:val="548E5CAE"/>
    <w:rsid w:val="54905064"/>
    <w:rsid w:val="54931516"/>
    <w:rsid w:val="549F015A"/>
    <w:rsid w:val="54AF503F"/>
    <w:rsid w:val="54B25E40"/>
    <w:rsid w:val="54D730B0"/>
    <w:rsid w:val="54E812EA"/>
    <w:rsid w:val="54F76B5C"/>
    <w:rsid w:val="55020A87"/>
    <w:rsid w:val="550341FE"/>
    <w:rsid w:val="55042014"/>
    <w:rsid w:val="55210479"/>
    <w:rsid w:val="552A209A"/>
    <w:rsid w:val="55393BB8"/>
    <w:rsid w:val="55517407"/>
    <w:rsid w:val="55614C5E"/>
    <w:rsid w:val="556C5FEF"/>
    <w:rsid w:val="5572737D"/>
    <w:rsid w:val="55823A64"/>
    <w:rsid w:val="558C2621"/>
    <w:rsid w:val="55AD3652"/>
    <w:rsid w:val="55B9606B"/>
    <w:rsid w:val="55DE0E54"/>
    <w:rsid w:val="55EE4C56"/>
    <w:rsid w:val="55FF52A6"/>
    <w:rsid w:val="5633198E"/>
    <w:rsid w:val="563E5469"/>
    <w:rsid w:val="565A053D"/>
    <w:rsid w:val="566919C6"/>
    <w:rsid w:val="566C5546"/>
    <w:rsid w:val="56745BC9"/>
    <w:rsid w:val="568832FC"/>
    <w:rsid w:val="56907775"/>
    <w:rsid w:val="56C1236A"/>
    <w:rsid w:val="56CD56FA"/>
    <w:rsid w:val="56CF2CF8"/>
    <w:rsid w:val="56E34EAC"/>
    <w:rsid w:val="57016C0B"/>
    <w:rsid w:val="570203D1"/>
    <w:rsid w:val="571159E3"/>
    <w:rsid w:val="571D3ABE"/>
    <w:rsid w:val="571F6B78"/>
    <w:rsid w:val="57340D8E"/>
    <w:rsid w:val="57452F9B"/>
    <w:rsid w:val="57645BA3"/>
    <w:rsid w:val="576A1B6C"/>
    <w:rsid w:val="57805D82"/>
    <w:rsid w:val="579001D7"/>
    <w:rsid w:val="57936854"/>
    <w:rsid w:val="579848F6"/>
    <w:rsid w:val="57A22474"/>
    <w:rsid w:val="57AF0A2B"/>
    <w:rsid w:val="57C43A36"/>
    <w:rsid w:val="57F62116"/>
    <w:rsid w:val="580746F5"/>
    <w:rsid w:val="58101705"/>
    <w:rsid w:val="58335AD6"/>
    <w:rsid w:val="58346B6C"/>
    <w:rsid w:val="584265A5"/>
    <w:rsid w:val="58564D34"/>
    <w:rsid w:val="58707FAE"/>
    <w:rsid w:val="58733B38"/>
    <w:rsid w:val="58801DB1"/>
    <w:rsid w:val="58895B35"/>
    <w:rsid w:val="58906498"/>
    <w:rsid w:val="58C83D7C"/>
    <w:rsid w:val="58E7744A"/>
    <w:rsid w:val="59012EF2"/>
    <w:rsid w:val="5909370D"/>
    <w:rsid w:val="590D48EB"/>
    <w:rsid w:val="59495353"/>
    <w:rsid w:val="594B0611"/>
    <w:rsid w:val="594D4389"/>
    <w:rsid w:val="595D2922"/>
    <w:rsid w:val="59634E7E"/>
    <w:rsid w:val="597265E6"/>
    <w:rsid w:val="59943D66"/>
    <w:rsid w:val="5996188C"/>
    <w:rsid w:val="59A85569"/>
    <w:rsid w:val="59A90DF6"/>
    <w:rsid w:val="59B8686F"/>
    <w:rsid w:val="59B86AAB"/>
    <w:rsid w:val="59BF5B8E"/>
    <w:rsid w:val="59D027D3"/>
    <w:rsid w:val="59DE0C7A"/>
    <w:rsid w:val="59F04D56"/>
    <w:rsid w:val="59FD5DAF"/>
    <w:rsid w:val="5A125C89"/>
    <w:rsid w:val="5A417D7A"/>
    <w:rsid w:val="5A4C2893"/>
    <w:rsid w:val="5A4F7A61"/>
    <w:rsid w:val="5A6279C1"/>
    <w:rsid w:val="5A690D4F"/>
    <w:rsid w:val="5A77291D"/>
    <w:rsid w:val="5A852ECF"/>
    <w:rsid w:val="5A9C1659"/>
    <w:rsid w:val="5AA026B8"/>
    <w:rsid w:val="5AA116D7"/>
    <w:rsid w:val="5AAC7C87"/>
    <w:rsid w:val="5AB26B9A"/>
    <w:rsid w:val="5ADA1FF9"/>
    <w:rsid w:val="5AE821DA"/>
    <w:rsid w:val="5AED557F"/>
    <w:rsid w:val="5AF20641"/>
    <w:rsid w:val="5AFD1904"/>
    <w:rsid w:val="5B1552F3"/>
    <w:rsid w:val="5B2B4256"/>
    <w:rsid w:val="5B2C0607"/>
    <w:rsid w:val="5B3034F1"/>
    <w:rsid w:val="5B424CC5"/>
    <w:rsid w:val="5B4672E2"/>
    <w:rsid w:val="5B57504B"/>
    <w:rsid w:val="5B597015"/>
    <w:rsid w:val="5B63362E"/>
    <w:rsid w:val="5B755268"/>
    <w:rsid w:val="5B7B51DE"/>
    <w:rsid w:val="5B88241C"/>
    <w:rsid w:val="5B90055D"/>
    <w:rsid w:val="5B9C2FC5"/>
    <w:rsid w:val="5BA54987"/>
    <w:rsid w:val="5BA65FD3"/>
    <w:rsid w:val="5BC86521"/>
    <w:rsid w:val="5BDC51D2"/>
    <w:rsid w:val="5BDE39BF"/>
    <w:rsid w:val="5C082709"/>
    <w:rsid w:val="5C11169E"/>
    <w:rsid w:val="5C14060C"/>
    <w:rsid w:val="5C180F45"/>
    <w:rsid w:val="5C182A2D"/>
    <w:rsid w:val="5C2E582C"/>
    <w:rsid w:val="5C4C1E77"/>
    <w:rsid w:val="5C7639BC"/>
    <w:rsid w:val="5C981DBF"/>
    <w:rsid w:val="5CA13925"/>
    <w:rsid w:val="5CBC5AAE"/>
    <w:rsid w:val="5CD12F06"/>
    <w:rsid w:val="5CD85C43"/>
    <w:rsid w:val="5CF7084F"/>
    <w:rsid w:val="5D02548B"/>
    <w:rsid w:val="5D0273FA"/>
    <w:rsid w:val="5D147937"/>
    <w:rsid w:val="5D1634FA"/>
    <w:rsid w:val="5D2733FE"/>
    <w:rsid w:val="5D2A0341"/>
    <w:rsid w:val="5D521F6E"/>
    <w:rsid w:val="5D614E5A"/>
    <w:rsid w:val="5D7A4EBD"/>
    <w:rsid w:val="5D7B2AFB"/>
    <w:rsid w:val="5D9D4948"/>
    <w:rsid w:val="5DA07441"/>
    <w:rsid w:val="5DAB5B22"/>
    <w:rsid w:val="5DC34C1A"/>
    <w:rsid w:val="5DC664B8"/>
    <w:rsid w:val="5DCD5EDE"/>
    <w:rsid w:val="5DDB01B6"/>
    <w:rsid w:val="5DDD01B0"/>
    <w:rsid w:val="5DE227D8"/>
    <w:rsid w:val="5DEE4FE1"/>
    <w:rsid w:val="5E040F9B"/>
    <w:rsid w:val="5E163DAD"/>
    <w:rsid w:val="5E18199F"/>
    <w:rsid w:val="5E276BBA"/>
    <w:rsid w:val="5E4A34BA"/>
    <w:rsid w:val="5E5166CA"/>
    <w:rsid w:val="5E572B7B"/>
    <w:rsid w:val="5E622685"/>
    <w:rsid w:val="5E6230CD"/>
    <w:rsid w:val="5E837070"/>
    <w:rsid w:val="5E916EEA"/>
    <w:rsid w:val="5EB629D1"/>
    <w:rsid w:val="5ED929BD"/>
    <w:rsid w:val="5EE004CC"/>
    <w:rsid w:val="5EEF44C3"/>
    <w:rsid w:val="5EF64B87"/>
    <w:rsid w:val="5EFE24CD"/>
    <w:rsid w:val="5F1E02ED"/>
    <w:rsid w:val="5F5335CE"/>
    <w:rsid w:val="5F5F0972"/>
    <w:rsid w:val="5F6123D2"/>
    <w:rsid w:val="5F6E604F"/>
    <w:rsid w:val="5F781A34"/>
    <w:rsid w:val="5F7C6175"/>
    <w:rsid w:val="5F8C113D"/>
    <w:rsid w:val="5F9E149B"/>
    <w:rsid w:val="5F9E76ED"/>
    <w:rsid w:val="5FA55B60"/>
    <w:rsid w:val="5FB55859"/>
    <w:rsid w:val="5FEB2206"/>
    <w:rsid w:val="5FEE6A48"/>
    <w:rsid w:val="6028198E"/>
    <w:rsid w:val="602C2F4B"/>
    <w:rsid w:val="60457B68"/>
    <w:rsid w:val="605C4EB2"/>
    <w:rsid w:val="6060214E"/>
    <w:rsid w:val="6071387E"/>
    <w:rsid w:val="608C5797"/>
    <w:rsid w:val="60932B78"/>
    <w:rsid w:val="60B1182C"/>
    <w:rsid w:val="60B54E5F"/>
    <w:rsid w:val="60B60A66"/>
    <w:rsid w:val="60D67EB5"/>
    <w:rsid w:val="60E72435"/>
    <w:rsid w:val="60F12408"/>
    <w:rsid w:val="60F915AE"/>
    <w:rsid w:val="61085853"/>
    <w:rsid w:val="611834CF"/>
    <w:rsid w:val="61186844"/>
    <w:rsid w:val="61196AEE"/>
    <w:rsid w:val="611D2893"/>
    <w:rsid w:val="612015DC"/>
    <w:rsid w:val="6138147B"/>
    <w:rsid w:val="613D3456"/>
    <w:rsid w:val="61482832"/>
    <w:rsid w:val="615C785F"/>
    <w:rsid w:val="6161246C"/>
    <w:rsid w:val="61742A83"/>
    <w:rsid w:val="617901B4"/>
    <w:rsid w:val="617A09D3"/>
    <w:rsid w:val="617A6407"/>
    <w:rsid w:val="617E2BD9"/>
    <w:rsid w:val="619C7C5C"/>
    <w:rsid w:val="61A66D2D"/>
    <w:rsid w:val="61A92379"/>
    <w:rsid w:val="61AB7F4F"/>
    <w:rsid w:val="61BA27D8"/>
    <w:rsid w:val="61BC7327"/>
    <w:rsid w:val="61D513C0"/>
    <w:rsid w:val="61F12BA4"/>
    <w:rsid w:val="61FC795F"/>
    <w:rsid w:val="62035F2D"/>
    <w:rsid w:val="62265778"/>
    <w:rsid w:val="622A0453"/>
    <w:rsid w:val="62347E94"/>
    <w:rsid w:val="62554D7B"/>
    <w:rsid w:val="62782477"/>
    <w:rsid w:val="62870321"/>
    <w:rsid w:val="6287090C"/>
    <w:rsid w:val="62892F39"/>
    <w:rsid w:val="62A52639"/>
    <w:rsid w:val="62AE5E99"/>
    <w:rsid w:val="62C313EC"/>
    <w:rsid w:val="62C751AC"/>
    <w:rsid w:val="62D2532D"/>
    <w:rsid w:val="62D32926"/>
    <w:rsid w:val="62E775FD"/>
    <w:rsid w:val="62EB1C80"/>
    <w:rsid w:val="62F11E84"/>
    <w:rsid w:val="6306529F"/>
    <w:rsid w:val="631D7704"/>
    <w:rsid w:val="63224191"/>
    <w:rsid w:val="632B7CB6"/>
    <w:rsid w:val="632C5010"/>
    <w:rsid w:val="632D6A8C"/>
    <w:rsid w:val="63326075"/>
    <w:rsid w:val="63577595"/>
    <w:rsid w:val="63666773"/>
    <w:rsid w:val="636D1281"/>
    <w:rsid w:val="63921C8F"/>
    <w:rsid w:val="63974B7F"/>
    <w:rsid w:val="639F7B81"/>
    <w:rsid w:val="63A252D2"/>
    <w:rsid w:val="63B56648"/>
    <w:rsid w:val="63BE7F46"/>
    <w:rsid w:val="63C546CA"/>
    <w:rsid w:val="63D43500"/>
    <w:rsid w:val="63E36016"/>
    <w:rsid w:val="64177A6E"/>
    <w:rsid w:val="64191A38"/>
    <w:rsid w:val="64463885"/>
    <w:rsid w:val="6468651B"/>
    <w:rsid w:val="646C6942"/>
    <w:rsid w:val="64754C21"/>
    <w:rsid w:val="648101EB"/>
    <w:rsid w:val="648F5856"/>
    <w:rsid w:val="64966BE4"/>
    <w:rsid w:val="64C649E5"/>
    <w:rsid w:val="64C971FC"/>
    <w:rsid w:val="64D17A33"/>
    <w:rsid w:val="64E536C8"/>
    <w:rsid w:val="6507446B"/>
    <w:rsid w:val="651F176C"/>
    <w:rsid w:val="651F307E"/>
    <w:rsid w:val="65243799"/>
    <w:rsid w:val="653730AD"/>
    <w:rsid w:val="65473BE4"/>
    <w:rsid w:val="654823B1"/>
    <w:rsid w:val="65670581"/>
    <w:rsid w:val="656E5DB3"/>
    <w:rsid w:val="65835BB3"/>
    <w:rsid w:val="658B7760"/>
    <w:rsid w:val="659514FA"/>
    <w:rsid w:val="65A71B0C"/>
    <w:rsid w:val="65AC2438"/>
    <w:rsid w:val="65B4203E"/>
    <w:rsid w:val="65BE6761"/>
    <w:rsid w:val="65C562C1"/>
    <w:rsid w:val="65DA30E2"/>
    <w:rsid w:val="65DC0944"/>
    <w:rsid w:val="65EB1B83"/>
    <w:rsid w:val="65EE7177"/>
    <w:rsid w:val="65FC3D56"/>
    <w:rsid w:val="660A61FF"/>
    <w:rsid w:val="6635457B"/>
    <w:rsid w:val="663B78CC"/>
    <w:rsid w:val="665E1984"/>
    <w:rsid w:val="66645598"/>
    <w:rsid w:val="66713242"/>
    <w:rsid w:val="66A57E71"/>
    <w:rsid w:val="66B75538"/>
    <w:rsid w:val="66BD4460"/>
    <w:rsid w:val="66C7577B"/>
    <w:rsid w:val="66D47A94"/>
    <w:rsid w:val="66E4759D"/>
    <w:rsid w:val="674B4F4A"/>
    <w:rsid w:val="674E19F8"/>
    <w:rsid w:val="67656D42"/>
    <w:rsid w:val="676A3DA6"/>
    <w:rsid w:val="676C1E7F"/>
    <w:rsid w:val="67773A51"/>
    <w:rsid w:val="679805D8"/>
    <w:rsid w:val="67BC3FEE"/>
    <w:rsid w:val="67CA7544"/>
    <w:rsid w:val="67D35A63"/>
    <w:rsid w:val="67D477F8"/>
    <w:rsid w:val="67F24A7A"/>
    <w:rsid w:val="67F325A0"/>
    <w:rsid w:val="67FF7C3A"/>
    <w:rsid w:val="68016A6B"/>
    <w:rsid w:val="680B5C35"/>
    <w:rsid w:val="6829477F"/>
    <w:rsid w:val="682F4FA9"/>
    <w:rsid w:val="68310698"/>
    <w:rsid w:val="68323C50"/>
    <w:rsid w:val="68376A2A"/>
    <w:rsid w:val="685A617B"/>
    <w:rsid w:val="686332F5"/>
    <w:rsid w:val="68646588"/>
    <w:rsid w:val="686E1C26"/>
    <w:rsid w:val="688232C2"/>
    <w:rsid w:val="68843A78"/>
    <w:rsid w:val="68996CA3"/>
    <w:rsid w:val="689F0599"/>
    <w:rsid w:val="68B43376"/>
    <w:rsid w:val="68B7537B"/>
    <w:rsid w:val="68DC3034"/>
    <w:rsid w:val="68DC4DE2"/>
    <w:rsid w:val="68F053F6"/>
    <w:rsid w:val="68F14D31"/>
    <w:rsid w:val="68F43A1E"/>
    <w:rsid w:val="69085BD7"/>
    <w:rsid w:val="69145603"/>
    <w:rsid w:val="692A1FF1"/>
    <w:rsid w:val="69423186"/>
    <w:rsid w:val="69432BE1"/>
    <w:rsid w:val="694D728A"/>
    <w:rsid w:val="69594684"/>
    <w:rsid w:val="697F233D"/>
    <w:rsid w:val="6988057F"/>
    <w:rsid w:val="699906A2"/>
    <w:rsid w:val="69A973BA"/>
    <w:rsid w:val="69AC12C2"/>
    <w:rsid w:val="69C40A40"/>
    <w:rsid w:val="69C411D0"/>
    <w:rsid w:val="69C62FFA"/>
    <w:rsid w:val="69D16911"/>
    <w:rsid w:val="69D501AF"/>
    <w:rsid w:val="69D86C6D"/>
    <w:rsid w:val="69E4001D"/>
    <w:rsid w:val="69FA48D7"/>
    <w:rsid w:val="69FF347E"/>
    <w:rsid w:val="6A0D6DC9"/>
    <w:rsid w:val="6A2B6021"/>
    <w:rsid w:val="6A4A19BA"/>
    <w:rsid w:val="6A564EBF"/>
    <w:rsid w:val="6A645FFB"/>
    <w:rsid w:val="6A6A2D90"/>
    <w:rsid w:val="6A701056"/>
    <w:rsid w:val="6A7A24EF"/>
    <w:rsid w:val="6A7E361E"/>
    <w:rsid w:val="6A9A2282"/>
    <w:rsid w:val="6ABB292C"/>
    <w:rsid w:val="6AC46CE5"/>
    <w:rsid w:val="6ACD0D45"/>
    <w:rsid w:val="6ACF10A2"/>
    <w:rsid w:val="6AE82164"/>
    <w:rsid w:val="6AEA4CF9"/>
    <w:rsid w:val="6AEA7C8A"/>
    <w:rsid w:val="6AF1726A"/>
    <w:rsid w:val="6AFE0C80"/>
    <w:rsid w:val="6B144D07"/>
    <w:rsid w:val="6B2A0779"/>
    <w:rsid w:val="6B2B1D80"/>
    <w:rsid w:val="6B3D3548"/>
    <w:rsid w:val="6B664EB6"/>
    <w:rsid w:val="6B841E8D"/>
    <w:rsid w:val="6BA87D31"/>
    <w:rsid w:val="6BB72998"/>
    <w:rsid w:val="6BBC73BD"/>
    <w:rsid w:val="6BC066B1"/>
    <w:rsid w:val="6BC56ACC"/>
    <w:rsid w:val="6BC8789F"/>
    <w:rsid w:val="6BEE37AA"/>
    <w:rsid w:val="6C0B1660"/>
    <w:rsid w:val="6C164AAF"/>
    <w:rsid w:val="6C256AA0"/>
    <w:rsid w:val="6C2C7E2E"/>
    <w:rsid w:val="6C523D39"/>
    <w:rsid w:val="6C533915"/>
    <w:rsid w:val="6C5506F2"/>
    <w:rsid w:val="6C7F31BE"/>
    <w:rsid w:val="6C8859AD"/>
    <w:rsid w:val="6CD91C0E"/>
    <w:rsid w:val="6CE01353"/>
    <w:rsid w:val="6CEA7AAC"/>
    <w:rsid w:val="6CF00E6E"/>
    <w:rsid w:val="6CF35CFC"/>
    <w:rsid w:val="6CF546C4"/>
    <w:rsid w:val="6CFA25E1"/>
    <w:rsid w:val="6CFE5C6F"/>
    <w:rsid w:val="6D2553A0"/>
    <w:rsid w:val="6D3F29A1"/>
    <w:rsid w:val="6D651DF3"/>
    <w:rsid w:val="6D6A3304"/>
    <w:rsid w:val="6D8D0DA1"/>
    <w:rsid w:val="6D995916"/>
    <w:rsid w:val="6D9E263C"/>
    <w:rsid w:val="6DB8406F"/>
    <w:rsid w:val="6DC26C9C"/>
    <w:rsid w:val="6DD658EE"/>
    <w:rsid w:val="6DD864C0"/>
    <w:rsid w:val="6DDD6E36"/>
    <w:rsid w:val="6DEC1C21"/>
    <w:rsid w:val="6E152319"/>
    <w:rsid w:val="6E3B0BAF"/>
    <w:rsid w:val="6E3E0629"/>
    <w:rsid w:val="6E45554E"/>
    <w:rsid w:val="6E501AEB"/>
    <w:rsid w:val="6E5E5CA6"/>
    <w:rsid w:val="6E7C11B5"/>
    <w:rsid w:val="6E7C32EF"/>
    <w:rsid w:val="6E7F556F"/>
    <w:rsid w:val="6E997C25"/>
    <w:rsid w:val="6E9F07E1"/>
    <w:rsid w:val="6EA14A30"/>
    <w:rsid w:val="6EA42846"/>
    <w:rsid w:val="6EB6105A"/>
    <w:rsid w:val="6EBA00D3"/>
    <w:rsid w:val="6EBD1212"/>
    <w:rsid w:val="6EC629FF"/>
    <w:rsid w:val="6EC7282F"/>
    <w:rsid w:val="6EC922AC"/>
    <w:rsid w:val="6ED21161"/>
    <w:rsid w:val="6F04413C"/>
    <w:rsid w:val="6F1C104C"/>
    <w:rsid w:val="6F255735"/>
    <w:rsid w:val="6F26499B"/>
    <w:rsid w:val="6F2F3282"/>
    <w:rsid w:val="6F35524C"/>
    <w:rsid w:val="6F467459"/>
    <w:rsid w:val="6F587A8E"/>
    <w:rsid w:val="6F5A7044"/>
    <w:rsid w:val="6F5D5506"/>
    <w:rsid w:val="6F600C59"/>
    <w:rsid w:val="6F7E2770"/>
    <w:rsid w:val="6F7F4719"/>
    <w:rsid w:val="6F800BBD"/>
    <w:rsid w:val="6F8776A7"/>
    <w:rsid w:val="6F8B4A66"/>
    <w:rsid w:val="6F957D21"/>
    <w:rsid w:val="6FA57C2A"/>
    <w:rsid w:val="6FC8405E"/>
    <w:rsid w:val="6FD175F7"/>
    <w:rsid w:val="6FD26F3F"/>
    <w:rsid w:val="6FD95378"/>
    <w:rsid w:val="6FEA24DA"/>
    <w:rsid w:val="6FF23B80"/>
    <w:rsid w:val="6FF670D1"/>
    <w:rsid w:val="70180DF5"/>
    <w:rsid w:val="701B6B38"/>
    <w:rsid w:val="703C1CAA"/>
    <w:rsid w:val="703E1108"/>
    <w:rsid w:val="704B7EBD"/>
    <w:rsid w:val="705B0CE2"/>
    <w:rsid w:val="7073427E"/>
    <w:rsid w:val="707F7FC1"/>
    <w:rsid w:val="70830694"/>
    <w:rsid w:val="7092075C"/>
    <w:rsid w:val="70AF49AD"/>
    <w:rsid w:val="70E234A9"/>
    <w:rsid w:val="70F257E2"/>
    <w:rsid w:val="712D7A96"/>
    <w:rsid w:val="71334F8E"/>
    <w:rsid w:val="713C2BF3"/>
    <w:rsid w:val="713F6856"/>
    <w:rsid w:val="71526589"/>
    <w:rsid w:val="715517E0"/>
    <w:rsid w:val="71682CDB"/>
    <w:rsid w:val="717C301D"/>
    <w:rsid w:val="718B55F7"/>
    <w:rsid w:val="719E17CE"/>
    <w:rsid w:val="71AC3CA8"/>
    <w:rsid w:val="71E67530"/>
    <w:rsid w:val="71F27DA7"/>
    <w:rsid w:val="71F552A8"/>
    <w:rsid w:val="71FB09CF"/>
    <w:rsid w:val="71FD3369"/>
    <w:rsid w:val="7208350E"/>
    <w:rsid w:val="72264502"/>
    <w:rsid w:val="72332BB4"/>
    <w:rsid w:val="723358B2"/>
    <w:rsid w:val="72363B93"/>
    <w:rsid w:val="72366F69"/>
    <w:rsid w:val="72534367"/>
    <w:rsid w:val="72546CCC"/>
    <w:rsid w:val="72571A57"/>
    <w:rsid w:val="72981E43"/>
    <w:rsid w:val="729D3834"/>
    <w:rsid w:val="729F57FE"/>
    <w:rsid w:val="72A66B8C"/>
    <w:rsid w:val="72AD5CE4"/>
    <w:rsid w:val="72BB344D"/>
    <w:rsid w:val="72BD396A"/>
    <w:rsid w:val="72EA334F"/>
    <w:rsid w:val="72ED47BB"/>
    <w:rsid w:val="730B241D"/>
    <w:rsid w:val="7325797A"/>
    <w:rsid w:val="734C24BD"/>
    <w:rsid w:val="734D525A"/>
    <w:rsid w:val="7357002D"/>
    <w:rsid w:val="73576104"/>
    <w:rsid w:val="7358775B"/>
    <w:rsid w:val="737A3B75"/>
    <w:rsid w:val="73815738"/>
    <w:rsid w:val="738B18DE"/>
    <w:rsid w:val="739F3A97"/>
    <w:rsid w:val="73AF1694"/>
    <w:rsid w:val="73B673EF"/>
    <w:rsid w:val="73BC5F3C"/>
    <w:rsid w:val="73F02366"/>
    <w:rsid w:val="7419338E"/>
    <w:rsid w:val="742254DD"/>
    <w:rsid w:val="7437180D"/>
    <w:rsid w:val="74391D4B"/>
    <w:rsid w:val="74483CFE"/>
    <w:rsid w:val="744B0DA7"/>
    <w:rsid w:val="744D3074"/>
    <w:rsid w:val="74624CC6"/>
    <w:rsid w:val="746A5AD3"/>
    <w:rsid w:val="74723306"/>
    <w:rsid w:val="747A2CC8"/>
    <w:rsid w:val="747F3641"/>
    <w:rsid w:val="74B579B7"/>
    <w:rsid w:val="74B9011A"/>
    <w:rsid w:val="74BB7061"/>
    <w:rsid w:val="74BD640F"/>
    <w:rsid w:val="74CE3EB2"/>
    <w:rsid w:val="74E0065A"/>
    <w:rsid w:val="74E82D21"/>
    <w:rsid w:val="74EF5E2E"/>
    <w:rsid w:val="74F82FA3"/>
    <w:rsid w:val="750E03C1"/>
    <w:rsid w:val="751C6251"/>
    <w:rsid w:val="751E470B"/>
    <w:rsid w:val="753D7B6A"/>
    <w:rsid w:val="754026A2"/>
    <w:rsid w:val="75404391"/>
    <w:rsid w:val="754226B0"/>
    <w:rsid w:val="75662603"/>
    <w:rsid w:val="75670772"/>
    <w:rsid w:val="757A60AE"/>
    <w:rsid w:val="757C44C8"/>
    <w:rsid w:val="759A09C5"/>
    <w:rsid w:val="75A6427E"/>
    <w:rsid w:val="75B243A7"/>
    <w:rsid w:val="75CA0DE4"/>
    <w:rsid w:val="75DE6DB1"/>
    <w:rsid w:val="75E1612D"/>
    <w:rsid w:val="75E572CF"/>
    <w:rsid w:val="75FB07A2"/>
    <w:rsid w:val="761375E4"/>
    <w:rsid w:val="7621477C"/>
    <w:rsid w:val="76217478"/>
    <w:rsid w:val="763C572C"/>
    <w:rsid w:val="765608C9"/>
    <w:rsid w:val="7666354F"/>
    <w:rsid w:val="766B6ECD"/>
    <w:rsid w:val="76855EB9"/>
    <w:rsid w:val="768A26FB"/>
    <w:rsid w:val="7692691E"/>
    <w:rsid w:val="76996365"/>
    <w:rsid w:val="769A10D0"/>
    <w:rsid w:val="76A07D97"/>
    <w:rsid w:val="76C2349E"/>
    <w:rsid w:val="76CB35EC"/>
    <w:rsid w:val="76CE66B2"/>
    <w:rsid w:val="76D054CE"/>
    <w:rsid w:val="77040C67"/>
    <w:rsid w:val="770B16B4"/>
    <w:rsid w:val="77112A42"/>
    <w:rsid w:val="77167266"/>
    <w:rsid w:val="77260AF8"/>
    <w:rsid w:val="773B587C"/>
    <w:rsid w:val="774271F2"/>
    <w:rsid w:val="77453760"/>
    <w:rsid w:val="774845AD"/>
    <w:rsid w:val="774E4E52"/>
    <w:rsid w:val="77653D55"/>
    <w:rsid w:val="776A7D9F"/>
    <w:rsid w:val="77734AD9"/>
    <w:rsid w:val="77767106"/>
    <w:rsid w:val="777C7EBC"/>
    <w:rsid w:val="778B45A3"/>
    <w:rsid w:val="77A25449"/>
    <w:rsid w:val="77AB2363"/>
    <w:rsid w:val="77F3466D"/>
    <w:rsid w:val="780127F5"/>
    <w:rsid w:val="78047EB1"/>
    <w:rsid w:val="7822274B"/>
    <w:rsid w:val="7840608D"/>
    <w:rsid w:val="78494C44"/>
    <w:rsid w:val="78594455"/>
    <w:rsid w:val="78786AB3"/>
    <w:rsid w:val="78882890"/>
    <w:rsid w:val="78911745"/>
    <w:rsid w:val="78955947"/>
    <w:rsid w:val="78AA588F"/>
    <w:rsid w:val="78B065B0"/>
    <w:rsid w:val="78B83176"/>
    <w:rsid w:val="78BB7662"/>
    <w:rsid w:val="78C33E4A"/>
    <w:rsid w:val="7901119D"/>
    <w:rsid w:val="790D3EA5"/>
    <w:rsid w:val="791B2495"/>
    <w:rsid w:val="791D2A50"/>
    <w:rsid w:val="79366F18"/>
    <w:rsid w:val="79393B8B"/>
    <w:rsid w:val="79432736"/>
    <w:rsid w:val="794C7D62"/>
    <w:rsid w:val="795B1D53"/>
    <w:rsid w:val="79660E81"/>
    <w:rsid w:val="797940FE"/>
    <w:rsid w:val="79813945"/>
    <w:rsid w:val="79AA4A14"/>
    <w:rsid w:val="79B17BC5"/>
    <w:rsid w:val="79B63FC9"/>
    <w:rsid w:val="79DE02DD"/>
    <w:rsid w:val="79E07E40"/>
    <w:rsid w:val="79EB5D1B"/>
    <w:rsid w:val="79F71A7C"/>
    <w:rsid w:val="79FC52E4"/>
    <w:rsid w:val="79FC6182"/>
    <w:rsid w:val="79FD2E0A"/>
    <w:rsid w:val="7A0A6F4F"/>
    <w:rsid w:val="7A1A1C0E"/>
    <w:rsid w:val="7A1B0D74"/>
    <w:rsid w:val="7A41363F"/>
    <w:rsid w:val="7A456F6D"/>
    <w:rsid w:val="7A5F16CA"/>
    <w:rsid w:val="7A710D8E"/>
    <w:rsid w:val="7AAA2F92"/>
    <w:rsid w:val="7AB1300F"/>
    <w:rsid w:val="7AB64E52"/>
    <w:rsid w:val="7ADA0EA4"/>
    <w:rsid w:val="7AE75FBC"/>
    <w:rsid w:val="7AFC56DC"/>
    <w:rsid w:val="7AFE508C"/>
    <w:rsid w:val="7B073F40"/>
    <w:rsid w:val="7B0D3216"/>
    <w:rsid w:val="7B345398"/>
    <w:rsid w:val="7B355131"/>
    <w:rsid w:val="7B4F7695"/>
    <w:rsid w:val="7B590C27"/>
    <w:rsid w:val="7B615D46"/>
    <w:rsid w:val="7B6C5EAB"/>
    <w:rsid w:val="7B7814A8"/>
    <w:rsid w:val="7B861DF2"/>
    <w:rsid w:val="7BA33013"/>
    <w:rsid w:val="7BD209F2"/>
    <w:rsid w:val="7BF702E8"/>
    <w:rsid w:val="7BFA0FA5"/>
    <w:rsid w:val="7BFE2BF5"/>
    <w:rsid w:val="7C0B3F04"/>
    <w:rsid w:val="7C134B67"/>
    <w:rsid w:val="7C162A9E"/>
    <w:rsid w:val="7C177BEA"/>
    <w:rsid w:val="7C1903CF"/>
    <w:rsid w:val="7C1D1542"/>
    <w:rsid w:val="7C206AB7"/>
    <w:rsid w:val="7C8646F6"/>
    <w:rsid w:val="7C876A78"/>
    <w:rsid w:val="7C9B46D0"/>
    <w:rsid w:val="7CA3413D"/>
    <w:rsid w:val="7CA95B93"/>
    <w:rsid w:val="7CBC0850"/>
    <w:rsid w:val="7CD3681B"/>
    <w:rsid w:val="7CD9190C"/>
    <w:rsid w:val="7CD97B5E"/>
    <w:rsid w:val="7CF20DD2"/>
    <w:rsid w:val="7CFF7134"/>
    <w:rsid w:val="7D0D49BE"/>
    <w:rsid w:val="7D621902"/>
    <w:rsid w:val="7D8603E2"/>
    <w:rsid w:val="7D9C553A"/>
    <w:rsid w:val="7DC9372F"/>
    <w:rsid w:val="7DD0508B"/>
    <w:rsid w:val="7DE4119D"/>
    <w:rsid w:val="7DEE5B58"/>
    <w:rsid w:val="7E0B1390"/>
    <w:rsid w:val="7E1470DA"/>
    <w:rsid w:val="7E2B13AE"/>
    <w:rsid w:val="7E321DB6"/>
    <w:rsid w:val="7E53749D"/>
    <w:rsid w:val="7E5C45A3"/>
    <w:rsid w:val="7E6B2A38"/>
    <w:rsid w:val="7EA224D8"/>
    <w:rsid w:val="7ED03245"/>
    <w:rsid w:val="7ED25E9B"/>
    <w:rsid w:val="7ED37D6E"/>
    <w:rsid w:val="7F2F7F0A"/>
    <w:rsid w:val="7F7D2EBD"/>
    <w:rsid w:val="7F8846F0"/>
    <w:rsid w:val="7F9D30C5"/>
    <w:rsid w:val="7FA04963"/>
    <w:rsid w:val="7FA73F44"/>
    <w:rsid w:val="7FAD2052"/>
    <w:rsid w:val="7FB0411E"/>
    <w:rsid w:val="7FCA5021"/>
    <w:rsid w:val="7FEA3B6F"/>
    <w:rsid w:val="7FEE5147"/>
    <w:rsid w:val="7FF32CE5"/>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image" Target="media/image2.png"/><Relationship Id="rId20" Type="http://schemas.openxmlformats.org/officeDocument/2006/relationships/image" Target="media/image1.pn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2757</Words>
  <Characters>7652</Characters>
  <Paragraphs>501</Paragraphs>
  <TotalTime>0</TotalTime>
  <ScaleCrop>false</ScaleCrop>
  <LinksUpToDate>false</LinksUpToDate>
  <CharactersWithSpaces>7672</CharactersWithSpaces>
  <Application>WPS Office_12.1.0.15120_F1E327BC-269C-435d-A152-05C5408002CA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2021-04-16T03:22:00Z</dcterms:created>
  <dc:creator>陈长军(本处室套红)</dc:creator>
  <cp:lastModifiedBy>半夏</cp:lastModifiedBy>
  <dcterms:modified xsi:type="dcterms:W3CDTF">2023-08-04T08:34:35Z</dcterms:modified>
  <dc:title>部门决算公开</dc:title>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2533214665424557B16CF4115249519F</vt:lpwstr>
  </property>
  <property fmtid="{D5CDD505-2E9C-101B-9397-08002B2CF9AE}" pid="5" name="KSOProductBuildVer">
    <vt:lpwstr>2052-12.1.0.15120</vt:lpwstr>
  </property>
  <property fmtid="{D5CDD505-2E9C-101B-9397-08002B2CF9AE}" pid="6" name="LastSaved">
    <vt:filetime>2021-04-15T00:00:00Z</vt:filetime>
  </property>
</Properties>
</file>