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2023年度</w:t>
              <w:br w:type="textWrapping"/>
              <w:t/>
            </w:r>
            <w:r>
              <w:rPr>
                <w:rFonts w:ascii="宋体" w:hAnsi="宋体" w:cs="宋体" w:eastAsia="宋体"/>
                <w:b w:val="true"/>
                <w:sz w:val="52"/>
              </w:rPr>
              <w:t>江阴市行业管理中心</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根据国家产业政策和产业导向，协助主管部门组织制定行业发展规划，提出行业发展的方向和重点并推进实施。分行业收集整理（纺织、服装、机械制造业、冶金、电子、化工、医药生物和新能源产业等）各行业的调整整合、发展规划材料，定期做好各行业的经济运行分析及行业发展重大问题的调研，分析制约经济发展的矛盾、难点和瓶颈，为促进经济发展提供参考。指导和帮助企业做好新品开发、创名牌、驰名商标、制订标准专利、科技创新等工作。配合主管部门做好小化工、小冶炼等五小企业的整治，淘汰落后产能、禁化武及安全生产等行业管理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1、按照工信局的部署，做好年度专项资金（中小微、服务型制造）项目申报工作。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2、继续做好江阴史志办布置的行业年鉴编制工作。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3、中国纺织工业联合会集群工作的延续性，以及根据省纺织协会的要求，对江阴市纺织服装区域品牌的调研工作。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4、继续贯彻服务基层企业，摸清行业的共性问题，积极呼吁，对上争取。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5、继续拓展交流取长补短，组织企业参加展示展览会，提高企业知名度。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6、完成局交办的其他工作。</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江阴市行业管理中心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江阴市行业管理中心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364.80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167.33</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28.45</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169.02</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364.80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364.80</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364.80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364.80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江阴市行业管理中心</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364.80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364.80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364.80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304007</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江阴市行业管理中心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364.80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364.80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364.80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江阴市行业管理中心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364.80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351.60</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167.33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154.13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商贸事务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167.33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154.13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2011350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154.13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154.13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2011399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其他商贸事务支出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28.45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28.45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152.24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152.24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江阴市行业管理中心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364.80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364.80</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364.80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167.33</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28.45</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169.02</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364.80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364.80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江阴市行业管理中心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364.80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351.60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332.58</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19.02</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154.13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19.02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商贸事务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154.13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19.02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2011350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154.13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154.13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19.02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2011399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其他商贸事务支出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28.45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14.35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14.35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14.35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169.02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152.24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152.24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152.24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江阴市行业管理中心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351.60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332.58</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201.17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50.95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131.36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江阴市行业管理中心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364.80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351.60</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332.58</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19.02</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154.13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商贸事务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154.13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2011350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154.13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154.13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2011399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其他商贸事务支出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28.45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28.45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28.45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169.02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152.24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152.24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江阴市行业管理中心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351.60</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332.58</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201.17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201.17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50.95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19.02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131.36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江阴市行业管理中心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0.18</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江阴市行业管理中心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江阴市行业管理中心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江阴市行业管理中心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江阴市行业管理中心</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江阴市行业管理中心2023年度收入、支出预算总计364.8万元，与上年相比收、支预算总计各减少23.57万元，减少6.07%。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（一）收入预算总计364.8万元。包括：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1．本年收入合计364.8万元。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（1）一般公共预算拨款收入364.8万元，与上年相比减少23.57万元，减少6.07%。主要原因是人员工资福利中奖金支出的减少。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（二）支出预算总计364.8万元。包括：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1．本年支出合计364.8万元。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167.33万元，主要用于人员的工资福利支出，划转人员的工资福利包括生活费、养老医疗公积金的支出，以及公用经费的支出。与上年相比减少24.91万元，减少12.96%。主要原因是工资福利中奖金支出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28.45万元，主要用于在职职工单位部分的基本养老金、职业年金和基本医疗保险等。与上年相比增加1.1万元，增长4.02%。主要原因是养老金职业年金及医疗保险基数调整后单位部分的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（3）住房保障支出（类）支出169.02万元，主要用于在职职工单位部分的公积金、在职职工的住房补贴以及退休职工的住房补贴。与上年相比增加0.24万元，增长0.14%。主要原因是退休人员住房补贴的调整。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江阴市行业管理中心2023年收入预算合计364.8万元，包括本年收入364.8万元，上年结转结余0万元。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本年一般公共预算收入364.8万元，占100%；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江阴市行业管理中心2023年支出预算合计364.8万元，其中：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基本支出351.6万元，占96.38%；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项目支出13.2万元，占3.62%；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江阴市行业管理中心2023年度财政拨款收、支总预算364.8万元。与上年相比，财政拨款收、支总计各减少23.57万元，减少6.07%。主要原因是人员工资福利中奖金支出的减少。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江阴市行业管理中心2023年财政拨款预算支出364.8万元，占本年支出合计的100%。与上年相比，财政拨款支出减少23.57万元，减少6.07%。主要原因是人员工资福利中奖金支出的减少。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1.商贸事务（款）事业运行（项）支出154.13万元，与上年相比减少31.71万元，减少17.06%。主要原因是人员工资福利中奖金支出的减少。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商贸事务（款）其他商贸事务支出（项）支出13.2万元，与上年相比增加6.8万元，增长106.25%。主要原因是2014年以后退休的4位划转人员（机构撤并后，并入的人员），经主管局及江阴市人力资源和社会保障局审批的一次性退休补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1.行政事业单位养老支出（款）机关事业单位基本养老保险缴费支出（项）支出14.35万元，与上年相比增加0.48万元，增长3.46%。主要原因是养老金计提基数调整。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2.行政事业单位养老支出（款）机关事业单位职业年金缴费支出（项）支出7.18万元，与上年相比增加0.24万元，增长3.46%。主要原因是职业年金计提基数调整。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3.其他社会保障和就业支出（款）其他社会保障和就业支出（项）支出6.92万元，与上年相比增加0.38万元，增长5.81%。主要原因是其他社会保障计提基数调整。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1.住房改革支出（款）住房公积金（项）支出16.78万元，与上年预算数相同。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2.住房改革支出（款）提租补贴（项）支出152.24万元，与上年相比增加0.24万元，增长0.16%。主要原因是退休人员住房补贴的调整。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江阴市行业管理中心2023年度财政拨款基本支出预算351.6万元，其中：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332.58万元。主要包括：基本工资、津贴补贴、奖金、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（二）公用经费19.02万元。主要包括：办公费、印刷费、差旅费、会议费、培训费、公务接待费、工会经费、其他交通费用、其他商品和服务支出。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江阴市行业管理中心2023年一般公共预算财政拨款支出预算364.8万元，与上年相比减少23.57万元，减少6.07%。主要原因是人员工资福利中奖金支出的减少。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江阴市行业管理中心2023年度一般公共预算财政拨款基本支出预算351.6万元，其中：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332.58万元。主要包括：基本工资、津贴补贴、奖金、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（二）公用经费19.02万元。主要包括：办公费、印刷费、差旅费、会议费、培训费、公务接待费、工会经费、其他交通费用、其他商品和服务支出。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行业管理中心2023年度一般公共预算拨款安排的“三公”经费预算支出中，因公出国（境）费支出0万元，占“三公”经费的0%；公务用车购置及运行维护费支出0万元，占“三公”经费的0%；公务接待费支出1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3．公务接待费预算支出1万元，比上年预算减少0.5万元，主要原因是压缩“三公”经费，压减公务接待费。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江阴市行业管理中心2023年度一般公共预算拨款安排的会议费预算支出0.18万元，比上年预算减少0.12万元，主要原因是压缩“三公”经费，压减会议费。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江阴市行业管理中心2023年度一般公共预算拨款安排的培训费预算支出0.1万元，比上年预算减少0.1万元，主要原因是压缩“三公”经费，压减培训费。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江阴市行业管理中心2023年政府性基金支出预算支出0万元。与上年预算数相同。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江阴市行业管理中心2023年国有资本经营预算支出0万元。与上年预算数相同。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2023年度，本单位整体支出纳入绩效目标管理，涉及财政性资金364.8万元；本单位共1个项目纳入绩效目标管理，涉及财政性资金合计13.2万元，占财政性资金(基本支出除外)总额的比例为100%。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八、一般公共服务支出(类)商贸事务(款)事业运行(项)</w:t>
      </w:r>
      <w:r>
        <w:rPr>
          <w:rFonts w:ascii="仿宋" w:hAnsi="仿宋" w:cs="仿宋" w:eastAsia="仿宋"/>
          <w:b w:val="true"/>
        </w:rPr>
        <w:t>：</w:t>
      </w:r>
      <w:r>
        <w:rPr>
          <w:rFonts w:hint="eastAsia" w:ascii="仿宋" w:hAnsi="仿宋" w:eastAsia="仿宋" w:cs="仿宋"/>
        </w:rPr>
        <w:t>反映事业单位的基本支出，不包括行政单位（包括实行公务员管理的事业单位）后勤服务中心、医务室等附属事业单位。</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九、一般公共服务支出(类)商贸事务(款)其他商贸事务支出(项)</w:t>
      </w:r>
      <w:r>
        <w:rPr>
          <w:rFonts w:ascii="仿宋" w:hAnsi="仿宋" w:cs="仿宋" w:eastAsia="仿宋"/>
          <w:b w:val="true"/>
        </w:rPr>
        <w:t>：</w:t>
      </w:r>
      <w:r>
        <w:rPr>
          <w:rFonts w:hint="eastAsia" w:ascii="仿宋" w:hAnsi="仿宋" w:eastAsia="仿宋" w:cs="仿宋"/>
        </w:rPr>
        <w:t>反映除上述项目以外其他用于商贸事务方面的支出。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江阴市行业管理中心</w:t>
    </w:r>
    <w:r>
      <w:t>2023</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