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2021年度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江阴市市场监管综合行政执法大队</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单位决算公开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eastAsia="黑体" w:cs="黑体"/>
        </w:rPr>
        <w:t>单位决算表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eastAsia="黑体" w:cs="黑体"/>
        </w:rPr>
        <w:t>单位决算情况说明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受市市场监督管理局委托，承担对不正当竟争、知识产权、价格、质量、纤维制品、特种设备、商务、食品、粮油、食盐、药品、医疗器械、化妆品、文化、旅游等领域，违反市场监管相关法律法规行为的查处工作（不含下放镇街的处罚事项）具体职责如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（一）参与反垄断执法工作，依法承担流通领域走私贩私及其他经济违法案件的查处工作；依法查处市场领域不正当竟争、侵犯知识产权、违法直销和传销、价格违法及其他经济违法违规行为。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（二）依法查处质量、计量、纤维制品、特种设备、商务领域违法违规行为。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（三）依法查处食品、保健食品、食盐、粮油领域违法违规行为；依法承担食盐生产、流通的质量监督工作。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（四）依法查处药品、医疗器械、化妆品流通领域的违法违规行为。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（五）依法查处文化市场、文物保护的违法违规行为；依法查处新闻出版、版权行业的违法违规行为；依法查处广播影视行业的违法违规行为。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（六）依法查处有关旅游的违法违规行为。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（七）负责指导镇（街道）市场监管综合执法业务工作，负</w:t>
      </w:r>
      <w:r>
        <w:rPr>
          <w:rFonts w:hint="eastAsia" w:ascii="仿宋" w:hAnsi="仿宋" w:eastAsia="仿宋" w:cs="仿宋"/>
          <w:lang w:val="en-US" w:eastAsia="zh-CN"/>
        </w:rPr>
        <w:t>责</w:t>
      </w:r>
      <w:bookmarkStart w:id="0" w:name="_GoBack"/>
      <w:bookmarkEnd w:id="0"/>
      <w:r>
        <w:rPr>
          <w:rFonts w:ascii="仿宋" w:hAnsi="仿宋" w:eastAsia="仿宋" w:cs="仿宋"/>
        </w:rPr>
        <w:t>组织全市市场监管综合执法人员的业务培训工作。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（八）落实本单位安全生产主体</w:t>
      </w:r>
      <w:r>
        <w:rPr>
          <w:rFonts w:hint="eastAsia" w:ascii="仿宋" w:hAnsi="仿宋" w:eastAsia="仿宋" w:cs="仿宋"/>
          <w:lang w:val="en-US" w:eastAsia="zh-CN"/>
        </w:rPr>
        <w:t>责</w:t>
      </w:r>
      <w:r>
        <w:rPr>
          <w:rFonts w:ascii="仿宋" w:hAnsi="仿宋" w:eastAsia="仿宋" w:cs="仿宋"/>
        </w:rPr>
        <w:t>任。</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（九）完成市市场监督管理局交办的其他任务。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eastAsia="黑体" w:cs="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一）综合科。负责大队内部综合管理和安全工作，负责大队内部案卷的审核、罚没物资管理和处置、案卷归档等工作。（二）一中队（工商价格执法中队）。负责市市场监督管理局依据有关规定明确管辖的市场主体准入、生产、经营交易中的违法案件和知识产权、广告、不正当竟争、违法直销和传销及价格等相关违法案件的查处；负责对市场监管镇街执法中队本领域执法工作的业务指导。（三）二中队（质量商务执法中队）。负责市市场监督管理局依据有关规定明确管辖的质量技术监督领域质量、纤维制品、标准、计量、特种设备安全、工业生产许可证和商务行政领域违法案件的查处；负责对市场监管镇街执法中队本领域执法工作的业务指导。（四）三中队（食品执法中队）。负责市市场监督管理局依据有关规定明确管辖的生产和流通领域食品、保健食品、餐饮、粮油、食盐违法案件的查处；负责对市场监管镇街执法中队本领域执法工作的业务指导。（五）四中队（药品医疗器械化妆品执法中队）。负责市市场监督管理局依据有关规定明确管辖的药品、医疗器械、化妆品流通领域违法案件的查处；负责对市场监管镇街执法中队本领域执法工作的业务指导。（六）五中队（文化旅游执法中队）。负责市市场监督管理局依据有关规定明确管辖的文化、广播电视、新闻出版和旅游等领域违法行为的查处；负责对市场监管镇街执法中队本领域执法工作的业务指导。（七）市场监管镇街执法中队。负责市市场监督管理局依据有关规定明确管辖的不正当竟争、知识产权、价格、质量、纤维制品、特种设备、商务、食品、粮油、食盐、药品、医疗器械、化妆品、文化、旅游等领域违法违规行为的查处。全市共设17个市场监管镇街执法中队：高新区中队、临港中队、澄南中队、澄北中队、要塞中队、南闸中队、云亭中队、磺土中队、青阳中队、徐霞客中队、华士中队、周庄中队、长泾中队、顾山中队、祝塘中队、新桥中队、月城中队。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聚焦主业，打假治劣不跑偏。始终坚持稽查工作“以案件领衔，靠案件支撑，用案件说话”的理念，续以典型案件、新型案件、重大案件为突破口，紧紧围绕民生、民企二个方向，多渠道拓展案源，持续推动执法办案求索、创新，强化破局思维，找准突破方向，查办一批、宣传一批涉及群众利益的精品案件，全面提高市场监管执法权威。</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2、行刑联动，查办大案不手软。执法大队始终将大案要案查办作为稽查工作的重中之重，进一步强化执法联动，对内加强协调指挥，对外深化联系沟通，力争再办大案，再立新功。</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与时俱进，提升能力不懈怠。在完成执法检查和案件查办的同时，将提升大队队及分局执法人员的业务能力放在首要位置。大队将进一步定期组织召开执法联络员会，交流执法心得，分析案件类型，探讨办案技巧，不断拓展稽查办案思路。</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清正廉洁，严格执法不动摇。始终牢记市场人的初心使命，在学懂、弄通、做实的基础上，领会贯通并落实到日常执法工作中。认真参加局组织的各类学习教育，并在每次的会议上强调工作纪律，要求执法工作做到严格现场检查、严格处罚程序、严肃执法纪律。强化执法人员依法行政、规范执法、文明执法意识,不断提升稽查执法人员的职业道德水平，自觉抵制稽查工作面临诱惑，努力打造一支政治过硬、作风优良、业务精湛、清正廉洁、人民满意的稽查执法队伍。</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江阴市市场监管综合行政执法大队</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color w:val="000000"/>
                <w:sz w:val="22"/>
                <w:szCs w:val="22"/>
                <w:lang w:eastAsia="ar-SA"/>
              </w:rPr>
              <w:t>江阴市市场监管综合行政执法大队</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3,373.11</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2,204.66</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367.74</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800.71</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3,373.11</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3,373.11</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3,373.11</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3,373.11</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3,373.11</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3,373.11</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市场监督管理事务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367.74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367.74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275.11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275.11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800.71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800.71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800.71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800.71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238.95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238.95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298.05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298.05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263.71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263.71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3,373.11</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3,373.11</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2,204.66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2,204.66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市场监督管理事务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2,204.66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2,204.66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2,204.66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2,204.66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367.74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367.74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275.11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275.11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183.41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183.41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91.70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91.70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800.71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800.71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800.71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800.71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238.95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238.95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298.05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298.05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263.71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263.71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江阴市市场监管综合行政执法大队</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3,373.11</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2,204.66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2,204.66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367.74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367.74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800.71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800.71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3,373.11</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3,373.11</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3,373.11</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3,373.11</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3,373.11</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3,373.11</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3,373.11</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3,373.11</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2,204.66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2,204.66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2,204.66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2,204.66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2,204.66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2,204.66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367.74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367.74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275.11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275.11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183.41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183.41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91.70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800.71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800.71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800.71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800.71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238.95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238.95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298.05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298.05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263.71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263.71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江阴市市场监管综合行政执法大队</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3,373.11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3,071.91</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301.20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3,006.45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3,006.45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314.56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1,215.76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720.91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80.74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238.95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115.66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65.46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3,373.11</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3,373.11</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2,204.66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367.74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367.74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275.11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275.11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800.71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800.71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800.71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800.71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238.95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238.95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298.05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298.05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263.71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263.71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3,373.11</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3,071.91</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301.20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3,006.45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3,006.45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314.56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1,215.76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1,215.76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720.91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720.91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183.41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80.74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80.74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238.95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238.95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115.66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299.22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65.46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57.77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47.30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45.90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45.90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19.20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19.14</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19.14</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0.06</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17</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12</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本单位无政府性基金预算收入支出决算，故本表为空。</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301.20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299.22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40.03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2.46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9.54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2.70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0.79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0.64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0.06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20.99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0.47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79.85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13.07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19.14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98.94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9.19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r>
        <w:rPr>
          <w:rFonts w:hint="eastAsia" w:ascii="仿宋" w:hAnsi="仿宋" w:eastAsia="仿宋" w:cs="仿宋"/>
          <w:b w:val="0"/>
          <w:bCs w:val="0"/>
          <w:sz w:val="22"/>
          <w:szCs w:val="22"/>
        </w:rPr>
        <w:t>。</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eastAsia="宋体" w:cs="宋体"/>
          <w:b/>
          <w:color w:val="000000"/>
          <w:sz w:val="36"/>
        </w:rPr>
        <w:t>单位决算情况说明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2021年度收入、支出决算总计3,373.11万元。与上年相比，收、支总计各增加164.49万元，增长5.13%。其中：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（一）收入决算总计3,373.11万元。包括：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1.本年收入决算合计3,373.11万元。与上年相比，增加164.49万元，增长5.13%，变动原因：主要是住房保障支出增加。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2.使用非财政拨款结余0万元。与上年决算数相同。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3.年初结转和结余0万元。与上年决算数相同。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（二）支出决算总计3,373.11万元。包括：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1.本年支出决算合计3,373.11万元。与上年相比，增加164.49万元，增长5.13%，变动原因：主要是住房保障支出增加。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2.结余分配0万元。与上年决算数相同。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3.年末结转和结余0万元。与上年决算数相同。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本年收入决算合计3,373.11万元，其中：财政拨款收入3,373.11万元，占100%；上级补助收入0万元，占0%；财政专户管理教育收费0万元，占0%；事业收入（不含专户管理教育收费）0万元，占0%；经营收入0万元，占0%；附属单位上缴收入0万元，占0%；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2021年度本年支出决算合计3,373.11万元，其中：基本支出3,373.11万元，占100%；项目支出0万元，占0%；上缴上级支出0万元，占0%；经营支出0万元，占0%；对附属单位补助支出0万元，占0%。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2021年度财政拨款收入、支出决算总计3,373.11万元。与上年相比，收、支总计各增加164.49万元，增长5.13%，变动原因：主要是住房保障支出增加。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2021年度财政拨款支出决算3,373.11万元，占本年支出合计的100%。与2021年度财政拨款支出年初预算3,337.87万元相比，完成年初预算的101.06%。其中：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市场监督管理事务（款）行政运行（项）。年初预算2,510.36万元，支出决算2,204.66万元，完成年初预算的87.82%。决算数与年初预算数的差异原因：2021年度人员支出没有完成预算。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1.行政事业单位养老支出（款）机关事业单位基本养老保险缴费支出（项）。年初预算160.41万元，支出决算183.41万元，完成年初预算的114.34%。决算数与年初预算数的差异原因：人员变动和正常调整。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2.行政事业单位养老支出（款）机关事业单位职业年金缴费支出（项）。年初预算80.2万元，支出决算91.7万元，完成年初预算的114.34%。决算数与年初预算数的差异原因：人员变动和正常调整。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其他社会保障和就业支出（款）其他社会保障和就业支出（项）。年初预算0万元，支出决算92.63万元，（年初预算数为0万元，无法计算完成比率）。决算数与年初预算数的差异原因：功能科目调整，年初预算为市场监督管理事务（款）行政运行（项）），年末决算调整为其他社会保障和就业支出（款）其他社会保障和就业支出（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1.住房改革支出（款）住房公积金（项）。年初预算176.45万元，支出决算238.95万元，完成年初预算的135.42%。决算数与年初预算数的差异原因：人员变动和正常调整。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2.住房改革支出（款）提租补贴（项）。年初预算222.99万元，支出决算298.05万元，完成年初预算的133.66%。决算数与年初预算数的差异原因：人员变动和正常调整。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3.住房改革支出（款）购房补贴（项）。年初预算187.45万元，支出决算263.71万元，完成年初预算的140.68%。决算数与年初预算数的差异原因：人员变动和正常调整。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2021年度财政拨款基本支出决算3,373.11万元，其中：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（一）人员经费3,071.91万元。</w:t>
      </w:r>
      <w:r>
        <w:rPr>
          <w:rFonts w:ascii="仿宋" w:hAnsi="仿宋" w:eastAsia="仿宋" w:cs="仿宋"/>
        </w:rPr>
        <w:t>主要包括：基本工资、津贴补贴、奖金、伙食补助费、机关事业单位基本养老保险缴费、职业年金缴费、职工基本医疗保险缴费、其他社会保障缴费、住房公积金、医疗费、其他工资福利支出、退休费、抚恤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（二）公用经费301.2万元。</w:t>
      </w:r>
      <w:r>
        <w:rPr>
          <w:rFonts w:ascii="仿宋" w:hAnsi="仿宋" w:eastAsia="仿宋" w:cs="仿宋"/>
        </w:rPr>
        <w:t>主要包括：办公费、水费、电费、邮电费、物业管理费、差旅费、维修（护）费、公务接待费、被装购置费、劳务费、工会经费、福利费、公务用车运行维护费、其他交通费用、其他商品和服务支出、办公设备购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2021年度一般公共预算财政拨款支出决算3,373.11万元。与上年相比，增加164.49万元，增长5.13%，变动原因：主要是住房保障支出增加。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2021年度一般公共预算财政拨款基本支出决算3,373.11万元，其中：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（一）人员经费3,071.91万元。</w:t>
      </w:r>
      <w:r>
        <w:rPr>
          <w:rFonts w:ascii="仿宋" w:hAnsi="仿宋" w:eastAsia="仿宋" w:cs="仿宋"/>
        </w:rPr>
        <w:t>主要包括：基本工资、津贴补贴、奖金、伙食补助费、机关事业单位基本养老保险缴费、职业年金缴费、职工基本医疗保险缴费、其他社会保障缴费、住房公积金、医疗费、其他工资福利支出、退休费、抚恤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（二）公用经费301.2万元。</w:t>
      </w:r>
      <w:r>
        <w:rPr>
          <w:rFonts w:ascii="仿宋" w:hAnsi="仿宋" w:eastAsia="仿宋" w:cs="仿宋"/>
        </w:rPr>
        <w:t>主要包括：办公费、水费、电费、邮电费、物业管理费、差旅费、维修（护）费、公务接待费、被装购置费、劳务费、工会经费、福利费、公务用车运行维护费、其他交通费用、其他商品和服务支出、办公设备购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（一）一般公共预算“三公”经费支出总体情况说明。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三公”经费支出决算19.2万元。与上年相比，减少20.37万元，变动原因：加强车辆管理，严控经费支出。其中，因公出国（境）费支出0万元，占“三公”经费的0%；公务用车购置及运行维护费支出19.14万元，占“三公”经费的99.69%；公务接待费支出0.06万元，占“三公”经费的0.31%。</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（二）一般公共预算“三公”经费支出具体情况说明。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1．因公出国（境）费支出预算0万元，支出决算0万元，完成预算的100%，决算数与预算数相同。全年使用一般公共预算财政拨款涉及的出国（境）团组0个，累计0人次。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2．公务用车购置及运行维护费支出预算45.9万元，支出决算19.14万元，完成预算的41.7%，决算数与预算数的差异原因：加强车辆管理，严控经费支出。其中：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（1）公务用车购置支出决算0万元。本年度使用一般公共预算财政拨款购置公务用车0辆。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支出决算19.14万元。公务用车运行维护费主要用于按规定保留的公务用车的燃料费、维修费、过桥过路费、保险费、安全奖励费用等支出。截至2021年12月31日，使用一般公共预算财政拨款开支的公务用车保有量为17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支出预算1.4万元，支出决算0.06万元，完成预算的4.29%，决算数与预算数的差异原因：作为局下属单位，业务范围主要是同级单位沟通协助。其中：国内公务接待支出0.06万元，接待2批次，12人次，开支内容：联合执法行动招待；国（境）外公务接待支出0万元，接待0批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（三）一般公共预算会议费支出决算情况说明。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2021年度一般公共预算财政拨款会议费支出预算0万元，支出决算0万元，完成预算的100%，决算数与预算数相同。2021年度全年召开会议0个，参加会议0人次。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（四）一般公共预算培训费支出决算情况说明。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2021年度一般公共预算财政拨款培训费支出预算0万元，支出决算0万元，完成预算的100%，决算数与预算数相同。2021年度全年组织培训0个，组织培训0人次。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2021年度政府性基金预算财政拨款支出决算0万元。与上年决算数相同。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2021年度国有资本经营预算财政拨款支出决算0万元。与上年决算数相同。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2021年度机关运行经费支出决算301.2万元。与上年相比，增加21.45万元，增长7.67%，变动原因：水电办公费略有增加。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政府采购支出总额1.98万元，其中：政府采购货物支出1.98万元、政府采购工程支出0万元、政府采购服务支出0万元。政府采购授予中小企业合同金额0万元，占政府采购支出总额的0%，其中：授予小微企业合同金额0万元，占政府采购支出总额的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截至2021年12月31日，本单位共有车辆17辆，其中：副部(省)级及以上领导用车0辆、主要领导干部用车0辆、机要通信用车0辆、应急保障用车0辆、执法执勤用车17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十五、预算绩效评价工作开展情况</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2021年度，本单位共0个项目开展了财政重点绩效评价，涉及财政性资金合计0万元；本单位未开展单位整体支出财政重点绩效评价，涉及财政性资金0万元。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本单位共对上年度已实施完成的0个项目开展了绩效自评价，涉及财政性资金合计0万元；本单位共开展0项单位整体支出绩效自评价，涉及财政性资金合计0万元。</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十九、一般公共服务支出(类)市场监督管理事务(款)行政运行(项)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二十二、社会保障和就业支出(类)其他社会保障和就业支出(款)其他社会保障和就业支出(项)</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ZirMwBAACd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g5vwmhLLDU78/P3b+cev88+v&#10;ZFnclEmi3kOFmQ8ec+Pwzg2YPvsBnYn50AaTvsiJYBwFPl0ElkMkIj0qV2VZYEhgbL4gPnt67gPE&#10;e+kMSUZNA04wC8uPHyCOqXNKqmbdndI6T1HbvxyImTws9T72mKw47IaJ0M41J+TT4/BranHXKdHv&#10;LWqb9mQ2wmzsZuPgg9p3eZFSPfBvDxGbyL2lCiPsVBinltlNG5bW4s97znr6q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NBmKszAEAAJ0DAAAOAAAAAAAAAAEAIAAAAB4BAABkcnMvZTJv&#10;RG9jLnhtbFBLBQYAAAAABgAGAFkBAABc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江阴市市场监管综合行政执法大队</w:t>
    </w:r>
    <w:r>
      <w:t>2021年度单位决算公开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YWVmY2E1MWFjNmZiOTcyMmJiNTgwMjE2ZjA0ZjU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C85E54"/>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B940B6"/>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82D47"/>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8C6B3B"/>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12512</Words>
  <Characters>15604</Characters>
  <Paragraphs>501</Paragraphs>
  <TotalTime>2</TotalTime>
  <ScaleCrop>false</ScaleCrop>
  <LinksUpToDate>false</LinksUpToDate>
  <CharactersWithSpaces>16188</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半夏</cp:lastModifiedBy>
  <dcterms:modified xsi:type="dcterms:W3CDTF">2022-12-07T07:15:44Z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6C5E88395EE64791B9CB30FC598DE26A</vt:lpwstr>
  </property>
  <property fmtid="{D5CDD505-2E9C-101B-9397-08002B2CF9AE}" pid="5" name="KSOProductBuildVer">
    <vt:lpwstr>2052-11.1.0.12598</vt:lpwstr>
  </property>
  <property fmtid="{D5CDD505-2E9C-101B-9397-08002B2CF9AE}" pid="6" name="LastSaved">
    <vt:filetime>2021-04-15T00:00:00Z</vt:filetime>
  </property>
</Properties>
</file>