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ascii="微软雅黑" w:hAnsi="微软雅黑" w:eastAsia="微软雅黑" w:cs="微软雅黑"/>
          <w:b w:val="0"/>
          <w:bCs w:val="0"/>
          <w:i w:val="0"/>
          <w:iCs w:val="0"/>
          <w:caps w:val="0"/>
          <w:color w:val="000000"/>
          <w:spacing w:val="0"/>
          <w:sz w:val="33"/>
          <w:szCs w:val="33"/>
        </w:rPr>
      </w:pPr>
      <w:r>
        <w:rPr>
          <w:rFonts w:hint="eastAsia" w:ascii="微软雅黑" w:hAnsi="微软雅黑" w:eastAsia="微软雅黑" w:cs="微软雅黑"/>
          <w:b w:val="0"/>
          <w:bCs w:val="0"/>
          <w:i w:val="0"/>
          <w:iCs w:val="0"/>
          <w:caps w:val="0"/>
          <w:color w:val="000000"/>
          <w:spacing w:val="0"/>
          <w:sz w:val="33"/>
          <w:szCs w:val="33"/>
          <w:bdr w:val="none" w:color="auto" w:sz="0" w:space="0"/>
        </w:rPr>
        <w:t>江阴市自然资源和规划局（林业局）陆生野生动物保护类行政处罚自由裁量标准</w:t>
      </w:r>
    </w:p>
    <w:p>
      <w:pPr>
        <w:pStyle w:val="3"/>
        <w:keepNext w:val="0"/>
        <w:keepLines w:val="0"/>
        <w:widowControl/>
        <w:suppressLineNumbers w:val="0"/>
        <w:pBdr>
          <w:top w:val="none" w:color="auto" w:sz="0" w:space="0"/>
          <w:left w:val="none" w:color="auto" w:sz="0" w:space="0"/>
          <w:bottom w:val="single" w:color="CCCCCC" w:sz="12" w:space="7"/>
          <w:right w:val="none" w:color="auto" w:sz="0" w:space="0"/>
        </w:pBdr>
        <w:spacing w:before="0" w:beforeAutospacing="0" w:after="0" w:afterAutospacing="0" w:line="300" w:lineRule="atLeast"/>
        <w:ind w:left="0" w:right="0" w:firstLine="0"/>
        <w:jc w:val="center"/>
        <w:rPr>
          <w:rFonts w:hint="eastAsia" w:ascii="微软雅黑" w:hAnsi="微软雅黑" w:eastAsia="微软雅黑" w:cs="微软雅黑"/>
          <w:b w:val="0"/>
          <w:bCs w:val="0"/>
          <w:i w:val="0"/>
          <w:iCs w:val="0"/>
          <w:caps w:val="0"/>
          <w:color w:val="000000"/>
          <w:spacing w:val="0"/>
          <w:sz w:val="18"/>
          <w:szCs w:val="18"/>
        </w:rPr>
      </w:pPr>
      <w:r>
        <w:rPr>
          <w:rFonts w:hint="eastAsia" w:ascii="微软雅黑" w:hAnsi="微软雅黑" w:eastAsia="微软雅黑" w:cs="微软雅黑"/>
          <w:b w:val="0"/>
          <w:bCs w:val="0"/>
          <w:i w:val="0"/>
          <w:iCs w:val="0"/>
          <w:caps w:val="0"/>
          <w:color w:val="000000"/>
          <w:spacing w:val="0"/>
          <w:sz w:val="18"/>
          <w:szCs w:val="18"/>
          <w:bdr w:val="none" w:color="auto" w:sz="0" w:space="0"/>
        </w:rPr>
        <w:t>发布时间：2022-04-26 承办单位：自然资源和规划局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1"/>
          <w:szCs w:val="21"/>
          <w:bdr w:val="none" w:color="auto" w:sz="0" w:space="0"/>
        </w:rPr>
        <w:t>理由和依据：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依据《中华人民共和国行政处罚法》、《中华人民共和国野生动物保护法》、《中华人民共和国野生动物保护法实施条例》、《江苏省野生动物保护条例》等法律法规的规定制定我局对陆生野生动物保护类违法行为依法处置裁量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1"/>
          <w:szCs w:val="21"/>
          <w:bdr w:val="none" w:color="auto" w:sz="0" w:space="0"/>
        </w:rPr>
        <w:t>解决的问题：</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解决野生动物保护类违法行为处罚罚款自由裁量依据不明确问题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1"/>
          <w:szCs w:val="21"/>
          <w:bdr w:val="none" w:color="auto" w:sz="0" w:space="0"/>
        </w:rPr>
        <w:t>解决的方案：</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根据法律规定的野生动物类涉刑标准、野生动物保护等级、野生动物价值、野生动物保护政策具体要求对陆生野生动物类违法行为根据违法实事情节轻重予以裁量。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NmFhMjU1NWE3NTIzOGJjYWFmMGM1YmQ4NjdiNTMifQ=="/>
  </w:docVars>
  <w:rsids>
    <w:rsidRoot w:val="00000000"/>
    <w:rsid w:val="5A297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2022-10-18T08:03:39Z</dcterms:created>
  <dc:creator>Administrator</dc:creator>
  <cp:lastModifiedBy>后美云</cp:lastModifiedBy>
  <dcterms:modified xsi:type="dcterms:W3CDTF">2022-10-18T08:03:57Z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4A33E29541B14B618C72FF6E0498A758</vt:lpwstr>
  </property>
</Properties>
</file>