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</w:rPr>
        <w:t>江阴市城市绿线划定规划（2022—2035）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7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发布时间：2022-01-29 承办单位：范栋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理由和依据：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对标国家生态园林城市创建要求， 在城市总体规划修编完成一年内必须对城市绿线划定规划进行修编，按照计划《江阴市国土空间规划（2020—2035）》将在2022年报批。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解决的问题：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根据《江阴市国土空间总体规划（2020-2035）》（在编）中的城市性质、发展目标、用地布局等规定，对城市绿线划定进行修编，使各类绿地划分更加合理，有效保护各类绿地。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解决的方案：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1、结合大数据综合技术运用，整合与重构城市不同层面绿色公共空间。 2、按照新的绿地分类标准对各类绿地边界进行范围划定。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mFhMjU1NWE3NTIzOGJjYWFmMGM1YmQ4NjdiNTMifQ=="/>
  </w:docVars>
  <w:rsids>
    <w:rsidRoot w:val="00000000"/>
    <w:rsid w:val="7EB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2022-10-18T08:11:21Z</dcterms:created>
  <dc:creator>Administrator</dc:creator>
  <cp:lastModifiedBy>后美云</cp:lastModifiedBy>
  <dcterms:modified xsi:type="dcterms:W3CDTF">2022-10-18T08:11:47Z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6EE0BB0CC0CF4E51BBC891C19710D8AF</vt:lpwstr>
  </property>
</Properties>
</file>