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F68" w:rsidRPr="002E7DC1" w:rsidRDefault="003270AC">
      <w:pPr>
        <w:pStyle w:val="2"/>
        <w:widowControl/>
        <w:spacing w:before="0" w:beforeAutospacing="0" w:after="0" w:afterAutospacing="0" w:line="600" w:lineRule="atLeast"/>
        <w:ind w:left="690" w:right="690"/>
        <w:jc w:val="center"/>
        <w:rPr>
          <w:rFonts w:hint="default"/>
          <w:b w:val="0"/>
          <w:sz w:val="48"/>
          <w:szCs w:val="48"/>
        </w:rPr>
      </w:pPr>
      <w:r w:rsidRPr="002E7DC1">
        <w:rPr>
          <w:b w:val="0"/>
          <w:sz w:val="48"/>
          <w:szCs w:val="48"/>
        </w:rPr>
        <w:t>农业农村部 财政部关于做好2022年农业生产发展等项目实施工作的</w:t>
      </w:r>
      <w:bookmarkStart w:id="0" w:name="_GoBack"/>
      <w:bookmarkEnd w:id="0"/>
      <w:r w:rsidRPr="002E7DC1">
        <w:rPr>
          <w:b w:val="0"/>
          <w:sz w:val="48"/>
          <w:szCs w:val="48"/>
        </w:rPr>
        <w:t>通知</w:t>
      </w:r>
    </w:p>
    <w:p w:rsidR="005A5F68" w:rsidRDefault="003270AC">
      <w:pPr>
        <w:pStyle w:val="a3"/>
        <w:widowControl/>
        <w:spacing w:before="0" w:beforeAutospacing="0" w:after="0" w:afterAutospacing="0" w:line="450" w:lineRule="atLeast"/>
        <w:ind w:left="690" w:right="690"/>
      </w:pPr>
      <w:r>
        <w:rPr>
          <w:rFonts w:ascii="微软雅黑" w:eastAsia="微软雅黑" w:hAnsi="微软雅黑" w:cs="微软雅黑"/>
          <w:color w:val="333333"/>
          <w:sz w:val="22"/>
          <w:szCs w:val="22"/>
        </w:rPr>
        <w:t>发布时间：2022年05月09日</w:t>
      </w:r>
    </w:p>
    <w:p w:rsidR="005A5F68" w:rsidRDefault="003270AC">
      <w:pPr>
        <w:pStyle w:val="a3"/>
        <w:widowControl/>
        <w:spacing w:before="0" w:beforeAutospacing="0" w:after="0" w:afterAutospacing="0" w:line="450" w:lineRule="atLeast"/>
        <w:ind w:left="690" w:right="690"/>
      </w:pPr>
      <w:r>
        <w:rPr>
          <w:rFonts w:ascii="微软雅黑" w:eastAsia="微软雅黑" w:hAnsi="微软雅黑" w:cs="微软雅黑" w:hint="eastAsia"/>
          <w:color w:val="333333"/>
          <w:sz w:val="22"/>
          <w:szCs w:val="22"/>
        </w:rPr>
        <w:t>字体：[大 中 小]</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各省、自治区、直辖市及计划单列市农业农村（农牧）、畜牧兽医、渔业厅（局、委）、财政厅（局），新疆生产建设兵团农业农村局、财政局，北大荒农垦集团有限公司、广东省农垦总局，农业农村部有关直属单位：</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为深入贯彻落实党的十九届六中全会以及中央经济工作会议、中央农村工作会议精神，按照中央1号文件部署要求，2022年中央财政安排农业生产发展资金、农业资源及生态保护补助资金、动物防疫等补助经费、渔业发展补助资金，支持深化农业供给侧结构性改革，加快农业农村现代化建设，全面推进乡村振兴。为指导各地做好项目实施工作，确保政策有效落实，现将有关事项通知如下。</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一、总体思路</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坚持以习近平新时代中国特色社会主义思想为指导，贯彻落实党中央、国务院关于三农工作重大决策部署，坚持稳字当头、稳中求进，按照保供固安全、振兴畅循环的工作定位，重点围绕粮食生产稳面积提产能、产业发展稳基础提效益、乡村建设稳步伐提质量、农民收入稳势头提后劲，调整优化存量、统筹安排增量，强化政策引导、改革完善实施方式，做到政策总体保持稳定、重点任务保障</w:t>
      </w:r>
      <w:r>
        <w:rPr>
          <w:rFonts w:ascii="微软雅黑" w:eastAsia="微软雅黑" w:hAnsi="微软雅黑" w:cs="微软雅黑" w:hint="eastAsia"/>
          <w:color w:val="333333"/>
        </w:rPr>
        <w:lastRenderedPageBreak/>
        <w:t>充分、重大试点落实有效，助力牢牢守住保障国家粮食安全和不发生规模性返贫两条底线，推动乡村振兴取得新进展、农业农村现代化迈出新步伐。项目资金安排突出三个导向：一是突出重点领域，着力支持提升粮食和大豆油料等重要农产品供给保障能力，强化现代农业基础支撑，促进乡村产业融合，推进农业绿色发展。二是突出统筹衔接，根据项目各自政策目标和功能属性，科学推进政策统筹、任务统筹、资金统筹，优化支出结构，促进衔接配套，提高资金效益，形成政策合力，集中资金办大事。三是突出创新引导，完善“大专项+任务清单”管理方式，强化以绩效评价结果为导向的项目和资金安排机制，压实地方投入责任，撬动金融和社会资本投入，引导农民和新型农业经营主体主动参与，扩大农业农村有效投资。</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二、重点任务</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全力保障粮食和油料等重要农产品有效供给。深入实施“藏粮于地、藏粮于技”战略，加大粮食、油料生产政策扶持力度，统筹推进小麦促壮稳产、水稻集中育秧，千方百计稳定粮食生产，多油并举提升油料产能。促进畜牧业稳定健康发展，推进渔业绿色发展，统筹抓好蔬菜、棉糖胶等生产。</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加强耕地保护、种业振兴、农机装备支撑保障。稳定实施耕地地力保护补贴政策，强化东北黑土地保护，扩大保护性耕作面积，推进耕地保护与质量提升。开展土壤普查试点。实施畜禽良种补贴，稳定支持国家级畜禽遗传资源保护，开展生产性能测定，</w:t>
      </w:r>
      <w:r>
        <w:rPr>
          <w:rFonts w:ascii="微软雅黑" w:eastAsia="微软雅黑" w:hAnsi="微软雅黑" w:cs="微软雅黑" w:hint="eastAsia"/>
          <w:color w:val="333333"/>
        </w:rPr>
        <w:lastRenderedPageBreak/>
        <w:t>持续提高品种选育水平，提升我国畜禽种业核心竞争力。加快推进农机装备补短板，推进农业用北斗终端及辅助驾驶系统的应用，开展农机研发制造推广应用一体化试点。</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大力推动农业产业融合发展和乡村人才振兴。聚焦稳产保供目标任务，统筹布局建设一批国家现代农业产业园、优势特色产业集群、农业产业强镇。统筹推进农业现代化示范区建设。培育高素质农民，实施乡村产业振兴带头人培育“头雁”项目，培育一批乡村产业振兴带头人，加快推进农业社会化服务，引领带动小农户发展。</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四）推进农业资源保护利用和绿色转型发展。深化落实以绿色生态为导向的农业补贴制度改革，推进农业绿色发展体制机制创新，切实保护耕地、草原和水生生物等资源。强化农业生态环境治理，提高地膜科学使用回收水平，促进农作物秸秆综合利用，稳步推进绿色种养循环农业试点。</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五）支持脱贫地区乡村特色产业发展壮大。贯彻落实党中央、国务院关于实现巩固拓展脱贫攻坚成果同乡村振兴有效衔接的决策部署，支持脱贫地区发展壮大特色优势富民产业，完善产业发展支撑保障和设施条件，提升全产业链发展水平，培育壮大新型农业经营主体，健全联农带农富农机制。相关资金项目继续向脱贫县倾斜。</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三、强化政策落实与监督评价</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lastRenderedPageBreak/>
        <w:t xml:space="preserve">　　（一）推进统筹使用。落实和完善“大专项+任务清单”管理方式，切实提升政策的精准性、指向性和实效性。约束性任务补助资金不得统筹使用。各省（自治区、直辖市）在完成任务清单及绩效目标的基础上，可在大专项内部统筹安排指导性任务补助资金，但不得跨转移支付项目整合资金、不得超出任务清单范围安排资金、不得将中央财政资金切块用于省级及以下地方性政策任务。安排给832个脱贫县（原国家扶贫开发工作重点县和连片特困地区县）的资金，按照财政部等11部门《关于继续支持脱贫县统筹整合使用财政涉农资金工作的通知》（财农〔2021〕22号）执行。鼓励各地按规定利用现有资金渠道，强化政策衔接配合，推动相关项目在实施过程中统筹。</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细化实施方案。省级农业农村、财政部门要按要求抓紧组织编制省级实施方案，明确实施条件、补助对象、补助水平、实施要求和监管措施。要因地制宜研究确定补助方式，鼓励采取政府购买服务、先建后补、以奖代补等支持方式，积极探索适应不同主体、更加科学有效的支持模式。各省（自治区、直辖市）在编制实施方案过程中，要加强与农业农村部、财政部沟通，于2022年6月30日前正式印发并以省级农业农村、财政部门联合发文形式报农业农村部、财政部备案，同时，将农业生产发展等项目实施方案和资金安排情况按规定同步上报农业农村部转移支付管理平台。</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（三）强化政策公开。省级农业农村、财政部门要及时将中央财政支农政策和省级实施方案向社会发布，督促指导基层农业农村、</w:t>
      </w:r>
      <w:r>
        <w:rPr>
          <w:rFonts w:ascii="微软雅黑" w:eastAsia="微软雅黑" w:hAnsi="微软雅黑" w:cs="微软雅黑" w:hint="eastAsia"/>
          <w:color w:val="333333"/>
        </w:rPr>
        <w:lastRenderedPageBreak/>
        <w:t>财政部门按规定程序加强涉农补贴申报信息公开，简化申报流程，公开申报指南，保障涉农主体知情权和选择权，有关信息公开渠道和查询方式报农业农村部、财政部备案。要做好拟补助对象、资金安排等信息公开公示工作，广泛接受社会监督。要通过多种渠道方式宣传解读政策，使广大农民群众、新型农业经营主体和基层干部准确理解掌握政策内容，积极营造有利于政策落实的良好氛围。</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四）严格过程管控。地方各级农业农村、财政部门要加强项目执行定期调度和督促指导，及时掌握项目执行和资金使用情况。省级农业农村、财政部门要加强日常监督管理，创新工作方式，及时妥善处理项目执行中的问题，重大事项要及时向农业农村部、财政部报告。各省（自治区、直辖市）自2022年7月起每月通过农业农村部转移支付管理平台上报资金执行情况，2023年1月31日前报送项目实施总结报告，按要求报送有关基础数据。各省（自治区、直辖市）要确保各项数据的真实性、准确性和完整性，有关数据材料报送情况纳入相关资金的绩效评价范围。</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五）加强资金监管。各省（自治区、直辖市）财政、农业农村部门要认真落实财政部等七部门联合印发的《关于进一步加强惠民惠农财政补贴资金“一卡通”管理的指导意见》，规范补贴资金代发金融机构，加强惠农财政补贴资金发放管理。各级财政、农业农村部门要切实加强资金监管，不得受理以中介机构名义直接代理申报的资金项目，上下级和同级政府相关部门之间的申报材料不得通过中介机构运转，不得将财政补助资金用于支付中介费用。</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lastRenderedPageBreak/>
        <w:t xml:space="preserve">　　（六）深化绩效管理。省级财政、农业农村部门要按照《农业相关转移支付资金绩效管理办法》，进一步建立健全本区域项目绩效评价机制，将政策目标实现情况、任务清单完成情况、资金使用管理情况等纳入指标体系，严格奖惩措施，全面评估、考核政策落实情况。农业农村部和财政部将采取绩效监控与抽查复核相结合的方式，重点评价资金安排规范性、资金执行进度、信息报送以及地方财政投入、社会资本投入等情况，并组织对重点任务、重点地区进行绩效考评。对违反规定统筹中央财政资金用于地方性任务的，中央财政将在安排下年度资金时予以扣减。对由中介机构直接代理申报项目、将财政补助资金用于支付中介费用的，一经查实，项目支持对象列入黑名单，有关县（市、区）暂停安排实施该项目。</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附件：1.农业生产发展资金项目实施方案</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w:t>
      </w:r>
      <w:r w:rsidR="00A16B42">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2.农业资源及生态保护补助资金项目实施方案</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w:t>
      </w:r>
      <w:r w:rsidR="00A16B42">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3.动物防疫等补助经费项目实施方案</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w:t>
      </w:r>
      <w:r w:rsidR="00A16B42">
        <w:rPr>
          <w:rFonts w:ascii="微软雅黑" w:eastAsia="微软雅黑" w:hAnsi="微软雅黑" w:cs="微软雅黑" w:hint="eastAsia"/>
          <w:color w:val="333333"/>
        </w:rPr>
        <w:t xml:space="preserve">      </w:t>
      </w:r>
      <w:r>
        <w:rPr>
          <w:rFonts w:ascii="微软雅黑" w:eastAsia="微软雅黑" w:hAnsi="微软雅黑" w:cs="微软雅黑" w:hint="eastAsia"/>
          <w:color w:val="333333"/>
        </w:rPr>
        <w:t>4.渔业发展补助资金项目实施方案</w:t>
      </w:r>
    </w:p>
    <w:p w:rsidR="005A5F68" w:rsidRDefault="003270AC">
      <w:pPr>
        <w:pStyle w:val="a3"/>
        <w:widowControl/>
        <w:spacing w:before="0" w:beforeAutospacing="0" w:after="0" w:afterAutospacing="0" w:line="450" w:lineRule="atLeast"/>
        <w:ind w:left="690" w:right="690"/>
        <w:jc w:val="right"/>
      </w:pPr>
      <w:r>
        <w:rPr>
          <w:rFonts w:ascii="微软雅黑" w:eastAsia="微软雅黑" w:hAnsi="微软雅黑" w:cs="微软雅黑" w:hint="eastAsia"/>
          <w:color w:val="333333"/>
        </w:rPr>
        <w:t xml:space="preserve">　　农业农村部   财政部</w:t>
      </w:r>
    </w:p>
    <w:p w:rsidR="005A5F68" w:rsidRDefault="003270AC">
      <w:pPr>
        <w:pStyle w:val="a3"/>
        <w:widowControl/>
        <w:spacing w:before="0" w:beforeAutospacing="0" w:after="0" w:afterAutospacing="0" w:line="450" w:lineRule="atLeast"/>
        <w:ind w:left="690" w:right="690"/>
        <w:jc w:val="right"/>
      </w:pPr>
      <w:r>
        <w:rPr>
          <w:rFonts w:ascii="微软雅黑" w:eastAsia="微软雅黑" w:hAnsi="微软雅黑" w:cs="微软雅黑" w:hint="eastAsia"/>
          <w:color w:val="333333"/>
        </w:rPr>
        <w:t xml:space="preserve">　　2022年5月9日</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b/>
          <w:color w:val="333333"/>
        </w:rPr>
        <w:t>附件1</w:t>
      </w:r>
    </w:p>
    <w:p w:rsidR="005A5F68" w:rsidRDefault="003270AC">
      <w:pPr>
        <w:pStyle w:val="a3"/>
        <w:widowControl/>
        <w:spacing w:before="0" w:beforeAutospacing="0" w:after="0" w:afterAutospacing="0" w:line="450" w:lineRule="atLeast"/>
        <w:ind w:left="690" w:right="690"/>
        <w:jc w:val="center"/>
      </w:pPr>
      <w:r>
        <w:rPr>
          <w:rFonts w:ascii="微软雅黑" w:eastAsia="微软雅黑" w:hAnsi="微软雅黑" w:cs="微软雅黑" w:hint="eastAsia"/>
          <w:color w:val="333333"/>
        </w:rPr>
        <w:t xml:space="preserve">　　</w:t>
      </w:r>
      <w:r>
        <w:rPr>
          <w:rFonts w:ascii="微软雅黑" w:eastAsia="微软雅黑" w:hAnsi="微软雅黑" w:cs="微软雅黑" w:hint="eastAsia"/>
          <w:b/>
          <w:color w:val="333333"/>
        </w:rPr>
        <w:t>农业生产发展资金项目实施方案</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中央财政农业生产发展资金主要用于对农民直接补贴，以及支持农业绿色发展与技术服务、农业经营方式创新、农业产业发展等方面工作。</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lastRenderedPageBreak/>
        <w:t xml:space="preserve">　　一、稳定实施直接补贴政策</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稳定实施耕地地力保护补贴。认真执行《财政部、农业部关于全面推开农业“三项补贴”改革工作的通知》（财农〔2016〕26号）和《财政部办公厅、农业农村部办公厅关于进一步做好耕地地力保护补贴工作的通知》（财办农〔2021〕11号）要求，继续稳定实施耕地地力保护补贴政策。严格落实国家关于耕地用途管制的相关规定，加大耕地使用情况的核实力度，对已作为畜牧养殖场使用的耕地、林地、草地、成片粮田转为设施农业用地的耕地、非农业征（占）用耕地等已改变用途的耕地不得再给予补贴，对抛荒一年以上的，取消次年补贴资格。按照严格落实耕地利用优先序要求，进一步强化耕地地力保护补贴政策导向，建立健全耕地地力保护补贴发放与耕地执法监督检查联动机制，坚决遏制耕地“非农化”、基本农田“非粮化”。按照直达资金管理要求，加强部门协作，完善政策制度，优化工作流程，规范管理方式，做好政策宣传，确保政策稳定实施。做好直达资金监控系统标准化录入表格衔接工作，具备条件的地区做好“一卡通”系统与直达资金监控系统对接。用好直达资金监控系统，加强资金监管，逐步构建形成补贴大数据管理系统，提升补贴发放的规范性、精准性和时效性。严防补贴资金“跑冒滴漏”，对骗取、贪污、挤占、挪用或违规发放等行为，依法依规严肃处理。</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（二）发放实际种粮农民一次性补贴。认真执行《财政部关于下达2022年实际种粮农民一次性补贴资金预算的通知》（财农</w:t>
      </w:r>
      <w:r>
        <w:rPr>
          <w:rFonts w:ascii="微软雅黑" w:eastAsia="微软雅黑" w:hAnsi="微软雅黑" w:cs="微软雅黑" w:hint="eastAsia"/>
          <w:color w:val="333333"/>
        </w:rPr>
        <w:lastRenderedPageBreak/>
        <w:t>〔2022〕16号）有关要求，尽快将补贴发放到实际种粮农民手中。各级财政、农业农村部门要进一步完善工作机制，明确责任分工，密切沟通协作，形成工作合力。完善管理制度，简化工作流程，加快拨付进度，不得以任何理由滞拨滞留资金。梳理资金拨付流程，建立定期调度制度，跟踪资金拨付进展情况，做好执行分析，发放情况及时上报转移支付管理平台。加强“一卡通”基础数据的维护与更新，及时向代发银行同步发送账户明细，确保补贴真正发放到实际种粮农民手中。对因基础信息有误而造成发放失败的，及时根据银行反馈数据更正信息，严禁以拨作支，在“一卡通”代发专户形成沉淀。</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实施农机购置与应用补贴政策。在落实《农业农村部办公厅、财政部办公厅关于印发〈2021—2023年农机购置补贴实施指导意见〉的通知》（农办计财〔2021〕8号）要求基础上，开展农机购置与应用补贴试点，探索创新以机具应用为前提的补贴资金兑付方式。开展农机研发制造推广应用一体化试点，加快大型高端智能农机、丘陵山区先进适用小型小众机械、打包采棉机等短板弱项机具创制与北斗智能监测终端及辅助驾驶系统集成应用，促进农机产业自主安全可控和高质量发展。着力推进补贴机具有进有出、优机优补、补短强弱、奖优罚劣，重点支持粮食烘干、履带式作业、玉米大豆带状复合种植、油菜收获等专用机具和丘陵山区小型适用机具，大力推广现代种养业和智慧农业发展急需的成套设施装备。逐步降低区域内保有量明显过多、技术相对落后机具品目（档次）</w:t>
      </w:r>
      <w:r>
        <w:rPr>
          <w:rFonts w:ascii="微软雅黑" w:eastAsia="微软雅黑" w:hAnsi="微软雅黑" w:cs="微软雅黑" w:hint="eastAsia"/>
          <w:color w:val="333333"/>
        </w:rPr>
        <w:lastRenderedPageBreak/>
        <w:t>的补贴额，或退出补贴范围，其中轮式拖拉机补贴额测算比例降低至20%以下。支持将粮油作物生产机械化薄弱环节、玉米大豆带状复合种植所需创新产品和成套设施装备纳入补贴试点，按规定适当提高补贴标准，且相关机具不占用农机新产品试点的资金规模及品目指标，省域内提高补贴额测算比例机具累计不超过10个品目。深化农机产品认证证书在补贴机具资质采信中的运用，强化拖拉机、植保无人驾驶航空器、北斗终端等重点、新型补贴机具资质要求，并可采信认证证书和第三方检测报告作为投档依据，积极探索区域一体化投档资料形式审核和补贴额测算比例提高、实施地方累加补贴、新进补贴范围等重点监管机具现场演示评价，从严整治提供不实投档资料、虚开发票、虚构报补等较重及以上违规行为，引导企业规范参与补贴政策实施，切实提高产品质量和制造水平。抓实抓细高价值、高补贴额度和累加补贴机具的监督管理，严禁将补贴额与机具价格直接挂钩，强化风险评估和应急处置，大力推动二维码识别、手机APP申请、物联网监测等信息化措施落地见效。依法落实省级财政支出责任，共同保障补贴资金需求，对支出责任履行不到位的省份，将纳入绩效评价并相应扣减下年度中央财政资金。认真落实补贴申请审核、补贴资金兑付等限时办理规定，切实加快补贴资金兑付，保障农民合法权益。</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二、持续推进农业绿色发展</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（一）实施重点作物绿色高质高效行动。聚焦围绕粮食和大豆油料作物，推行种植品种、肥水管理、病虫防控、技术指导和机械</w:t>
      </w:r>
      <w:r>
        <w:rPr>
          <w:rFonts w:ascii="微软雅黑" w:eastAsia="微软雅黑" w:hAnsi="微软雅黑" w:cs="微软雅黑" w:hint="eastAsia"/>
          <w:color w:val="333333"/>
        </w:rPr>
        <w:lastRenderedPageBreak/>
        <w:t>作业“五统一”，集成推广新技术、新品种、新机具，打造一批优质强筋弱筋专用小麦、优质食味稻和专用加工早稻、高产优质玉米的粮食示范基地，同时集成示范推广高油高蛋白大豆、“双低”油菜、高油高油酸花生等优质品种和区域化、标准化高产栽培技术模式，打造一批大豆油料高产攻关田，示范带动大范围均衡增产。选择适宜地区开展盐碱地大豆高质高效种植示范，挖掘扩种潜力。适当兼顾蔬菜等经济作物，建设绿色高质高效样板田和品质提升基地。</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深化基层农技推广体系改革与建设。利用国家现代农业科技展示基地等平台载体，聚焦粮食稳产增产、大豆油料扩种、农产品有效供给等重点，根据不同区域自然条件和生产方式，示范推广重大引领性技术和农业主推技术，推动农业科技在县域层面转化应用。继续实施农业重大技术协同推广，激发各类推广主体活力，建立联动推广机制。继续实施农技推广特聘计划，通过政府购买服务等方式，从乡土专家、新型农业经营主体、种养能手中招募特聘农技（动物防疫）员。</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三、发展壮大乡村产业</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加快推进农业产业融合发展。统筹布局建设一批国家现代农业产业园、优势特色产业集群和农业产业强镇。重点围绕保障国家粮食安全和重要农产品有效供给，聚焦稻谷、小麦、玉米、大豆、油菜、花生、牛羊、生猪、淡水养殖、天然橡胶、棉花、食糖、奶类、种业、设施蔬菜等重要农产品，适当兼顾其他特色农产品，构建以产业强镇为基础、产业园为引擎、产业集群为骨干，省县乡</w:t>
      </w:r>
      <w:r>
        <w:rPr>
          <w:rFonts w:ascii="微软雅黑" w:eastAsia="微软雅黑" w:hAnsi="微软雅黑" w:cs="微软雅黑" w:hint="eastAsia"/>
          <w:color w:val="333333"/>
        </w:rPr>
        <w:lastRenderedPageBreak/>
        <w:t>梯次布局、点线面协同推进的现代乡村产业体系，整体提升产业发展质量效益和竞争力。</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实施奶业振兴行动和畜禽健康养殖。一是整县推进奶业生产能力提升。择优支持奶业大县发展奶牛标准化规模养殖，推广应用先进智能设施装备，推进奶牛养殖和饲草料种植配套衔接，选择有条件的奶农、农民专业合作社依靠自有奶源开展养加一体化试点，示范带动奶业高质量发展。实施苜蓿发展行动，支持苜蓿种植、收获、运输、加工、储存等基础设施建设和装备提升，增强苜蓿等优质饲草料供给能力。二是实施粮改饲。以农牧交错带和黄淮海地区为重点，支持规模化草食家畜养殖场（户）、企业或农民专业合作社以及专业化饲草收储服务组织等主体，收储使用青贮玉米、苜蓿、饲用燕麦、黑麦草、饲用黑麦、饲用高粱等优质饲草，通过以养带种的方式加快推动种植结构调整和现代饲草产业发展。各地可根据当地养殖传统和资源情况，因地制宜将有饲用需求的区域特色饲草品种纳入范围。三是实施肉牛肉羊增量提质行动。进一步扩大项目实施范围，在吉林、山东、河南等19个省（自治区）选择产业基础相对较好的牛（羊）养殖大县，支持开展基础母牛扩群提质和种草养牛养羊全产业链发展。四是实施良种补贴。在主要草原牧区省份对项目区内使用良种精液开展人工授精的肉牛养殖场（户），以及购买优良种公畜进行繁殖的存栏能繁母羊30只以上、牦牛能繁母牛25头以上的养殖场（户）给予适当补助，支持牧区畜牧良种推广。在生猪大县对使用良种猪精液开展人工授精的生猪养殖场</w:t>
      </w:r>
      <w:r>
        <w:rPr>
          <w:rFonts w:ascii="微软雅黑" w:eastAsia="微软雅黑" w:hAnsi="微软雅黑" w:cs="微软雅黑" w:hint="eastAsia"/>
          <w:color w:val="333333"/>
        </w:rPr>
        <w:lastRenderedPageBreak/>
        <w:t>（户）给予适当补助，加快生猪品种改良。五是实施蜂业质量提升行动。支持蜜蜂遗传资源保护利用，改善养殖设施装备水平，支持蜂农开展防灾减灾，开展农作物高效蜂授粉试点。</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支持种业发展。鼓励地方探索以保促用、保用结合的资源保护利用方式，持续加强育种创新基础性工作，推动种业高质量发展。继续支持符合条件的国家畜禽遗传资源保种场、保护区和基因库等国家级畜禽遗传资源保护品种保护单位开展畜禽遗传资源保护，支持符合条件的国家畜禽核心育种场、种公畜站、奶牛生产性能测定中心等开展种畜禽和奶牛生产性能测定工作。</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四）推进地理标志农产品保护和发展。围绕生产标准化、产品特色化、身份标识化和全程数字化，完善相关标准和技术规范，支持开展地理标志农产品特色种质保存、特色品质保持和特征品质评价，推进全产业链生产标准化，挖掘农耕文化，加强宣传推介，强化质量安全监管和品牌打造，推动地理标志农产品产业发展。</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四、大力培育新型农业经营主体</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一）提升新型农业经营主体技术应用和生产经营能力。支持县级及以上农民合作社示范社和示范家庭农场改善生产经营条件，规范财务核算，应用先进技术，推进社企对接，提升规模化、集约化、信息化生产能力。着力加大对从事粮食和大豆油料种植的家庭农场和农民专业合作社、联合社支持力度。鼓励各地加强新型农业经营主体辅导员队伍和服务中心建设，可通过政府购买服务方式，委托其为家庭农场和农民专业合作社提供技术指导、产业发展、财</w:t>
      </w:r>
      <w:r>
        <w:rPr>
          <w:rFonts w:ascii="微软雅黑" w:eastAsia="微软雅黑" w:hAnsi="微软雅黑" w:cs="微软雅黑" w:hint="eastAsia"/>
          <w:color w:val="333333"/>
        </w:rPr>
        <w:lastRenderedPageBreak/>
        <w:t>务管理、市场营销等服务。鼓励各地开展农民专业合作社质量提升整县推进。</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二）推广农业生产社会化服务。聚焦围绕粮食和大豆油料生产，支持符合条件的农民专业合作社、农村集体经济组织、专业服务公司和供销合作社等主体开展农业社会化服务，推动服务带动型规模经营发展。要根据资源禀赋、产业特点、劳动力转移程度、农业机械化水平和小农户生产需求等因素，因地制宜确定补助方式与标准，加强与其他农业生产支持政策的衔接配套，支持各类服务主体集中连片开展单环节、多环节、全程托管等服务，提高技术到位率、服务覆盖面和补贴精准性，推动节本增效和农民增收。推进北斗作业监测终端安装与应用，探索将监测数据作为作业补助面积核定、相关补贴资金发放等工作的重要参考依据。</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三）强化高素质农民培育。统筹推进新型农业经营主体能力提升、种养加能手技能培训、农村创新创业者培养、乡村治理及社会事业发展带头人培育。继续开展农村实用人才带头人和到村任职选调生培训。启动实施乡村产业振兴带头人培育“头雁”项目，打造一支与农业农村现代化相适应，能够引领一方、带动一片的乡村产业振兴带头人“头雁”队伍。</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四）稳步推进农产品产地冷藏保鲜设施建设。重点围绕蔬菜、水果等鲜活农产品，兼顾地方优势特色品种，合理布局建设农产品产地冷藏保鲜设施，加快补齐发展短板，提高设施运营效率。在实施区域上，在各省（自治区、直辖市）、新疆生产建设兵团实施，</w:t>
      </w:r>
      <w:r>
        <w:rPr>
          <w:rFonts w:ascii="微软雅黑" w:eastAsia="微软雅黑" w:hAnsi="微软雅黑" w:cs="微软雅黑" w:hint="eastAsia"/>
          <w:color w:val="333333"/>
        </w:rPr>
        <w:lastRenderedPageBreak/>
        <w:t>并择优支持蔬菜、水果等产业重点县开展整县推进。832个脱贫县可充分用好涉农资金统筹整合试点政策，通过中央财政衔接推进乡村振兴补助资金支持产地冷藏保鲜设施建设。在建设内容上，重点支持建设通风贮藏设施、机械冷藏库、气调冷藏库，以及预冷设施设备和其他配套设施设备，具体由主体根据实际需要确定类型和建设规模。在实施主体上，依托县级及以上示范家庭农场和农民专业合作社示范社、已登记的农村集体经济组织实施。在补助标准上，按照不超过建设设施总造价的30%进行补贴，单个主体补贴规模最高不超过100万元，具体补贴标准由地方制定。在操作方式上，采取“先建后补、以奖代补”的方式，各地利用农业农村部农产品产地冷藏保鲜设施建设项目管理系统进行管理，实行建设申请、审核、公示到补助发放全过程线上管理。</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五）推动全国农担体系健康可持续发展。坚持全国农担体系的政策性定位，优化完善补奖政策，健全“双控”和政策性任务确认机制，强化对“双控”业务量化考核，引导农担体系坚持聚焦主业，防范风险。加大对粮食和大豆油料生产、乡村产业发展等重点领域的支持力度，加强与政府部门、银行和其他担保机构的深度合作，助力农业经营主体信贷直通车常态化服务，提升数字化、信息化服务水平，加快发展首担、信用担。坚守底线思维，压实地方责任，探索通过标准风控模型、大数据预审等技术手段，加强项目管理，及时预警处置，在推动农担业务高质量发展中防范化解风险。</w:t>
      </w:r>
    </w:p>
    <w:p w:rsidR="005A5F68" w:rsidRDefault="003270AC">
      <w:pPr>
        <w:pStyle w:val="a3"/>
        <w:widowControl/>
        <w:spacing w:before="0" w:beforeAutospacing="0" w:after="0" w:afterAutospacing="0" w:line="450" w:lineRule="atLeast"/>
        <w:ind w:left="690" w:right="690"/>
        <w:jc w:val="both"/>
      </w:pPr>
      <w:r>
        <w:rPr>
          <w:rFonts w:ascii="微软雅黑" w:eastAsia="微软雅黑" w:hAnsi="微软雅黑" w:cs="微软雅黑" w:hint="eastAsia"/>
          <w:color w:val="333333"/>
        </w:rPr>
        <w:t xml:space="preserve">　　</w:t>
      </w:r>
    </w:p>
    <w:sectPr w:rsidR="005A5F68" w:rsidSect="005A5F6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44F" w:rsidRDefault="00B1644F" w:rsidP="00A16B42">
      <w:r>
        <w:separator/>
      </w:r>
    </w:p>
  </w:endnote>
  <w:endnote w:type="continuationSeparator" w:id="1">
    <w:p w:rsidR="00B1644F" w:rsidRDefault="00B1644F" w:rsidP="00A16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44F" w:rsidRDefault="00B1644F" w:rsidP="00A16B42">
      <w:r>
        <w:separator/>
      </w:r>
    </w:p>
  </w:footnote>
  <w:footnote w:type="continuationSeparator" w:id="1">
    <w:p w:rsidR="00B1644F" w:rsidRDefault="00B1644F" w:rsidP="00A16B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D51FB90D"/>
    <w:rsid w:val="D51FB90D"/>
    <w:rsid w:val="002E7DC1"/>
    <w:rsid w:val="003270AC"/>
    <w:rsid w:val="005945B8"/>
    <w:rsid w:val="005A5F68"/>
    <w:rsid w:val="00A16B42"/>
    <w:rsid w:val="00B1644F"/>
    <w:rsid w:val="0EA304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5F68"/>
    <w:pPr>
      <w:widowControl w:val="0"/>
      <w:jc w:val="both"/>
    </w:pPr>
    <w:rPr>
      <w:rFonts w:ascii="Calibri" w:hAnsi="Calibri"/>
      <w:kern w:val="2"/>
      <w:sz w:val="21"/>
      <w:szCs w:val="24"/>
    </w:rPr>
  </w:style>
  <w:style w:type="paragraph" w:styleId="2">
    <w:name w:val="heading 2"/>
    <w:basedOn w:val="a"/>
    <w:next w:val="a"/>
    <w:unhideWhenUsed/>
    <w:qFormat/>
    <w:rsid w:val="005A5F68"/>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F68"/>
    <w:pPr>
      <w:spacing w:before="100" w:beforeAutospacing="1" w:after="100" w:afterAutospacing="1"/>
      <w:jc w:val="left"/>
    </w:pPr>
    <w:rPr>
      <w:kern w:val="0"/>
      <w:sz w:val="24"/>
    </w:rPr>
  </w:style>
  <w:style w:type="paragraph" w:styleId="a4">
    <w:name w:val="header"/>
    <w:basedOn w:val="a"/>
    <w:link w:val="Char"/>
    <w:rsid w:val="00A16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16B42"/>
    <w:rPr>
      <w:rFonts w:ascii="Calibri" w:hAnsi="Calibri"/>
      <w:kern w:val="2"/>
      <w:sz w:val="18"/>
      <w:szCs w:val="18"/>
    </w:rPr>
  </w:style>
  <w:style w:type="paragraph" w:styleId="a5">
    <w:name w:val="footer"/>
    <w:basedOn w:val="a"/>
    <w:link w:val="Char0"/>
    <w:rsid w:val="00A16B42"/>
    <w:pPr>
      <w:tabs>
        <w:tab w:val="center" w:pos="4153"/>
        <w:tab w:val="right" w:pos="8306"/>
      </w:tabs>
      <w:snapToGrid w:val="0"/>
      <w:jc w:val="left"/>
    </w:pPr>
    <w:rPr>
      <w:sz w:val="18"/>
      <w:szCs w:val="18"/>
    </w:rPr>
  </w:style>
  <w:style w:type="character" w:customStyle="1" w:styleId="Char0">
    <w:name w:val="页脚 Char"/>
    <w:basedOn w:val="a0"/>
    <w:link w:val="a5"/>
    <w:rsid w:val="00A16B4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1239</Words>
  <Characters>7067</Characters>
  <Application>Microsoft Office Word</Application>
  <DocSecurity>0</DocSecurity>
  <Lines>58</Lines>
  <Paragraphs>16</Paragraphs>
  <ScaleCrop>false</ScaleCrop>
  <Company>Microsoft</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2022-07-22T14:31:00Z</dcterms:created>
  <dcterms:modified xsi:type="dcterms:W3CDTF">2022-07-22T07:05:00Z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4D4DB36D3FFE4FC7B4FD35C88BD4C64A</vt:lpwstr>
  </property>
</Properties>
</file>