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104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2022年度</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江阴市财政预算管理服务中心</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单位预算公开</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2022</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lang w:val="en-US" w:eastAsia="zh-CN"/>
        </w:rPr>
        <w:t>年度</w:t>
      </w:r>
      <w:r>
        <w:rPr>
          <w:rFonts w:ascii="仿宋" w:hAnsi="仿宋" w:eastAsia="仿宋" w:cs="仿宋"/>
          <w:b/>
        </w:rPr>
        <w:t>单位预算表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70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（一）参与研究拟订全市国库集中支付制度及有关实施办法，制订具体管理规定；负责执行国库集中支付制度及有关实施办法。</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（二）承担和办理财政性资金的集中支付、清算等业务；参与拟订集中支付会计核算办法；负责集中支付代理银行的考核管理。</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（三）宣传贯彻国家的财经法规、财税政策；对全市会计工作进行业务指导，负责全市会计人员信息管理工作；协助承担全市会计人员的资格审查、年检及对代理记账公司的管理等工作。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（四）负责市级非税收入收支管理与结算工作，负责市级非税收入财政专户的管理工作。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（五）协助开展对国家机关、事业单位、社会团体、企业或者其他组织以及涉及财政、财务和会计等事项的财政检查工作。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（六）承担预算建议计划汇总，开展预算编制相关因素分析、预算政策咨询工作。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（七）负责财政信息化管理系统开发、实施运用与维护工作；负责全市财政信息资源的共享和分析应用工作；负责财政信息系统软硬件设备建设维护及安全管理等工作。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（八）落实本单位安全生产主体责任。</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（九）完成市财政局交办的其他任务。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1.</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本单位内设机构包括：综合科、审核支付科、资金结算科、会计服务科、非税收入结算科、评价管理科、预算审核科、信息科。本单位无下属单位。</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2022</w:t>
      </w:r>
      <w:r>
        <w:rPr>
          <w:rFonts w:hint="eastAsia" w:ascii="仿宋" w:hAnsi="仿宋" w:eastAsia="仿宋" w:cs="仿宋"/>
          <w:b/>
          <w:bCs/>
        </w:rPr>
        <w:t>年度</w:t>
      </w:r>
      <w:r>
        <w:rPr>
          <w:rFonts w:ascii="仿宋" w:hAnsi="仿宋" w:eastAsia="仿宋" w:cs="仿宋"/>
          <w:b/>
        </w:rPr>
        <w:t>单位主要工作任务及目标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一、加强收入组织管理，深入推进财源建设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抓好全年收入组织工作。围绕年初下达目标，加强与税务部门协同配合，做好目标测算、分解与下达。严肃财经纪律，依法依规组织收入，确保应退尽退、应征尽征。优化对镇街园区和部门的收入考核体系，引导板块部门齐心协力抓收入。加强调研分析。注重财政收支与经济运行的联动分析，及时研判新形势，归纳新特点，应对新问题。完善协护税工作机制。发挥网格化综合治税优势，从人员配置、任务发送、如何获取涉税信息、到指令完成，全过程完善体制机制。探索建立大数据分析平台，提高财政支出绩效，实时动态掌握企业财力贡献度与各级奖补资金。深化国库集中支付改革。按照省厅预算管理一体化系统总体部署要求，理顺部门间权责和关系，增强预算单位主体责任意识，规范财政收支行为。完善国库集中支付方式，合理划分财政直接支付和授权支付，统筹兼顾效率和安全，积极稳妥，逐步扩大授权支付范围。</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二、加强非税收入征管，持续推进电子票据改革</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及时做好2021年非税收入考核奖励及2022年非税收入目标的下达工作，加强对执收单位非税收入的跟踪分析，督促各执收单位全面完成年度收入预期目标。做好土地出让金划转税务部门征收、个人承担城镇生活垃圾处理费委托江南水务征收的衔接工作。继续做好罚没收入等非税收入的挖潜增收工作。收缴清理机打票据，根据上级财政部门工作安排，做好社会团体会费及捐赠票据的电子票据改革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三、对接省一体化平台建设，提升信息平台运行环境</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按照省厅统一部署，全面对接省级集中的预算管理一体化平台，认真贯彻上级指示精神，统筹兼顾省、市、县的具体要求和实际情况，全力配合对接省厅各项任务，按省厅序时进度，确保省平台其他板块平稳上线。同时，跟踪省平台运行情况，做好省平台的问题反馈、系统优化、本地系统对接工作。全面启动我局硬件运行、政务网对接、网络安全等多方面内容的升级改造，极力保障省平台和市财政平台高效稳定运行。</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四、依靠财政“大监督”体系，牢筑财政规范运行基石</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加强检查力度，促进规范运行。继续加强企事业单位会计信息质量监督检查。特别是省联动检查近年来关注的金融、担保、上市公司以及同级审中反映执行各项管理制度相当薄弱的部门，对发现问题一直整改不到位的单位在一定范围内进行通报。强化成果运用，抓好跟踪落实。把监督成果作为完善政策制度、优化业务流程、改进财政管理的重要依据并抓好财政监督项目的整改落实跟踪工作。修订内控制度，防范内控风险。据机构改革、职能调整、政策变化及财政管理新要求，进一步查找、梳理、评估财政业务及管理中的各类风险和薄弱环节，逐年完善内控制度。</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五、发挥会计管理服务职能，推动行政事业单位内控建设。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认真组织会计专业技术资格考试；大力培育高端会计人才；不断深化“放管服”改革，做好代理记账行业监管；完成全市会计专业技术人员继续教育；推动全市行政事业单位内部控制建设。</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江阴市财政预算管理服务中心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31" w:type="dxa"/>
        <w:jc w:val="center"/>
        <w:tblInd w:w="0" w:type="dxa"/>
        <w:tblLayout w:type="fixed"/>
        <w:tblCellMar>
          <w:top w:w="0" w:type="dxa"/>
          <w:left w:w="108" w:type="dxa"/>
          <w:bottom w:w="0" w:type="dxa"/>
          <w:right w:w="108" w:type="dxa"/>
        </w:tblCellMar>
      </w:tblPr>
      <w:tblGrid>
        <w:gridCol w:w="3908"/>
        <w:gridCol w:w="1869"/>
        <w:gridCol w:w="3704"/>
        <w:gridCol w:w="67"/>
        <w:gridCol w:w="1781"/>
        <w:gridCol w:w="2"/>
      </w:tblGrid>
      <w:tr>
        <w:tblPrEx>
          <w:tblLayout w:type="fixed"/>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江阴市财政预算管理服务中心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1,575.26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1,106.30</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147.25</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321.71</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1,575.26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1,575.26</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1,575.26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支出</w:t>
            </w:r>
            <w:r>
              <w:rPr>
                <w:rFonts w:hint="eastAsia" w:ascii="仿宋" w:hAnsi="仿宋" w:eastAsia="仿宋" w:cs="仿宋"/>
                <w:b/>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1,575.26</w:t>
            </w:r>
          </w:p>
        </w:tc>
        <w:tc>
          <w:tcPr>
            <w:tcW w:w="2" w:type="dxa"/>
          </w:tcPr>
          <w:p>
            <w:pPr>
              <w:widowControl w:val="0"/>
              <w:jc w:val="left"/>
              <w:rPr>
                <w:rFonts w:hint="eastAsia" w:ascii="仿宋" w:hAnsi="仿宋" w:eastAsia="仿宋" w:cs="仿宋"/>
                <w:sz w:val="20"/>
              </w:rPr>
            </w:pP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149" w:type="dxa"/>
        <w:tblInd w:w="-25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097"/>
        <w:gridCol w:w="1800"/>
        <w:gridCol w:w="1063"/>
        <w:gridCol w:w="943"/>
        <w:gridCol w:w="789"/>
        <w:gridCol w:w="754"/>
        <w:gridCol w:w="686"/>
        <w:gridCol w:w="754"/>
        <w:gridCol w:w="754"/>
        <w:gridCol w:w="720"/>
        <w:gridCol w:w="754"/>
        <w:gridCol w:w="738"/>
        <w:gridCol w:w="720"/>
        <w:gridCol w:w="925"/>
        <w:gridCol w:w="772"/>
        <w:gridCol w:w="720"/>
        <w:gridCol w:w="754"/>
        <w:gridCol w:w="686"/>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1572"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4577"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097"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1063"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7612"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577"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4" w:hRule="atLeast"/>
        </w:trPr>
        <w:tc>
          <w:tcPr>
            <w:tcW w:w="1097"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063"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rPr>
        <w:tc>
          <w:tcPr>
            <w:tcW w:w="2897"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1,575.26</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1,575.26</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1,575.26</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0" w:hRule="atLeast"/>
        </w:trPr>
        <w:tc>
          <w:tcPr>
            <w:tcW w:w="109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318021</w:t>
            </w:r>
          </w:p>
        </w:tc>
        <w:tc>
          <w:tcPr>
            <w:tcW w:w="18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江阴市财政预算管理服务中心</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1,575.26</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1,575.26</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1,575.26</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57" w:right="0" w:firstLine="221" w:firstLineChars="100"/>
        <w:jc w:val="left"/>
        <w:rPr>
          <w:rFonts w:hint="eastAsia" w:ascii="仿宋" w:hAnsi="仿宋" w:eastAsia="仿宋" w:cs="仿宋"/>
          <w:b/>
          <w:bCs/>
          <w:sz w:val="22"/>
          <w:szCs w:val="22"/>
        </w:rPr>
        <w:sectPr>
          <w:footerReference r:id="rId8" w:type="default"/>
          <w:pgSz w:w="16838" w:h="11906" w:orient="landscape"/>
          <w:pgMar w:top="720" w:right="720" w:bottom="720" w:left="5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Layout w:type="fixed"/>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Layout w:type="fixed"/>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Layout w:type="fixed"/>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Layout w:type="fixed"/>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1,575.26</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1,478.80</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1,106.30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1,009.84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财政事务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1,106.30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1,009.84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信息化建设</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2010650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1,009.84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1,009.84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112.49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112.49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74.99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74.99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128.84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Layout w:type="fixed"/>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江阴市财政预算管理服务中心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Layout w:type="fixed"/>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1,575.26</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1,575.26</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1,575.26</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1,106.30</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147.25</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321.71</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1,575.26</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1,575.26</w:t>
            </w:r>
          </w:p>
        </w:tc>
      </w:tr>
    </w:tbl>
    <w:p>
      <w:pPr>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Layout w:type="fixed"/>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1,575.26</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1,478.80</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1,425.84</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52.96</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1,106.30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1,009.84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956.88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52.96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财政事务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1,106.30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1,009.84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956.88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52.96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信息化建设</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96.46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2010650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1,009.84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1,009.84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956.88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52.96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147.25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147.25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147.25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112.49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112.49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112.49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321.71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321.71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321.71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321.71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321.71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321.71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97.59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97.59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97.59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128.84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128.84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128.84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Layout w:type="fixed"/>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Layout w:type="fixed"/>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Layout w:type="fixed"/>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江阴市财政预算管理服务中心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Layout w:type="fixed"/>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1,478.80</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1,425.84</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52.96</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1,403.44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160.34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160.34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235.75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235.75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17.82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17.82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308.34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308.34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74.99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74.99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37.50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95.28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95.28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51.56</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2.56</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22.40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21.45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21.45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Layout w:type="fixed"/>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1,575.26</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1,478.80</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1,425.84</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52.96</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1,106.30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1,009.84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956.88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52.96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财政事务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1,106.30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1,009.84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956.88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52.96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信息化建设</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2010650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1,009.84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1,009.84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956.88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52.96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147.25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112.49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112.49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112.49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74.99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74.99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321.71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97.59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128.84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128.84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Layout w:type="fixed"/>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Layout w:type="fixed"/>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Layout w:type="fixed"/>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Layout w:type="fixed"/>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1,478.80</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1,425.84</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52.96</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1,403.44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160.34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160.34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235.75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235.75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17.82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17.82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308.34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308.34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74.99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74.99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37.50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30.01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95.28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95.28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51.56</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2.56</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22.40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21.45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21.45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Layout w:type="fixed"/>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Layout w:type="fixed"/>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Layout w:type="fixed"/>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Layout w:type="fixed"/>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Layout w:type="fixed"/>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00" w:leftChars="0" w:right="0" w:rightChars="0"/>
        <w:jc w:val="left"/>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单位无一般公共预算“三公”经费、会议费、培训费支出，故本表无数据。</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Layout w:type="fixed"/>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Layout w:type="fixed"/>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Layout w:type="fixed"/>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Layout w:type="fixed"/>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单位无政府性基金预算，也没有使用政府性基金安排的支出，故本表无数据。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Ind w:w="0" w:type="dxa"/>
        <w:tblLayout w:type="fixed"/>
        <w:tblCellMar>
          <w:top w:w="0" w:type="dxa"/>
          <w:left w:w="108" w:type="dxa"/>
          <w:bottom w:w="0" w:type="dxa"/>
          <w:right w:w="108" w:type="dxa"/>
        </w:tblCellMar>
      </w:tblPr>
      <w:tblGrid>
        <w:gridCol w:w="1596"/>
        <w:gridCol w:w="3803"/>
        <w:gridCol w:w="3111"/>
        <w:gridCol w:w="3094"/>
        <w:gridCol w:w="3091"/>
      </w:tblGrid>
      <w:tr>
        <w:tblPrEx>
          <w:tblLayout w:type="fixed"/>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Layout w:type="fixed"/>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Layout w:type="fixed"/>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Layout w:type="fixed"/>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Layout w:type="fixed"/>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Layout w:type="fixed"/>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Layout w:type="fixed"/>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Layout w:type="fixed"/>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Layout w:type="fixed"/>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bl>
    <w:p>
      <w:pPr>
        <w:numPr>
          <w:ilvl w:val="0"/>
          <w:numId w:val="0"/>
        </w:numPr>
        <w:tabs>
          <w:tab w:val="left" w:pos="0"/>
        </w:tabs>
        <w:spacing w:before="25" w:after="0"/>
        <w:ind w:left="-1" w:left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0"/>
        </w:tabs>
        <w:spacing w:before="25" w:after="0"/>
        <w:ind w:left="-1" w:leftChars="0"/>
        <w:rPr>
          <w:rFonts w:hint="eastAsia" w:ascii="仿宋" w:hAnsi="仿宋" w:eastAsia="仿宋" w:cs="仿宋"/>
          <w:b/>
          <w:bCs/>
          <w:sz w:val="22"/>
          <w:szCs w:val="22"/>
        </w:rPr>
      </w:pP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eastAsia="仿宋" w:cs="仿宋"/>
          <w:b/>
          <w:sz w:val="22"/>
        </w:rPr>
        <w:t>单位无一般公共预算机关运行经费支出，故本表无数据。</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1320"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852"/>
        <w:gridCol w:w="1114"/>
        <w:gridCol w:w="965"/>
        <w:gridCol w:w="928"/>
        <w:gridCol w:w="1141"/>
        <w:gridCol w:w="1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9586"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江阴市财政预算管理服务中心</w:t>
            </w:r>
          </w:p>
        </w:tc>
        <w:tc>
          <w:tcPr>
            <w:tcW w:w="414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355"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85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14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355"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97.86</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97.86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货物类</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江阴市财政预算管理服务中心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0.84</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便携式计算机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服务类</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96.46</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江阴市财政预算管理服务中心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96.46</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预算一体化部署实施项目（预算编制）</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委托业务费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其他信息技术服务</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48.16</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预算一体化部署实施项目（预算执行）</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委托业务费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其他信息技术服务</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48.30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48.30</w:t>
            </w:r>
          </w:p>
        </w:tc>
      </w:tr>
    </w:tbl>
    <w:p>
      <w:pPr>
        <w:bidi w:val="0"/>
        <w:rPr>
          <w:rFonts w:hint="eastAsia" w:ascii="仿宋" w:hAnsi="仿宋" w:eastAsia="仿宋" w:cs="仿宋"/>
          <w:b/>
          <w:bCs/>
          <w:sz w:val="22"/>
          <w:szCs w:val="22"/>
        </w:rPr>
        <w:sectPr>
          <w:footerReference r:id="rId18" w:type="default"/>
          <w:pgSz w:w="16838" w:h="11906" w:orient="landscape"/>
          <w:pgMar w:top="1320" w:right="1100"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江阴市财政预算管理服务中心2022年度收入、支出预算总计1,575.26万元，与上年相比收、支预算总计各减少293.53万元，减少15.71%。</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（一）收入预算总计1,575.26万元。包括：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1．本年收入合计1,575.26万元。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（1）一般公共预算拨款收入1,575.26万元，与上年相比减少293.53万元，减少15.71%。主要原因是2022年起，财政信息化项目的统筹支付由江阴市大数据股份有限公司具体执行，各预算单位不再安排对应项目预算。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（二）支出预算总计1,575.26万元。包括：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1．本年支出合计1,575.26万元。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服务支出（类）支出1,106.3万元，主要用于市财政局下属事业单位开展财政事务发生的支出。与上年相比减少425.12万元，减少27.76%。主要原因是2022年起，财政信息化项目的统筹支付由江阴市大数据股份有限公司具体执行，各预算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147.25万元，主要用于机关事业单位养老保险、职业年金、医保、其他社保费、体检费等支出。与上年相比增加40.16万元，增长37.5%。主要原因是本年度体检费、医保、其他社保费功能分类从一般公共服务支出（类）调整为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保障支出（类）支出321.71万元，主要用于市财政局下属事业单位按照国家有关规定为职工缴存住房公积金、发放提租补贴以及新职工缴存的逐月补贴支出。与上年相比增加91.43万元，增长39.7%。主要原因是住房公积金、新职工购房补贴、老职工提租补贴缴存基数政策性调整、人员新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江阴市财政预算管理服务中心2022年收入预算合计1,575.26万元，包括本年收入1,575.26万元，上年结转结余0万元。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本年一般公共预算收入1,575.26万元，占100%；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江阴市财政预算管理服务中心2022年支出预算合计1,575.26万元，其中：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基本支出1,478.8万元，占93.88%；</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项目支出96.46万元，占6.12%；</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5715"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度财政拨款收、支总预算1,575.26万元。与上年相比，财政拨款收、支总计各减少293.53万元，减少15.71%。主要原因是2022年起，财政信息化项目的统筹支付由江阴市大数据股份有限公司具体执行，各预算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财政拨款预算支出1,575.26万元，占本年支出合计的100%。与上年相比，财政拨款支出减少293.53万元，减少15.71%。主要原因是2022年起，财政信息化项目的统筹支付由江阴市大数据股份有限公司具体执行，各预算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（一）一般公共服务支出（类）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财政事务（款）信息化建设（项）支出96.46万元，与上年相比减少476.01万元，减少83.15%。主要原因是2022年起，财政信息化项目的统筹支付由江阴市大数据股份有限公司具体执行，各预算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2.财政事务（款）事业运行（项）支出1,009.84万元，与上年相比增加50.89万元，增长5.31%。主要原因是人员新增。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1.行政事业单位养老支出（款）机关事业单位基本养老保险缴费支出（项）支出74.99万元，与上年相比增加3.6万元，增长5.04%。主要原因是人员新增。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2.行政事业单位养老支出（款）机关事业单位职业年金缴费支出（项）支出37.5万元，与上年相比增加1.8万元，增长5.04%。主要原因是人员新增。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34.76万元，与上年相比增加34.76万元（去年预算数为0万元，无法计算增减比率）。主要原因是本年度体检费、医保、其他社保费功能分类从一般公共服务支出（类）调整为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（三）住房保障支出（类）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1.住房改革支出（款）住房公积金（项）支出95.28万元，与上年相比增加27.65万元，增长40.88%。主要原因是住房公积金缴存基数政策性调整、人员新增。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2.住房改革支出（款）提租补贴（项）支出97.59万元，与上年相比增加19.65万元，增长25.21%。主要原因是老职工提租补贴缴存基数政策性调整、人员新增。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3.住房改革支出（款）购房补贴（项）支出128.84万元，与上年相比增加44.13万元，增长52.1%。主要原因是新职工购房补贴缴存基数政策性调整、人员新增。</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江阴市财政预算管理服务中心2022年度财政拨款基本支出预算1,478.8万元，其中：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1,425.84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（二）公用经费52.96万元。主要包括：办公费、印刷费、水费、电费、差旅费、工会经费、其他交通费用、其他商品和服务支出、其他资本性支出。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一般公共预算财政拨款支出预算1,575.26万元，与上年相比减少293.53万元，减少15.71%。主要原因是2022年起，财政信息化项目的统筹支付由江阴市大数据股份有限公司具体执行，各预算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江阴市财政预算管理服务中心2022年度一般公共预算财政拨款基本支出预算1,478.8万元，其中：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1,425.84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（二）公用经费52.96万元。主要包括：办公费、印刷费、水费、电费、差旅费、工会经费、其他交通费用、其他商品和服务支出、其他资本性支出。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度一般公共预算拨款安排的“三公”经费预算支出中，因公出国（境）费支出0万元，占“三公”经费的0%；公务用车购置及运行维护费支出0万元，占“三公”经费的0%；公务接待费支出0万元，占“三公”经费的0%。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2．公务用车购置及运行维护费预算支出0万元。其中：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江阴市财政预算管理服务中心2022年度一般公共预算拨款安排的会议费预算支出0万元，与上年预算数相同。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江阴市财政预算管理服务中心2022年度一般公共预算拨款安排的培训费预算支出0万元，与上年预算数相同。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江阴市财政预算管理服务中心2022年国有资本经营预算支出0万元。与上年预算数相同。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2022年本单位一般公共预算机关运行经费预算支出0万元。与上年预算数相同。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2022年度政府采购支出预算总额97.86万元，其中：拟采购货物支出1.4万元、拟采购工程支出0万元、拟购买服务支出96.46万元。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0辆，其中，一般公务用车0辆、执法执勤用车0辆、特种专业技术用车0辆、业务用车0辆、其他用车0辆等。单价50万元（含）以上的通用设备0台（套），单价100万元（含）以上的专用设备0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2022年度，本单位整体支出纳入绩效目标管理，涉及四本预算资金1,575.26万元；本单位共2个项目纳入绩效目标管理，涉及四本预算资金合计96.46万元，占四本预算资金(基本支出除外)总额的比例为100%。</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八、一般公共服务支出(类)财政事务(款)信息化建设(项)</w:t>
      </w:r>
      <w:r>
        <w:rPr>
          <w:rFonts w:ascii="仿宋" w:hAnsi="仿宋" w:eastAsia="仿宋" w:cs="仿宋"/>
          <w:b/>
        </w:rPr>
        <w:t>：</w:t>
      </w:r>
      <w:r>
        <w:rPr>
          <w:rFonts w:hint="eastAsia" w:ascii="仿宋" w:hAnsi="仿宋" w:eastAsia="仿宋" w:cs="仿宋"/>
        </w:rPr>
        <w:t>反映财政部门用于信息化建设方面的支出。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九、一般公共服务支出(类)财政事务(款)事业运行(项)</w:t>
      </w:r>
      <w:r>
        <w:rPr>
          <w:rFonts w:ascii="仿宋" w:hAnsi="仿宋" w:eastAsia="仿宋" w:cs="仿宋"/>
          <w:b/>
        </w:rPr>
        <w:t>：</w:t>
      </w:r>
      <w:r>
        <w:rPr>
          <w:rFonts w:hint="eastAsia" w:ascii="仿宋" w:hAnsi="仿宋" w:eastAsia="仿宋" w:cs="仿宋"/>
        </w:rPr>
        <w:t>反映事业单位的基本支出，不包括行政单位（包括实行公务员管理的事业单位）后勤服务中心、医务室等附属事业单位。</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9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du8Ei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kvA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1n2ua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JILbEBAABPAwAADgAAAGRycy9lMm9Eb2MueG1srVNLbtswEN0XyB0I&#10;7mPKTlA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Bskgt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7/Tm7EBAABPAwAADgAAAGRycy9lMm9Eb2MueG1srVNLbtswEN0XyB0I&#10;7mPKDlI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Lv9O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Urw+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BFy9R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ulpZuLIB&#10;AABOAwAADgAAAAAAAAABACAAAAAeAQAAZHJzL2Uyb0RvYy54bWxQSwUGAAAAAAYABgBZAQAAQgUA&#10;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fFncq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wGNXO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NIec2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ZReJ7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Ko+3mq8BAABP&#10;AwAADgAAAAAAAAABACAAAAAeAQAAZHJzL2Uyb0RvYy54bWxQSwUGAAAAAAYABgBZAQAAPw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ggiw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江阴市财政预算管理服务中心</w:t>
    </w:r>
    <w:r>
      <w:t>2022年度单位预算公开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4C1006"/>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3386</Words>
  <Characters>7333</Characters>
  <Paragraphs>501</Paragraphs>
  <TotalTime>48</TotalTime>
  <ScaleCrop>false</ScaleCrop>
  <LinksUpToDate>false</LinksUpToDate>
  <CharactersWithSpaces>7399</CharactersWithSpaces>
  <Application>WPS Office_11.1.0.8527_F1E327BC-269C-435d-A152-05C5408002CA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hp</cp:lastModifiedBy>
  <dcterms:modified xsi:type="dcterms:W3CDTF">2022-02-16T06:08:32Z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2052-11.1.0.8527</vt:lpwstr>
  </property>
  <property fmtid="{D5CDD505-2E9C-101B-9397-08002B2CF9AE}" pid="6" name="LastSaved">
    <vt:filetime>2021-04-15T00:00:00Z</vt:filetime>
  </property>
</Properties>
</file>