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0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2022年度江阴市财政局机关单位预算公开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拟订全市财政政策、中期财政规划和改革方案并组织实施。分析预测财政经济形势，研究提出运用财政政策推进高质量发展、综合平衡社会财力、促进镇街园区协调发展和推进基本公共服务均等化等方面建议。研究完善鼓励公益事业发展的财政政策。参与研究社会收入分配政策。</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（二）拟订财政、财务、会计、有关国有资产管理的政策规定。改革完善市对镇街园区财政管理体制，指导镇街园区财政部门开展财政管理工作。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负责市级各项财政收支管理。编制年度市级预决算草案并组织执行。受市政府委托向市人民代表大会及其常委会报告全市和市级年度预算、执行和决算情况。组织制定经费开支标准、定额，审核批复部门（单位）的年度预决算。组织实施市级预决算公开。</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（四）组织实施预算绩效管理。研究建立全方位、全过程、全覆盖的预算绩效管理体系。负责拟订预算绩效管理工作的有关政策、制度和实施办法。组织开展市级预算绩效管理工作。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（五）负责政府非税收入管理。按规定管理政府性基金、行政事业性收费和其他非税收入，负责政府性基金预算编制和管理工作，管理财政票据，按规定管理彩票有关资金。</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（六）拟订并组织实施国库管理、国库集中收付制度，指导和监督国库市支库业务，按规定开展国库现金管理工作。组织编制政府财务报告。组织实施政府采购政策、制度并监督管理。</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（七）承担地方政府债务管理工作。负责政府债务余额限额管理，组织开展地方债券相关工作。防范化解政府隐性债务风险。</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八）代表市政府履行国有企业出资人职责。制定有关国有资产监督管理的行政措施和管理制度，确保国有资产保值增值。指导推进国有企业改革和重组，推进国有企业的现代企业制度建设，完善公司治理结构。建立符合社会主义市场经济体制和现代企业制度要求的选人用人机制，完善经营者激励和约束制度。建立和完善国有资产保值增值指标体系，制定考核标准，负责国有企业工资分配管理工作，制定国有企业负责人收入分配政策并组织实施。负责审核和汇总编制全市国有资本经营预决算草案。制定国有资本经营预算的制度和办法，监管、收缴国有资产产权收益。贯彻实施企业财务管理相关制度。拟订全市行政事业单位国有资产管理政策，组织开展市级行政事业单位国有资产管理工作。牵头编制国有资产管理情况报告。负责督促检查所监管企业贯彻落实国家安全生产方针政策及有关法律法规、标准等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九）拟订并组织实施支持产业发展、促进产业结构调整的财政政策。负责办理和监督市级财政经济发展支出、政府性投资项目财政拨款。拟订促进地方金融业发展和引导金融支持实体经济的财政政策并组织实施。承担全市政府与社会资本合作管理工作。承担市级政府投资基金管理工作，负责政府投资基金市级财政出资的资产管理。</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（十）研究拟订支持行政政法、教科文等改革与发展的财政政策。拟订行政事业性经费财务管理制度，监督执行行政事业单位财务会计制度。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一）参与拟订市级基建投资的有关政策，制定基本建设财务制度。负责相关政策性补贴和专项储备资金财政管理工作。负责拟订政府投资评审政策，管理和监督投资评审活动。参与拟订自然资源和生态环境领域发展规划和政策。</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（十二）参与拟订有关社会保障政策。负责审核和汇总编制全市社会保险基金预决算草案，拟订和执行社会保障资金（基金）财务管理制度，承担社会保障资金（基金）财政监管工作。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（十三）研究拟订财政支持农业农村发展和农村综合改革政策并负责相关资金管理。拟订财政支农资金管理制度，承担财政支持实施乡村振兴战略相关工作。指导全市镇街园区财政建设工作。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四）会同有关部门拟订国有土地、户外广告、政府性投资公共停车泊位等国有资源收入政策，参与国有土地、户外广告、政府性投资公共停车泊位等国有资源使用政策的研究和制度改革。参与住房保障政策研究，管理住房改革预算资金。</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（十五）依法管理全市会计工作。监督和规范会计行为，组织实施国家统一的会计制度，指导和监督注册会计师和会计师事务所的业务。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（十六）承担财税法律法规、规章和政策执行情况、预算管理有关监督工作，反映财政收支管理中的重大问题，提出加强财政管理的政策建议，依法处理财政违纪违规行为。</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（十七）制定财政科学研究和教育规划，组织财政人才培训，负责财政信息化管理和财政信息宣传工作。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（十八）承担公共安全体系建设的相关任务。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（十九）完成市委、市政府交办的其他任务。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（二十）职能转变</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1．强化财政经济形势分析，建立健全重大问题研究和政策储备工作机制，综合运用信息化等手段，提升财政经济分析预测能力。2．深化财税体制改革。进一步转变职能，深化简政放权、放管结合、优化服务，优化营商环境，创新监管方式，加强事中事后监管。加快建立现代财政制度，完善转移支付制度，优化支出结构，全面实施绩效管理，建立全面规范透明、标准科学、约束有力的预算制度。推进市对镇街园区财政事权和支出责任划分改革，建立权责清晰、财力协调、区域均衡的市和镇街园区财政关系。落实国家、省深化税收制度改革部署，全面推行政府性基金和行政事业性收费清单管理，完善监督制度。3．防范化解地方政府债务风险。规范举债融资机制，构建“闭环”管理体系，严控法定限额内债务风险，着力防控隐性债务风险，督促镇街园区有效落实隐性债务化解方案，牢牢守住不发生系统性风险的底线。</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内设机构包括：办公室（人教科）、法规科、预算科、国库科、政府采购管理科、综合科（挂“非税收入征收管理科”牌子）、政府债务管理科、经济建设科、财政监督检查科、工贸发展科、行教文科、社会保障科、农业农村科 、资产管理科、会计科、绩效管理科、安全生产科、金融科。本单位下属单位包括:江阴市财政预算管理服务中心、江阴市国有企业改革发展服务中心、江阴市政府投资评审中心。</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2022年，是党的二十大召开之年，是江阴撤县建市35周年，是市委推进“南征北战、东西互搏”战略和工业园区升级改造主攻期。我们将坚定“勇争第一、善创唯一”的信心不动摇，坚持稳字当头、稳中求进，助推积极财政政策提质增效，实现财政高质量发展，交出财政工作圆满答卷。</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一要充分研判形势，精准财政政策靶向。去年，财政工作在严峻经济形势、疫情大战大考、城乡建设改造、周边比学赶超中经受住了考验，顶住了巨大压力，稳</w:t>
      </w:r>
      <w:bookmarkStart w:id="0" w:name="_GoBack"/>
      <w:bookmarkEnd w:id="0"/>
      <w:r>
        <w:rPr>
          <w:rFonts w:ascii="仿宋" w:hAnsi="仿宋" w:eastAsia="仿宋" w:cs="仿宋"/>
        </w:rPr>
        <w:t>住了财政基本盘，保持了江阴应有地位，取得了来之不易的成绩。但也要看到，“标兵渐远、追兵渐近”的逼人态势依然没有变，财政增收压力、财政收支矛盾、债务化解风险、重大项目建设资金需求、财政可持续发展等短板依然存在并将在未来较长一段时期内成为常态，要时刻保持清醒的头脑、赶考的姿态。中央经济工作会议指出，当前我国经济发展面临需求收缩、供给冲击、预期转弱三重压力。针对需求收缩，要兜住兜牢民生底线，更好落实助企纾困政策和“三保支出”，强化就业优先导向，把“蛋糕”切好分好。针对供给冲击，重在突破供给约束堵点，重在打通生产、分配、流通、消费各环节，提升制造业核心竞争力，实施创新驱动战略，支持新能源、新产业、新技术发展，支持“专精特新”企业发展。针对预期转弱，要继续实施积极的财政政策和稳健的货币政策，积极的财政政策要提升效能，更加注重精准、可持续。要保证财政支出强度，加快支出进度，落实新的减税降费政策，强化对中小微企业、个体工商户、制造业等的支持力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要树立整合思维，找准财政支撑路径。加大资产资金资源统筹力度，充分发挥财政资金、国有资本杠杆效应，有效利用各级资金，集中财力办大事，花昨天的钱办今天的事。强化部门收入和存量资源统筹，进一步完善行政事业单位资产管理，特别是存量公共基础设施等账外资产的清查入账，加大存量资产盘活力度。花明天的钱办今天的事。下好项目梳理“先手棋”，聚焦重点领域、重点项目，提前谋划、精准梳理充实专项债券储备项目。花今天的钱办明天的事。围绕“当前激活力、长远增动力”，发挥产业强市专项资金作用，加大对战略性新兴产业、科技创新的支持力度，助力实体经济提质增效，培育财源增收新动能。花更少的钱办更多的事。发挥国有资本放大作用，推动国资角色向商业价值的挖掘者转变，发挥政府投资基金在项目招引中的作用，稳妥有序推动子基金发展，撬动更多社会资本支持经济社会发展，破解发展建设中的投融资难题。加强财政资金绩效评价、政府投资项目评审，把钱花在刀刃上。</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要融入战略部署，全力服务发展大局。聚焦重点重大战略。统筹政策资金合力，在产业支撑、科创载体、人才引育等方面提供全面保障，加强政策研发，分类施策推进“南征北战，东西互搏”、工业园区升级改造、打造“一湾一谷一区一港”等重点战略。实施创新驱动战略。强化项目资金保障，充分发挥产业强市资金引导作用，加快改造提升传统产业，推动实体经济做大做强，支持国内大循环为主体、国内国际双循环相互促进的新发展格局在江阴的实践。积极对上争取。准确把握对上争取资金政策要求，及时把握中央、省、无锡政策动向，在对上争取上下更大功夫，抢抓拓展发展空间。支持重大基础设施建设。进一步扩大有效投资，用好城市更新、地方政府债券、PPP融资等资金，支持苏南沿江铁路、滨江路快速化改造、锡澄S1线、高铁综合枢纽站等重大工程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要防范风险隐患，抓实化解债务风险。清醒认识我市十年化债任务进入“攻坚区”，继续做好“稳存量、控增量、防变量、降成本”工作，积极防范化解政府性债务风险，确保存量不出险、新增不违规，确保政府债务率不“返红”，尽可能趋向“黄色”区间。立足于“增”，增加化债资金来源，盘活资金资产资源，尤其是镇街园区行政事业单位空置房产、闲置安置房及其配套资源等，用于优先清偿政府债务。立足于“转”，着力推进平台公司转型，推动融资平台公司实现自主经营、独立核算、自负盈亏。立足于“调”，通过高息转低息、短期转长期、表外转表内，做好债务结构调优、利率调低。立足于“管”，发挥地方政府隐性债务综合监管系统的风险预警能力，坚决守住不发生系统性风险的底线。</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要深化国企改革，做优做强国资国企。加快推进国企改革，全面增强市属国企市场主体地位，实现国企改革三年行动圆满收官。优化国有经济布局。在优化重组的基础上，进一步加强市属国有企业功能定位和市属国有经济布局结构的研究，持续推进战略重组和专业化整合。创新监管履职方式。根据国企实际情况，给予充分的授放权，全面实行清单管理，加强事中事后监管，突出对关键业务、国有资本运营重要环节的监督。构建容错机制，鼓励企业勇于尝试，从本地特色出发寻求自身国企改革的突破口。完善薪酬激励机制。充分利用国有企业激励“工具箱”，协调中长期激励政策的运用，试点市场充分竞争类企业采用股权激励、员工持股、超额利润分享等激励机制。</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江阴市财政局机关</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31" w:type="dxa"/>
        <w:jc w:val="center"/>
        <w:tblInd w:w="0" w:type="dxa"/>
        <w:tblLayout w:type="fixed"/>
        <w:tblCellMar>
          <w:top w:w="0" w:type="dxa"/>
          <w:left w:w="108" w:type="dxa"/>
          <w:bottom w:w="0" w:type="dxa"/>
          <w:right w:w="108" w:type="dxa"/>
        </w:tblCellMar>
      </w:tblPr>
      <w:tblGrid>
        <w:gridCol w:w="3908"/>
        <w:gridCol w:w="1869"/>
        <w:gridCol w:w="3704"/>
        <w:gridCol w:w="67"/>
        <w:gridCol w:w="1781"/>
        <w:gridCol w:w="2"/>
      </w:tblGrid>
      <w:tr>
        <w:tblPrEx>
          <w:tblLayout w:type="fixed"/>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江阴市财政局机关</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2,672.08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1,912.32</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205.98</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553.78</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2,672.08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2,672.08</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2,672.08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2,672.08</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149" w:type="dxa"/>
        <w:tblInd w:w="-2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1572"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457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097"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1063"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7612"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57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4" w:hRule="atLeast"/>
        </w:trPr>
        <w:tc>
          <w:tcPr>
            <w:tcW w:w="1097"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063"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rPr>
        <w:tc>
          <w:tcPr>
            <w:tcW w:w="2897"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2,672.08</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2,672.08</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2,672.08</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318002</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江阴市财政局机关</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2,672.08</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2,672.08</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2,672.08</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57" w:right="0" w:firstLine="221" w:firstLineChars="100"/>
        <w:jc w:val="left"/>
        <w:rPr>
          <w:rFonts w:hint="eastAsia" w:ascii="仿宋" w:hAnsi="仿宋" w:eastAsia="仿宋" w:cs="仿宋"/>
          <w:b/>
          <w:bCs/>
          <w:sz w:val="22"/>
          <w:szCs w:val="22"/>
        </w:rPr>
        <w:sectPr>
          <w:footerReference r:id="rId8" w:type="default"/>
          <w:pgSz w:w="16838" w:h="11906" w:orient="landscape"/>
          <w:pgMar w:top="720" w:right="720" w:bottom="720" w:left="5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Layout w:type="fixed"/>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Layout w:type="fixed"/>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Layout w:type="fixed"/>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Layout w:type="fixed"/>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2,672.08</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2,251.51</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420.57</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1,912.32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420.57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财政事务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1,912.32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420.57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其他财政事务支出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205.98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205.98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159.45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159.45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106.30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106.30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53.15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53.15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292.03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292.03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117.97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Layout w:type="fixed"/>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江阴市财政局机关</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Layout w:type="fixed"/>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2,672.08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2,672.08</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2,672.08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1,912.32</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205.98</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553.78</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2,672.08</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2,672.08</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Layout w:type="fixed"/>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2,672.08</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2,251.51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2,153.40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98.11</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420.57</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1,912.32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1,491.75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98.11</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420.57</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财政事务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1,912.32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1,491.75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98.11</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420.57</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1,491.75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1,491.75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98.11</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365.57</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其他财政事务支出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55.00</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205.98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205.98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205.98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159.45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159.45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159.45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106.30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106.30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53.15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46.53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292.03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292.03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292.03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117.97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Layout w:type="fixed"/>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Layout w:type="fixed"/>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Layout w:type="fixed"/>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江阴市财政局机关</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Layout w:type="fixed"/>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2,251.51</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2,153.40</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98.11</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2,046.70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2,046.70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187.63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187.63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802.21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802.21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682.84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682.84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53.15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53.15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42.09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91.37</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5.23</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18.87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18.87</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9.28</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103.73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103.73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Layout w:type="fixed"/>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2,672.08</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2,251.51</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2,153.40</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98.11</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420.57</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1,912.32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420.57</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财政事务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1,912.32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420.57</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其他财政事务支出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205.98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205.98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205.98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159.45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159.45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159.45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106.30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106.30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106.30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53.15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53.15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53.15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292.03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292.03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292.03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117.97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117.97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Layout w:type="fixed"/>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Layout w:type="fixed"/>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Layout w:type="fixed"/>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Layout w:type="fixed"/>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2,251.51</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2,153.40</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98.11</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2,046.70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2,046.70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187.63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187.63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802.21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802.21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682.84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682.84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106.30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53.15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53.15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42.09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143.78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91.37</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6.99</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5.23</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18.87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18.87</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9.28</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106.70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103.73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103.73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0.70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Layout w:type="fixed"/>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Layout w:type="fixed"/>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Layout w:type="fixed"/>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Layout w:type="fixed"/>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Layout w:type="fixed"/>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Layout w:type="fixed"/>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Layout w:type="fixed"/>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Layout w:type="fixed"/>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Layout w:type="fixed"/>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Ind w:w="0" w:type="dxa"/>
        <w:tblLayout w:type="fixed"/>
        <w:tblCellMar>
          <w:top w:w="0" w:type="dxa"/>
          <w:left w:w="108" w:type="dxa"/>
          <w:bottom w:w="0" w:type="dxa"/>
          <w:right w:w="108" w:type="dxa"/>
        </w:tblCellMar>
      </w:tblPr>
      <w:tblGrid>
        <w:gridCol w:w="1596"/>
        <w:gridCol w:w="3803"/>
        <w:gridCol w:w="3111"/>
        <w:gridCol w:w="3094"/>
        <w:gridCol w:w="3091"/>
      </w:tblGrid>
      <w:tr>
        <w:tblPrEx>
          <w:tblLayout w:type="fixed"/>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Layout w:type="fixed"/>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Layout w:type="fixed"/>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Layout w:type="fixed"/>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Layout w:type="fixed"/>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Layout w:type="fixed"/>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Layout w:type="fixed"/>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Layout w:type="fixed"/>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Layout w:type="fixed"/>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91.37</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91.37</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6.99</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18.87</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9.28</w:t>
            </w: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江阴市财政局机关</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246.74</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6.74</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6.74</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4.62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便携式计算机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多功能一体机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市级财政项目绩效评审</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资产及其他评估服务</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r>
    </w:tbl>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江阴市财政局机关2022年度收入、支出预算总计2,672.08万元，与上年相比收、支预算总计各减少357.99万元，减少11.81%。</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（一）收入预算总计2,672.08万元。包括：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1．本年收入合计2,672.08万元。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（1）一般公共预算拨款收入2,672.08万元，与上年相比减少357.99万元，减少11.81%。主要原因是财政票据工本费、行政事业单位固定资产清查条形码录入、市级财政项目绩效评价等单位专项减少。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（二）支出预算总计2,672.08万元。包括：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1．本年支出合计2,672.08万元。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服务支出（类）支出1,912.32万元，主要用于市财政局机关开展财政事务发生的支出。与上年相比减少515.16万元，减少21.22%。主要原因是财政票据工本费、行政事业单位固定资产清查条形码录入、市级财政项目绩效评价等单位专项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205.98万元，主要用于市财政局机关机关事业单位养老保险、职业年金、医保、其他社保费、体检费等支出。与上年相比增加38.6万元，增长23.06%。主要原因是本年度体检费、医保、其他社保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553.78万元，主要用于市财政局机关按照国家有关规定为职工缴存住房公积金、发放提租补贴以及新职工缴存的逐月补贴支出。与上年相比增加118.57万元，增长27.24%。主要原因是住房公积金、新职工购房补贴、老职工提租补贴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江阴市财政局机关2022年收入预算合计2,672.08万元，包括本年收入2,672.08万元，上年结转结余0万元。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本年一般公共预算收入2,672.08万元，占100%；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江阴市财政局机关2022年支出预算合计2,672.08万元，其中：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基本支出2,251.51万元，占84.26%；</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项目支出420.57万元，占15.74%；</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5715"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财政拨款收、支总预算2,672.08万元。与上年相比，财政拨款收、支总计各减少357.99万元，减少11.81%。主要原因是财政票据工本费、行政事业单位固定资产清查条形码录入、市级财政项目绩效评价等单位专项减少；新增市级财政科研经费；原下属参公事业单位财政稽查大队因机构改革注销，单位专项并入局机关。</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财政拨款预算支出2,672.08万元，占本年支出合计的100%。与上年相比，财政拨款支出减少357.99万元，减少11.81%。主要原因是财政票据工本费、行政事业单位固定资产清查条形码录入、市级财政项目绩效评价等单位专项减少；新增市级财政科研经费；原下属参公事业单位财政稽查大队因机构改革注销，单位专项并入局机关。</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（一）一般公共服务支出（类）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财政事务（款）行政运行（项）支出1,491.75万元，与上年相比减少56.12万元，减少3.63%。主要原因是本年度体检费、医保、其他社保费功能分类从一般公共服务支出（类）调整为社会保障和就业支出（类）；在职人员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2.财政事务（款）一般行政管理事务（项）支出365.57万元，与上年相比减少184.04万元，减少33.49%。主要原因是行政事业单位固定资产清查条形码录入专项今年未安排；市级财政项目绩效评价专项预算压降。</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财政事务（款）其他财政事务支出（项）支出55万元，与上年相比减少275万元，减少83.33%。主要原因是非税电子票据系统上线，财政票据工本费单位专项压降；政府信息化PPP项目中期评估、PPP项目财政监督单位专项今年未安排。</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1.行政事业单位养老支出（款）机关事业单位基本养老保险缴费支出（项）支出106.3万元，与上年相比减少5.28万元，减少4.73%。主要原因是在职人员减少。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2.行政事业单位养老支出（款）机关事业单位职业年金缴费支出（项）支出53.15万元，与上年相比减少2.64万元，减少4.73%。主要原因是在职人员减少。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46.53万元，与上年相比增加46.53万元（去年预算数为0万元，无法计算增减比率）。主要原因是上年未设置该功能分类，本年度体检费、医保、其他社保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1.住房改革支出（款）住房公积金（项）支出143.78万元，与上年相比增加27.12万元，增长23.25%。主要原因是住房公积金缴存基数政策性调整。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2.住房改革支出（款）提租补贴（项）支出292.03万元，与上年相比增加43.22万元，增长17.37%。主要原因是提租补贴缴存基数政策性调整。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3.住房改革支出（款）购房补贴（项）支出117.97万元，与上年相比增加48.23万元，增长69.16%。主要原因是购房补贴缴存基数政策性调整，人员的调入调出。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江阴市财政局机关2022年度财政拨款基本支出预算2,251.51万元，其中：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2,153.4万元。主要包括：基本工资、津贴补贴、奖金、伙食补助费、机关事业单位基本养老保险缴费、职业年金缴费、职工基本医疗保险缴费、其他社会保障缴费、住房公积金、医疗费、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（二）公用经费98.11万元。主要包括：办公费、印刷费、差旅费、会议费、培训费、公务接待费、工会经费、其他商品和服务支出、其他资本性支出。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一般公共预算财政拨款支出预算2,672.08万元，与上年相比减少357.99万元，减少11.81%。主要原因是财政票据工本费、行政事业单位固定资产清查条形码录入、市级财政项目绩效评价等单位专项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江阴市财政局机关2022年度一般公共预算财政拨款基本支出预算2,251.51万元，其中：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2,153.4万元。主要包括：基本工资、津贴补贴、奖金、伙食补助费、机关事业单位基本养老保险缴费、职业年金缴费、职工基本医疗保险缴费、其他社会保障缴费、住房公积金、医疗费、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（二）公用经费98.11万元。主要包括：办公费、印刷费、差旅费、会议费、培训费、公务接待费、工会经费、其他商品和服务支出、其他资本性支出。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一般公共预算拨款安排的“三公”经费预算支出中，因公出国（境）费支出0万元，占“三公”经费的0%；公务用车购置及运行维护费支出0万元，占“三公”经费的0%；公务接待费支出5万元，占“三公”经费的100%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3．公务接待费预算支出5万元，比上年预算减少0.95万元，主要原因是根据上年公务接待实际支出情况，考虑疫情影响，来访人员数量、批次减少，降低公务接待支出预算。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一般公共预算拨款安排的会议费预算支出8万元，比上年预算增加1万元，主要原因是受疫情影响，预计赴外地参加会议次数减少，更多的采用现场视频会议形式，适量增加本年度会议支出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江阴市财政局机关2022年度一般公共预算拨款安排的培训费预算支出15万元，与上年预算数相同。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江阴市财政局机关2022年国有资本经营预算支出0万元。与上年预算数相同。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2022年本单位一般公共预算机关运行经费预算支出91.37万元。与上年相比减少67.92万元，减少42.64%。主要原因是今年机关运行经费口径不再包含交通补贴。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2022年度政府采购支出预算总额246.74万元，其中：拟采购货物支出6.74万元、拟采购工程支出0万元、拟购买服务支出240万元。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一般公务用车0辆、执法执勤用车0辆、特种专业技术用车0辆、业务用车0辆、其他用车0辆等。单价50万元（含）以上的通用设备8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2022年度，本单位整体支出纳入绩效目标管理，涉及四本预算资金2,672.08万元；本单位共5个项目纳入绩效目标管理，涉及四本预算资金合计420.57万元，占四本预算资金(基本支出除外)总额的比例为100%。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八、一般公共服务支出(类)财政事务(款)行政运行(项)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九、一般公共服务支出(类)财政事务(款)一般行政管理事务(项)</w:t>
      </w:r>
      <w:r>
        <w:rPr>
          <w:rFonts w:ascii="仿宋" w:hAnsi="仿宋" w:eastAsia="仿宋" w:cs="仿宋"/>
          <w:b/>
        </w:rPr>
        <w:t>：</w:t>
      </w:r>
      <w:r>
        <w:rPr>
          <w:rFonts w:hint="eastAsia" w:ascii="仿宋" w:hAnsi="仿宋" w:eastAsia="仿宋" w:cs="仿宋"/>
        </w:rPr>
        <w:t>反映行政单位（包括实行公务员管理的事业单位）未单独设置项级科目的其他项目支出。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十、一般公共服务支出(类)财政事务(款)其他财政事务支出(项)</w:t>
      </w:r>
      <w:r>
        <w:rPr>
          <w:rFonts w:ascii="仿宋" w:hAnsi="仿宋" w:eastAsia="仿宋" w:cs="仿宋"/>
          <w:b/>
        </w:rPr>
        <w:t>：</w:t>
      </w:r>
      <w:r>
        <w:rPr>
          <w:rFonts w:hint="eastAsia" w:ascii="仿宋" w:hAnsi="仿宋" w:eastAsia="仿宋" w:cs="仿宋"/>
        </w:rPr>
        <w:t>反映除上述项目以外其他财政事务方面的支出。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du8Ei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LwLLEBAABPAwAADgAAAGRycy9lMm9Eb2MueG1srVPBbtswDL0P2D8I&#10;ui9yPGA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DmdXU+K4xRkdfj4efj0fnh7IvPpY5xYNPjaYee8xN42fYcT0yR/RmZWPKtj8&#10;RU0E49js/bnBckxE5EeLerGoMCQwNl0Qn7089yGmLxIsyUZLA06wNJbvvsV0TJ1ScjUH19qYMkXj&#10;/nIgZvawzP3IMVtpXI8nQWvo9qhnwOG31OF2UmK+Ouxt3pPJCJOxnoytD3rTl0XK9aK/3CYkUbjl&#10;CkfYU2GcWlF32rC8Fn/eS9bLf7D6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kvA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1n2ua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JILbEBAABPAwAADgAAAGRycy9lMm9Eb2MueG1srVNLbtswEN0XyB0I&#10;7mPKTlA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Bskgt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7/Tm7EBAABPAwAADgAAAGRycy9lMm9Eb2MueG1srVNLbtswEN0XyB0I&#10;7mPKDlI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Lv9O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Urw+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BFy9R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ulpZuLIB&#10;AABOAwAADgAAAAAAAAABACAAAAAeAQAAZHJzL2Uyb0RvYy54bWxQSwUGAAAAAAYABgBZAQAAQgUA&#10;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fFncq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wGNXO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NIec2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ZReJ7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Ko+3mq8BAABP&#10;AwAADgAAAAAAAAABACAAAAAeAQAAZHJzL2Uyb0RvYy54bWxQSwUGAAAAAAYABgBZAQAAPw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ggiw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江阴市财政局机关</w:t>
    </w:r>
    <w:r>
      <w:t>2022年度单位预算公开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8D016A"/>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5A1F79"/>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50</TotalTime>
  <ScaleCrop>false</ScaleCrop>
  <LinksUpToDate>false</LinksUpToDate>
  <CharactersWithSpaces>7399</CharactersWithSpaces>
  <Application>WPS Office_11.1.0.8527_F1E327BC-269C-435d-A152-05C5408002CA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hp</cp:lastModifiedBy>
  <cp:lastPrinted>2022-02-16T06:14:55Z</cp:lastPrinted>
  <dcterms:modified xsi:type="dcterms:W3CDTF">2022-02-16T06:15:54Z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2052-11.1.0.8527</vt:lpwstr>
  </property>
  <property fmtid="{D5CDD505-2E9C-101B-9397-08002B2CF9AE}" pid="6" name="LastSaved">
    <vt:filetime>2021-04-15T00:00:00Z</vt:filetime>
  </property>
</Properties>
</file>