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关于2021年10月全市安全生产</w:t>
      </w:r>
    </w:p>
    <w:p>
      <w:pPr>
        <w:adjustRightIn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执法工作情况的通报</w:t>
      </w:r>
    </w:p>
    <w:p>
      <w:pPr>
        <w:adjustRightInd w:val="0"/>
        <w:spacing w:line="500" w:lineRule="exact"/>
        <w:jc w:val="center"/>
        <w:rPr>
          <w:szCs w:val="24"/>
        </w:rPr>
      </w:pPr>
    </w:p>
    <w:p>
      <w:pPr>
        <w:adjustRightInd w:val="0"/>
        <w:rPr>
          <w:rFonts w:hint="eastAsia" w:eastAsia="方正楷体_GBK" w:cs="宋体"/>
          <w:kern w:val="0"/>
          <w:szCs w:val="32"/>
        </w:rPr>
      </w:pPr>
      <w:r>
        <w:rPr>
          <w:rFonts w:hint="eastAsia" w:ascii="方正楷体_GBK" w:hAnsi="楷体" w:eastAsia="方正楷体_GBK"/>
          <w:szCs w:val="32"/>
        </w:rPr>
        <w:t>各镇人民政府，各街道办事处，高新区管委会，临港经济开发区</w:t>
      </w:r>
      <w:r>
        <w:rPr>
          <w:rFonts w:hint="eastAsia" w:eastAsia="方正楷体_GBK"/>
          <w:szCs w:val="32"/>
        </w:rPr>
        <w:t>管委会：</w:t>
      </w:r>
      <w:r>
        <w:rPr>
          <w:rFonts w:hint="eastAsia" w:eastAsia="方正楷体_GBK" w:cs="宋体"/>
          <w:kern w:val="0"/>
          <w:szCs w:val="32"/>
        </w:rPr>
        <w:t xml:space="preserve"> </w:t>
      </w:r>
    </w:p>
    <w:p>
      <w:pPr>
        <w:adjustRightInd w:val="0"/>
        <w:ind w:firstLine="632" w:firstLineChars="200"/>
        <w:rPr>
          <w:szCs w:val="32"/>
        </w:rPr>
      </w:pPr>
      <w:r>
        <w:rPr>
          <w:rFonts w:hint="eastAsia"/>
          <w:szCs w:val="32"/>
        </w:rPr>
        <w:t>按照年度执法工作安排，现对10月份全市安全生产执法工作情况通报如下：</w:t>
      </w:r>
    </w:p>
    <w:p>
      <w:pPr>
        <w:adjustRightInd w:val="0"/>
        <w:ind w:firstLine="632" w:firstLineChars="200"/>
        <w:rPr>
          <w:rFonts w:hint="eastAsia" w:eastAsia="方正黑体_GBK"/>
          <w:szCs w:val="32"/>
        </w:rPr>
      </w:pPr>
      <w:r>
        <w:rPr>
          <w:rFonts w:hint="eastAsia" w:eastAsia="方正黑体_GBK"/>
          <w:szCs w:val="32"/>
        </w:rPr>
        <w:t>一、基本情况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2021年10月，根据江苏省安全生产行政执法系统（无锡）数据统计显示，</w:t>
      </w:r>
      <w:r>
        <w:rPr>
          <w:szCs w:val="32"/>
        </w:rPr>
        <w:t>全市</w:t>
      </w:r>
      <w:r>
        <w:rPr>
          <w:rFonts w:hint="eastAsia"/>
          <w:szCs w:val="32"/>
        </w:rPr>
        <w:t>应急管理系统共开展检查181次，检查企业180家，出具执法文书1803件，发现隐患1572处，整改隐患511处。事前立案84起，占检查企业的46.67%。事前处罚金额409.86万元，案均值为3.63万元。共涉及案由114个，其中案由排名前三的为隐患管理类（19个）、安全设备使用维护类（17个）、教育培训类（14个）。</w:t>
      </w:r>
    </w:p>
    <w:p>
      <w:pPr>
        <w:adjustRightInd w:val="0"/>
        <w:ind w:firstLine="632" w:firstLineChars="200"/>
        <w:rPr>
          <w:rFonts w:hint="eastAsia" w:eastAsia="方正黑体_GBK"/>
          <w:szCs w:val="32"/>
        </w:rPr>
      </w:pPr>
      <w:r>
        <w:rPr>
          <w:rFonts w:hint="eastAsia" w:eastAsia="方正黑体_GBK"/>
          <w:szCs w:val="32"/>
        </w:rPr>
        <w:t>二、执法数据排名情况</w:t>
      </w:r>
    </w:p>
    <w:p>
      <w:pPr>
        <w:adjustRightInd w:val="0"/>
        <w:ind w:firstLine="632" w:firstLineChars="200"/>
        <w:rPr>
          <w:rFonts w:hint="eastAsia" w:cs="Calibri"/>
          <w:szCs w:val="32"/>
        </w:rPr>
      </w:pPr>
      <w:r>
        <w:rPr>
          <w:rFonts w:hint="eastAsia" w:eastAsia="方正楷体_GBK"/>
          <w:szCs w:val="32"/>
        </w:rPr>
        <w:t>（一）立案数情况。</w:t>
      </w:r>
      <w:r>
        <w:rPr>
          <w:rFonts w:hint="eastAsia"/>
          <w:szCs w:val="32"/>
        </w:rPr>
        <w:t>排在前列的板块是：</w:t>
      </w:r>
      <w:r>
        <w:rPr>
          <w:rFonts w:hint="eastAsia" w:hAnsi="Calibri"/>
          <w:szCs w:val="32"/>
        </w:rPr>
        <w:t>周庄镇</w:t>
      </w:r>
      <w:r>
        <w:rPr>
          <w:rFonts w:hint="eastAsia"/>
          <w:szCs w:val="32"/>
        </w:rPr>
        <w:t>（11起），璜土镇、利港街道、澄江街道、南闸街道、华士镇、长泾镇均为6起；排名靠后的板块是：</w:t>
      </w:r>
      <w:r>
        <w:rPr>
          <w:rFonts w:hint="eastAsia" w:hAnsi="Calibri" w:cs="Calibri"/>
          <w:szCs w:val="32"/>
        </w:rPr>
        <w:t>月城镇（</w:t>
      </w:r>
      <w:r>
        <w:rPr>
          <w:rFonts w:hint="eastAsia" w:cs="Calibri"/>
          <w:szCs w:val="32"/>
        </w:rPr>
        <w:t>2</w:t>
      </w:r>
      <w:r>
        <w:rPr>
          <w:rFonts w:hint="eastAsia" w:hAnsi="Calibri" w:cs="Calibri"/>
          <w:szCs w:val="32"/>
        </w:rPr>
        <w:t>起），夏港街道、申港街道、新桥镇均为</w:t>
      </w:r>
      <w:r>
        <w:rPr>
          <w:rFonts w:hint="eastAsia" w:cs="Calibri"/>
          <w:szCs w:val="32"/>
        </w:rPr>
        <w:t>1</w:t>
      </w:r>
      <w:r>
        <w:rPr>
          <w:rFonts w:hint="eastAsia" w:hAnsi="Calibri" w:cs="Calibri"/>
          <w:szCs w:val="32"/>
        </w:rPr>
        <w:t>起。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eastAsia="方正楷体_GBK"/>
          <w:szCs w:val="32"/>
        </w:rPr>
        <w:t>（二）案由数占立案数比例。</w:t>
      </w:r>
      <w:r>
        <w:rPr>
          <w:rFonts w:hint="eastAsia"/>
          <w:szCs w:val="32"/>
        </w:rPr>
        <w:t>排名前三位的板块是：申港街道（3.0）、青阳镇（1.75）、华士镇（1.67）、长泾镇（1.67）；璜土镇、夏港街道、月城镇、新桥镇及顾山镇排在后面，六个板块的案由数占立案数比例均为1。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eastAsia="方正楷体_GBK"/>
          <w:szCs w:val="32"/>
        </w:rPr>
        <w:t>（三）处罚金额情况。</w:t>
      </w:r>
      <w:r>
        <w:rPr>
          <w:rFonts w:hint="eastAsia"/>
          <w:szCs w:val="32"/>
        </w:rPr>
        <w:t>排名前三位的板块是：周庄镇（64.26万元）、徐霞客镇（43.5万元）、长泾镇（30.5万元）；排名后三位的板块为：青阳镇（10万元）、祝塘镇（10万元）、新桥镇（2万元）。</w:t>
      </w:r>
    </w:p>
    <w:p>
      <w:pPr>
        <w:adjustRightInd w:val="0"/>
        <w:ind w:firstLine="632" w:firstLineChars="200"/>
        <w:rPr>
          <w:rFonts w:hint="eastAsia" w:eastAsia="方正楷体_GBK"/>
          <w:szCs w:val="32"/>
        </w:rPr>
      </w:pPr>
      <w:r>
        <w:rPr>
          <w:rFonts w:hint="eastAsia" w:eastAsia="方正楷体_GBK"/>
          <w:szCs w:val="32"/>
        </w:rPr>
        <w:t>（四）案均值情况。</w:t>
      </w:r>
      <w:r>
        <w:rPr>
          <w:rFonts w:hint="eastAsia"/>
          <w:szCs w:val="32"/>
        </w:rPr>
        <w:t>排名前三位的板块是：申港街道（5.9万元）、夏港街道（4.67万元）、月城镇（4.35万元）；排名后三位的板块为：祝塘镇（2.5万元）、南闸街道（2.22万元）、青阳镇（2万元）、新桥镇（2万元）。</w:t>
      </w:r>
    </w:p>
    <w:p>
      <w:pPr>
        <w:ind w:firstLine="632" w:firstLineChars="200"/>
        <w:rPr>
          <w:rFonts w:hint="eastAsia"/>
          <w:szCs w:val="32"/>
        </w:rPr>
      </w:pPr>
      <w:r>
        <w:rPr>
          <w:rFonts w:hint="eastAsia" w:eastAsia="方正楷体_GBK"/>
          <w:szCs w:val="32"/>
        </w:rPr>
        <w:t>（五）事前立案率（查处率）情况。</w:t>
      </w:r>
      <w:r>
        <w:rPr>
          <w:rFonts w:hint="eastAsia"/>
          <w:szCs w:val="32"/>
        </w:rPr>
        <w:t>排名前三位的板块是：徐霞客镇（</w:t>
      </w:r>
      <w:r>
        <w:rPr>
          <w:szCs w:val="32"/>
        </w:rPr>
        <w:t>200.00%</w:t>
      </w:r>
      <w:r>
        <w:rPr>
          <w:rFonts w:hint="eastAsia"/>
          <w:szCs w:val="32"/>
        </w:rPr>
        <w:t>）、澄江街道（120.00%）、南闸街道（100.00%）、青阳镇（100.00</w:t>
      </w:r>
      <w:r>
        <w:rPr>
          <w:szCs w:val="32"/>
        </w:rPr>
        <w:t>%</w:t>
      </w:r>
      <w:r>
        <w:rPr>
          <w:rFonts w:hint="eastAsia"/>
          <w:szCs w:val="32"/>
        </w:rPr>
        <w:t>）；有三个板块的事前立案率（查处率）低于35%，分别是：月城镇（33.33%）、夏港街道（16.67%）、新桥镇（5.88%）。</w:t>
      </w:r>
    </w:p>
    <w:p>
      <w:pPr>
        <w:adjustRightInd w:val="0"/>
        <w:ind w:firstLine="632" w:firstLineChars="200"/>
        <w:rPr>
          <w:rFonts w:hint="eastAsia" w:eastAsia="方正黑体_GBK"/>
          <w:szCs w:val="32"/>
        </w:rPr>
      </w:pPr>
      <w:r>
        <w:rPr>
          <w:rFonts w:hint="eastAsia" w:eastAsia="方正黑体_GBK"/>
          <w:szCs w:val="32"/>
        </w:rPr>
        <w:t>三、存在的主要问题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hAnsi="方正楷体_GBK" w:eastAsia="方正楷体_GBK" w:cs="方正楷体_GBK"/>
          <w:szCs w:val="32"/>
        </w:rPr>
        <w:t>（一）执法人员的能力有待增强。</w:t>
      </w:r>
      <w:r>
        <w:rPr>
          <w:rFonts w:hint="eastAsia"/>
          <w:szCs w:val="32"/>
        </w:rPr>
        <w:t>通过全市交叉执法检查行动发现，部分执法人员对“三位一体”执法运用不熟练，未能全方位规范执法程序、行为、语言、文书使用；二是检查的专业性有待增强。执法队员不能事先全面、透彻掌握检查内容、熟悉相关法律等，检查前未明确分工，未突出重点；三是现场发现问题的能力还比较弱。执法过分依赖专家，未能及时发现一些隐蔽的隐患甚至重大隐患，违法违规问题未能与相应的法规标准进行对应，指导企业解决问题能力不足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hAnsi="方正楷体_GBK" w:eastAsia="方正楷体_GBK" w:cs="方正楷体_GBK"/>
          <w:szCs w:val="32"/>
        </w:rPr>
        <w:t>（二）执法检查的力度还需提高。</w:t>
      </w:r>
      <w:r>
        <w:rPr>
          <w:rFonts w:hint="eastAsia"/>
          <w:szCs w:val="32"/>
        </w:rPr>
        <w:t>一是部分板块执法检查频次低。月均检查企业数较少，发现、整改隐患数较少，执法的力度较弱。二是重大隐患查不出。根据省执法系统显示，十月份除申港街道发现、整改1条重大隐患外，其余板块重大隐患数均为0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hAnsi="方正楷体_GBK" w:eastAsia="方正楷体_GBK" w:cs="方正楷体_GBK"/>
          <w:szCs w:val="32"/>
        </w:rPr>
        <w:t>（三）省执法系统使用亟需规范。</w:t>
      </w:r>
      <w:r>
        <w:rPr>
          <w:rFonts w:hint="eastAsia"/>
          <w:szCs w:val="32"/>
        </w:rPr>
        <w:t>一是填报数据不全面。各板块均未在系统上报曝光、惩戒数据，与实际执法情况不相符。无锡支队对省系统案卷抽查及市应急局对省执法系统3次网络巡查，均发现系统内部分案卷办理过程依旧不够规范，部分签字文书依然未及时上传。 二是少数案件办理存在超期。存在整改复查超期，且立案超期案件占比较多。</w:t>
      </w:r>
    </w:p>
    <w:p>
      <w:pPr>
        <w:adjustRightInd w:val="0"/>
        <w:ind w:firstLine="632" w:firstLineChars="200"/>
        <w:rPr>
          <w:rFonts w:hint="eastAsia" w:eastAsia="方正黑体_GBK"/>
          <w:szCs w:val="32"/>
        </w:rPr>
      </w:pPr>
      <w:r>
        <w:rPr>
          <w:rFonts w:hint="eastAsia" w:eastAsia="方正黑体_GBK"/>
          <w:szCs w:val="32"/>
        </w:rPr>
        <w:t>四、下一步工作要求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lang w:bidi="ar"/>
        </w:rPr>
        <w:t>（一）提高政治站位，提升监管能力。</w:t>
      </w:r>
      <w:r>
        <w:rPr>
          <w:rFonts w:ascii="方正仿宋_GBK" w:hAnsi="方正仿宋_GBK" w:cs="方正仿宋_GBK"/>
          <w:kern w:val="0"/>
          <w:szCs w:val="32"/>
          <w:lang w:bidi="ar"/>
        </w:rPr>
        <w:t>各</w:t>
      </w:r>
      <w:r>
        <w:rPr>
          <w:rFonts w:hint="eastAsia" w:ascii="方正仿宋_GBK" w:hAnsi="方正仿宋_GBK" w:cs="方正仿宋_GBK"/>
          <w:kern w:val="0"/>
          <w:szCs w:val="32"/>
          <w:lang w:bidi="ar"/>
        </w:rPr>
        <w:t>板块要提高认识，明确职责，积极</w:t>
      </w:r>
      <w:r>
        <w:rPr>
          <w:rFonts w:ascii="方正仿宋_GBK" w:hAnsi="方正仿宋_GBK" w:cs="方正仿宋_GBK"/>
          <w:kern w:val="0"/>
          <w:szCs w:val="32"/>
          <w:lang w:bidi="ar"/>
        </w:rPr>
        <w:t>落</w:t>
      </w:r>
      <w:r>
        <w:rPr>
          <w:rFonts w:hint="eastAsia" w:ascii="方正仿宋_GBK" w:hAnsi="方正仿宋_GBK" w:cs="方正仿宋_GBK"/>
          <w:kern w:val="0"/>
          <w:szCs w:val="32"/>
          <w:lang w:bidi="ar"/>
        </w:rPr>
        <w:t>实行政执法</w:t>
      </w:r>
      <w:r>
        <w:rPr>
          <w:rFonts w:hint="eastAsia" w:ascii="方正仿宋_GBK"/>
          <w:kern w:val="0"/>
          <w:szCs w:val="32"/>
          <w:lang w:bidi="ar"/>
        </w:rPr>
        <w:t>“</w:t>
      </w:r>
      <w:r>
        <w:rPr>
          <w:rFonts w:hint="eastAsia" w:ascii="方正仿宋_GBK" w:hAnsi="方正仿宋_GBK" w:cs="方正仿宋_GBK"/>
          <w:kern w:val="0"/>
          <w:szCs w:val="32"/>
          <w:lang w:bidi="ar"/>
        </w:rPr>
        <w:t>三项制度</w:t>
      </w:r>
      <w:r>
        <w:rPr>
          <w:rFonts w:hint="eastAsia" w:ascii="方正仿宋_GBK"/>
          <w:kern w:val="0"/>
          <w:szCs w:val="32"/>
          <w:lang w:bidi="ar"/>
        </w:rPr>
        <w:t>”；</w:t>
      </w:r>
      <w:r>
        <w:rPr>
          <w:rFonts w:hint="eastAsia" w:ascii="方正仿宋_GBK" w:hAnsi="方正仿宋_GBK" w:cs="方正仿宋_GBK"/>
          <w:kern w:val="0"/>
          <w:szCs w:val="32"/>
          <w:lang w:bidi="ar"/>
        </w:rPr>
        <w:t>规范执法程序，熟练运用</w:t>
      </w:r>
      <w:r>
        <w:rPr>
          <w:rFonts w:hint="eastAsia" w:ascii="方正仿宋_GBK"/>
          <w:kern w:val="0"/>
          <w:szCs w:val="32"/>
          <w:lang w:bidi="ar"/>
        </w:rPr>
        <w:t>“</w:t>
      </w:r>
      <w:r>
        <w:rPr>
          <w:rFonts w:hint="eastAsia" w:ascii="方正仿宋_GBK" w:hAnsi="方正仿宋_GBK" w:cs="方正仿宋_GBK"/>
          <w:kern w:val="0"/>
          <w:szCs w:val="32"/>
          <w:lang w:bidi="ar"/>
        </w:rPr>
        <w:t>三位一体</w:t>
      </w:r>
      <w:r>
        <w:rPr>
          <w:rFonts w:hint="eastAsia" w:ascii="方正仿宋_GBK"/>
          <w:kern w:val="0"/>
          <w:szCs w:val="32"/>
          <w:lang w:bidi="ar"/>
        </w:rPr>
        <w:t>”</w:t>
      </w:r>
      <w:r>
        <w:rPr>
          <w:rFonts w:hint="eastAsia" w:ascii="方正仿宋_GBK" w:hAnsi="方正仿宋_GBK" w:cs="方正仿宋_GBK"/>
          <w:kern w:val="0"/>
          <w:szCs w:val="32"/>
          <w:lang w:bidi="ar"/>
        </w:rPr>
        <w:t>执法工作模式，严格按照执法程序抓好日常执法检查、专项执法、明查暗访、交叉互检等工作；</w:t>
      </w:r>
      <w:r>
        <w:rPr>
          <w:rFonts w:hint="eastAsia"/>
          <w:szCs w:val="32"/>
        </w:rPr>
        <w:t>在办理案件及录入省系统过程中从内心提高重视度、强化责任心、做到精益求精。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lang w:bidi="ar"/>
        </w:rPr>
        <w:t>（二）做好总结反思，巩固执法成果。</w:t>
      </w:r>
      <w:r>
        <w:rPr>
          <w:rFonts w:hint="eastAsia"/>
          <w:szCs w:val="32"/>
        </w:rPr>
        <w:t>截至目前，百日执法行动已经圆满结束，但是各板块要跟踪督促本次行动中问题企业隐患的整改，从严查处，确实起到处罚一家警示一片的效果。要反思百日行动执法检查工作，紧紧围绕“争第一、创唯一”要求，对照全年目标任务，查漏补缺，积极作为，全力冲刺，高质量完成各项任务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lang w:bidi="ar"/>
        </w:rPr>
        <w:t>（三）加强自主学习，提高案件质量。</w:t>
      </w:r>
      <w:r>
        <w:rPr>
          <w:rFonts w:hint="eastAsia"/>
          <w:szCs w:val="32"/>
        </w:rPr>
        <w:t>各板块要进一步增强学习的积极性与主动性，结合业务能力培训，全面掌</w:t>
      </w:r>
      <w:r>
        <w:rPr>
          <w:rFonts w:hint="eastAsia" w:ascii="方正仿宋_GBK"/>
          <w:szCs w:val="32"/>
        </w:rPr>
        <w:t>握</w:t>
      </w:r>
      <w:r>
        <w:rPr>
          <w:rFonts w:hint="eastAsia"/>
          <w:szCs w:val="32"/>
        </w:rPr>
        <w:t>新版文书手册和自由裁量适用细则，提升法律专业素养和文书撰写水平；案件承办人要做好执法案卷网络自查，及时发现解决案卷中存在的办案流程不规范、系统使用有偏差、裁量基准不统一等问题，不断提高执法办案的能力和水平。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lang w:bidi="ar"/>
        </w:rPr>
        <w:t>（四）积极主动作为，冲刺年度目标</w:t>
      </w:r>
      <w:r>
        <w:rPr>
          <w:rFonts w:hint="eastAsia"/>
          <w:szCs w:val="32"/>
        </w:rPr>
        <w:t>。当前，全年各项工作已到了加速冲刺、争分夺秒的关键阶段。各板块要咬定目标、坚定意志，积极践行“大干六十天，誓夺全年红”动员大会的精神，科学谋划、合力攻坚，以不服输的担当、不畏难的定力、不松懈的韧劲，抓好年度各项重点任务。深刻认识当前经济、社会环境和季节周期性因素的影响，压实责任、主动出击、高效处置，防范化解安全风险，全力维护形势稳定。及时总结本年度工作，超前谋划明年工作安排，为新一年安全生产执法工作高起点开局奠定基础。</w:t>
      </w:r>
    </w:p>
    <w:p>
      <w:pPr>
        <w:adjustRightInd w:val="0"/>
        <w:ind w:firstLine="632" w:firstLineChars="200"/>
        <w:rPr>
          <w:rFonts w:hint="eastAsia"/>
          <w:szCs w:val="32"/>
        </w:rPr>
      </w:pPr>
    </w:p>
    <w:p>
      <w:pPr>
        <w:adjustRightInd w:val="0"/>
        <w:ind w:firstLine="632" w:firstLineChars="200"/>
        <w:rPr>
          <w:rFonts w:hint="eastAsia"/>
          <w:szCs w:val="32"/>
        </w:rPr>
      </w:pPr>
    </w:p>
    <w:p>
      <w:pPr>
        <w:adjustRightInd w:val="0"/>
        <w:ind w:firstLine="632" w:firstLineChars="200"/>
        <w:rPr>
          <w:rFonts w:hint="eastAsia"/>
          <w:szCs w:val="32"/>
        </w:rPr>
      </w:pPr>
      <w:bookmarkStart w:id="0" w:name="_GoBack"/>
      <w:bookmarkEnd w:id="0"/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附件：1．2021年10月份省执法系统执法检查情况统计表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2．2021年10月份省执法系统案由情况统计表</w:t>
      </w:r>
    </w:p>
    <w:p>
      <w:pPr>
        <w:adjustRightInd w:val="0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3．2021年10月份各板块各项执法数据排名表</w:t>
      </w:r>
    </w:p>
    <w:p>
      <w:pPr>
        <w:rPr>
          <w:rFonts w:hint="eastAsia"/>
          <w:szCs w:val="32"/>
        </w:rPr>
      </w:pPr>
      <w:r>
        <w:rPr>
          <w:rFonts w:hint="eastAsia"/>
          <w:szCs w:val="32"/>
        </w:rPr>
        <w:t xml:space="preserve">      </w:t>
      </w:r>
    </w:p>
    <w:p>
      <w:pPr>
        <w:adjustRightInd w:val="0"/>
        <w:spacing w:before="289" w:beforeLines="50" w:line="54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 xml:space="preserve">                      江阴市安全生产委员会办公室</w:t>
      </w:r>
    </w:p>
    <w:p>
      <w:pPr>
        <w:adjustRightInd w:val="0"/>
        <w:spacing w:line="540" w:lineRule="exact"/>
        <w:ind w:right="1264" w:rightChars="400" w:firstLine="3827" w:firstLineChars="1211"/>
        <w:jc w:val="right"/>
        <w:rPr>
          <w:rFonts w:hint="eastAsia"/>
          <w:szCs w:val="32"/>
        </w:rPr>
      </w:pPr>
      <w:r>
        <w:rPr>
          <w:rFonts w:hint="eastAsia"/>
          <w:szCs w:val="32"/>
        </w:rPr>
        <w:t>2021年11月22日</w:t>
      </w:r>
    </w:p>
    <w:p>
      <w:pPr>
        <w:pStyle w:val="5"/>
        <w:spacing w:line="540" w:lineRule="exact"/>
        <w:ind w:firstLine="0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720" w:num="1"/>
          <w:docGrid w:type="linesAndChars" w:linePitch="579" w:charSpace="-849"/>
        </w:sectPr>
      </w:pPr>
    </w:p>
    <w:p>
      <w:pPr>
        <w:spacing w:line="400" w:lineRule="exac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r>
        <w:rPr>
          <w:rFonts w:eastAsia="方正黑体_GBK"/>
        </w:rPr>
        <w:t>1</w:t>
      </w:r>
    </w:p>
    <w:p>
      <w:pPr>
        <w:pStyle w:val="5"/>
        <w:adjustRightInd w:val="0"/>
        <w:spacing w:after="115" w:afterLines="20" w:line="700" w:lineRule="exact"/>
        <w:ind w:firstLine="0"/>
        <w:jc w:val="center"/>
        <w:rPr>
          <w:rFonts w:hint="eastAsia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2021年10月份省执法系统执法检查情况统计表（时间段：2021.9.26-10.25）</w:t>
      </w:r>
    </w:p>
    <w:tbl>
      <w:tblPr>
        <w:tblStyle w:val="3"/>
        <w:tblW w:w="14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84"/>
        <w:gridCol w:w="1310"/>
        <w:gridCol w:w="1482"/>
        <w:gridCol w:w="1220"/>
        <w:gridCol w:w="1327"/>
        <w:gridCol w:w="1403"/>
        <w:gridCol w:w="1373"/>
        <w:gridCol w:w="1861"/>
        <w:gridCol w:w="1033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单位</w:t>
            </w:r>
          </w:p>
        </w:tc>
        <w:tc>
          <w:tcPr>
            <w:tcW w:w="377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执法检查情况</w:t>
            </w:r>
          </w:p>
        </w:tc>
        <w:tc>
          <w:tcPr>
            <w:tcW w:w="3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执法检查中发现的隐患及整改情况</w:t>
            </w:r>
          </w:p>
        </w:tc>
        <w:tc>
          <w:tcPr>
            <w:tcW w:w="323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事前立案情况</w:t>
            </w:r>
          </w:p>
        </w:tc>
        <w:tc>
          <w:tcPr>
            <w:tcW w:w="240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事前罚款情况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检查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次数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检查企业数（家）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出具执法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文书总数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隐患新增数量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当月整改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数量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整改率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（%）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事前立案数（件）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与检查企业数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占比（%）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罚款额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（万元）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案均值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（万元/件）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高新区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53.66%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璜土镇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14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157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155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98.73%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42.86%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22.5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夏港街道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0.00%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16.67%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利港街道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93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2.15%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10.5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申港街道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5.88%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17.7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澄江街道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14.71%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120.00%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14.5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南闸街道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50.00%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11.1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云亭街道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63.27%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62.50%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29.7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月城镇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38.89%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33.33%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17.4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青阳镇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17.65%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徐霞客镇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0.00%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43.5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华士镇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15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15.79%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19.5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周庄镇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25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215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35.35%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44.00%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64.26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新桥镇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18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39.00%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5.88%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长泾镇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15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128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7.81%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30.5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顾山镇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13.51%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42.86%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16.5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祝塘镇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50.00%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pacing w:line="320" w:lineRule="exact"/>
              <w:jc w:val="center"/>
              <w:rPr>
                <w:rFonts w:hint="eastAsia" w:eastAsia="方正楷体_GBK"/>
                <w:sz w:val="22"/>
              </w:rPr>
            </w:pPr>
            <w:r>
              <w:rPr>
                <w:rFonts w:hint="eastAsia" w:eastAsia="方正楷体_GBK"/>
                <w:sz w:val="22"/>
              </w:rPr>
              <w:t>合计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158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157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1593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1181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447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37.85</w:t>
            </w:r>
            <w:r>
              <w:rPr>
                <w:rFonts w:ascii="Times New Roman" w:hAnsi="Times New Roman" w:eastAsia="方正楷体_GBK" w:cs="Times New Roman"/>
                <w:sz w:val="22"/>
              </w:rPr>
              <w:t>%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76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48.41</w:t>
            </w:r>
            <w:r>
              <w:rPr>
                <w:rFonts w:ascii="Times New Roman" w:hAnsi="Times New Roman" w:eastAsia="方正楷体_GBK" w:cs="Times New Roman"/>
                <w:sz w:val="22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347.66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--</w:t>
            </w:r>
          </w:p>
        </w:tc>
      </w:tr>
    </w:tbl>
    <w:p>
      <w:pPr>
        <w:spacing w:line="200" w:lineRule="exact"/>
        <w:jc w:val="center"/>
        <w:rPr>
          <w:rFonts w:hint="eastAsia"/>
          <w:color w:val="000000"/>
          <w:sz w:val="21"/>
          <w:szCs w:val="21"/>
        </w:rPr>
      </w:pPr>
    </w:p>
    <w:p>
      <w:pPr>
        <w:spacing w:line="400" w:lineRule="exact"/>
        <w:rPr>
          <w:rFonts w:hint="eastAsia" w:eastAsia="方正黑体_GBK"/>
        </w:rPr>
      </w:pPr>
      <w:r>
        <w:rPr>
          <w:rFonts w:hint="eastAsia" w:ascii="方正黑体_GBK" w:eastAsia="方正黑体_GBK"/>
        </w:rPr>
        <w:t>附件</w:t>
      </w:r>
      <w:r>
        <w:rPr>
          <w:rFonts w:eastAsia="方正黑体_GBK"/>
        </w:rPr>
        <w:t>2</w:t>
      </w:r>
    </w:p>
    <w:p>
      <w:pPr>
        <w:pStyle w:val="5"/>
        <w:adjustRightInd w:val="0"/>
        <w:spacing w:line="700" w:lineRule="exact"/>
        <w:ind w:firstLine="0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2021年10月份省执法系统案由情况统计表（时间段：2021.9.26-10.25）</w:t>
      </w:r>
    </w:p>
    <w:tbl>
      <w:tblPr>
        <w:tblStyle w:val="3"/>
        <w:tblW w:w="14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13"/>
        <w:gridCol w:w="871"/>
        <w:gridCol w:w="743"/>
        <w:gridCol w:w="714"/>
        <w:gridCol w:w="757"/>
        <w:gridCol w:w="743"/>
        <w:gridCol w:w="770"/>
        <w:gridCol w:w="771"/>
        <w:gridCol w:w="743"/>
        <w:gridCol w:w="714"/>
        <w:gridCol w:w="671"/>
        <w:gridCol w:w="1092"/>
        <w:gridCol w:w="851"/>
        <w:gridCol w:w="756"/>
        <w:gridCol w:w="810"/>
        <w:gridCol w:w="768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单位</w:t>
            </w:r>
          </w:p>
        </w:tc>
        <w:tc>
          <w:tcPr>
            <w:tcW w:w="13257" w:type="dxa"/>
            <w:gridSpan w:val="1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案由分类统计（单位：个）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行政许可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管理机构和管理人员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建设工程项目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规章制度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教育培训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资金投入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隐患管理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事故应急救援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承包租赁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警示标志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left="-94" w:leftChars="-30" w:right="-94" w:rightChars="-30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中介机构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left="-94" w:leftChars="-30" w:right="-94" w:rightChars="-30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安全设备使用维护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left="-94" w:leftChars="-30" w:right="-94" w:rightChars="-30"/>
              <w:jc w:val="center"/>
              <w:rPr>
                <w:rFonts w:hint="eastAsia"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重大</w:t>
            </w:r>
          </w:p>
          <w:p>
            <w:pPr>
              <w:widowControl/>
              <w:spacing w:line="320" w:lineRule="exact"/>
              <w:ind w:left="-94" w:leftChars="-30" w:right="-94" w:rightChars="-30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危险源管理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作业现场管理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事故报告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其他违法行为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 w:cs="宋体"/>
                <w:kern w:val="0"/>
                <w:sz w:val="22"/>
              </w:rPr>
            </w:pPr>
            <w:r>
              <w:rPr>
                <w:rFonts w:hint="eastAsia" w:eastAsia="方正黑体_GBK" w:cs="宋体"/>
                <w:kern w:val="0"/>
                <w:sz w:val="22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高新区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璜土镇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夏港街道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利港街道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申港街道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澄江街道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南闸街道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云亭街道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月城镇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青阳镇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徐霞客镇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华士镇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周庄镇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新桥镇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长泾镇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顾山镇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z w:val="22"/>
              </w:rPr>
              <w:t>祝塘镇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楷体_GBK"/>
                <w:sz w:val="22"/>
              </w:rPr>
            </w:pPr>
            <w:r>
              <w:rPr>
                <w:rFonts w:hint="eastAsia" w:eastAsia="方正楷体_GBK"/>
                <w:sz w:val="22"/>
              </w:rPr>
              <w:t>合计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楷体_GBK" w:cs="Times New Roman"/>
                <w:sz w:val="22"/>
              </w:rPr>
            </w:pPr>
            <w:r>
              <w:rPr>
                <w:rFonts w:ascii="Times New Roman" w:hAnsi="Times New Roman" w:eastAsia="方正楷体_GBK" w:cs="Times New Roman"/>
                <w:sz w:val="22"/>
              </w:rPr>
              <w:t>102</w:t>
            </w:r>
          </w:p>
        </w:tc>
      </w:tr>
    </w:tbl>
    <w:p>
      <w:pPr>
        <w:rPr>
          <w:rFonts w:eastAsia="方正黑体_GBK"/>
        </w:rPr>
      </w:pPr>
      <w:r>
        <w:rPr>
          <w:rFonts w:hint="eastAsia" w:ascii="方正黑体_GBK" w:eastAsia="方正黑体_GBK"/>
        </w:rPr>
        <w:t>附件</w:t>
      </w:r>
      <w:r>
        <w:rPr>
          <w:rFonts w:eastAsia="方正黑体_GBK"/>
        </w:rPr>
        <w:t>3</w:t>
      </w:r>
    </w:p>
    <w:p>
      <w:pPr>
        <w:spacing w:after="115" w:afterLines="20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2021年10月份各</w:t>
      </w:r>
      <w:r>
        <w:rPr>
          <w:rFonts w:hint="eastAsia" w:ascii="方正小标宋_GBK" w:eastAsia="方正小标宋_GBK"/>
          <w:sz w:val="44"/>
          <w:szCs w:val="44"/>
        </w:rPr>
        <w:t>板块</w:t>
      </w:r>
      <w:r>
        <w:rPr>
          <w:rFonts w:hint="eastAsia" w:ascii="方正小标宋_GBK" w:eastAsia="方正小标宋_GBK"/>
          <w:kern w:val="0"/>
          <w:sz w:val="44"/>
          <w:szCs w:val="44"/>
        </w:rPr>
        <w:t>各项执法数据排名表</w:t>
      </w:r>
    </w:p>
    <w:tbl>
      <w:tblPr>
        <w:tblStyle w:val="3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37"/>
        <w:gridCol w:w="594"/>
        <w:gridCol w:w="1720"/>
        <w:gridCol w:w="1581"/>
        <w:gridCol w:w="1237"/>
        <w:gridCol w:w="1590"/>
        <w:gridCol w:w="1237"/>
        <w:gridCol w:w="1840"/>
        <w:gridCol w:w="1237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名次</w:t>
            </w:r>
          </w:p>
        </w:tc>
        <w:tc>
          <w:tcPr>
            <w:tcW w:w="644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立案数排名</w:t>
            </w:r>
          </w:p>
        </w:tc>
        <w:tc>
          <w:tcPr>
            <w:tcW w:w="1161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案由数占立案数的比例（%）</w:t>
            </w:r>
          </w:p>
        </w:tc>
        <w:tc>
          <w:tcPr>
            <w:tcW w:w="994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处罚金额排名</w:t>
            </w:r>
          </w:p>
        </w:tc>
        <w:tc>
          <w:tcPr>
            <w:tcW w:w="1082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案均值排名</w:t>
            </w: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事前立案率排名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属地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起数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属地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占比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属地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金额（万元）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属地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案均值（万元）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属地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kern w:val="0"/>
                <w:sz w:val="22"/>
              </w:rPr>
              <w:t>事前立案率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周庄镇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11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申港街道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300.00%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周庄镇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64.26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申港街道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5.9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徐霞客镇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200.00%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璜土镇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青阳镇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175.00%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徐霞客镇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43.5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夏港街道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4.67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澄江街道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120.00%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利港街道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华士镇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166.67%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长泾镇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30.5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月城镇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4.35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南闸街道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澄江街道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长泾镇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166.67%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云亭街道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29.7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徐霞客镇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3.95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青阳镇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南闸街道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云亭街道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160.00%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璜土镇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22.5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华士镇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3.9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云亭街道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62.50%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华士镇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利港街道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150.00%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华士镇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19.5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长泾镇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3.81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利港街道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长泾镇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澄江街道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133.33%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申港街道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17.7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璜土镇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3.75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祝塘镇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60.00%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8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高新区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5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祝塘镇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133.33%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月城镇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17.4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云亭街道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3.71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高新区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50.00%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云亭街道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5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徐霞客镇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125.00%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顾山镇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16.5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高新区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申港街道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50.00%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青阳镇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高新区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120.00%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澄江街道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14.5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顾山镇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3.3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周庄镇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44.00%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徐霞客镇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南闸街道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116.67%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高新区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周庄镇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2.92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璜土镇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42.86%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顾山镇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周庄镇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109.09%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夏港街道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澄江街道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2.9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顾山镇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42.86%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祝塘镇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璜土镇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南闸街道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11.1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利港街道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2.62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华士镇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月城镇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夏港街道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利港街道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祝塘镇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长泾镇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40.00%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夏港街道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月城镇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青阳镇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南闸街道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2.22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月城镇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33.33%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申港街道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新桥镇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祝塘镇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青阳镇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夏港街道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16.67%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17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新桥镇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顾山镇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100.00%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新桥镇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新桥镇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  <w:t>新桥镇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2"/>
              </w:rPr>
              <w:t>5.88%</w:t>
            </w:r>
          </w:p>
        </w:tc>
      </w:tr>
    </w:tbl>
    <w:p>
      <w:pPr>
        <w:spacing w:line="200" w:lineRule="exact"/>
        <w:rPr>
          <w:rFonts w:hint="eastAsia" w:eastAsia="方正楷体_GBK"/>
          <w:color w:val="000000"/>
          <w:sz w:val="22"/>
        </w:rPr>
      </w:pPr>
    </w:p>
    <w:p/>
    <w:sectPr>
      <w:pgSz w:w="16838" w:h="11906" w:orient="landscape"/>
      <w:pgMar w:top="1418" w:right="1418" w:bottom="1134" w:left="1418" w:header="1134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snapToGrid/>
      <w:ind w:right="320" w:rightChars="100"/>
      <w:jc w:val="right"/>
      <w:rPr>
        <w:szCs w:val="28"/>
      </w:rPr>
    </w:pPr>
    <w:r>
      <w:rPr>
        <w:rFonts w:ascii="仿宋_GB2312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仿宋_GB2312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left="320" w:leftChars="100"/>
    </w:pPr>
    <w:r>
      <w:rPr>
        <w:rFonts w:ascii="仿宋_GB2312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仿宋_GB2312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923D1"/>
    <w:rsid w:val="3A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2022-01-05T05:13:00Z</dcterms:created>
  <dc:creator>虾饺。</dc:creator>
  <cp:lastModifiedBy>虾饺。</cp:lastModifiedBy>
  <dcterms:modified xsi:type="dcterms:W3CDTF">2022-01-05T05:14:39Z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C97993DD8C6B47DDA12E75AB9A6C048F</vt:lpwstr>
  </property>
</Properties>
</file>