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B2" w:rsidRDefault="007B396B" w:rsidP="00BC5513">
      <w:pPr>
        <w:spacing w:line="0" w:lineRule="atLeast"/>
        <w:jc w:val="center"/>
        <w:rPr>
          <w:rStyle w:val="NormalCharacter"/>
          <w:rFonts w:eastAsia="方正小标宋_GBK"/>
          <w:color w:val="000000"/>
          <w:sz w:val="44"/>
          <w:szCs w:val="44"/>
        </w:rPr>
      </w:pPr>
      <w:r>
        <w:rPr>
          <w:rStyle w:val="NormalCharacter"/>
          <w:rFonts w:eastAsia="方正小标宋_GBK" w:hint="eastAsia"/>
          <w:color w:val="000000"/>
          <w:sz w:val="44"/>
          <w:szCs w:val="44"/>
        </w:rPr>
        <w:t>江阴市建筑工程容积率计算规定</w:t>
      </w:r>
    </w:p>
    <w:p w:rsidR="000948B2" w:rsidRDefault="000948B2">
      <w:pPr>
        <w:ind w:firstLineChars="200" w:firstLine="612"/>
        <w:rPr>
          <w:rStyle w:val="NormalCharacter"/>
          <w:color w:val="000000"/>
          <w:szCs w:val="32"/>
        </w:rPr>
      </w:pPr>
    </w:p>
    <w:p w:rsidR="000948B2" w:rsidRDefault="007B396B">
      <w:pPr>
        <w:ind w:firstLineChars="200" w:firstLine="612"/>
        <w:rPr>
          <w:rStyle w:val="NormalCharacter"/>
          <w:color w:val="000000"/>
          <w:szCs w:val="32"/>
        </w:rPr>
      </w:pPr>
      <w:r>
        <w:rPr>
          <w:rStyle w:val="NormalCharacter"/>
          <w:rFonts w:hint="eastAsia"/>
          <w:color w:val="000000"/>
          <w:szCs w:val="32"/>
        </w:rPr>
        <w:t>为进一步加强城乡规划建设管理，营造公平公正、诚实守信的市场环境，统一江阴市建筑面积与容积率计算标准，根据《建筑工程建筑面积计算规范》（</w:t>
      </w:r>
      <w:r>
        <w:rPr>
          <w:rStyle w:val="NormalCharacter"/>
          <w:color w:val="000000"/>
          <w:szCs w:val="32"/>
        </w:rPr>
        <w:t>GB/T50353-2013</w:t>
      </w:r>
      <w:r>
        <w:rPr>
          <w:rStyle w:val="NormalCharacter"/>
          <w:rFonts w:hint="eastAsia"/>
          <w:color w:val="000000"/>
          <w:szCs w:val="32"/>
        </w:rPr>
        <w:t>）和《江苏省城市规划管理技术规定》（</w:t>
      </w:r>
      <w:r>
        <w:rPr>
          <w:rStyle w:val="NormalCharacter"/>
          <w:color w:val="000000"/>
          <w:szCs w:val="32"/>
        </w:rPr>
        <w:t>2011</w:t>
      </w:r>
      <w:r>
        <w:rPr>
          <w:rStyle w:val="NormalCharacter"/>
          <w:rFonts w:hint="eastAsia"/>
          <w:color w:val="000000"/>
          <w:szCs w:val="32"/>
        </w:rPr>
        <w:t>年版），并结合实际，对原《江阴市建筑工程容积率计算规定》（澄规发〔</w:t>
      </w:r>
      <w:r>
        <w:rPr>
          <w:rStyle w:val="NormalCharacter"/>
          <w:color w:val="000000"/>
          <w:szCs w:val="32"/>
        </w:rPr>
        <w:t>2015</w:t>
      </w:r>
      <w:r>
        <w:rPr>
          <w:rStyle w:val="NormalCharacter"/>
          <w:rFonts w:hint="eastAsia"/>
          <w:color w:val="000000"/>
          <w:szCs w:val="32"/>
        </w:rPr>
        <w:t>〕</w:t>
      </w:r>
      <w:r>
        <w:rPr>
          <w:rStyle w:val="NormalCharacter"/>
          <w:color w:val="000000"/>
          <w:szCs w:val="32"/>
        </w:rPr>
        <w:t>88</w:t>
      </w:r>
      <w:r>
        <w:rPr>
          <w:rStyle w:val="NormalCharacter"/>
          <w:rFonts w:hint="eastAsia"/>
          <w:color w:val="000000"/>
          <w:szCs w:val="32"/>
        </w:rPr>
        <w:t>号）进行修订。</w:t>
      </w:r>
    </w:p>
    <w:p w:rsidR="000948B2" w:rsidRDefault="007B396B">
      <w:pPr>
        <w:ind w:firstLineChars="200" w:firstLine="612"/>
        <w:rPr>
          <w:rStyle w:val="NormalCharacter"/>
          <w:color w:val="000000"/>
          <w:szCs w:val="32"/>
        </w:rPr>
      </w:pPr>
      <w:r>
        <w:rPr>
          <w:rStyle w:val="NormalCharacter"/>
          <w:rFonts w:hint="eastAsia"/>
          <w:color w:val="000000"/>
          <w:szCs w:val="32"/>
        </w:rPr>
        <w:t>一般情况下，建筑工程的建筑面积计算按照《建筑工程建筑面积计算规范》（</w:t>
      </w:r>
      <w:r>
        <w:rPr>
          <w:rStyle w:val="NormalCharacter"/>
          <w:color w:val="000000"/>
          <w:szCs w:val="32"/>
        </w:rPr>
        <w:t>GB/T 50353</w:t>
      </w:r>
      <w:r>
        <w:rPr>
          <w:rStyle w:val="NormalCharacter"/>
          <w:rFonts w:hint="eastAsia"/>
          <w:color w:val="000000"/>
          <w:szCs w:val="32"/>
        </w:rPr>
        <w:t>－</w:t>
      </w:r>
      <w:r>
        <w:rPr>
          <w:rStyle w:val="NormalCharacter"/>
          <w:color w:val="000000"/>
          <w:szCs w:val="32"/>
        </w:rPr>
        <w:t>2013</w:t>
      </w:r>
      <w:r>
        <w:rPr>
          <w:rStyle w:val="NormalCharacter"/>
          <w:rFonts w:hint="eastAsia"/>
          <w:color w:val="000000"/>
          <w:szCs w:val="32"/>
        </w:rPr>
        <w:t>）的规定执行；遇有特殊情况，按照下列规定执行：</w:t>
      </w:r>
    </w:p>
    <w:p w:rsidR="000948B2" w:rsidRDefault="007B396B">
      <w:pPr>
        <w:ind w:firstLineChars="200" w:firstLine="612"/>
        <w:rPr>
          <w:rStyle w:val="NormalCharacter"/>
          <w:szCs w:val="32"/>
        </w:rPr>
      </w:pPr>
      <w:r>
        <w:rPr>
          <w:rStyle w:val="NormalCharacter"/>
          <w:rFonts w:eastAsia="方正黑体_GBK" w:hint="eastAsia"/>
          <w:szCs w:val="32"/>
        </w:rPr>
        <w:t>第一条</w:t>
      </w:r>
      <w:r>
        <w:rPr>
          <w:rStyle w:val="NormalCharacter"/>
          <w:rFonts w:eastAsia="方正黑体_GBK"/>
          <w:szCs w:val="32"/>
        </w:rPr>
        <w:t xml:space="preserve"> </w:t>
      </w:r>
      <w:r>
        <w:rPr>
          <w:rStyle w:val="NormalCharacter"/>
          <w:szCs w:val="32"/>
        </w:rPr>
        <w:t xml:space="preserve"> </w:t>
      </w:r>
      <w:r>
        <w:rPr>
          <w:rStyle w:val="NormalCharacter"/>
          <w:rFonts w:hint="eastAsia"/>
          <w:szCs w:val="32"/>
        </w:rPr>
        <w:t>住宅建筑结构层高大于</w:t>
      </w:r>
      <w:r>
        <w:rPr>
          <w:rStyle w:val="NormalCharacter"/>
          <w:szCs w:val="32"/>
        </w:rPr>
        <w:t>3.6</w:t>
      </w:r>
      <w:r>
        <w:rPr>
          <w:rStyle w:val="NormalCharacter"/>
          <w:rFonts w:hint="eastAsia"/>
          <w:szCs w:val="32"/>
        </w:rPr>
        <w:t>米且小于等于</w:t>
      </w:r>
      <w:r>
        <w:rPr>
          <w:rStyle w:val="NormalCharacter"/>
          <w:szCs w:val="32"/>
        </w:rPr>
        <w:t>4.8</w:t>
      </w:r>
      <w:r>
        <w:rPr>
          <w:rStyle w:val="NormalCharacter"/>
          <w:rFonts w:hint="eastAsia"/>
          <w:szCs w:val="32"/>
        </w:rPr>
        <w:t>米时，不论层内有无隔层，按该层水平投影面积的</w:t>
      </w:r>
      <w:r>
        <w:rPr>
          <w:rStyle w:val="NormalCharacter"/>
          <w:szCs w:val="32"/>
        </w:rPr>
        <w:t>1.5</w:t>
      </w:r>
      <w:r>
        <w:rPr>
          <w:rStyle w:val="NormalCharacter"/>
          <w:rFonts w:hint="eastAsia"/>
          <w:szCs w:val="32"/>
        </w:rPr>
        <w:t>倍计入容积率；住宅建筑结构层高大于</w:t>
      </w:r>
      <w:r>
        <w:rPr>
          <w:rStyle w:val="NormalCharacter"/>
          <w:szCs w:val="32"/>
        </w:rPr>
        <w:t>4.8</w:t>
      </w:r>
      <w:r>
        <w:rPr>
          <w:rStyle w:val="NormalCharacter"/>
          <w:rFonts w:hint="eastAsia"/>
          <w:szCs w:val="32"/>
        </w:rPr>
        <w:t>米且小于等于</w:t>
      </w:r>
      <w:r>
        <w:rPr>
          <w:rStyle w:val="NormalCharacter"/>
          <w:szCs w:val="32"/>
        </w:rPr>
        <w:t>5.6</w:t>
      </w:r>
      <w:r>
        <w:rPr>
          <w:rStyle w:val="NormalCharacter"/>
          <w:rFonts w:hint="eastAsia"/>
          <w:szCs w:val="32"/>
        </w:rPr>
        <w:t>米时，不论层内有无隔层，按该层水平投影面积的</w:t>
      </w:r>
      <w:r>
        <w:rPr>
          <w:rStyle w:val="NormalCharacter"/>
          <w:szCs w:val="32"/>
        </w:rPr>
        <w:t>2.0</w:t>
      </w:r>
      <w:r>
        <w:rPr>
          <w:rStyle w:val="NormalCharacter"/>
          <w:rFonts w:hint="eastAsia"/>
          <w:szCs w:val="32"/>
        </w:rPr>
        <w:t>倍计入容积率。</w:t>
      </w:r>
    </w:p>
    <w:p w:rsidR="000948B2" w:rsidRDefault="007B396B">
      <w:pPr>
        <w:ind w:firstLineChars="200" w:firstLine="612"/>
        <w:rPr>
          <w:rStyle w:val="NormalCharacter"/>
          <w:szCs w:val="32"/>
        </w:rPr>
      </w:pPr>
      <w:r>
        <w:rPr>
          <w:rStyle w:val="NormalCharacter"/>
          <w:rFonts w:hint="eastAsia"/>
          <w:szCs w:val="32"/>
        </w:rPr>
        <w:t>户型面积大于</w:t>
      </w:r>
      <w:r>
        <w:rPr>
          <w:rStyle w:val="NormalCharacter"/>
          <w:szCs w:val="32"/>
        </w:rPr>
        <w:t>144</w:t>
      </w:r>
      <w:r>
        <w:rPr>
          <w:rStyle w:val="NormalCharacter"/>
          <w:rFonts w:hint="eastAsia"/>
          <w:szCs w:val="32"/>
        </w:rPr>
        <w:t>平方米（含</w:t>
      </w:r>
      <w:r>
        <w:rPr>
          <w:rStyle w:val="NormalCharacter"/>
          <w:szCs w:val="32"/>
        </w:rPr>
        <w:t>144</w:t>
      </w:r>
      <w:r>
        <w:rPr>
          <w:rStyle w:val="NormalCharacter"/>
          <w:rFonts w:hint="eastAsia"/>
          <w:szCs w:val="32"/>
        </w:rPr>
        <w:t>平方米）住宅内起居室（厅）设置挑高空间的，当挑高空间水平投影面积不大于“套内水平投影面积”</w:t>
      </w:r>
      <w:r>
        <w:rPr>
          <w:rStyle w:val="NormalCharacter"/>
          <w:szCs w:val="32"/>
        </w:rPr>
        <w:t>10%</w:t>
      </w:r>
      <w:r>
        <w:rPr>
          <w:rStyle w:val="NormalCharacter"/>
          <w:rFonts w:hint="eastAsia"/>
          <w:szCs w:val="32"/>
        </w:rPr>
        <w:t>时，按照一层建筑面积计入容积率。当挑高空间水平投影面积大于</w:t>
      </w:r>
      <w:r>
        <w:rPr>
          <w:rStyle w:val="NormalCharacter"/>
          <w:szCs w:val="32"/>
        </w:rPr>
        <w:t>10%</w:t>
      </w:r>
      <w:r>
        <w:rPr>
          <w:rStyle w:val="NormalCharacter"/>
          <w:rFonts w:hint="eastAsia"/>
          <w:szCs w:val="32"/>
        </w:rPr>
        <w:t>时和户型面积小于</w:t>
      </w:r>
      <w:r>
        <w:rPr>
          <w:rStyle w:val="NormalCharacter"/>
          <w:szCs w:val="32"/>
        </w:rPr>
        <w:t>144</w:t>
      </w:r>
      <w:r>
        <w:rPr>
          <w:rStyle w:val="NormalCharacter"/>
          <w:rFonts w:hint="eastAsia"/>
          <w:szCs w:val="32"/>
        </w:rPr>
        <w:t>平方米的住宅内设置挑高空间的，其挑高空间并入建筑物自然层按照水平投影面积计入容积率。如该户型连接地下室，地下室部分建筑面积</w:t>
      </w:r>
      <w:r>
        <w:rPr>
          <w:rStyle w:val="NormalCharacter"/>
          <w:rFonts w:hint="eastAsia"/>
          <w:szCs w:val="32"/>
        </w:rPr>
        <w:lastRenderedPageBreak/>
        <w:t>不纳入户型建筑面积参与挑高空间建筑面积比例的计算。挑高空间层高不得大于两个自然层层高。</w:t>
      </w:r>
    </w:p>
    <w:p w:rsidR="000948B2" w:rsidRDefault="007B396B">
      <w:pPr>
        <w:ind w:firstLineChars="200" w:firstLine="612"/>
        <w:rPr>
          <w:rStyle w:val="NormalCharacter"/>
          <w:szCs w:val="32"/>
        </w:rPr>
      </w:pPr>
      <w:r>
        <w:rPr>
          <w:rStyle w:val="NormalCharacter"/>
          <w:rFonts w:eastAsia="方正黑体_GBK" w:hint="eastAsia"/>
          <w:szCs w:val="32"/>
        </w:rPr>
        <w:t>第二条</w:t>
      </w:r>
      <w:r>
        <w:rPr>
          <w:rStyle w:val="NormalCharacter"/>
          <w:szCs w:val="32"/>
        </w:rPr>
        <w:t xml:space="preserve">  </w:t>
      </w:r>
      <w:r>
        <w:rPr>
          <w:rStyle w:val="NormalCharacter"/>
          <w:rFonts w:hint="eastAsia"/>
          <w:szCs w:val="32"/>
        </w:rPr>
        <w:t>办公建筑结构层高大于</w:t>
      </w:r>
      <w:r>
        <w:rPr>
          <w:rStyle w:val="NormalCharacter"/>
          <w:szCs w:val="32"/>
        </w:rPr>
        <w:t>4.8</w:t>
      </w:r>
      <w:r>
        <w:rPr>
          <w:rStyle w:val="NormalCharacter"/>
          <w:rFonts w:hint="eastAsia"/>
          <w:szCs w:val="32"/>
        </w:rPr>
        <w:t>米且小于等于</w:t>
      </w:r>
      <w:r>
        <w:rPr>
          <w:rStyle w:val="NormalCharacter"/>
          <w:szCs w:val="32"/>
        </w:rPr>
        <w:t>5.6</w:t>
      </w:r>
      <w:r>
        <w:rPr>
          <w:rStyle w:val="NormalCharacter"/>
          <w:rFonts w:hint="eastAsia"/>
          <w:szCs w:val="32"/>
        </w:rPr>
        <w:t>米时，不论层内有无隔层，按该层水平投影面积的</w:t>
      </w:r>
      <w:r>
        <w:rPr>
          <w:rStyle w:val="NormalCharacter"/>
          <w:szCs w:val="32"/>
        </w:rPr>
        <w:t>1.5</w:t>
      </w:r>
      <w:r>
        <w:rPr>
          <w:rStyle w:val="NormalCharacter"/>
          <w:rFonts w:hint="eastAsia"/>
          <w:szCs w:val="32"/>
        </w:rPr>
        <w:t>倍计入容积率；办公建筑结构层高大于</w:t>
      </w:r>
      <w:r>
        <w:rPr>
          <w:rStyle w:val="NormalCharacter"/>
          <w:szCs w:val="32"/>
        </w:rPr>
        <w:t>5.6</w:t>
      </w:r>
      <w:r>
        <w:rPr>
          <w:rStyle w:val="NormalCharacter"/>
          <w:rFonts w:hint="eastAsia"/>
          <w:szCs w:val="32"/>
        </w:rPr>
        <w:t>米且小于等于</w:t>
      </w:r>
      <w:r>
        <w:rPr>
          <w:rStyle w:val="NormalCharacter"/>
          <w:szCs w:val="32"/>
        </w:rPr>
        <w:t>6.6</w:t>
      </w:r>
      <w:r>
        <w:rPr>
          <w:rStyle w:val="NormalCharacter"/>
          <w:rFonts w:hint="eastAsia"/>
          <w:szCs w:val="32"/>
        </w:rPr>
        <w:t>米时，不论层内有无隔层，按该层水平投影面积的</w:t>
      </w:r>
      <w:r>
        <w:rPr>
          <w:rStyle w:val="NormalCharacter"/>
          <w:szCs w:val="32"/>
        </w:rPr>
        <w:t>2.0</w:t>
      </w:r>
      <w:r>
        <w:rPr>
          <w:rStyle w:val="NormalCharacter"/>
          <w:rFonts w:hint="eastAsia"/>
          <w:szCs w:val="32"/>
        </w:rPr>
        <w:t>倍计入容积率。</w:t>
      </w:r>
    </w:p>
    <w:p w:rsidR="000948B2" w:rsidRDefault="007B396B">
      <w:pPr>
        <w:ind w:firstLineChars="200" w:firstLine="612"/>
        <w:rPr>
          <w:rStyle w:val="NormalCharacter"/>
          <w:szCs w:val="32"/>
        </w:rPr>
      </w:pPr>
      <w:r>
        <w:rPr>
          <w:rStyle w:val="NormalCharacter"/>
          <w:rFonts w:eastAsia="方正黑体_GBK" w:hint="eastAsia"/>
          <w:szCs w:val="32"/>
        </w:rPr>
        <w:t>第三条</w:t>
      </w:r>
      <w:r>
        <w:rPr>
          <w:rStyle w:val="NormalCharacter"/>
          <w:szCs w:val="32"/>
        </w:rPr>
        <w:t xml:space="preserve">  </w:t>
      </w:r>
      <w:r>
        <w:rPr>
          <w:rStyle w:val="NormalCharacter"/>
          <w:rFonts w:hint="eastAsia"/>
          <w:szCs w:val="32"/>
        </w:rPr>
        <w:t>商业建筑一层结构层高大于</w:t>
      </w:r>
      <w:r>
        <w:rPr>
          <w:rStyle w:val="NormalCharacter"/>
          <w:szCs w:val="32"/>
        </w:rPr>
        <w:t>6.0</w:t>
      </w:r>
      <w:r>
        <w:rPr>
          <w:rStyle w:val="NormalCharacter"/>
          <w:rFonts w:hint="eastAsia"/>
          <w:szCs w:val="32"/>
        </w:rPr>
        <w:t>米、二层及以上层高大于</w:t>
      </w:r>
      <w:r>
        <w:rPr>
          <w:rStyle w:val="NormalCharacter"/>
          <w:szCs w:val="32"/>
        </w:rPr>
        <w:t>5.4</w:t>
      </w:r>
      <w:r>
        <w:rPr>
          <w:rStyle w:val="NormalCharacter"/>
          <w:rFonts w:hint="eastAsia"/>
          <w:szCs w:val="32"/>
        </w:rPr>
        <w:t>米时，按该层水平投影面积的</w:t>
      </w:r>
      <w:r>
        <w:rPr>
          <w:rStyle w:val="NormalCharacter"/>
          <w:szCs w:val="32"/>
        </w:rPr>
        <w:t>2.0</w:t>
      </w:r>
      <w:r>
        <w:rPr>
          <w:rStyle w:val="NormalCharacter"/>
          <w:rFonts w:hint="eastAsia"/>
          <w:szCs w:val="32"/>
        </w:rPr>
        <w:t>倍计入容积率。进深小于</w:t>
      </w:r>
      <w:r>
        <w:rPr>
          <w:rStyle w:val="NormalCharacter"/>
          <w:szCs w:val="32"/>
        </w:rPr>
        <w:t>20</w:t>
      </w:r>
      <w:r>
        <w:rPr>
          <w:rStyle w:val="NormalCharacter"/>
          <w:rFonts w:hint="eastAsia"/>
          <w:szCs w:val="32"/>
        </w:rPr>
        <w:t>米的沿街商业建筑，结构层高大于</w:t>
      </w:r>
      <w:r>
        <w:rPr>
          <w:rStyle w:val="NormalCharacter"/>
          <w:szCs w:val="32"/>
        </w:rPr>
        <w:t>5.1</w:t>
      </w:r>
      <w:r>
        <w:rPr>
          <w:rStyle w:val="NormalCharacter"/>
          <w:rFonts w:hint="eastAsia"/>
          <w:szCs w:val="32"/>
        </w:rPr>
        <w:t>米且小于等于</w:t>
      </w:r>
      <w:r>
        <w:rPr>
          <w:rStyle w:val="NormalCharacter"/>
          <w:szCs w:val="32"/>
        </w:rPr>
        <w:t>6.0</w:t>
      </w:r>
      <w:r>
        <w:rPr>
          <w:rStyle w:val="NormalCharacter"/>
          <w:rFonts w:hint="eastAsia"/>
          <w:szCs w:val="32"/>
        </w:rPr>
        <w:t>米时，以</w:t>
      </w:r>
      <w:r>
        <w:rPr>
          <w:rStyle w:val="NormalCharacter"/>
          <w:szCs w:val="32"/>
        </w:rPr>
        <w:t>3.6</w:t>
      </w:r>
      <w:r>
        <w:rPr>
          <w:rStyle w:val="NormalCharacter"/>
          <w:rFonts w:hint="eastAsia"/>
          <w:szCs w:val="32"/>
        </w:rPr>
        <w:t>米为基准高度，按高度折算建筑面积后，计入容积率。</w:t>
      </w:r>
    </w:p>
    <w:p w:rsidR="000948B2" w:rsidRDefault="007B396B">
      <w:pPr>
        <w:ind w:firstLineChars="200" w:firstLine="612"/>
        <w:rPr>
          <w:rStyle w:val="NormalCharacter"/>
          <w:szCs w:val="32"/>
        </w:rPr>
      </w:pPr>
      <w:r>
        <w:rPr>
          <w:rStyle w:val="NormalCharacter"/>
          <w:rFonts w:eastAsia="方正黑体_GBK" w:hint="eastAsia"/>
          <w:szCs w:val="32"/>
        </w:rPr>
        <w:t>第四条</w:t>
      </w:r>
      <w:r>
        <w:rPr>
          <w:rStyle w:val="NormalCharacter"/>
          <w:rFonts w:eastAsia="方正黑体_GBK"/>
          <w:szCs w:val="32"/>
        </w:rPr>
        <w:t xml:space="preserve">  </w:t>
      </w:r>
      <w:r>
        <w:rPr>
          <w:rStyle w:val="NormalCharacter"/>
          <w:rFonts w:hint="eastAsia"/>
          <w:szCs w:val="32"/>
        </w:rPr>
        <w:t>住宅建筑的公共门厅，办公、普通商业建筑的门厅、大堂、中庭、内廊、采光厅等公共部分及屋顶，影院、酒店、剧场、体育馆、博物馆、展览馆等公共建筑中有特殊功能的空间，以及单一空间达到</w:t>
      </w:r>
      <w:r>
        <w:rPr>
          <w:rStyle w:val="NormalCharacter"/>
          <w:szCs w:val="32"/>
        </w:rPr>
        <w:t>2000</w:t>
      </w:r>
      <w:r>
        <w:rPr>
          <w:rStyle w:val="NormalCharacter"/>
          <w:rFonts w:hint="eastAsia"/>
          <w:szCs w:val="32"/>
        </w:rPr>
        <w:t>平方米以上的商业用房均按水平投影面积计入容积率。</w:t>
      </w:r>
    </w:p>
    <w:p w:rsidR="000948B2" w:rsidRDefault="007B396B">
      <w:pPr>
        <w:ind w:firstLineChars="200" w:firstLine="612"/>
        <w:rPr>
          <w:rStyle w:val="NormalCharacter"/>
          <w:szCs w:val="32"/>
        </w:rPr>
      </w:pPr>
      <w:r>
        <w:rPr>
          <w:rStyle w:val="NormalCharacter"/>
          <w:rFonts w:eastAsia="方正黑体_GBK" w:hint="eastAsia"/>
          <w:szCs w:val="32"/>
        </w:rPr>
        <w:t>第五条</w:t>
      </w:r>
      <w:r>
        <w:rPr>
          <w:rStyle w:val="NormalCharacter"/>
          <w:szCs w:val="32"/>
        </w:rPr>
        <w:t xml:space="preserve">  </w:t>
      </w:r>
      <w:r>
        <w:rPr>
          <w:rStyle w:val="NormalCharacter"/>
          <w:rFonts w:hint="eastAsia"/>
          <w:szCs w:val="32"/>
        </w:rPr>
        <w:t>地上建筑物内的各类管道、封闭空间（即使标注为“不利用空间”或“造型空间”）均按自然层数计入容积率。地下室结构空腔或不利用空间，均应计算建筑面积。</w:t>
      </w:r>
    </w:p>
    <w:p w:rsidR="000948B2" w:rsidRDefault="007B396B">
      <w:pPr>
        <w:ind w:firstLineChars="200" w:firstLine="612"/>
        <w:rPr>
          <w:rStyle w:val="NormalCharacter"/>
          <w:szCs w:val="32"/>
        </w:rPr>
      </w:pPr>
      <w:r>
        <w:rPr>
          <w:rStyle w:val="NormalCharacter"/>
          <w:rFonts w:hint="eastAsia"/>
          <w:szCs w:val="32"/>
        </w:rPr>
        <w:t>形成建筑空间的坡屋顶同时满足以下条件可不计入</w:t>
      </w:r>
      <w:r w:rsidR="003C5291" w:rsidRPr="00183198">
        <w:rPr>
          <w:rStyle w:val="NormalCharacter"/>
          <w:rFonts w:hint="eastAsia"/>
          <w:szCs w:val="32"/>
        </w:rPr>
        <w:t>容积率</w:t>
      </w:r>
      <w:r>
        <w:rPr>
          <w:rStyle w:val="NormalCharacter"/>
          <w:rFonts w:hint="eastAsia"/>
          <w:szCs w:val="32"/>
        </w:rPr>
        <w:t>建筑面积：</w:t>
      </w:r>
      <w:r>
        <w:rPr>
          <w:rStyle w:val="NormalCharacter"/>
          <w:szCs w:val="32"/>
        </w:rPr>
        <w:t>1</w:t>
      </w:r>
      <w:r>
        <w:rPr>
          <w:rStyle w:val="NormalCharacter"/>
          <w:rFonts w:hint="eastAsia"/>
          <w:szCs w:val="32"/>
        </w:rPr>
        <w:t>、坡屋顶及外墙上没有门窗；</w:t>
      </w:r>
      <w:r>
        <w:rPr>
          <w:rStyle w:val="NormalCharacter"/>
          <w:szCs w:val="32"/>
        </w:rPr>
        <w:t>2</w:t>
      </w:r>
      <w:r>
        <w:rPr>
          <w:rStyle w:val="NormalCharacter"/>
          <w:rFonts w:hint="eastAsia"/>
          <w:szCs w:val="32"/>
        </w:rPr>
        <w:t>、结构楼板封闭，且除设于公共部位的检修孔（面积不大于</w:t>
      </w:r>
      <w:r>
        <w:rPr>
          <w:rStyle w:val="NormalCharacter"/>
          <w:szCs w:val="32"/>
        </w:rPr>
        <w:t>0.5</w:t>
      </w:r>
      <w:r>
        <w:rPr>
          <w:rStyle w:val="NormalCharacter"/>
          <w:rFonts w:hint="eastAsia"/>
          <w:szCs w:val="32"/>
        </w:rPr>
        <w:t>平方米）外没有其他孔</w:t>
      </w:r>
      <w:r>
        <w:rPr>
          <w:rStyle w:val="NormalCharacter"/>
          <w:rFonts w:hint="eastAsia"/>
          <w:szCs w:val="32"/>
        </w:rPr>
        <w:lastRenderedPageBreak/>
        <w:t>洞；</w:t>
      </w:r>
      <w:r>
        <w:rPr>
          <w:rStyle w:val="NormalCharacter"/>
          <w:szCs w:val="32"/>
        </w:rPr>
        <w:t>3</w:t>
      </w:r>
      <w:r>
        <w:rPr>
          <w:rStyle w:val="NormalCharacter"/>
          <w:rFonts w:hint="eastAsia"/>
          <w:szCs w:val="32"/>
        </w:rPr>
        <w:t>、坡屋顶下部空间净高超过</w:t>
      </w:r>
      <w:r>
        <w:rPr>
          <w:rStyle w:val="NormalCharacter"/>
          <w:szCs w:val="32"/>
        </w:rPr>
        <w:t>2.1</w:t>
      </w:r>
      <w:r>
        <w:rPr>
          <w:rStyle w:val="NormalCharacter"/>
          <w:rFonts w:hint="eastAsia"/>
          <w:szCs w:val="32"/>
        </w:rPr>
        <w:t>米的部分占坡屋顶下部投影面积之比不大于</w:t>
      </w:r>
      <w:r>
        <w:rPr>
          <w:rStyle w:val="NormalCharacter"/>
          <w:szCs w:val="32"/>
        </w:rPr>
        <w:t>30%</w:t>
      </w:r>
      <w:r>
        <w:rPr>
          <w:rStyle w:val="NormalCharacter"/>
          <w:rFonts w:hint="eastAsia"/>
          <w:szCs w:val="32"/>
        </w:rPr>
        <w:t>。</w:t>
      </w:r>
    </w:p>
    <w:p w:rsidR="000948B2" w:rsidRDefault="007B396B">
      <w:pPr>
        <w:ind w:firstLineChars="200" w:firstLine="612"/>
        <w:rPr>
          <w:rStyle w:val="NormalCharacter"/>
          <w:szCs w:val="32"/>
        </w:rPr>
      </w:pPr>
      <w:r>
        <w:rPr>
          <w:rStyle w:val="NormalCharacter"/>
          <w:rFonts w:eastAsia="方正黑体_GBK" w:hint="eastAsia"/>
          <w:szCs w:val="32"/>
        </w:rPr>
        <w:t>第六条</w:t>
      </w:r>
      <w:r>
        <w:rPr>
          <w:rStyle w:val="NormalCharacter"/>
          <w:szCs w:val="32"/>
        </w:rPr>
        <w:t xml:space="preserve">  </w:t>
      </w:r>
      <w:r>
        <w:rPr>
          <w:rStyle w:val="NormalCharacter"/>
          <w:rFonts w:hint="eastAsia"/>
          <w:szCs w:val="32"/>
        </w:rPr>
        <w:t>地下室及半地下室的结构顶板高出相邻室外道路地坪标高大于</w:t>
      </w:r>
      <w:r>
        <w:rPr>
          <w:rStyle w:val="NormalCharacter"/>
          <w:szCs w:val="32"/>
        </w:rPr>
        <w:t>1.5</w:t>
      </w:r>
      <w:r>
        <w:rPr>
          <w:rStyle w:val="NormalCharacter"/>
          <w:rFonts w:hint="eastAsia"/>
          <w:szCs w:val="32"/>
        </w:rPr>
        <w:t>米小于</w:t>
      </w:r>
      <w:r>
        <w:rPr>
          <w:rStyle w:val="NormalCharacter"/>
          <w:szCs w:val="32"/>
        </w:rPr>
        <w:t>2.2</w:t>
      </w:r>
      <w:r>
        <w:rPr>
          <w:rStyle w:val="NormalCharacter"/>
          <w:rFonts w:hint="eastAsia"/>
          <w:szCs w:val="32"/>
        </w:rPr>
        <w:t>米的，按水平投影面积的一半计入容积率；大于等于</w:t>
      </w:r>
      <w:r>
        <w:rPr>
          <w:rStyle w:val="NormalCharacter"/>
          <w:szCs w:val="32"/>
        </w:rPr>
        <w:t>2.2</w:t>
      </w:r>
      <w:r>
        <w:rPr>
          <w:rStyle w:val="NormalCharacter"/>
          <w:rFonts w:hint="eastAsia"/>
          <w:szCs w:val="32"/>
        </w:rPr>
        <w:t>米的，按其水平投影面积计入容积率</w:t>
      </w:r>
      <w:r w:rsidR="00BC5615" w:rsidRPr="00183198">
        <w:rPr>
          <w:rStyle w:val="NormalCharacter"/>
          <w:rFonts w:hint="eastAsia"/>
          <w:szCs w:val="32"/>
        </w:rPr>
        <w:t>；小于等于</w:t>
      </w:r>
      <w:r w:rsidR="00BC5615" w:rsidRPr="00183198">
        <w:rPr>
          <w:rStyle w:val="NormalCharacter"/>
          <w:rFonts w:hint="eastAsia"/>
          <w:szCs w:val="32"/>
        </w:rPr>
        <w:t>1.5</w:t>
      </w:r>
      <w:r w:rsidR="00BC5615" w:rsidRPr="00183198">
        <w:rPr>
          <w:rStyle w:val="NormalCharacter"/>
          <w:rFonts w:hint="eastAsia"/>
          <w:szCs w:val="32"/>
        </w:rPr>
        <w:t>米的，不计入容积率</w:t>
      </w:r>
      <w:r w:rsidRPr="00183198">
        <w:rPr>
          <w:rStyle w:val="NormalCharacter"/>
          <w:rFonts w:hint="eastAsia"/>
          <w:szCs w:val="32"/>
        </w:rPr>
        <w:t>。</w:t>
      </w:r>
      <w:r>
        <w:rPr>
          <w:rStyle w:val="NormalCharacter"/>
          <w:rFonts w:hint="eastAsia"/>
          <w:szCs w:val="32"/>
        </w:rPr>
        <w:t>地下室、半地下室结构顶板高出相邻室外道路地坪，按其最大值计算，车库出入口除外。</w:t>
      </w:r>
    </w:p>
    <w:p w:rsidR="000948B2" w:rsidRDefault="007B396B">
      <w:pPr>
        <w:ind w:firstLineChars="200" w:firstLine="612"/>
        <w:rPr>
          <w:rStyle w:val="NormalCharacter"/>
          <w:szCs w:val="32"/>
        </w:rPr>
      </w:pPr>
      <w:r>
        <w:rPr>
          <w:rStyle w:val="NormalCharacter"/>
          <w:rFonts w:eastAsia="方正黑体_GBK" w:hint="eastAsia"/>
          <w:szCs w:val="32"/>
        </w:rPr>
        <w:t>第七条</w:t>
      </w:r>
      <w:r>
        <w:rPr>
          <w:rStyle w:val="NormalCharacter"/>
          <w:rFonts w:eastAsia="方正黑体_GBK"/>
          <w:szCs w:val="32"/>
        </w:rPr>
        <w:t xml:space="preserve"> </w:t>
      </w:r>
      <w:r>
        <w:rPr>
          <w:rStyle w:val="NormalCharacter"/>
          <w:szCs w:val="32"/>
        </w:rPr>
        <w:t xml:space="preserve"> </w:t>
      </w:r>
      <w:r>
        <w:rPr>
          <w:rStyle w:val="NormalCharacter"/>
          <w:rFonts w:hint="eastAsia"/>
          <w:szCs w:val="32"/>
        </w:rPr>
        <w:t>设置下沉式天井或以大开挖形式改善地下室、半地下室室内环境的居住建筑，当天井面积大于</w:t>
      </w:r>
      <w:r>
        <w:rPr>
          <w:rStyle w:val="NormalCharacter"/>
          <w:szCs w:val="32"/>
        </w:rPr>
        <w:t>15</w:t>
      </w:r>
      <w:r>
        <w:rPr>
          <w:rStyle w:val="NormalCharacter"/>
          <w:rFonts w:hint="eastAsia"/>
          <w:szCs w:val="32"/>
        </w:rPr>
        <w:t>平方米</w:t>
      </w:r>
      <w:r>
        <w:rPr>
          <w:rStyle w:val="NormalCharacter"/>
          <w:szCs w:val="32"/>
        </w:rPr>
        <w:t>/</w:t>
      </w:r>
      <w:r>
        <w:rPr>
          <w:rStyle w:val="NormalCharacter"/>
          <w:rFonts w:hint="eastAsia"/>
          <w:szCs w:val="32"/>
        </w:rPr>
        <w:t>户或开挖长度累计超过</w:t>
      </w:r>
      <w:r>
        <w:rPr>
          <w:rStyle w:val="NormalCharacter"/>
          <w:szCs w:val="32"/>
        </w:rPr>
        <w:t>8</w:t>
      </w:r>
      <w:r>
        <w:rPr>
          <w:rStyle w:val="NormalCharacter"/>
          <w:rFonts w:hint="eastAsia"/>
          <w:szCs w:val="32"/>
        </w:rPr>
        <w:t>米</w:t>
      </w:r>
      <w:r>
        <w:rPr>
          <w:rStyle w:val="NormalCharacter"/>
          <w:szCs w:val="32"/>
        </w:rPr>
        <w:t>/</w:t>
      </w:r>
      <w:r>
        <w:rPr>
          <w:rStyle w:val="NormalCharacter"/>
          <w:rFonts w:hint="eastAsia"/>
          <w:szCs w:val="32"/>
        </w:rPr>
        <w:t>户时，天井地坪或开挖后形成的地坪标高视同该建筑的室外地坪标高，参照本规定第六条计算地下室面积。</w:t>
      </w:r>
    </w:p>
    <w:p w:rsidR="000948B2" w:rsidRDefault="007B396B">
      <w:pPr>
        <w:ind w:firstLineChars="200" w:firstLine="612"/>
        <w:rPr>
          <w:rStyle w:val="NormalCharacter"/>
          <w:szCs w:val="32"/>
        </w:rPr>
      </w:pPr>
      <w:r>
        <w:rPr>
          <w:rStyle w:val="NormalCharacter"/>
          <w:rFonts w:eastAsia="方正黑体_GBK" w:hint="eastAsia"/>
          <w:szCs w:val="32"/>
        </w:rPr>
        <w:t>第</w:t>
      </w:r>
      <w:r w:rsidR="003600BB">
        <w:rPr>
          <w:rStyle w:val="NormalCharacter"/>
          <w:rFonts w:eastAsia="方正黑体_GBK" w:hint="eastAsia"/>
          <w:szCs w:val="32"/>
        </w:rPr>
        <w:t>八</w:t>
      </w:r>
      <w:r>
        <w:rPr>
          <w:rStyle w:val="NormalCharacter"/>
          <w:rFonts w:eastAsia="方正黑体_GBK" w:hint="eastAsia"/>
          <w:szCs w:val="32"/>
        </w:rPr>
        <w:t>条</w:t>
      </w:r>
      <w:r>
        <w:rPr>
          <w:rStyle w:val="NormalCharacter"/>
          <w:szCs w:val="32"/>
        </w:rPr>
        <w:t xml:space="preserve">  </w:t>
      </w:r>
      <w:r>
        <w:rPr>
          <w:rStyle w:val="NormalCharacter"/>
          <w:rFonts w:hint="eastAsia"/>
          <w:szCs w:val="32"/>
        </w:rPr>
        <w:t>建筑外墙外侧的保温隔热层</w:t>
      </w:r>
      <w:r w:rsidR="00A178B1" w:rsidRPr="00183198">
        <w:rPr>
          <w:rStyle w:val="NormalCharacter"/>
          <w:rFonts w:hint="eastAsia"/>
          <w:szCs w:val="32"/>
        </w:rPr>
        <w:t>的建筑面积</w:t>
      </w:r>
      <w:r w:rsidRPr="00183198">
        <w:rPr>
          <w:rStyle w:val="NormalCharacter"/>
          <w:rFonts w:hint="eastAsia"/>
          <w:szCs w:val="32"/>
        </w:rPr>
        <w:t>不</w:t>
      </w:r>
      <w:r>
        <w:rPr>
          <w:rStyle w:val="NormalCharacter"/>
          <w:rFonts w:hint="eastAsia"/>
          <w:szCs w:val="32"/>
        </w:rPr>
        <w:t>计入容积率。</w:t>
      </w:r>
    </w:p>
    <w:p w:rsidR="000948B2" w:rsidRDefault="007B396B">
      <w:pPr>
        <w:ind w:firstLineChars="200" w:firstLine="612"/>
        <w:rPr>
          <w:rStyle w:val="NormalCharacter"/>
          <w:szCs w:val="32"/>
        </w:rPr>
      </w:pPr>
      <w:r>
        <w:rPr>
          <w:rStyle w:val="NormalCharacter"/>
          <w:rFonts w:eastAsia="方正黑体_GBK" w:hint="eastAsia"/>
          <w:szCs w:val="32"/>
        </w:rPr>
        <w:t>第</w:t>
      </w:r>
      <w:r w:rsidR="003600BB">
        <w:rPr>
          <w:rStyle w:val="NormalCharacter"/>
          <w:rFonts w:eastAsia="方正黑体_GBK" w:hint="eastAsia"/>
          <w:szCs w:val="32"/>
        </w:rPr>
        <w:t>九</w:t>
      </w:r>
      <w:r>
        <w:rPr>
          <w:rStyle w:val="NormalCharacter"/>
          <w:rFonts w:eastAsia="方正黑体_GBK" w:hint="eastAsia"/>
          <w:szCs w:val="32"/>
        </w:rPr>
        <w:t>条</w:t>
      </w:r>
      <w:r>
        <w:rPr>
          <w:rStyle w:val="NormalCharacter"/>
          <w:szCs w:val="32"/>
        </w:rPr>
        <w:t xml:space="preserve">  </w:t>
      </w:r>
      <w:r>
        <w:rPr>
          <w:rStyle w:val="NormalCharacter"/>
          <w:rFonts w:hint="eastAsia"/>
          <w:szCs w:val="32"/>
        </w:rPr>
        <w:t>建筑物阳台、设备平台、飘窗、露台的容积率按以下规定计算：</w:t>
      </w:r>
    </w:p>
    <w:p w:rsidR="000948B2" w:rsidRDefault="007B396B">
      <w:pPr>
        <w:ind w:firstLineChars="200" w:firstLine="612"/>
        <w:rPr>
          <w:rStyle w:val="NormalCharacter"/>
          <w:szCs w:val="32"/>
        </w:rPr>
      </w:pPr>
      <w:r>
        <w:rPr>
          <w:rStyle w:val="NormalCharacter"/>
          <w:rFonts w:hint="eastAsia"/>
          <w:szCs w:val="32"/>
        </w:rPr>
        <w:t>（一）住宅建筑在主体结构内的阳台，按其结构外围水平投影面积计入容积率；住宅建筑在主体结构外的阳台，建筑物东、南、西向阳台进深不大于</w:t>
      </w:r>
      <w:r>
        <w:rPr>
          <w:rStyle w:val="NormalCharacter"/>
          <w:szCs w:val="32"/>
        </w:rPr>
        <w:t>1.8</w:t>
      </w:r>
      <w:r>
        <w:rPr>
          <w:rStyle w:val="NormalCharacter"/>
          <w:rFonts w:hint="eastAsia"/>
          <w:szCs w:val="32"/>
        </w:rPr>
        <w:t>米，北向阳台进深不大于</w:t>
      </w:r>
      <w:r>
        <w:rPr>
          <w:rStyle w:val="NormalCharacter"/>
          <w:szCs w:val="32"/>
        </w:rPr>
        <w:t>1.4</w:t>
      </w:r>
      <w:r>
        <w:rPr>
          <w:rStyle w:val="NormalCharacter"/>
          <w:rFonts w:hint="eastAsia"/>
          <w:szCs w:val="32"/>
        </w:rPr>
        <w:t>米，按其结构底板水平投影面积</w:t>
      </w:r>
      <w:r>
        <w:rPr>
          <w:rStyle w:val="NormalCharacter"/>
          <w:szCs w:val="32"/>
        </w:rPr>
        <w:t>1/2</w:t>
      </w:r>
      <w:r>
        <w:rPr>
          <w:rStyle w:val="NormalCharacter"/>
          <w:rFonts w:hint="eastAsia"/>
          <w:szCs w:val="32"/>
        </w:rPr>
        <w:t>计入容积率。非住宅建筑阳台按其结构底板水平投影面积计入容积率。</w:t>
      </w:r>
    </w:p>
    <w:p w:rsidR="000948B2" w:rsidRDefault="007B396B">
      <w:pPr>
        <w:ind w:firstLineChars="200" w:firstLine="612"/>
        <w:rPr>
          <w:rStyle w:val="NormalCharacter"/>
          <w:szCs w:val="32"/>
        </w:rPr>
      </w:pPr>
      <w:r>
        <w:rPr>
          <w:rStyle w:val="NormalCharacter"/>
          <w:rFonts w:hint="eastAsia"/>
          <w:szCs w:val="32"/>
        </w:rPr>
        <w:t>（二）</w:t>
      </w:r>
      <w:r>
        <w:rPr>
          <w:rStyle w:val="NormalCharacter"/>
          <w:rFonts w:hint="eastAsia"/>
          <w:spacing w:val="-4"/>
          <w:szCs w:val="32"/>
        </w:rPr>
        <w:t>设备平台应集中设置（不得超过</w:t>
      </w:r>
      <w:r>
        <w:rPr>
          <w:rStyle w:val="NormalCharacter"/>
          <w:spacing w:val="-4"/>
          <w:szCs w:val="32"/>
        </w:rPr>
        <w:t>2</w:t>
      </w:r>
      <w:r>
        <w:rPr>
          <w:rStyle w:val="NormalCharacter"/>
          <w:rFonts w:hint="eastAsia"/>
          <w:spacing w:val="-4"/>
          <w:szCs w:val="32"/>
        </w:rPr>
        <w:t>个），其投影总面积每户不应大于</w:t>
      </w:r>
      <w:r>
        <w:rPr>
          <w:rStyle w:val="NormalCharacter"/>
          <w:spacing w:val="-4"/>
          <w:szCs w:val="32"/>
        </w:rPr>
        <w:t>4</w:t>
      </w:r>
      <w:r>
        <w:rPr>
          <w:rStyle w:val="NormalCharacter"/>
          <w:rFonts w:hint="eastAsia"/>
          <w:spacing w:val="-4"/>
          <w:szCs w:val="32"/>
        </w:rPr>
        <w:t>平方米，超过的按设备平台全部投影面积计入容</w:t>
      </w:r>
      <w:r>
        <w:rPr>
          <w:rStyle w:val="NormalCharacter"/>
          <w:rFonts w:hint="eastAsia"/>
          <w:spacing w:val="-4"/>
          <w:szCs w:val="32"/>
        </w:rPr>
        <w:lastRenderedPageBreak/>
        <w:t>积率；采用室外空调板的住宅建筑，室外空调板总数量不得超过居住空间个数，单个空调板进深不大于</w:t>
      </w:r>
      <w:r>
        <w:rPr>
          <w:rStyle w:val="NormalCharacter"/>
          <w:spacing w:val="-4"/>
          <w:szCs w:val="32"/>
        </w:rPr>
        <w:t>1.0</w:t>
      </w:r>
      <w:r>
        <w:rPr>
          <w:rStyle w:val="NormalCharacter"/>
          <w:rFonts w:hint="eastAsia"/>
          <w:spacing w:val="-4"/>
          <w:szCs w:val="32"/>
        </w:rPr>
        <w:t>米，且投影面积不应超过</w:t>
      </w:r>
      <w:r>
        <w:rPr>
          <w:rStyle w:val="NormalCharacter"/>
          <w:spacing w:val="-4"/>
          <w:szCs w:val="32"/>
        </w:rPr>
        <w:t>1.5</w:t>
      </w:r>
      <w:r>
        <w:rPr>
          <w:rStyle w:val="NormalCharacter"/>
          <w:rFonts w:hint="eastAsia"/>
          <w:spacing w:val="-4"/>
          <w:szCs w:val="32"/>
        </w:rPr>
        <w:t>平方米，超过的按空调板全部投影面积计入容积率。当设备平台（或空调板）与阳台相连接，如果有实体墙体完全分隔（局部可设检修孔），设备平台（或空调板）不计入容积率；如果无实体墙体分隔，则一并纳入阳台计入容积率。</w:t>
      </w:r>
    </w:p>
    <w:p w:rsidR="000948B2" w:rsidRDefault="007B396B">
      <w:pPr>
        <w:ind w:firstLineChars="200" w:firstLine="612"/>
        <w:rPr>
          <w:rStyle w:val="NormalCharacter"/>
          <w:szCs w:val="32"/>
        </w:rPr>
      </w:pPr>
      <w:r>
        <w:rPr>
          <w:rStyle w:val="NormalCharacter"/>
          <w:rFonts w:hint="eastAsia"/>
          <w:szCs w:val="32"/>
        </w:rPr>
        <w:t>（三）不计入容积率的建筑物飘窗应同时满足以下条件：突出外墙部分的距离不大于</w:t>
      </w:r>
      <w:r>
        <w:rPr>
          <w:rStyle w:val="NormalCharacter"/>
          <w:szCs w:val="32"/>
        </w:rPr>
        <w:t>0.6</w:t>
      </w:r>
      <w:r>
        <w:rPr>
          <w:rStyle w:val="NormalCharacter"/>
          <w:rFonts w:hint="eastAsia"/>
          <w:szCs w:val="32"/>
        </w:rPr>
        <w:t>米、结构净高不大于</w:t>
      </w:r>
      <w:r>
        <w:rPr>
          <w:rStyle w:val="NormalCharacter"/>
          <w:szCs w:val="32"/>
        </w:rPr>
        <w:t>2.1</w:t>
      </w:r>
      <w:r>
        <w:rPr>
          <w:rStyle w:val="NormalCharacter"/>
          <w:rFonts w:hint="eastAsia"/>
          <w:szCs w:val="32"/>
        </w:rPr>
        <w:t>米、窗台高度不小于</w:t>
      </w:r>
      <w:r>
        <w:rPr>
          <w:rStyle w:val="NormalCharacter"/>
          <w:szCs w:val="32"/>
        </w:rPr>
        <w:t>0.45</w:t>
      </w:r>
      <w:r>
        <w:rPr>
          <w:rStyle w:val="NormalCharacter"/>
          <w:rFonts w:hint="eastAsia"/>
          <w:szCs w:val="32"/>
        </w:rPr>
        <w:t>米、飘窗顶板面与上层楼面距离不小于</w:t>
      </w:r>
      <w:r>
        <w:rPr>
          <w:rStyle w:val="NormalCharacter"/>
          <w:szCs w:val="32"/>
        </w:rPr>
        <w:t>0.25</w:t>
      </w:r>
      <w:r>
        <w:rPr>
          <w:rStyle w:val="NormalCharacter"/>
          <w:rFonts w:hint="eastAsia"/>
          <w:szCs w:val="32"/>
        </w:rPr>
        <w:t>米。凡不同时满足以上条件的建筑物飘窗按其结构外围水平投影面积计入容积率。</w:t>
      </w:r>
    </w:p>
    <w:p w:rsidR="000948B2" w:rsidRDefault="007B396B">
      <w:pPr>
        <w:ind w:firstLineChars="200" w:firstLine="612"/>
        <w:rPr>
          <w:rStyle w:val="NormalCharacter"/>
          <w:szCs w:val="32"/>
        </w:rPr>
      </w:pPr>
      <w:r>
        <w:rPr>
          <w:rStyle w:val="NormalCharacter"/>
          <w:rFonts w:hint="eastAsia"/>
          <w:szCs w:val="32"/>
        </w:rPr>
        <w:t>（四）住宅建筑的顶层（或退台部分）设有部分露台时，露台的女儿墙高度须控制在</w:t>
      </w:r>
      <w:r>
        <w:rPr>
          <w:rStyle w:val="NormalCharacter"/>
          <w:szCs w:val="32"/>
        </w:rPr>
        <w:t>1.5</w:t>
      </w:r>
      <w:r>
        <w:rPr>
          <w:rStyle w:val="NormalCharacter"/>
          <w:rFonts w:hint="eastAsia"/>
          <w:szCs w:val="32"/>
        </w:rPr>
        <w:t>米及以下，同时不应设置构架、构筑物进行围合。不满足以上要求的，按照露台水平投影面积的</w:t>
      </w:r>
      <w:r>
        <w:rPr>
          <w:rStyle w:val="NormalCharacter"/>
          <w:szCs w:val="32"/>
        </w:rPr>
        <w:t>1/2</w:t>
      </w:r>
      <w:r>
        <w:rPr>
          <w:rStyle w:val="NormalCharacter"/>
          <w:rFonts w:hint="eastAsia"/>
          <w:szCs w:val="32"/>
        </w:rPr>
        <w:t>面积计入容积率。</w:t>
      </w:r>
    </w:p>
    <w:p w:rsidR="000948B2" w:rsidRDefault="007B396B">
      <w:pPr>
        <w:ind w:firstLineChars="200" w:firstLine="612"/>
        <w:rPr>
          <w:rStyle w:val="NormalCharacter"/>
          <w:szCs w:val="32"/>
        </w:rPr>
      </w:pPr>
      <w:r>
        <w:rPr>
          <w:rStyle w:val="NormalCharacter"/>
          <w:rFonts w:eastAsia="方正黑体_GBK" w:hint="eastAsia"/>
          <w:szCs w:val="32"/>
        </w:rPr>
        <w:t>第十条</w:t>
      </w:r>
      <w:r>
        <w:rPr>
          <w:rStyle w:val="NormalCharacter"/>
          <w:rFonts w:eastAsia="方正黑体_GBK"/>
          <w:szCs w:val="32"/>
        </w:rPr>
        <w:t xml:space="preserve"> </w:t>
      </w:r>
      <w:r>
        <w:rPr>
          <w:rStyle w:val="NormalCharacter"/>
          <w:szCs w:val="32"/>
        </w:rPr>
        <w:t xml:space="preserve"> </w:t>
      </w:r>
      <w:r>
        <w:rPr>
          <w:rStyle w:val="NormalCharacter"/>
          <w:rFonts w:hint="eastAsia"/>
          <w:szCs w:val="32"/>
        </w:rPr>
        <w:t>建筑物架空区域、住宅底层封闭车库及建筑连廊的容积率按以下规定计算：</w:t>
      </w:r>
    </w:p>
    <w:p w:rsidR="000948B2" w:rsidRDefault="007B396B">
      <w:pPr>
        <w:ind w:firstLineChars="200" w:firstLine="612"/>
        <w:rPr>
          <w:rStyle w:val="NormalCharacter"/>
          <w:szCs w:val="32"/>
        </w:rPr>
      </w:pPr>
      <w:r>
        <w:rPr>
          <w:rStyle w:val="NormalCharacter"/>
          <w:rFonts w:hint="eastAsia"/>
          <w:szCs w:val="32"/>
        </w:rPr>
        <w:t>（一）建筑底层（首层）用于公众活动、环境绿化、结构层高在</w:t>
      </w:r>
      <w:r>
        <w:rPr>
          <w:rStyle w:val="NormalCharacter"/>
          <w:szCs w:val="32"/>
        </w:rPr>
        <w:t>2.8</w:t>
      </w:r>
      <w:r>
        <w:rPr>
          <w:rStyle w:val="NormalCharacter"/>
          <w:rFonts w:hint="eastAsia"/>
          <w:szCs w:val="32"/>
        </w:rPr>
        <w:t>米及以上且至少有两个边长开敞的架空区域（仅保留结构柱、剪力墙、栏杆），不计入容积率；除建筑底层（首层）外的其他架空层，结构层高在</w:t>
      </w:r>
      <w:r>
        <w:rPr>
          <w:rStyle w:val="NormalCharacter"/>
          <w:szCs w:val="32"/>
        </w:rPr>
        <w:t>2.2</w:t>
      </w:r>
      <w:r>
        <w:rPr>
          <w:rStyle w:val="NormalCharacter"/>
          <w:rFonts w:hint="eastAsia"/>
          <w:szCs w:val="32"/>
        </w:rPr>
        <w:t>米及以上的按其顶板水平投影面</w:t>
      </w:r>
      <w:r>
        <w:rPr>
          <w:rStyle w:val="NormalCharacter"/>
          <w:rFonts w:hint="eastAsia"/>
          <w:szCs w:val="32"/>
        </w:rPr>
        <w:lastRenderedPageBreak/>
        <w:t>积计入容积率，结构层高在</w:t>
      </w:r>
      <w:r>
        <w:rPr>
          <w:rStyle w:val="NormalCharacter"/>
          <w:szCs w:val="32"/>
        </w:rPr>
        <w:t>2.2</w:t>
      </w:r>
      <w:r>
        <w:rPr>
          <w:rStyle w:val="NormalCharacter"/>
          <w:rFonts w:hint="eastAsia"/>
          <w:szCs w:val="32"/>
        </w:rPr>
        <w:t>米以下的按其顶板水平投影面积</w:t>
      </w:r>
      <w:r>
        <w:rPr>
          <w:rStyle w:val="NormalCharacter"/>
          <w:szCs w:val="32"/>
        </w:rPr>
        <w:t>1/2</w:t>
      </w:r>
      <w:r>
        <w:rPr>
          <w:rStyle w:val="NormalCharacter"/>
          <w:rFonts w:hint="eastAsia"/>
          <w:szCs w:val="32"/>
        </w:rPr>
        <w:t>计入容积率。</w:t>
      </w:r>
    </w:p>
    <w:p w:rsidR="000948B2" w:rsidRDefault="007B396B">
      <w:pPr>
        <w:ind w:firstLineChars="200" w:firstLine="612"/>
        <w:rPr>
          <w:rStyle w:val="NormalCharacter"/>
          <w:szCs w:val="32"/>
        </w:rPr>
      </w:pPr>
      <w:r>
        <w:rPr>
          <w:rStyle w:val="NormalCharacter"/>
          <w:rFonts w:hint="eastAsia"/>
          <w:szCs w:val="32"/>
        </w:rPr>
        <w:t>（二）住宅底层封闭车库结构层高在</w:t>
      </w:r>
      <w:r>
        <w:rPr>
          <w:rStyle w:val="NormalCharacter"/>
          <w:szCs w:val="32"/>
        </w:rPr>
        <w:t>2.4</w:t>
      </w:r>
      <w:r>
        <w:rPr>
          <w:rStyle w:val="NormalCharacter"/>
          <w:rFonts w:hint="eastAsia"/>
          <w:szCs w:val="32"/>
        </w:rPr>
        <w:t>米及以下的计入建筑面积但不计入容积率。</w:t>
      </w:r>
    </w:p>
    <w:p w:rsidR="000948B2" w:rsidRDefault="007B396B">
      <w:pPr>
        <w:ind w:firstLineChars="200" w:firstLine="612"/>
        <w:rPr>
          <w:rStyle w:val="NormalCharacter"/>
          <w:szCs w:val="32"/>
        </w:rPr>
      </w:pPr>
      <w:r>
        <w:rPr>
          <w:rStyle w:val="NormalCharacter"/>
          <w:rFonts w:hint="eastAsia"/>
          <w:szCs w:val="32"/>
        </w:rPr>
        <w:t>（三）住宅建筑有顶盖无围护结构、有围护设施，直接与建筑外部空间相邻的开敞连廊，按照结构底板水平投影面积的</w:t>
      </w:r>
      <w:r>
        <w:rPr>
          <w:rStyle w:val="NormalCharacter"/>
          <w:szCs w:val="32"/>
        </w:rPr>
        <w:t>1/2</w:t>
      </w:r>
      <w:r>
        <w:rPr>
          <w:rStyle w:val="NormalCharacter"/>
          <w:rFonts w:hint="eastAsia"/>
          <w:szCs w:val="32"/>
        </w:rPr>
        <w:t>面积计入容积率。</w:t>
      </w:r>
    </w:p>
    <w:p w:rsidR="000948B2" w:rsidRDefault="007B396B">
      <w:pPr>
        <w:ind w:firstLineChars="200" w:firstLine="612"/>
        <w:rPr>
          <w:rStyle w:val="NormalCharacter"/>
          <w:szCs w:val="32"/>
        </w:rPr>
      </w:pPr>
      <w:r>
        <w:rPr>
          <w:rStyle w:val="NormalCharacter"/>
          <w:rFonts w:hint="eastAsia"/>
          <w:szCs w:val="32"/>
        </w:rPr>
        <w:t>（四）各建筑（除住宅建筑之外）二层及以上开敞走廊、连廊或连接平台且有顶盖的，按其顶盖水平投影面积的</w:t>
      </w:r>
      <w:r>
        <w:rPr>
          <w:rStyle w:val="NormalCharacter"/>
          <w:szCs w:val="32"/>
        </w:rPr>
        <w:t>1/2</w:t>
      </w:r>
      <w:r>
        <w:rPr>
          <w:rStyle w:val="NormalCharacter"/>
          <w:rFonts w:hint="eastAsia"/>
          <w:szCs w:val="32"/>
        </w:rPr>
        <w:t>面积计入容积率。</w:t>
      </w:r>
    </w:p>
    <w:p w:rsidR="000948B2" w:rsidRDefault="007B396B">
      <w:pPr>
        <w:ind w:firstLineChars="200" w:firstLine="612"/>
        <w:rPr>
          <w:rStyle w:val="NormalCharacter"/>
          <w:szCs w:val="32"/>
        </w:rPr>
      </w:pPr>
      <w:r>
        <w:rPr>
          <w:rStyle w:val="NormalCharacter"/>
          <w:rFonts w:eastAsia="方正黑体_GBK" w:hint="eastAsia"/>
          <w:szCs w:val="32"/>
        </w:rPr>
        <w:t>第十</w:t>
      </w:r>
      <w:r w:rsidR="003600BB">
        <w:rPr>
          <w:rStyle w:val="NormalCharacter"/>
          <w:rFonts w:eastAsia="方正黑体_GBK" w:hint="eastAsia"/>
          <w:szCs w:val="32"/>
        </w:rPr>
        <w:t>一</w:t>
      </w:r>
      <w:r>
        <w:rPr>
          <w:rStyle w:val="NormalCharacter"/>
          <w:rFonts w:eastAsia="方正黑体_GBK" w:hint="eastAsia"/>
          <w:szCs w:val="32"/>
        </w:rPr>
        <w:t>条</w:t>
      </w:r>
      <w:r>
        <w:rPr>
          <w:rStyle w:val="NormalCharacter"/>
          <w:szCs w:val="32"/>
        </w:rPr>
        <w:t xml:space="preserve">  </w:t>
      </w:r>
      <w:r>
        <w:rPr>
          <w:rStyle w:val="NormalCharacter"/>
          <w:rFonts w:hint="eastAsia"/>
          <w:szCs w:val="32"/>
        </w:rPr>
        <w:t>住宅建筑的外围护结构之外、三面有围护结构且设置进深</w:t>
      </w:r>
      <w:r>
        <w:rPr>
          <w:rStyle w:val="NormalCharacter"/>
          <w:rFonts w:hint="eastAsia"/>
          <w:szCs w:val="32"/>
        </w:rPr>
        <w:t>L</w:t>
      </w:r>
      <w:r>
        <w:rPr>
          <w:rStyle w:val="NormalCharacter"/>
          <w:rFonts w:hint="eastAsia"/>
          <w:szCs w:val="32"/>
        </w:rPr>
        <w:t>大于</w:t>
      </w:r>
      <w:r>
        <w:rPr>
          <w:rStyle w:val="NormalCharacter"/>
          <w:rFonts w:hint="eastAsia"/>
          <w:szCs w:val="32"/>
        </w:rPr>
        <w:t>0.6</w:t>
      </w:r>
      <w:r>
        <w:rPr>
          <w:rStyle w:val="NormalCharacter"/>
          <w:rFonts w:hint="eastAsia"/>
          <w:szCs w:val="32"/>
        </w:rPr>
        <w:t>米的建筑构件（如墙、梁、柱、板、花池、花架、装饰性幕墙、构件等。抗震联系梁板、空调室外机隔板除外），按照建筑构件与建筑外围护结构共同围合空间的水平投影面积计入容积率（详附图）。</w:t>
      </w:r>
    </w:p>
    <w:p w:rsidR="000948B2" w:rsidRDefault="007B396B">
      <w:pPr>
        <w:ind w:firstLineChars="200" w:firstLine="612"/>
        <w:rPr>
          <w:rStyle w:val="NormalCharacter"/>
          <w:spacing w:val="-4"/>
          <w:szCs w:val="32"/>
        </w:rPr>
      </w:pPr>
      <w:r>
        <w:rPr>
          <w:rStyle w:val="NormalCharacter"/>
          <w:rFonts w:hint="eastAsia"/>
          <w:szCs w:val="32"/>
        </w:rPr>
        <w:t>抗</w:t>
      </w:r>
      <w:r>
        <w:rPr>
          <w:rStyle w:val="NormalCharacter"/>
          <w:rFonts w:hint="eastAsia"/>
          <w:spacing w:val="-4"/>
          <w:szCs w:val="32"/>
        </w:rPr>
        <w:t>震联系梁、板等建筑构件，当其层高达到或超过两个楼层层高时，不计入容积率。当每层设置时，其标高低于本层楼面高</w:t>
      </w:r>
      <w:r>
        <w:rPr>
          <w:rStyle w:val="NormalCharacter"/>
          <w:rFonts w:hint="eastAsia"/>
          <w:spacing w:val="-4"/>
          <w:szCs w:val="32"/>
        </w:rPr>
        <w:t>0.3</w:t>
      </w:r>
      <w:r>
        <w:rPr>
          <w:rStyle w:val="NormalCharacter"/>
          <w:rFonts w:hint="eastAsia"/>
          <w:spacing w:val="-4"/>
          <w:szCs w:val="32"/>
        </w:rPr>
        <w:t>米以上的，不计入容积率；当其标高与本层楼面标高差值小于</w:t>
      </w:r>
      <w:r>
        <w:rPr>
          <w:rStyle w:val="NormalCharacter"/>
          <w:rFonts w:hint="eastAsia"/>
          <w:spacing w:val="-4"/>
          <w:szCs w:val="32"/>
        </w:rPr>
        <w:t>0.3</w:t>
      </w:r>
      <w:r>
        <w:rPr>
          <w:rStyle w:val="NormalCharacter"/>
          <w:rFonts w:hint="eastAsia"/>
          <w:spacing w:val="-4"/>
          <w:szCs w:val="32"/>
        </w:rPr>
        <w:t>米的，按照其结构底板水平投影面积的</w:t>
      </w:r>
      <w:r>
        <w:rPr>
          <w:rStyle w:val="NormalCharacter"/>
          <w:rFonts w:hint="eastAsia"/>
          <w:spacing w:val="-4"/>
          <w:szCs w:val="32"/>
        </w:rPr>
        <w:t>1/2</w:t>
      </w:r>
      <w:r>
        <w:rPr>
          <w:rStyle w:val="NormalCharacter"/>
          <w:rFonts w:hint="eastAsia"/>
          <w:spacing w:val="-4"/>
          <w:szCs w:val="32"/>
        </w:rPr>
        <w:t>面积计入容积率。</w:t>
      </w:r>
    </w:p>
    <w:p w:rsidR="000948B2" w:rsidRDefault="00BC5513">
      <w:pPr>
        <w:ind w:firstLineChars="200" w:firstLine="612"/>
        <w:rPr>
          <w:rStyle w:val="NormalCharacter"/>
          <w:rFonts w:eastAsia="方正黑体_GBK"/>
          <w:szCs w:val="32"/>
        </w:rPr>
      </w:pPr>
      <w:r>
        <w:rPr>
          <w:noProof/>
        </w:rPr>
        <w:drawing>
          <wp:anchor distT="0" distB="0" distL="114300" distR="114300" simplePos="0" relativeHeight="251659264" behindDoc="1" locked="0" layoutInCell="1" allowOverlap="1">
            <wp:simplePos x="0" y="0"/>
            <wp:positionH relativeFrom="column">
              <wp:posOffset>398780</wp:posOffset>
            </wp:positionH>
            <wp:positionV relativeFrom="paragraph">
              <wp:posOffset>47625</wp:posOffset>
            </wp:positionV>
            <wp:extent cx="4793615" cy="3613150"/>
            <wp:effectExtent l="0" t="0" r="6985" b="6350"/>
            <wp:wrapNone/>
            <wp:docPr id="4" name="图片 4" descr="附图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附图_看图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3615" cy="3613150"/>
                    </a:xfrm>
                    <a:prstGeom prst="rect">
                      <a:avLst/>
                    </a:prstGeom>
                    <a:noFill/>
                  </pic:spPr>
                </pic:pic>
              </a:graphicData>
            </a:graphic>
            <wp14:sizeRelH relativeFrom="page">
              <wp14:pctWidth>0</wp14:pctWidth>
            </wp14:sizeRelH>
            <wp14:sizeRelV relativeFrom="page">
              <wp14:pctHeight>0</wp14:pctHeight>
            </wp14:sizeRelV>
          </wp:anchor>
        </w:drawing>
      </w:r>
    </w:p>
    <w:p w:rsidR="000948B2" w:rsidRDefault="000948B2">
      <w:pPr>
        <w:ind w:firstLineChars="200" w:firstLine="612"/>
        <w:rPr>
          <w:rStyle w:val="NormalCharacter"/>
          <w:rFonts w:eastAsia="方正黑体_GBK"/>
          <w:szCs w:val="32"/>
        </w:rPr>
      </w:pPr>
    </w:p>
    <w:p w:rsidR="00047A7B" w:rsidRDefault="00047A7B" w:rsidP="00BC5513">
      <w:pPr>
        <w:rPr>
          <w:rStyle w:val="NormalCharacter"/>
          <w:rFonts w:eastAsia="方正黑体_GBK"/>
          <w:szCs w:val="32"/>
        </w:rPr>
      </w:pPr>
      <w:bookmarkStart w:id="0" w:name="_GoBack"/>
      <w:bookmarkEnd w:id="0"/>
    </w:p>
    <w:p w:rsidR="000948B2" w:rsidRDefault="007B396B">
      <w:pPr>
        <w:ind w:firstLineChars="200" w:firstLine="612"/>
        <w:rPr>
          <w:rStyle w:val="NormalCharacter"/>
          <w:szCs w:val="32"/>
        </w:rPr>
      </w:pPr>
      <w:r>
        <w:rPr>
          <w:rStyle w:val="NormalCharacter"/>
          <w:rFonts w:eastAsia="方正黑体_GBK" w:hint="eastAsia"/>
          <w:szCs w:val="32"/>
        </w:rPr>
        <w:lastRenderedPageBreak/>
        <w:t>第十</w:t>
      </w:r>
      <w:r w:rsidR="003600BB">
        <w:rPr>
          <w:rStyle w:val="NormalCharacter"/>
          <w:rFonts w:eastAsia="方正黑体_GBK" w:hint="eastAsia"/>
          <w:szCs w:val="32"/>
        </w:rPr>
        <w:t>二</w:t>
      </w:r>
      <w:r>
        <w:rPr>
          <w:rStyle w:val="NormalCharacter"/>
          <w:rFonts w:eastAsia="方正黑体_GBK" w:hint="eastAsia"/>
          <w:szCs w:val="32"/>
        </w:rPr>
        <w:t>条</w:t>
      </w:r>
      <w:r>
        <w:rPr>
          <w:rStyle w:val="NormalCharacter"/>
          <w:szCs w:val="32"/>
        </w:rPr>
        <w:t xml:space="preserve">  </w:t>
      </w:r>
      <w:r>
        <w:rPr>
          <w:rStyle w:val="NormalCharacter"/>
          <w:rFonts w:hint="eastAsia"/>
          <w:szCs w:val="32"/>
        </w:rPr>
        <w:t>对于建筑物内的设备层、管道层、避难层等有结构层的楼层，结构层高在</w:t>
      </w:r>
      <w:r>
        <w:rPr>
          <w:rStyle w:val="NormalCharacter"/>
          <w:szCs w:val="32"/>
        </w:rPr>
        <w:t>2.2</w:t>
      </w:r>
      <w:r>
        <w:rPr>
          <w:rStyle w:val="NormalCharacter"/>
          <w:rFonts w:hint="eastAsia"/>
          <w:szCs w:val="32"/>
        </w:rPr>
        <w:t>米及以上的按水平投影面积计入容积率；结构层高在</w:t>
      </w:r>
      <w:r>
        <w:rPr>
          <w:rStyle w:val="NormalCharacter"/>
          <w:szCs w:val="32"/>
        </w:rPr>
        <w:t>2.2</w:t>
      </w:r>
      <w:r>
        <w:rPr>
          <w:rStyle w:val="NormalCharacter"/>
          <w:rFonts w:hint="eastAsia"/>
          <w:szCs w:val="32"/>
        </w:rPr>
        <w:t>米以下的不计入容积率。</w:t>
      </w:r>
    </w:p>
    <w:p w:rsidR="000948B2" w:rsidRDefault="007B396B">
      <w:pPr>
        <w:ind w:firstLineChars="200" w:firstLine="612"/>
        <w:rPr>
          <w:rStyle w:val="NormalCharacter"/>
          <w:color w:val="000000"/>
          <w:szCs w:val="32"/>
        </w:rPr>
      </w:pPr>
      <w:r>
        <w:rPr>
          <w:rStyle w:val="NormalCharacter"/>
          <w:rFonts w:eastAsia="方正黑体_GBK" w:hint="eastAsia"/>
          <w:color w:val="000000"/>
          <w:szCs w:val="32"/>
        </w:rPr>
        <w:t>第十</w:t>
      </w:r>
      <w:r w:rsidR="003600BB">
        <w:rPr>
          <w:rStyle w:val="NormalCharacter"/>
          <w:rFonts w:eastAsia="方正黑体_GBK" w:hint="eastAsia"/>
          <w:color w:val="000000"/>
          <w:szCs w:val="32"/>
        </w:rPr>
        <w:t>三</w:t>
      </w:r>
      <w:r>
        <w:rPr>
          <w:rStyle w:val="NormalCharacter"/>
          <w:rFonts w:eastAsia="方正黑体_GBK" w:hint="eastAsia"/>
          <w:color w:val="000000"/>
          <w:szCs w:val="32"/>
        </w:rPr>
        <w:t>条</w:t>
      </w:r>
      <w:r>
        <w:rPr>
          <w:rStyle w:val="NormalCharacter"/>
          <w:rFonts w:eastAsia="方正黑体_GBK"/>
          <w:color w:val="000000"/>
          <w:szCs w:val="32"/>
        </w:rPr>
        <w:t xml:space="preserve"> </w:t>
      </w:r>
      <w:r>
        <w:rPr>
          <w:rStyle w:val="NormalCharacter"/>
          <w:color w:val="000000"/>
          <w:szCs w:val="32"/>
        </w:rPr>
        <w:t xml:space="preserve"> </w:t>
      </w:r>
      <w:r>
        <w:rPr>
          <w:rStyle w:val="NormalCharacter"/>
          <w:rFonts w:hint="eastAsia"/>
          <w:color w:val="000000"/>
          <w:szCs w:val="32"/>
        </w:rPr>
        <w:t>本规定未尽事宜由审批局牵头发改、资规、住建等相关部门进行联合审查确定。房屋产权建筑面积计算按住建部门规定执行。</w:t>
      </w:r>
    </w:p>
    <w:p w:rsidR="000948B2" w:rsidRDefault="007B396B">
      <w:pPr>
        <w:ind w:firstLineChars="200" w:firstLine="612"/>
        <w:rPr>
          <w:rStyle w:val="NormalCharacter"/>
          <w:color w:val="000000"/>
          <w:szCs w:val="32"/>
        </w:rPr>
      </w:pPr>
      <w:r>
        <w:rPr>
          <w:rStyle w:val="NormalCharacter"/>
          <w:rFonts w:eastAsia="方正黑体_GBK" w:hint="eastAsia"/>
          <w:color w:val="000000"/>
          <w:szCs w:val="32"/>
        </w:rPr>
        <w:t>第十</w:t>
      </w:r>
      <w:r w:rsidR="003600BB">
        <w:rPr>
          <w:rStyle w:val="NormalCharacter"/>
          <w:rFonts w:eastAsia="方正黑体_GBK" w:hint="eastAsia"/>
          <w:color w:val="000000"/>
          <w:szCs w:val="32"/>
        </w:rPr>
        <w:t>四</w:t>
      </w:r>
      <w:r>
        <w:rPr>
          <w:rStyle w:val="NormalCharacter"/>
          <w:rFonts w:eastAsia="方正黑体_GBK" w:hint="eastAsia"/>
          <w:color w:val="000000"/>
          <w:szCs w:val="32"/>
        </w:rPr>
        <w:t>条</w:t>
      </w:r>
      <w:r>
        <w:rPr>
          <w:rStyle w:val="NormalCharacter"/>
          <w:rFonts w:eastAsia="方正黑体_GBK"/>
          <w:color w:val="000000"/>
          <w:szCs w:val="32"/>
        </w:rPr>
        <w:t xml:space="preserve"> </w:t>
      </w:r>
      <w:r>
        <w:rPr>
          <w:rStyle w:val="NormalCharacter"/>
          <w:color w:val="000000"/>
          <w:szCs w:val="32"/>
        </w:rPr>
        <w:t xml:space="preserve"> </w:t>
      </w:r>
      <w:r>
        <w:rPr>
          <w:rStyle w:val="NormalCharacter"/>
          <w:rFonts w:hint="eastAsia"/>
          <w:color w:val="000000"/>
          <w:szCs w:val="32"/>
        </w:rPr>
        <w:t>本规定由江阴市行政审批局负责解释。</w:t>
      </w:r>
    </w:p>
    <w:p w:rsidR="000948B2" w:rsidRPr="00BC5513" w:rsidRDefault="007B396B" w:rsidP="00BC5513">
      <w:pPr>
        <w:ind w:firstLineChars="200" w:firstLine="612"/>
        <w:rPr>
          <w:rStyle w:val="NormalCharacter"/>
          <w:szCs w:val="32"/>
        </w:rPr>
      </w:pPr>
      <w:r>
        <w:rPr>
          <w:rStyle w:val="NormalCharacter"/>
          <w:rFonts w:eastAsia="方正黑体_GBK" w:hint="eastAsia"/>
          <w:color w:val="000000"/>
          <w:szCs w:val="32"/>
        </w:rPr>
        <w:t>第十</w:t>
      </w:r>
      <w:r w:rsidR="003600BB">
        <w:rPr>
          <w:rStyle w:val="NormalCharacter"/>
          <w:rFonts w:eastAsia="方正黑体_GBK" w:hint="eastAsia"/>
          <w:color w:val="000000"/>
          <w:szCs w:val="32"/>
        </w:rPr>
        <w:t>五</w:t>
      </w:r>
      <w:r>
        <w:rPr>
          <w:rStyle w:val="NormalCharacter"/>
          <w:rFonts w:eastAsia="方正黑体_GBK" w:hint="eastAsia"/>
          <w:color w:val="000000"/>
          <w:szCs w:val="32"/>
        </w:rPr>
        <w:t>条</w:t>
      </w:r>
      <w:r>
        <w:rPr>
          <w:rStyle w:val="NormalCharacter"/>
          <w:rFonts w:eastAsia="方正黑体_GBK"/>
          <w:color w:val="000000"/>
          <w:szCs w:val="32"/>
        </w:rPr>
        <w:t xml:space="preserve"> </w:t>
      </w:r>
      <w:r>
        <w:rPr>
          <w:rStyle w:val="NormalCharacter"/>
          <w:color w:val="000000"/>
          <w:szCs w:val="32"/>
        </w:rPr>
        <w:t xml:space="preserve"> </w:t>
      </w:r>
      <w:r>
        <w:rPr>
          <w:rStyle w:val="NormalCharacter"/>
          <w:rFonts w:hint="eastAsia"/>
          <w:color w:val="000000"/>
          <w:szCs w:val="32"/>
        </w:rPr>
        <w:t>本规</w:t>
      </w:r>
      <w:r w:rsidRPr="00183198">
        <w:rPr>
          <w:rStyle w:val="NormalCharacter"/>
          <w:rFonts w:hint="eastAsia"/>
          <w:szCs w:val="32"/>
        </w:rPr>
        <w:t>定</w:t>
      </w:r>
      <w:r w:rsidR="001045DC" w:rsidRPr="00183198">
        <w:rPr>
          <w:rStyle w:val="NormalCharacter"/>
          <w:rFonts w:hint="eastAsia"/>
          <w:szCs w:val="32"/>
        </w:rPr>
        <w:t>自</w:t>
      </w:r>
      <w:r w:rsidRPr="00183198">
        <w:rPr>
          <w:rStyle w:val="NormalCharacter"/>
          <w:rFonts w:hint="eastAsia"/>
          <w:szCs w:val="32"/>
        </w:rPr>
        <w:t>2021</w:t>
      </w:r>
      <w:r w:rsidRPr="00183198">
        <w:rPr>
          <w:rStyle w:val="NormalCharacter"/>
          <w:rFonts w:hint="eastAsia"/>
          <w:szCs w:val="32"/>
        </w:rPr>
        <w:t>年</w:t>
      </w:r>
      <w:r w:rsidRPr="00183198">
        <w:rPr>
          <w:rStyle w:val="NormalCharacter"/>
          <w:rFonts w:hint="eastAsia"/>
          <w:szCs w:val="32"/>
        </w:rPr>
        <w:t>12</w:t>
      </w:r>
      <w:r w:rsidRPr="00183198">
        <w:rPr>
          <w:rStyle w:val="NormalCharacter"/>
          <w:rFonts w:hint="eastAsia"/>
          <w:szCs w:val="32"/>
        </w:rPr>
        <w:t>月</w:t>
      </w:r>
      <w:r w:rsidRPr="00183198">
        <w:rPr>
          <w:rStyle w:val="NormalCharacter"/>
          <w:rFonts w:hint="eastAsia"/>
          <w:szCs w:val="32"/>
        </w:rPr>
        <w:t>1</w:t>
      </w:r>
      <w:r w:rsidRPr="00183198">
        <w:rPr>
          <w:rStyle w:val="NormalCharacter"/>
          <w:rFonts w:hint="eastAsia"/>
          <w:szCs w:val="32"/>
        </w:rPr>
        <w:t>日起实施，</w:t>
      </w:r>
      <w:r w:rsidR="006F6D41" w:rsidRPr="00183198">
        <w:rPr>
          <w:rStyle w:val="NormalCharacter"/>
          <w:rFonts w:hint="eastAsia"/>
          <w:szCs w:val="32"/>
        </w:rPr>
        <w:t>同时</w:t>
      </w:r>
      <w:r w:rsidR="006F6D41" w:rsidRPr="00183198">
        <w:rPr>
          <w:rFonts w:ascii="仿宋_GB2312" w:eastAsia="仿宋_GB2312" w:cs="宋体" w:hint="eastAsia"/>
          <w:szCs w:val="32"/>
        </w:rPr>
        <w:t>《江阴市建筑工程容积率计算规定》</w:t>
      </w:r>
      <w:r w:rsidR="001045DC" w:rsidRPr="00183198">
        <w:rPr>
          <w:rFonts w:ascii="仿宋_GB2312" w:eastAsia="仿宋_GB2312" w:cs="宋体" w:hint="eastAsia"/>
          <w:szCs w:val="32"/>
        </w:rPr>
        <w:t>（澄政办发〔</w:t>
      </w:r>
      <w:r w:rsidR="001045DC" w:rsidRPr="00183198">
        <w:rPr>
          <w:rFonts w:ascii="仿宋_GB2312" w:eastAsia="仿宋_GB2312" w:cs="宋体"/>
          <w:szCs w:val="32"/>
        </w:rPr>
        <w:t>20</w:t>
      </w:r>
      <w:r w:rsidR="001045DC" w:rsidRPr="00183198">
        <w:rPr>
          <w:rFonts w:ascii="仿宋_GB2312" w:eastAsia="仿宋_GB2312" w:cs="宋体" w:hint="eastAsia"/>
          <w:szCs w:val="32"/>
        </w:rPr>
        <w:t>07〕</w:t>
      </w:r>
      <w:r w:rsidR="001045DC" w:rsidRPr="00183198">
        <w:rPr>
          <w:rFonts w:ascii="仿宋_GB2312" w:eastAsia="仿宋_GB2312" w:cs="宋体"/>
          <w:szCs w:val="32"/>
        </w:rPr>
        <w:t>8</w:t>
      </w:r>
      <w:r w:rsidR="001045DC" w:rsidRPr="00183198">
        <w:rPr>
          <w:rFonts w:ascii="仿宋_GB2312" w:eastAsia="仿宋_GB2312" w:cs="宋体" w:hint="eastAsia"/>
          <w:szCs w:val="32"/>
        </w:rPr>
        <w:t>3号）</w:t>
      </w:r>
      <w:r w:rsidR="006F6D41" w:rsidRPr="00183198">
        <w:rPr>
          <w:rFonts w:ascii="仿宋_GB2312" w:eastAsia="仿宋_GB2312" w:cs="宋体" w:hint="eastAsia"/>
          <w:szCs w:val="32"/>
        </w:rPr>
        <w:t>、</w:t>
      </w:r>
      <w:r w:rsidR="001045DC" w:rsidRPr="00183198">
        <w:rPr>
          <w:rFonts w:ascii="仿宋_GB2312" w:eastAsia="仿宋_GB2312" w:cs="宋体" w:hint="eastAsia"/>
          <w:szCs w:val="32"/>
        </w:rPr>
        <w:t>《江阴市建筑工程容积率计算规定》（澄规发〔</w:t>
      </w:r>
      <w:r w:rsidR="001045DC" w:rsidRPr="00183198">
        <w:rPr>
          <w:rFonts w:ascii="仿宋_GB2312" w:eastAsia="仿宋_GB2312" w:cs="宋体"/>
          <w:szCs w:val="32"/>
        </w:rPr>
        <w:t>2015</w:t>
      </w:r>
      <w:r w:rsidR="001045DC" w:rsidRPr="00183198">
        <w:rPr>
          <w:rFonts w:ascii="仿宋_GB2312" w:eastAsia="仿宋_GB2312" w:cs="宋体" w:hint="eastAsia"/>
          <w:szCs w:val="32"/>
        </w:rPr>
        <w:t>〕</w:t>
      </w:r>
      <w:r w:rsidR="001045DC" w:rsidRPr="00183198">
        <w:rPr>
          <w:rFonts w:ascii="仿宋_GB2312" w:eastAsia="仿宋_GB2312" w:cs="宋体"/>
          <w:szCs w:val="32"/>
        </w:rPr>
        <w:t>88</w:t>
      </w:r>
      <w:r w:rsidR="001045DC" w:rsidRPr="00183198">
        <w:rPr>
          <w:rFonts w:ascii="仿宋_GB2312" w:eastAsia="仿宋_GB2312" w:cs="宋体" w:hint="eastAsia"/>
          <w:szCs w:val="32"/>
        </w:rPr>
        <w:t>号）</w:t>
      </w:r>
      <w:r w:rsidR="003E3FAB" w:rsidRPr="00183198">
        <w:rPr>
          <w:rFonts w:ascii="仿宋_GB2312" w:eastAsia="仿宋_GB2312" w:cs="宋体" w:hint="eastAsia"/>
          <w:szCs w:val="32"/>
        </w:rPr>
        <w:t>作废，</w:t>
      </w:r>
      <w:r w:rsidR="003E3FAB" w:rsidRPr="00183198">
        <w:rPr>
          <w:rStyle w:val="NormalCharacter"/>
          <w:rFonts w:hint="eastAsia"/>
          <w:szCs w:val="32"/>
        </w:rPr>
        <w:t>2021</w:t>
      </w:r>
      <w:r w:rsidR="003E3FAB" w:rsidRPr="00183198">
        <w:rPr>
          <w:rStyle w:val="NormalCharacter"/>
          <w:rFonts w:hint="eastAsia"/>
          <w:szCs w:val="32"/>
        </w:rPr>
        <w:t>年</w:t>
      </w:r>
      <w:r w:rsidR="003E3FAB" w:rsidRPr="00183198">
        <w:rPr>
          <w:rStyle w:val="NormalCharacter"/>
          <w:rFonts w:hint="eastAsia"/>
          <w:szCs w:val="32"/>
        </w:rPr>
        <w:t>12</w:t>
      </w:r>
      <w:r w:rsidR="003E3FAB" w:rsidRPr="00183198">
        <w:rPr>
          <w:rStyle w:val="NormalCharacter"/>
          <w:rFonts w:hint="eastAsia"/>
          <w:szCs w:val="32"/>
        </w:rPr>
        <w:t>月</w:t>
      </w:r>
      <w:r w:rsidR="003E3FAB" w:rsidRPr="00183198">
        <w:rPr>
          <w:rStyle w:val="NormalCharacter"/>
          <w:rFonts w:hint="eastAsia"/>
          <w:szCs w:val="32"/>
        </w:rPr>
        <w:t>1</w:t>
      </w:r>
      <w:r w:rsidR="003E3FAB" w:rsidRPr="00183198">
        <w:rPr>
          <w:rStyle w:val="NormalCharacter"/>
          <w:rFonts w:hint="eastAsia"/>
          <w:szCs w:val="32"/>
        </w:rPr>
        <w:t>日</w:t>
      </w:r>
      <w:r w:rsidRPr="00183198">
        <w:rPr>
          <w:rStyle w:val="NormalCharacter"/>
          <w:rFonts w:hint="eastAsia"/>
          <w:szCs w:val="32"/>
        </w:rPr>
        <w:t>前已出让的地块仍按</w:t>
      </w:r>
      <w:r w:rsidR="001045DC" w:rsidRPr="00183198">
        <w:rPr>
          <w:rFonts w:ascii="仿宋_GB2312" w:eastAsia="仿宋_GB2312" w:cs="宋体" w:hint="eastAsia"/>
          <w:szCs w:val="32"/>
        </w:rPr>
        <w:t>《江阴市建筑工程容积率计算规定》（澄规发〔</w:t>
      </w:r>
      <w:r w:rsidR="001045DC" w:rsidRPr="00183198">
        <w:rPr>
          <w:rFonts w:ascii="仿宋_GB2312" w:eastAsia="仿宋_GB2312" w:cs="宋体"/>
          <w:szCs w:val="32"/>
        </w:rPr>
        <w:t>2015</w:t>
      </w:r>
      <w:r w:rsidR="001045DC" w:rsidRPr="00183198">
        <w:rPr>
          <w:rFonts w:ascii="仿宋_GB2312" w:eastAsia="仿宋_GB2312" w:cs="宋体" w:hint="eastAsia"/>
          <w:szCs w:val="32"/>
        </w:rPr>
        <w:t>〕</w:t>
      </w:r>
      <w:r w:rsidR="001045DC" w:rsidRPr="00183198">
        <w:rPr>
          <w:rFonts w:ascii="仿宋_GB2312" w:eastAsia="仿宋_GB2312" w:cs="宋体"/>
          <w:szCs w:val="32"/>
        </w:rPr>
        <w:t>88</w:t>
      </w:r>
      <w:r w:rsidR="001045DC" w:rsidRPr="00183198">
        <w:rPr>
          <w:rFonts w:ascii="仿宋_GB2312" w:eastAsia="仿宋_GB2312" w:cs="宋体" w:hint="eastAsia"/>
          <w:szCs w:val="32"/>
        </w:rPr>
        <w:t>号）的</w:t>
      </w:r>
      <w:r w:rsidRPr="00183198">
        <w:rPr>
          <w:rStyle w:val="NormalCharacter"/>
          <w:rFonts w:hint="eastAsia"/>
          <w:szCs w:val="32"/>
        </w:rPr>
        <w:t>规定执行。</w:t>
      </w:r>
    </w:p>
    <w:sectPr w:rsidR="000948B2" w:rsidRPr="00BC5513" w:rsidSect="000948B2">
      <w:footerReference w:type="even" r:id="rId10"/>
      <w:footerReference w:type="default" r:id="rId11"/>
      <w:pgSz w:w="11906" w:h="16838"/>
      <w:pgMar w:top="2098" w:right="1474" w:bottom="1985" w:left="1588" w:header="851" w:footer="1474" w:gutter="0"/>
      <w:cols w:space="720"/>
      <w:docGrid w:type="linesAndChars" w:linePitch="579" w:charSpace="-29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5E" w:rsidRDefault="00DC7B5E" w:rsidP="000948B2">
      <w:r>
        <w:separator/>
      </w:r>
    </w:p>
  </w:endnote>
  <w:endnote w:type="continuationSeparator" w:id="0">
    <w:p w:rsidR="00DC7B5E" w:rsidRDefault="00DC7B5E" w:rsidP="0009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B2" w:rsidRDefault="007B396B">
    <w:pPr>
      <w:pStyle w:val="a3"/>
      <w:snapToGrid/>
      <w:ind w:leftChars="100" w:left="320"/>
      <w:rPr>
        <w:rStyle w:val="NormalCharacter"/>
        <w:rFonts w:ascii="宋体" w:eastAsia="宋体"/>
        <w:sz w:val="28"/>
      </w:rPr>
    </w:pPr>
    <w:r>
      <w:rPr>
        <w:rFonts w:ascii="宋体" w:eastAsia="宋体" w:hint="eastAsia"/>
        <w:sz w:val="28"/>
      </w:rPr>
      <w:t xml:space="preserve">— </w:t>
    </w:r>
    <w:r w:rsidR="00444FA6">
      <w:rPr>
        <w:rFonts w:ascii="宋体" w:eastAsia="宋体"/>
        <w:sz w:val="28"/>
      </w:rPr>
      <w:fldChar w:fldCharType="begin"/>
    </w:r>
    <w:r>
      <w:rPr>
        <w:rFonts w:ascii="宋体" w:eastAsia="宋体"/>
        <w:sz w:val="28"/>
      </w:rPr>
      <w:instrText xml:space="preserve"> PAGE   \* MERGEFORMAT </w:instrText>
    </w:r>
    <w:r w:rsidR="00444FA6">
      <w:rPr>
        <w:rFonts w:ascii="宋体" w:eastAsia="宋体"/>
        <w:sz w:val="28"/>
      </w:rPr>
      <w:fldChar w:fldCharType="separate"/>
    </w:r>
    <w:r w:rsidR="00BC5513" w:rsidRPr="00BC5513">
      <w:rPr>
        <w:rFonts w:ascii="宋体" w:eastAsia="宋体"/>
        <w:noProof/>
        <w:sz w:val="28"/>
        <w:lang w:val="zh-CN"/>
      </w:rPr>
      <w:t>2</w:t>
    </w:r>
    <w:r w:rsidR="00444FA6">
      <w:rPr>
        <w:rFonts w:ascii="宋体" w:eastAsia="宋体"/>
        <w:sz w:val="28"/>
      </w:rPr>
      <w:fldChar w:fldCharType="end"/>
    </w:r>
    <w:r>
      <w:rPr>
        <w:rFonts w:ascii="宋体" w:eastAsia="宋体" w:hint="eastAsia"/>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8B2" w:rsidRDefault="007B396B">
    <w:pPr>
      <w:pStyle w:val="a3"/>
      <w:snapToGrid/>
      <w:ind w:rightChars="100" w:right="320"/>
      <w:jc w:val="right"/>
      <w:rPr>
        <w:rStyle w:val="NormalCharacter"/>
        <w:rFonts w:ascii="宋体" w:eastAsia="宋体"/>
        <w:sz w:val="28"/>
      </w:rPr>
    </w:pPr>
    <w:r>
      <w:rPr>
        <w:rFonts w:ascii="宋体" w:eastAsia="宋体" w:hint="eastAsia"/>
        <w:sz w:val="28"/>
      </w:rPr>
      <w:t xml:space="preserve">— </w:t>
    </w:r>
    <w:r w:rsidR="00444FA6">
      <w:rPr>
        <w:rFonts w:ascii="宋体" w:eastAsia="宋体"/>
        <w:sz w:val="28"/>
      </w:rPr>
      <w:fldChar w:fldCharType="begin"/>
    </w:r>
    <w:r>
      <w:rPr>
        <w:rFonts w:ascii="宋体" w:eastAsia="宋体"/>
        <w:sz w:val="28"/>
      </w:rPr>
      <w:instrText xml:space="preserve"> PAGE   \* MERGEFORMAT </w:instrText>
    </w:r>
    <w:r w:rsidR="00444FA6">
      <w:rPr>
        <w:rFonts w:ascii="宋体" w:eastAsia="宋体"/>
        <w:sz w:val="28"/>
      </w:rPr>
      <w:fldChar w:fldCharType="separate"/>
    </w:r>
    <w:r w:rsidR="00BC5513" w:rsidRPr="00BC5513">
      <w:rPr>
        <w:rFonts w:ascii="宋体" w:eastAsia="宋体"/>
        <w:noProof/>
        <w:sz w:val="28"/>
        <w:lang w:val="zh-CN"/>
      </w:rPr>
      <w:t>1</w:t>
    </w:r>
    <w:r w:rsidR="00444FA6">
      <w:rPr>
        <w:rFonts w:ascii="宋体" w:eastAsia="宋体"/>
        <w:sz w:val="28"/>
      </w:rPr>
      <w:fldChar w:fldCharType="end"/>
    </w:r>
    <w:r>
      <w:rPr>
        <w:rFonts w:ascii="宋体" w:eastAsia="宋体" w:hint="eastAsia"/>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5E" w:rsidRDefault="00DC7B5E" w:rsidP="000948B2">
      <w:r>
        <w:separator/>
      </w:r>
    </w:p>
  </w:footnote>
  <w:footnote w:type="continuationSeparator" w:id="0">
    <w:p w:rsidR="00DC7B5E" w:rsidRDefault="00DC7B5E" w:rsidP="00094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efaultTabStop w:val="420"/>
  <w:evenAndOddHeaders/>
  <w:displayHorizontalDrawingGridEvery w:val="2"/>
  <w:doNotUseMarginsForDrawingGridOrigin/>
  <w:drawingGridHorizontalOrigin w:val="1800"/>
  <w:drawingGridVerticalOrigin w:val="1440"/>
  <w:characterSpacingControl w:val="doNotCompress"/>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4B"/>
    <w:rsid w:val="00005728"/>
    <w:rsid w:val="000145DE"/>
    <w:rsid w:val="000225DB"/>
    <w:rsid w:val="00033C8D"/>
    <w:rsid w:val="00037FFC"/>
    <w:rsid w:val="00047A7B"/>
    <w:rsid w:val="00063A20"/>
    <w:rsid w:val="00064B27"/>
    <w:rsid w:val="00093EFF"/>
    <w:rsid w:val="000948B2"/>
    <w:rsid w:val="000B2E6D"/>
    <w:rsid w:val="000C77FC"/>
    <w:rsid w:val="000D181B"/>
    <w:rsid w:val="000D3227"/>
    <w:rsid w:val="000E77A9"/>
    <w:rsid w:val="0010027D"/>
    <w:rsid w:val="001034E7"/>
    <w:rsid w:val="001045DC"/>
    <w:rsid w:val="0012024D"/>
    <w:rsid w:val="0012196F"/>
    <w:rsid w:val="0016748B"/>
    <w:rsid w:val="001749B8"/>
    <w:rsid w:val="00181E63"/>
    <w:rsid w:val="00183198"/>
    <w:rsid w:val="00192C2B"/>
    <w:rsid w:val="001A69F4"/>
    <w:rsid w:val="001B3B08"/>
    <w:rsid w:val="001E048D"/>
    <w:rsid w:val="00221372"/>
    <w:rsid w:val="00285A40"/>
    <w:rsid w:val="00292D68"/>
    <w:rsid w:val="002C3AA3"/>
    <w:rsid w:val="002D673D"/>
    <w:rsid w:val="002E0042"/>
    <w:rsid w:val="00306FB1"/>
    <w:rsid w:val="00314DC4"/>
    <w:rsid w:val="00315841"/>
    <w:rsid w:val="00316D98"/>
    <w:rsid w:val="00317C43"/>
    <w:rsid w:val="003264D8"/>
    <w:rsid w:val="00327B5E"/>
    <w:rsid w:val="00332CB4"/>
    <w:rsid w:val="00336D03"/>
    <w:rsid w:val="003600BB"/>
    <w:rsid w:val="00372417"/>
    <w:rsid w:val="0037453E"/>
    <w:rsid w:val="00390493"/>
    <w:rsid w:val="00393BD1"/>
    <w:rsid w:val="003C5291"/>
    <w:rsid w:val="003C58A9"/>
    <w:rsid w:val="003E35F2"/>
    <w:rsid w:val="003E3FAB"/>
    <w:rsid w:val="00406414"/>
    <w:rsid w:val="00430A86"/>
    <w:rsid w:val="00444FA6"/>
    <w:rsid w:val="00445774"/>
    <w:rsid w:val="00457169"/>
    <w:rsid w:val="0047047E"/>
    <w:rsid w:val="00471612"/>
    <w:rsid w:val="0047514D"/>
    <w:rsid w:val="00477A2A"/>
    <w:rsid w:val="0048708A"/>
    <w:rsid w:val="004C2DA1"/>
    <w:rsid w:val="004E1D28"/>
    <w:rsid w:val="0050280E"/>
    <w:rsid w:val="00503C60"/>
    <w:rsid w:val="00521A2F"/>
    <w:rsid w:val="00525118"/>
    <w:rsid w:val="00566B9F"/>
    <w:rsid w:val="005672E1"/>
    <w:rsid w:val="00582B07"/>
    <w:rsid w:val="005C1792"/>
    <w:rsid w:val="005C3113"/>
    <w:rsid w:val="005E4E2C"/>
    <w:rsid w:val="00601A46"/>
    <w:rsid w:val="006066A3"/>
    <w:rsid w:val="00624629"/>
    <w:rsid w:val="006B1878"/>
    <w:rsid w:val="006B2FDD"/>
    <w:rsid w:val="006D4FF8"/>
    <w:rsid w:val="006E5757"/>
    <w:rsid w:val="006F6D41"/>
    <w:rsid w:val="00702472"/>
    <w:rsid w:val="00707A3D"/>
    <w:rsid w:val="007165E0"/>
    <w:rsid w:val="00741FC3"/>
    <w:rsid w:val="00760788"/>
    <w:rsid w:val="007830F1"/>
    <w:rsid w:val="0079522A"/>
    <w:rsid w:val="007A3D02"/>
    <w:rsid w:val="007A6B48"/>
    <w:rsid w:val="007B396B"/>
    <w:rsid w:val="007B4579"/>
    <w:rsid w:val="007C273E"/>
    <w:rsid w:val="007C70D2"/>
    <w:rsid w:val="007D5343"/>
    <w:rsid w:val="00801A69"/>
    <w:rsid w:val="00813EF2"/>
    <w:rsid w:val="00827B2B"/>
    <w:rsid w:val="0083196C"/>
    <w:rsid w:val="00833104"/>
    <w:rsid w:val="00840982"/>
    <w:rsid w:val="0085129C"/>
    <w:rsid w:val="00877D17"/>
    <w:rsid w:val="00884BD4"/>
    <w:rsid w:val="00891DAB"/>
    <w:rsid w:val="008F1ADF"/>
    <w:rsid w:val="00900019"/>
    <w:rsid w:val="00902DEC"/>
    <w:rsid w:val="00902F46"/>
    <w:rsid w:val="00910D7A"/>
    <w:rsid w:val="009151FD"/>
    <w:rsid w:val="00917A96"/>
    <w:rsid w:val="00921D2A"/>
    <w:rsid w:val="009332B2"/>
    <w:rsid w:val="0093516F"/>
    <w:rsid w:val="009517CC"/>
    <w:rsid w:val="00952126"/>
    <w:rsid w:val="00953BAF"/>
    <w:rsid w:val="0095422E"/>
    <w:rsid w:val="00956E35"/>
    <w:rsid w:val="009650E3"/>
    <w:rsid w:val="00966B70"/>
    <w:rsid w:val="00974AD3"/>
    <w:rsid w:val="009850A0"/>
    <w:rsid w:val="00993260"/>
    <w:rsid w:val="00994F59"/>
    <w:rsid w:val="009A1BC5"/>
    <w:rsid w:val="009A6934"/>
    <w:rsid w:val="009D39E1"/>
    <w:rsid w:val="009E1042"/>
    <w:rsid w:val="009E4122"/>
    <w:rsid w:val="009F3382"/>
    <w:rsid w:val="00A0164A"/>
    <w:rsid w:val="00A02E49"/>
    <w:rsid w:val="00A056D0"/>
    <w:rsid w:val="00A178B1"/>
    <w:rsid w:val="00A359BE"/>
    <w:rsid w:val="00A40439"/>
    <w:rsid w:val="00A40636"/>
    <w:rsid w:val="00A6255B"/>
    <w:rsid w:val="00A925C7"/>
    <w:rsid w:val="00A93D1E"/>
    <w:rsid w:val="00AC0EA0"/>
    <w:rsid w:val="00AC5360"/>
    <w:rsid w:val="00AE43DF"/>
    <w:rsid w:val="00AE716C"/>
    <w:rsid w:val="00AE7B13"/>
    <w:rsid w:val="00B15A1A"/>
    <w:rsid w:val="00B31053"/>
    <w:rsid w:val="00B34AE7"/>
    <w:rsid w:val="00B40452"/>
    <w:rsid w:val="00B42A8C"/>
    <w:rsid w:val="00B65F7F"/>
    <w:rsid w:val="00B90BFD"/>
    <w:rsid w:val="00B955D3"/>
    <w:rsid w:val="00BB5110"/>
    <w:rsid w:val="00BC5513"/>
    <w:rsid w:val="00BC5615"/>
    <w:rsid w:val="00BD454B"/>
    <w:rsid w:val="00BE29EF"/>
    <w:rsid w:val="00BE749B"/>
    <w:rsid w:val="00BF2219"/>
    <w:rsid w:val="00C1410E"/>
    <w:rsid w:val="00C17E5B"/>
    <w:rsid w:val="00C32626"/>
    <w:rsid w:val="00C52D7D"/>
    <w:rsid w:val="00C547D7"/>
    <w:rsid w:val="00C635B6"/>
    <w:rsid w:val="00C641A8"/>
    <w:rsid w:val="00C95617"/>
    <w:rsid w:val="00CA72C5"/>
    <w:rsid w:val="00CB28D4"/>
    <w:rsid w:val="00CB312D"/>
    <w:rsid w:val="00CB711B"/>
    <w:rsid w:val="00CC41AB"/>
    <w:rsid w:val="00CC674B"/>
    <w:rsid w:val="00CD3F0B"/>
    <w:rsid w:val="00CD5F59"/>
    <w:rsid w:val="00CF3F8C"/>
    <w:rsid w:val="00CF41AC"/>
    <w:rsid w:val="00D046DE"/>
    <w:rsid w:val="00D21023"/>
    <w:rsid w:val="00D23AEE"/>
    <w:rsid w:val="00D414B3"/>
    <w:rsid w:val="00D51602"/>
    <w:rsid w:val="00D54AF0"/>
    <w:rsid w:val="00D579CF"/>
    <w:rsid w:val="00D65084"/>
    <w:rsid w:val="00D67146"/>
    <w:rsid w:val="00D7168A"/>
    <w:rsid w:val="00D73A3C"/>
    <w:rsid w:val="00DA0DAC"/>
    <w:rsid w:val="00DA2E42"/>
    <w:rsid w:val="00DB7EE2"/>
    <w:rsid w:val="00DC7B5E"/>
    <w:rsid w:val="00DE378D"/>
    <w:rsid w:val="00DE49A2"/>
    <w:rsid w:val="00E00A05"/>
    <w:rsid w:val="00E03E7A"/>
    <w:rsid w:val="00E0779C"/>
    <w:rsid w:val="00E21DB2"/>
    <w:rsid w:val="00E2711A"/>
    <w:rsid w:val="00E57FEC"/>
    <w:rsid w:val="00E65507"/>
    <w:rsid w:val="00E83DDC"/>
    <w:rsid w:val="00E869EA"/>
    <w:rsid w:val="00E96509"/>
    <w:rsid w:val="00EE2282"/>
    <w:rsid w:val="00EE3767"/>
    <w:rsid w:val="00EF02B7"/>
    <w:rsid w:val="00EF69BA"/>
    <w:rsid w:val="00F006AD"/>
    <w:rsid w:val="00F06656"/>
    <w:rsid w:val="00F10196"/>
    <w:rsid w:val="00F402DD"/>
    <w:rsid w:val="00F84B44"/>
    <w:rsid w:val="00F931E7"/>
    <w:rsid w:val="00FA56D9"/>
    <w:rsid w:val="00FC09C4"/>
    <w:rsid w:val="00FD2EA8"/>
    <w:rsid w:val="00FD2EB8"/>
    <w:rsid w:val="00FF6CDF"/>
    <w:rsid w:val="12BC363E"/>
    <w:rsid w:val="46A07DC7"/>
    <w:rsid w:val="535F3737"/>
    <w:rsid w:val="54AB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lsdException w:name="FollowedHyperlink" w:locked="0" w:semiHidden="0" w:unhideWhenUsed="0"/>
    <w:lsdException w:name="Strong" w:semiHidden="0" w:uiPriority="22" w:unhideWhenUsed="0" w:qFormat="1"/>
    <w:lsdException w:name="Emphasis"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48B2"/>
    <w:pPr>
      <w:jc w:val="both"/>
      <w:textAlignment w:val="baseline"/>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948B2"/>
    <w:pPr>
      <w:tabs>
        <w:tab w:val="center" w:pos="4153"/>
        <w:tab w:val="right" w:pos="8306"/>
      </w:tabs>
      <w:snapToGrid w:val="0"/>
      <w:jc w:val="left"/>
    </w:pPr>
    <w:rPr>
      <w:sz w:val="18"/>
      <w:szCs w:val="18"/>
    </w:rPr>
  </w:style>
  <w:style w:type="paragraph" w:styleId="a4">
    <w:name w:val="header"/>
    <w:basedOn w:val="a"/>
    <w:link w:val="Char0"/>
    <w:uiPriority w:val="99"/>
    <w:qFormat/>
    <w:rsid w:val="000948B2"/>
    <w:pPr>
      <w:pBdr>
        <w:bottom w:val="single" w:sz="6" w:space="1" w:color="000000"/>
      </w:pBdr>
      <w:tabs>
        <w:tab w:val="center" w:pos="4153"/>
        <w:tab w:val="right" w:pos="8306"/>
      </w:tabs>
      <w:snapToGrid w:val="0"/>
      <w:jc w:val="center"/>
    </w:pPr>
    <w:rPr>
      <w:sz w:val="18"/>
      <w:szCs w:val="18"/>
    </w:rPr>
  </w:style>
  <w:style w:type="character" w:styleId="a5">
    <w:name w:val="FollowedHyperlink"/>
    <w:basedOn w:val="a0"/>
    <w:uiPriority w:val="99"/>
    <w:rsid w:val="000948B2"/>
    <w:rPr>
      <w:rFonts w:cs="Times New Roman"/>
      <w:color w:val="333333"/>
    </w:rPr>
  </w:style>
  <w:style w:type="character" w:styleId="a6">
    <w:name w:val="Emphasis"/>
    <w:basedOn w:val="a0"/>
    <w:uiPriority w:val="99"/>
    <w:qFormat/>
    <w:rsid w:val="000948B2"/>
    <w:rPr>
      <w:rFonts w:cs="Times New Roman"/>
    </w:rPr>
  </w:style>
  <w:style w:type="character" w:styleId="a7">
    <w:name w:val="Hyperlink"/>
    <w:basedOn w:val="a0"/>
    <w:uiPriority w:val="99"/>
    <w:rsid w:val="000948B2"/>
    <w:rPr>
      <w:rFonts w:cs="Times New Roman"/>
      <w:color w:val="333333"/>
    </w:rPr>
  </w:style>
  <w:style w:type="character" w:customStyle="1" w:styleId="Char">
    <w:name w:val="页脚 Char"/>
    <w:basedOn w:val="a0"/>
    <w:link w:val="a3"/>
    <w:uiPriority w:val="99"/>
    <w:locked/>
    <w:rsid w:val="000948B2"/>
    <w:rPr>
      <w:rFonts w:eastAsia="方正仿宋_GBK" w:cs="Times New Roman"/>
      <w:kern w:val="2"/>
      <w:sz w:val="18"/>
    </w:rPr>
  </w:style>
  <w:style w:type="character" w:customStyle="1" w:styleId="Char0">
    <w:name w:val="页眉 Char"/>
    <w:basedOn w:val="a0"/>
    <w:link w:val="a4"/>
    <w:uiPriority w:val="99"/>
    <w:semiHidden/>
    <w:locked/>
    <w:rsid w:val="000948B2"/>
    <w:rPr>
      <w:rFonts w:eastAsia="方正仿宋_GBK" w:cs="Times New Roman"/>
      <w:sz w:val="18"/>
      <w:szCs w:val="18"/>
    </w:rPr>
  </w:style>
  <w:style w:type="character" w:customStyle="1" w:styleId="NormalCharacter">
    <w:name w:val="NormalCharacter"/>
    <w:uiPriority w:val="99"/>
    <w:semiHidden/>
    <w:rsid w:val="000948B2"/>
  </w:style>
  <w:style w:type="table" w:customStyle="1" w:styleId="TableNormal">
    <w:name w:val="TableNormal"/>
    <w:uiPriority w:val="99"/>
    <w:semiHidden/>
    <w:rsid w:val="000948B2"/>
    <w:tblPr>
      <w:tblCellMar>
        <w:top w:w="0" w:type="dxa"/>
        <w:left w:w="0" w:type="dxa"/>
        <w:bottom w:w="0" w:type="dxa"/>
        <w:right w:w="0" w:type="dxa"/>
      </w:tblCellMar>
    </w:tblPr>
  </w:style>
  <w:style w:type="character" w:customStyle="1" w:styleId="UserStyle0">
    <w:name w:val="UserStyle_0"/>
    <w:basedOn w:val="NormalCharacter"/>
    <w:uiPriority w:val="99"/>
    <w:rsid w:val="000948B2"/>
    <w:rPr>
      <w:rFonts w:cs="Times New Roman"/>
    </w:rPr>
  </w:style>
  <w:style w:type="character" w:customStyle="1" w:styleId="PageNumber">
    <w:name w:val="PageNumber"/>
    <w:basedOn w:val="NormalCharacter"/>
    <w:uiPriority w:val="99"/>
    <w:rsid w:val="000948B2"/>
    <w:rPr>
      <w:rFonts w:cs="Times New Roman"/>
    </w:rPr>
  </w:style>
  <w:style w:type="character" w:customStyle="1" w:styleId="UserStyle1">
    <w:name w:val="UserStyle_1"/>
    <w:uiPriority w:val="99"/>
    <w:qFormat/>
    <w:rsid w:val="000948B2"/>
    <w:rPr>
      <w:sz w:val="18"/>
    </w:rPr>
  </w:style>
  <w:style w:type="character" w:customStyle="1" w:styleId="UserStyle2">
    <w:name w:val="UserStyle_2"/>
    <w:uiPriority w:val="99"/>
    <w:rsid w:val="000948B2"/>
    <w:rPr>
      <w:sz w:val="18"/>
    </w:rPr>
  </w:style>
  <w:style w:type="character" w:customStyle="1" w:styleId="UserStyle4">
    <w:name w:val="UserStyle_4"/>
    <w:uiPriority w:val="99"/>
    <w:rsid w:val="000948B2"/>
    <w:rPr>
      <w:color w:val="FFFFFF"/>
      <w:shd w:val="clear" w:color="auto" w:fill="A32A2A"/>
    </w:rPr>
  </w:style>
  <w:style w:type="character" w:customStyle="1" w:styleId="UserStyle5">
    <w:name w:val="UserStyle_5"/>
    <w:basedOn w:val="NormalCharacter"/>
    <w:uiPriority w:val="99"/>
    <w:qFormat/>
    <w:rsid w:val="000948B2"/>
    <w:rPr>
      <w:rFonts w:cs="Times New Roman"/>
    </w:rPr>
  </w:style>
  <w:style w:type="paragraph" w:customStyle="1" w:styleId="HtmlNormal">
    <w:name w:val="HtmlNormal"/>
    <w:basedOn w:val="a"/>
    <w:uiPriority w:val="99"/>
    <w:rsid w:val="000948B2"/>
    <w:rPr>
      <w:sz w:val="24"/>
    </w:rPr>
  </w:style>
  <w:style w:type="paragraph" w:customStyle="1" w:styleId="NormalIndent">
    <w:name w:val="NormalIndent"/>
    <w:basedOn w:val="a"/>
    <w:uiPriority w:val="99"/>
    <w:rsid w:val="000948B2"/>
    <w:pPr>
      <w:ind w:firstLineChars="200" w:firstLine="420"/>
    </w:pPr>
  </w:style>
  <w:style w:type="paragraph" w:customStyle="1" w:styleId="UserStyle6">
    <w:name w:val="UserStyle_6"/>
    <w:basedOn w:val="NormalIndent"/>
    <w:uiPriority w:val="99"/>
    <w:rsid w:val="000948B2"/>
    <w:pPr>
      <w:tabs>
        <w:tab w:val="right" w:pos="8465"/>
      </w:tabs>
      <w:spacing w:line="454" w:lineRule="atLeast"/>
      <w:ind w:left="357" w:right="357" w:firstLineChars="0" w:firstLine="0"/>
      <w:jc w:val="left"/>
    </w:pPr>
    <w:rPr>
      <w:rFonts w:eastAsia="仿宋_GB2312"/>
      <w:kern w:val="32"/>
      <w:szCs w:val="32"/>
    </w:rPr>
  </w:style>
  <w:style w:type="paragraph" w:customStyle="1" w:styleId="UserStyle7">
    <w:name w:val="UserStyle_7"/>
    <w:basedOn w:val="a"/>
    <w:uiPriority w:val="99"/>
    <w:rsid w:val="000948B2"/>
    <w:pPr>
      <w:snapToGrid w:val="0"/>
      <w:spacing w:line="440" w:lineRule="atLeast"/>
      <w:jc w:val="right"/>
    </w:pPr>
    <w:rPr>
      <w:rFonts w:ascii="黑体" w:eastAsia="黑体"/>
      <w:kern w:val="0"/>
      <w:szCs w:val="20"/>
    </w:rPr>
  </w:style>
  <w:style w:type="table" w:customStyle="1" w:styleId="TableGrid">
    <w:name w:val="TableGrid"/>
    <w:basedOn w:val="TableNormal"/>
    <w:uiPriority w:val="99"/>
    <w:rsid w:val="000948B2"/>
    <w:tblPr/>
  </w:style>
  <w:style w:type="paragraph" w:styleId="a8">
    <w:name w:val="List Paragraph"/>
    <w:basedOn w:val="a"/>
    <w:uiPriority w:val="99"/>
    <w:qFormat/>
    <w:rsid w:val="000948B2"/>
    <w:pPr>
      <w:ind w:firstLineChars="200" w:firstLine="420"/>
    </w:pPr>
  </w:style>
  <w:style w:type="character" w:customStyle="1" w:styleId="normalcharacter0">
    <w:name w:val="normalcharacter"/>
    <w:basedOn w:val="a0"/>
    <w:qFormat/>
    <w:rsid w:val="00094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lsdException w:name="FollowedHyperlink" w:locked="0" w:semiHidden="0" w:unhideWhenUsed="0"/>
    <w:lsdException w:name="Strong" w:semiHidden="0" w:uiPriority="22" w:unhideWhenUsed="0" w:qFormat="1"/>
    <w:lsdException w:name="Emphasis" w:locked="0" w:semiHidden="0" w:unhideWhenUsed="0" w:qFormat="1"/>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48B2"/>
    <w:pPr>
      <w:jc w:val="both"/>
      <w:textAlignment w:val="baseline"/>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948B2"/>
    <w:pPr>
      <w:tabs>
        <w:tab w:val="center" w:pos="4153"/>
        <w:tab w:val="right" w:pos="8306"/>
      </w:tabs>
      <w:snapToGrid w:val="0"/>
      <w:jc w:val="left"/>
    </w:pPr>
    <w:rPr>
      <w:sz w:val="18"/>
      <w:szCs w:val="18"/>
    </w:rPr>
  </w:style>
  <w:style w:type="paragraph" w:styleId="a4">
    <w:name w:val="header"/>
    <w:basedOn w:val="a"/>
    <w:link w:val="Char0"/>
    <w:uiPriority w:val="99"/>
    <w:qFormat/>
    <w:rsid w:val="000948B2"/>
    <w:pPr>
      <w:pBdr>
        <w:bottom w:val="single" w:sz="6" w:space="1" w:color="000000"/>
      </w:pBdr>
      <w:tabs>
        <w:tab w:val="center" w:pos="4153"/>
        <w:tab w:val="right" w:pos="8306"/>
      </w:tabs>
      <w:snapToGrid w:val="0"/>
      <w:jc w:val="center"/>
    </w:pPr>
    <w:rPr>
      <w:sz w:val="18"/>
      <w:szCs w:val="18"/>
    </w:rPr>
  </w:style>
  <w:style w:type="character" w:styleId="a5">
    <w:name w:val="FollowedHyperlink"/>
    <w:basedOn w:val="a0"/>
    <w:uiPriority w:val="99"/>
    <w:rsid w:val="000948B2"/>
    <w:rPr>
      <w:rFonts w:cs="Times New Roman"/>
      <w:color w:val="333333"/>
    </w:rPr>
  </w:style>
  <w:style w:type="character" w:styleId="a6">
    <w:name w:val="Emphasis"/>
    <w:basedOn w:val="a0"/>
    <w:uiPriority w:val="99"/>
    <w:qFormat/>
    <w:rsid w:val="000948B2"/>
    <w:rPr>
      <w:rFonts w:cs="Times New Roman"/>
    </w:rPr>
  </w:style>
  <w:style w:type="character" w:styleId="a7">
    <w:name w:val="Hyperlink"/>
    <w:basedOn w:val="a0"/>
    <w:uiPriority w:val="99"/>
    <w:rsid w:val="000948B2"/>
    <w:rPr>
      <w:rFonts w:cs="Times New Roman"/>
      <w:color w:val="333333"/>
    </w:rPr>
  </w:style>
  <w:style w:type="character" w:customStyle="1" w:styleId="Char">
    <w:name w:val="页脚 Char"/>
    <w:basedOn w:val="a0"/>
    <w:link w:val="a3"/>
    <w:uiPriority w:val="99"/>
    <w:locked/>
    <w:rsid w:val="000948B2"/>
    <w:rPr>
      <w:rFonts w:eastAsia="方正仿宋_GBK" w:cs="Times New Roman"/>
      <w:kern w:val="2"/>
      <w:sz w:val="18"/>
    </w:rPr>
  </w:style>
  <w:style w:type="character" w:customStyle="1" w:styleId="Char0">
    <w:name w:val="页眉 Char"/>
    <w:basedOn w:val="a0"/>
    <w:link w:val="a4"/>
    <w:uiPriority w:val="99"/>
    <w:semiHidden/>
    <w:locked/>
    <w:rsid w:val="000948B2"/>
    <w:rPr>
      <w:rFonts w:eastAsia="方正仿宋_GBK" w:cs="Times New Roman"/>
      <w:sz w:val="18"/>
      <w:szCs w:val="18"/>
    </w:rPr>
  </w:style>
  <w:style w:type="character" w:customStyle="1" w:styleId="NormalCharacter">
    <w:name w:val="NormalCharacter"/>
    <w:uiPriority w:val="99"/>
    <w:semiHidden/>
    <w:rsid w:val="000948B2"/>
  </w:style>
  <w:style w:type="table" w:customStyle="1" w:styleId="TableNormal">
    <w:name w:val="TableNormal"/>
    <w:uiPriority w:val="99"/>
    <w:semiHidden/>
    <w:rsid w:val="000948B2"/>
    <w:tblPr>
      <w:tblCellMar>
        <w:top w:w="0" w:type="dxa"/>
        <w:left w:w="0" w:type="dxa"/>
        <w:bottom w:w="0" w:type="dxa"/>
        <w:right w:w="0" w:type="dxa"/>
      </w:tblCellMar>
    </w:tblPr>
  </w:style>
  <w:style w:type="character" w:customStyle="1" w:styleId="UserStyle0">
    <w:name w:val="UserStyle_0"/>
    <w:basedOn w:val="NormalCharacter"/>
    <w:uiPriority w:val="99"/>
    <w:rsid w:val="000948B2"/>
    <w:rPr>
      <w:rFonts w:cs="Times New Roman"/>
    </w:rPr>
  </w:style>
  <w:style w:type="character" w:customStyle="1" w:styleId="PageNumber">
    <w:name w:val="PageNumber"/>
    <w:basedOn w:val="NormalCharacter"/>
    <w:uiPriority w:val="99"/>
    <w:rsid w:val="000948B2"/>
    <w:rPr>
      <w:rFonts w:cs="Times New Roman"/>
    </w:rPr>
  </w:style>
  <w:style w:type="character" w:customStyle="1" w:styleId="UserStyle1">
    <w:name w:val="UserStyle_1"/>
    <w:uiPriority w:val="99"/>
    <w:qFormat/>
    <w:rsid w:val="000948B2"/>
    <w:rPr>
      <w:sz w:val="18"/>
    </w:rPr>
  </w:style>
  <w:style w:type="character" w:customStyle="1" w:styleId="UserStyle2">
    <w:name w:val="UserStyle_2"/>
    <w:uiPriority w:val="99"/>
    <w:rsid w:val="000948B2"/>
    <w:rPr>
      <w:sz w:val="18"/>
    </w:rPr>
  </w:style>
  <w:style w:type="character" w:customStyle="1" w:styleId="UserStyle4">
    <w:name w:val="UserStyle_4"/>
    <w:uiPriority w:val="99"/>
    <w:rsid w:val="000948B2"/>
    <w:rPr>
      <w:color w:val="FFFFFF"/>
      <w:shd w:val="clear" w:color="auto" w:fill="A32A2A"/>
    </w:rPr>
  </w:style>
  <w:style w:type="character" w:customStyle="1" w:styleId="UserStyle5">
    <w:name w:val="UserStyle_5"/>
    <w:basedOn w:val="NormalCharacter"/>
    <w:uiPriority w:val="99"/>
    <w:qFormat/>
    <w:rsid w:val="000948B2"/>
    <w:rPr>
      <w:rFonts w:cs="Times New Roman"/>
    </w:rPr>
  </w:style>
  <w:style w:type="paragraph" w:customStyle="1" w:styleId="HtmlNormal">
    <w:name w:val="HtmlNormal"/>
    <w:basedOn w:val="a"/>
    <w:uiPriority w:val="99"/>
    <w:rsid w:val="000948B2"/>
    <w:rPr>
      <w:sz w:val="24"/>
    </w:rPr>
  </w:style>
  <w:style w:type="paragraph" w:customStyle="1" w:styleId="NormalIndent">
    <w:name w:val="NormalIndent"/>
    <w:basedOn w:val="a"/>
    <w:uiPriority w:val="99"/>
    <w:rsid w:val="000948B2"/>
    <w:pPr>
      <w:ind w:firstLineChars="200" w:firstLine="420"/>
    </w:pPr>
  </w:style>
  <w:style w:type="paragraph" w:customStyle="1" w:styleId="UserStyle6">
    <w:name w:val="UserStyle_6"/>
    <w:basedOn w:val="NormalIndent"/>
    <w:uiPriority w:val="99"/>
    <w:rsid w:val="000948B2"/>
    <w:pPr>
      <w:tabs>
        <w:tab w:val="right" w:pos="8465"/>
      </w:tabs>
      <w:spacing w:line="454" w:lineRule="atLeast"/>
      <w:ind w:left="357" w:right="357" w:firstLineChars="0" w:firstLine="0"/>
      <w:jc w:val="left"/>
    </w:pPr>
    <w:rPr>
      <w:rFonts w:eastAsia="仿宋_GB2312"/>
      <w:kern w:val="32"/>
      <w:szCs w:val="32"/>
    </w:rPr>
  </w:style>
  <w:style w:type="paragraph" w:customStyle="1" w:styleId="UserStyle7">
    <w:name w:val="UserStyle_7"/>
    <w:basedOn w:val="a"/>
    <w:uiPriority w:val="99"/>
    <w:rsid w:val="000948B2"/>
    <w:pPr>
      <w:snapToGrid w:val="0"/>
      <w:spacing w:line="440" w:lineRule="atLeast"/>
      <w:jc w:val="right"/>
    </w:pPr>
    <w:rPr>
      <w:rFonts w:ascii="黑体" w:eastAsia="黑体"/>
      <w:kern w:val="0"/>
      <w:szCs w:val="20"/>
    </w:rPr>
  </w:style>
  <w:style w:type="table" w:customStyle="1" w:styleId="TableGrid">
    <w:name w:val="TableGrid"/>
    <w:basedOn w:val="TableNormal"/>
    <w:uiPriority w:val="99"/>
    <w:rsid w:val="000948B2"/>
    <w:tblPr/>
  </w:style>
  <w:style w:type="paragraph" w:styleId="a8">
    <w:name w:val="List Paragraph"/>
    <w:basedOn w:val="a"/>
    <w:uiPriority w:val="99"/>
    <w:qFormat/>
    <w:rsid w:val="000948B2"/>
    <w:pPr>
      <w:ind w:firstLineChars="200" w:firstLine="420"/>
    </w:pPr>
  </w:style>
  <w:style w:type="character" w:customStyle="1" w:styleId="normalcharacter0">
    <w:name w:val="normalcharacter"/>
    <w:basedOn w:val="a0"/>
    <w:qFormat/>
    <w:rsid w:val="00094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BA361C-2AB9-42EC-99EE-7F499841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2490</Characters>
  <Application>Microsoft Office Word</Application>
  <DocSecurity>0</DocSecurity>
  <Lines>20</Lines>
  <Paragraphs>5</Paragraphs>
  <ScaleCrop>false</ScaleCrop>
  <Company>China</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2021-10-14T08:31:00Z</cp:lastPrinted>
  <dcterms:created xsi:type="dcterms:W3CDTF">2021-12-23T05:58:00Z</dcterms:created>
  <dcterms:modified xsi:type="dcterms:W3CDTF">2021-12-23T05:58:00Z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D5368AB3847645B895B4A317E82E1E76</vt:lpwstr>
  </property>
</Properties>
</file>