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8B0FC">
      <w:pPr>
        <w:snapToGrid w:val="0"/>
        <w:spacing w:line="440" w:lineRule="atLeast"/>
        <w:ind w:firstLine="465"/>
        <w:jc w:val="center"/>
        <w:rPr>
          <w:rFonts w:hint="eastAsia" w:ascii="宋体" w:hAnsi="宋体"/>
          <w:b/>
          <w:color w:val="auto"/>
          <w:sz w:val="36"/>
          <w:szCs w:val="36"/>
          <w:highlight w:val="none"/>
          <w:lang w:val="zh-CN"/>
        </w:rPr>
      </w:pPr>
      <w:r>
        <w:rPr>
          <w:rFonts w:hint="eastAsia" w:ascii="宋体" w:hAnsi="宋体"/>
          <w:b/>
          <w:color w:val="auto"/>
          <w:sz w:val="36"/>
          <w:szCs w:val="36"/>
          <w:highlight w:val="none"/>
          <w:lang w:val="zh-CN"/>
        </w:rPr>
        <w:t>江阴职业技术学院2号楼302教室4号楼201教室改造工程</w:t>
      </w:r>
    </w:p>
    <w:p w14:paraId="2EE62C71">
      <w:pPr>
        <w:snapToGrid w:val="0"/>
        <w:spacing w:line="440" w:lineRule="atLeast"/>
        <w:ind w:firstLine="465"/>
        <w:jc w:val="center"/>
        <w:rPr>
          <w:rFonts w:ascii="宋体" w:hAnsi="宋体"/>
          <w:b/>
          <w:color w:val="auto"/>
          <w:sz w:val="36"/>
          <w:szCs w:val="36"/>
          <w:highlight w:val="none"/>
          <w:lang w:val="zh-CN"/>
        </w:rPr>
      </w:pPr>
      <w:r>
        <w:rPr>
          <w:rFonts w:hint="eastAsia" w:ascii="宋体" w:hAnsi="宋体"/>
          <w:b/>
          <w:color w:val="auto"/>
          <w:sz w:val="36"/>
          <w:szCs w:val="36"/>
          <w:highlight w:val="none"/>
          <w:lang w:val="zh-CN"/>
        </w:rPr>
        <w:t>工程</w:t>
      </w:r>
      <w:r>
        <w:rPr>
          <w:rFonts w:hint="eastAsia" w:ascii="宋体" w:hAnsi="宋体"/>
          <w:b/>
          <w:color w:val="auto"/>
          <w:sz w:val="36"/>
          <w:szCs w:val="36"/>
          <w:highlight w:val="none"/>
          <w:lang w:val="en-US" w:eastAsia="zh-CN"/>
        </w:rPr>
        <w:t>清单</w:t>
      </w:r>
      <w:r>
        <w:rPr>
          <w:rFonts w:hint="eastAsia" w:ascii="宋体" w:hAnsi="宋体"/>
          <w:b/>
          <w:color w:val="auto"/>
          <w:sz w:val="36"/>
          <w:szCs w:val="36"/>
          <w:highlight w:val="none"/>
          <w:lang w:val="zh-CN"/>
        </w:rPr>
        <w:t>编制说明</w:t>
      </w:r>
    </w:p>
    <w:p w14:paraId="5E8DD88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工程概况：</w:t>
      </w:r>
    </w:p>
    <w:p w14:paraId="77D199EB">
      <w:pPr>
        <w:snapToGrid w:val="0"/>
        <w:spacing w:line="440" w:lineRule="atLeast"/>
        <w:ind w:left="479" w:leftChars="228"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zh-CN"/>
        </w:rPr>
        <w:t>江阴职业技术学院2号楼302教室4号楼201教室改造工程</w:t>
      </w:r>
      <w:r>
        <w:rPr>
          <w:rFonts w:hint="eastAsia" w:ascii="宋体" w:hAnsi="宋体" w:cs="宋体"/>
          <w:bCs/>
          <w:color w:val="auto"/>
          <w:sz w:val="24"/>
          <w:highlight w:val="none"/>
          <w:lang w:val="en-US" w:eastAsia="zh-CN"/>
        </w:rPr>
        <w:t>，位于</w:t>
      </w:r>
      <w:r>
        <w:rPr>
          <w:rFonts w:hint="eastAsia" w:ascii="宋体" w:hAnsi="宋体" w:cs="宋体"/>
          <w:bCs/>
          <w:color w:val="auto"/>
          <w:sz w:val="24"/>
          <w:highlight w:val="none"/>
          <w:lang w:val="zh-CN"/>
        </w:rPr>
        <w:t>江阴职业技术学院</w:t>
      </w:r>
      <w:r>
        <w:rPr>
          <w:rFonts w:hint="eastAsia" w:ascii="宋体" w:hAnsi="宋体" w:cs="宋体"/>
          <w:bCs/>
          <w:color w:val="auto"/>
          <w:sz w:val="24"/>
          <w:highlight w:val="none"/>
          <w:lang w:val="en-US" w:eastAsia="zh-CN"/>
        </w:rPr>
        <w:t>范围内</w:t>
      </w:r>
      <w:r>
        <w:rPr>
          <w:rFonts w:hint="eastAsia" w:ascii="宋体" w:hAnsi="宋体" w:cs="宋体"/>
          <w:bCs/>
          <w:color w:val="auto"/>
          <w:sz w:val="24"/>
          <w:highlight w:val="none"/>
          <w:lang w:val="zh-CN" w:eastAsia="zh-CN"/>
        </w:rPr>
        <w:t>，</w:t>
      </w:r>
      <w:r>
        <w:rPr>
          <w:rFonts w:hint="eastAsia" w:ascii="宋体" w:hAnsi="宋体" w:cs="宋体"/>
          <w:bCs/>
          <w:color w:val="auto"/>
          <w:sz w:val="24"/>
          <w:highlight w:val="none"/>
        </w:rPr>
        <w:t>主要情况如下：</w:t>
      </w:r>
    </w:p>
    <w:p w14:paraId="29632EBF">
      <w:pPr>
        <w:snapToGrid w:val="0"/>
        <w:spacing w:line="440" w:lineRule="atLeast"/>
        <w:ind w:left="479" w:leftChars="228" w:firstLine="480" w:firstLineChars="200"/>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zh-CN"/>
        </w:rPr>
        <w:t>江阴职业技术学院2号楼302教室4号楼201教室改造，</w:t>
      </w:r>
      <w:r>
        <w:rPr>
          <w:rFonts w:hint="eastAsia" w:ascii="宋体" w:hAnsi="宋体" w:cs="宋体"/>
          <w:bCs/>
          <w:color w:val="auto"/>
          <w:sz w:val="24"/>
          <w:highlight w:val="none"/>
          <w:lang w:val="en-US" w:eastAsia="zh-CN"/>
        </w:rPr>
        <w:t>为零星维修改造项目，涉及</w:t>
      </w:r>
      <w:r>
        <w:rPr>
          <w:rFonts w:hint="eastAsia" w:ascii="宋体" w:hAnsi="宋体" w:cs="宋体"/>
          <w:bCs/>
          <w:color w:val="auto"/>
          <w:kern w:val="2"/>
          <w:sz w:val="24"/>
          <w:szCs w:val="24"/>
          <w:highlight w:val="none"/>
          <w:lang w:val="zh-CN" w:eastAsia="zh-CN" w:bidi="ar-SA"/>
        </w:rPr>
        <w:t>教室</w:t>
      </w:r>
      <w:r>
        <w:rPr>
          <w:rFonts w:hint="eastAsia" w:ascii="宋体" w:hAnsi="宋体" w:cs="宋体"/>
          <w:bCs/>
          <w:color w:val="auto"/>
          <w:sz w:val="24"/>
          <w:highlight w:val="none"/>
          <w:lang w:val="en-US" w:eastAsia="zh-CN"/>
        </w:rPr>
        <w:t>墙顶地面装饰修缮、窗帘换新、电路改造、弱电线路布置、灯具等设备换新等内容以及以上内容配套的拆除、垃圾清运等内容。</w:t>
      </w:r>
    </w:p>
    <w:p w14:paraId="16FF11C1">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招标范围：</w:t>
      </w:r>
    </w:p>
    <w:p w14:paraId="112A3676">
      <w:pPr>
        <w:numPr>
          <w:ilvl w:val="0"/>
          <w:numId w:val="2"/>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拟建《江阴职业技术学院2号楼302教室4号楼201教室改造工程》</w:t>
      </w:r>
      <w:r>
        <w:rPr>
          <w:rFonts w:hint="eastAsia" w:ascii="宋体" w:hAnsi="宋体" w:cs="宋体"/>
          <w:bCs/>
          <w:color w:val="auto"/>
          <w:sz w:val="24"/>
          <w:highlight w:val="none"/>
        </w:rPr>
        <w:t>工程量清单</w:t>
      </w:r>
      <w:r>
        <w:rPr>
          <w:rFonts w:hint="eastAsia" w:ascii="宋体" w:hAnsi="宋体" w:cs="宋体"/>
          <w:bCs/>
          <w:color w:val="auto"/>
          <w:sz w:val="24"/>
          <w:highlight w:val="none"/>
          <w:lang w:val="zh-CN"/>
        </w:rPr>
        <w:t>中的所有工程，</w:t>
      </w:r>
      <w:r>
        <w:rPr>
          <w:rFonts w:hint="eastAsia" w:ascii="宋体" w:hAnsi="宋体" w:cs="宋体"/>
          <w:bCs/>
          <w:color w:val="auto"/>
          <w:sz w:val="24"/>
          <w:highlight w:val="none"/>
        </w:rPr>
        <w:t>包括</w:t>
      </w:r>
      <w:r>
        <w:rPr>
          <w:rFonts w:hint="eastAsia" w:ascii="宋体" w:hAnsi="宋体" w:cs="宋体"/>
          <w:bCs/>
          <w:color w:val="auto"/>
          <w:sz w:val="24"/>
          <w:highlight w:val="none"/>
          <w:lang w:val="en-US" w:eastAsia="zh-CN"/>
        </w:rPr>
        <w:t>土建、装饰、安装、修缮</w:t>
      </w:r>
      <w:r>
        <w:rPr>
          <w:rFonts w:hint="eastAsia" w:ascii="宋体" w:hAnsi="宋体" w:cs="宋体"/>
          <w:bCs/>
          <w:color w:val="auto"/>
          <w:sz w:val="24"/>
          <w:highlight w:val="none"/>
        </w:rPr>
        <w:t>等</w:t>
      </w:r>
      <w:r>
        <w:rPr>
          <w:rFonts w:hint="eastAsia" w:ascii="宋体" w:hAnsi="宋体" w:cs="宋体"/>
          <w:bCs/>
          <w:color w:val="auto"/>
          <w:sz w:val="24"/>
          <w:highlight w:val="none"/>
          <w:lang w:val="zh-CN"/>
        </w:rPr>
        <w:t>。</w:t>
      </w:r>
    </w:p>
    <w:p w14:paraId="47AAFC53">
      <w:pPr>
        <w:numPr>
          <w:ilvl w:val="0"/>
          <w:numId w:val="2"/>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以下工程不包括在本次工程量清单范围内：清单及改造</w:t>
      </w:r>
      <w:r>
        <w:rPr>
          <w:rFonts w:hint="eastAsia" w:ascii="宋体" w:hAnsi="宋体" w:cs="宋体"/>
          <w:bCs/>
          <w:color w:val="auto"/>
          <w:sz w:val="24"/>
          <w:highlight w:val="none"/>
          <w:lang w:val="en-US" w:eastAsia="zh-CN"/>
        </w:rPr>
        <w:t>意向</w:t>
      </w:r>
      <w:r>
        <w:rPr>
          <w:rFonts w:hint="eastAsia" w:ascii="宋体" w:hAnsi="宋体" w:cs="宋体"/>
          <w:bCs/>
          <w:color w:val="auto"/>
          <w:sz w:val="24"/>
          <w:highlight w:val="none"/>
          <w:lang w:val="zh-CN"/>
        </w:rPr>
        <w:t>方案上没有的内容。</w:t>
      </w:r>
    </w:p>
    <w:p w14:paraId="3348F407">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编制依据：</w:t>
      </w:r>
    </w:p>
    <w:p w14:paraId="7331E510">
      <w:pPr>
        <w:numPr>
          <w:ilvl w:val="0"/>
          <w:numId w:val="3"/>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cs="宋体"/>
          <w:bCs/>
          <w:color w:val="auto"/>
          <w:kern w:val="2"/>
          <w:sz w:val="24"/>
          <w:szCs w:val="24"/>
          <w:highlight w:val="none"/>
          <w:lang w:val="zh-CN" w:eastAsia="zh-CN" w:bidi="ar-SA"/>
        </w:rPr>
        <w:t>江阴职业技术学院2号楼302教室4号楼201教室改造工程</w:t>
      </w:r>
      <w:r>
        <w:rPr>
          <w:rFonts w:hint="eastAsia" w:ascii="宋体" w:hAnsi="宋体" w:eastAsia="宋体" w:cs="宋体"/>
          <w:bCs/>
          <w:color w:val="auto"/>
          <w:kern w:val="2"/>
          <w:sz w:val="24"/>
          <w:szCs w:val="24"/>
          <w:highlight w:val="none"/>
          <w:lang w:val="zh-CN" w:eastAsia="zh-CN" w:bidi="ar-SA"/>
        </w:rPr>
        <w:t>招标文件；</w:t>
      </w:r>
    </w:p>
    <w:p w14:paraId="387C45E4">
      <w:pPr>
        <w:numPr>
          <w:ilvl w:val="0"/>
          <w:numId w:val="3"/>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eastAsia="宋体" w:cs="宋体"/>
          <w:bCs/>
          <w:color w:val="auto"/>
          <w:kern w:val="2"/>
          <w:sz w:val="24"/>
          <w:szCs w:val="24"/>
          <w:highlight w:val="none"/>
          <w:lang w:val="zh-CN" w:eastAsia="zh-CN" w:bidi="ar-SA"/>
        </w:rPr>
        <w:t>由建设单位提供的</w:t>
      </w:r>
      <w:r>
        <w:rPr>
          <w:rFonts w:hint="eastAsia" w:ascii="宋体" w:hAnsi="宋体" w:cs="宋体"/>
          <w:bCs/>
          <w:color w:val="auto"/>
          <w:kern w:val="2"/>
          <w:sz w:val="24"/>
          <w:szCs w:val="24"/>
          <w:highlight w:val="none"/>
          <w:lang w:val="zh-CN" w:eastAsia="zh-CN" w:bidi="ar-SA"/>
        </w:rPr>
        <w:t>江阴职业技术学院2号楼302教室4号楼201教室改造</w:t>
      </w:r>
      <w:r>
        <w:rPr>
          <w:rFonts w:hint="eastAsia" w:ascii="宋体" w:hAnsi="宋体" w:eastAsia="宋体" w:cs="宋体"/>
          <w:bCs/>
          <w:color w:val="auto"/>
          <w:kern w:val="2"/>
          <w:sz w:val="24"/>
          <w:szCs w:val="24"/>
          <w:highlight w:val="none"/>
          <w:lang w:val="zh-CN" w:eastAsia="zh-CN" w:bidi="ar-SA"/>
        </w:rPr>
        <w:t>方案结合现场踏勘情况；</w:t>
      </w:r>
    </w:p>
    <w:p w14:paraId="56B3B7A5">
      <w:pPr>
        <w:numPr>
          <w:ilvl w:val="0"/>
          <w:numId w:val="3"/>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清单依据：</w:t>
      </w:r>
    </w:p>
    <w:p w14:paraId="1CAA367C">
      <w:pPr>
        <w:tabs>
          <w:tab w:val="left" w:pos="425"/>
        </w:tabs>
        <w:spacing w:line="440" w:lineRule="exact"/>
        <w:ind w:left="420" w:right="25" w:rightChars="12" w:firstLine="240" w:firstLineChars="100"/>
        <w:rPr>
          <w:rFonts w:ascii="宋体" w:hAnsi="宋体" w:cs="宋体"/>
          <w:bCs/>
          <w:color w:val="auto"/>
          <w:sz w:val="24"/>
          <w:highlight w:val="none"/>
        </w:rPr>
      </w:pPr>
      <w:r>
        <w:rPr>
          <w:rFonts w:hint="eastAsia" w:ascii="宋体" w:hAnsi="宋体" w:cs="宋体"/>
          <w:bCs/>
          <w:color w:val="auto"/>
          <w:sz w:val="24"/>
          <w:highlight w:val="none"/>
        </w:rPr>
        <w:t>（1）《建设工程工程量清单计价规范》（GB50500-2013）；</w:t>
      </w:r>
    </w:p>
    <w:p w14:paraId="49485A62">
      <w:pPr>
        <w:tabs>
          <w:tab w:val="left" w:pos="425"/>
        </w:tabs>
        <w:spacing w:line="440" w:lineRule="exact"/>
        <w:ind w:left="420" w:right="25" w:rightChars="12" w:firstLine="240" w:firstLineChars="100"/>
        <w:rPr>
          <w:rFonts w:ascii="宋体" w:hAnsi="宋体"/>
          <w:color w:val="auto"/>
          <w:sz w:val="24"/>
          <w:highlight w:val="none"/>
        </w:rPr>
      </w:pPr>
      <w:r>
        <w:rPr>
          <w:rFonts w:hint="eastAsia" w:ascii="宋体" w:hAnsi="宋体" w:cs="宋体"/>
          <w:bCs/>
          <w:color w:val="auto"/>
          <w:sz w:val="24"/>
          <w:highlight w:val="none"/>
        </w:rPr>
        <w:t>（2）</w:t>
      </w:r>
      <w:r>
        <w:rPr>
          <w:rFonts w:hint="eastAsia" w:ascii="宋体" w:hAnsi="宋体"/>
          <w:color w:val="auto"/>
          <w:sz w:val="24"/>
          <w:highlight w:val="none"/>
        </w:rPr>
        <w:t>《房屋建筑与装饰工程工程量计算规范》（GB50854-2013）</w:t>
      </w:r>
      <w:r>
        <w:rPr>
          <w:rFonts w:hint="eastAsia" w:ascii="宋体" w:hAnsi="宋体" w:cs="宋体"/>
          <w:color w:val="auto"/>
          <w:sz w:val="24"/>
          <w:highlight w:val="none"/>
        </w:rPr>
        <w:t>；</w:t>
      </w:r>
    </w:p>
    <w:p w14:paraId="4938F4CA">
      <w:pPr>
        <w:tabs>
          <w:tab w:val="left" w:pos="425"/>
        </w:tabs>
        <w:spacing w:line="440" w:lineRule="exact"/>
        <w:ind w:left="420" w:right="25" w:rightChars="12" w:firstLine="240" w:firstLineChars="100"/>
        <w:rPr>
          <w:rFonts w:hint="eastAsia" w:ascii="宋体" w:hAnsi="宋体" w:cs="宋体"/>
          <w:color w:val="auto"/>
          <w:kern w:val="0"/>
          <w:sz w:val="24"/>
          <w:highlight w:val="none"/>
          <w:lang w:eastAsia="zh-CN"/>
        </w:rPr>
      </w:pPr>
      <w:r>
        <w:rPr>
          <w:rFonts w:hint="eastAsia" w:ascii="宋体" w:hAnsi="宋体"/>
          <w:color w:val="auto"/>
          <w:sz w:val="24"/>
          <w:highlight w:val="none"/>
        </w:rPr>
        <w:t>（3）</w:t>
      </w:r>
      <w:r>
        <w:rPr>
          <w:rFonts w:hint="eastAsia" w:ascii="宋体" w:hAnsi="宋体" w:cs="宋体"/>
          <w:color w:val="auto"/>
          <w:kern w:val="0"/>
          <w:sz w:val="24"/>
          <w:highlight w:val="none"/>
        </w:rPr>
        <w:t>《通用安装工程工程量计算规范》（GB50856-2013）</w:t>
      </w:r>
      <w:r>
        <w:rPr>
          <w:rFonts w:hint="eastAsia" w:ascii="宋体" w:hAnsi="宋体" w:cs="宋体"/>
          <w:color w:val="auto"/>
          <w:kern w:val="0"/>
          <w:sz w:val="24"/>
          <w:highlight w:val="none"/>
          <w:lang w:eastAsia="zh-CN"/>
        </w:rPr>
        <w:t>；</w:t>
      </w:r>
    </w:p>
    <w:p w14:paraId="7DA9F7E3">
      <w:pPr>
        <w:tabs>
          <w:tab w:val="left" w:pos="425"/>
        </w:tabs>
        <w:spacing w:line="440" w:lineRule="exact"/>
        <w:ind w:left="420" w:right="25" w:rightChars="12" w:firstLine="240" w:firstLineChars="100"/>
        <w:rPr>
          <w:rFonts w:hint="eastAsia" w:ascii="宋体" w:hAnsi="宋体" w:eastAsia="宋体" w:cs="宋体"/>
          <w:color w:val="auto"/>
          <w:kern w:val="0"/>
          <w:sz w:val="24"/>
          <w:highlight w:val="none"/>
          <w:lang w:val="en-US" w:eastAsia="zh-CN"/>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hint="eastAsia" w:ascii="宋体" w:hAnsi="宋体"/>
          <w:color w:val="auto"/>
          <w:sz w:val="24"/>
          <w:szCs w:val="24"/>
          <w:highlight w:val="none"/>
        </w:rPr>
        <w:t>《市政工程工程量计算规范》（GB50857-2013）</w:t>
      </w:r>
      <w:r>
        <w:rPr>
          <w:rFonts w:hint="eastAsia" w:ascii="宋体" w:hAnsi="宋体"/>
          <w:color w:val="auto"/>
          <w:sz w:val="24"/>
          <w:szCs w:val="24"/>
          <w:highlight w:val="none"/>
          <w:lang w:eastAsia="zh-CN"/>
        </w:rPr>
        <w:t>。</w:t>
      </w:r>
    </w:p>
    <w:p w14:paraId="42229367">
      <w:pPr>
        <w:numPr>
          <w:ilvl w:val="0"/>
          <w:numId w:val="3"/>
        </w:numPr>
        <w:tabs>
          <w:tab w:val="left" w:pos="425"/>
          <w:tab w:val="clear" w:pos="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rPr>
        <w:t>政策性文件：</w:t>
      </w:r>
    </w:p>
    <w:p w14:paraId="0444C6C7">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（1）</w:t>
      </w:r>
      <w:r>
        <w:rPr>
          <w:rFonts w:hint="eastAsia" w:ascii="宋体" w:hAnsi="宋体" w:cs="宋体"/>
          <w:bCs/>
          <w:color w:val="auto"/>
          <w:sz w:val="24"/>
          <w:highlight w:val="none"/>
          <w:lang w:val="zh-CN"/>
        </w:rPr>
        <w:t>本工程按锡建建市【2019】7号文有关增值税计价政策进行调整；</w:t>
      </w:r>
    </w:p>
    <w:p w14:paraId="400A2506">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（2）</w:t>
      </w:r>
      <w:r>
        <w:rPr>
          <w:rFonts w:hint="eastAsia" w:ascii="宋体" w:hAnsi="宋体" w:cs="宋体"/>
          <w:bCs/>
          <w:color w:val="auto"/>
          <w:sz w:val="24"/>
          <w:highlight w:val="none"/>
          <w:lang w:val="zh-CN"/>
        </w:rPr>
        <w:t>本工程按锡建建市【2018】17号文计算扬尘污染防治增加费；</w:t>
      </w:r>
    </w:p>
    <w:p w14:paraId="0D080C7A">
      <w:pPr>
        <w:numPr>
          <w:ilvl w:val="0"/>
          <w:numId w:val="3"/>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施工规范按照现行的施工规范和操作规程；</w:t>
      </w:r>
    </w:p>
    <w:p w14:paraId="0CF92248">
      <w:pPr>
        <w:numPr>
          <w:ilvl w:val="0"/>
          <w:numId w:val="3"/>
        </w:numPr>
        <w:tabs>
          <w:tab w:val="left" w:pos="42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本工程量清单应与招标文件、投标须知、工程规范、清单计价规范及相关文件等一起使用。</w:t>
      </w:r>
    </w:p>
    <w:p w14:paraId="2EEF825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工程类别：</w:t>
      </w:r>
      <w:r>
        <w:rPr>
          <w:rFonts w:hint="eastAsia" w:ascii="宋体" w:hAnsi="宋体" w:cs="宋体"/>
          <w:b w:val="0"/>
          <w:bCs/>
          <w:color w:val="auto"/>
          <w:sz w:val="24"/>
          <w:highlight w:val="none"/>
          <w:lang w:val="en-US" w:eastAsia="zh-CN"/>
        </w:rPr>
        <w:t>装饰工程</w:t>
      </w:r>
    </w:p>
    <w:p w14:paraId="04CB8FC5">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工程质量要求：</w:t>
      </w:r>
      <w:r>
        <w:rPr>
          <w:rFonts w:hint="eastAsia" w:asciiTheme="minorEastAsia" w:hAnsiTheme="minorEastAsia" w:eastAsiaTheme="minorEastAsia" w:cstheme="minorEastAsia"/>
          <w:b/>
          <w:bCs/>
          <w:color w:val="auto"/>
          <w:sz w:val="24"/>
          <w:szCs w:val="24"/>
          <w:highlight w:val="none"/>
        </w:rPr>
        <w:t>按招标文件</w:t>
      </w:r>
    </w:p>
    <w:p w14:paraId="63606A14">
      <w:pPr>
        <w:numPr>
          <w:ilvl w:val="0"/>
          <w:numId w:val="1"/>
        </w:numPr>
        <w:snapToGrid w:val="0"/>
        <w:spacing w:line="440" w:lineRule="atLeast"/>
        <w:rPr>
          <w:rFonts w:hint="eastAsia" w:ascii="宋体" w:hAnsi="宋体" w:cs="宋体"/>
          <w:bCs/>
          <w:color w:val="auto"/>
          <w:sz w:val="24"/>
          <w:highlight w:val="none"/>
          <w:lang w:val="zh-CN"/>
        </w:rPr>
      </w:pPr>
      <w:r>
        <w:rPr>
          <w:rFonts w:hint="eastAsia" w:ascii="宋体" w:hAnsi="宋体" w:cs="宋体"/>
          <w:b/>
          <w:color w:val="auto"/>
          <w:sz w:val="24"/>
          <w:highlight w:val="none"/>
          <w:lang w:val="zh-CN"/>
        </w:rPr>
        <w:t>工期要求：</w:t>
      </w:r>
      <w:r>
        <w:rPr>
          <w:rFonts w:hint="eastAsia" w:asciiTheme="minorEastAsia" w:hAnsiTheme="minorEastAsia" w:eastAsiaTheme="minorEastAsia" w:cstheme="minorEastAsia"/>
          <w:b/>
          <w:bCs/>
          <w:color w:val="auto"/>
          <w:sz w:val="24"/>
          <w:szCs w:val="24"/>
          <w:highlight w:val="none"/>
          <w:lang w:val="zh-CN"/>
        </w:rPr>
        <w:t>按招标文件</w:t>
      </w:r>
    </w:p>
    <w:p w14:paraId="012D37CA">
      <w:pPr>
        <w:widowControl w:val="0"/>
        <w:numPr>
          <w:ilvl w:val="0"/>
          <w:numId w:val="0"/>
        </w:numPr>
        <w:tabs>
          <w:tab w:val="left" w:pos="425"/>
        </w:tabs>
        <w:snapToGrid w:val="0"/>
        <w:spacing w:line="440" w:lineRule="atLeast"/>
        <w:jc w:val="both"/>
        <w:rPr>
          <w:rFonts w:hint="eastAsia" w:asciiTheme="minorEastAsia" w:hAnsiTheme="minorEastAsia" w:eastAsiaTheme="minorEastAsia" w:cstheme="minorEastAsia"/>
          <w:b/>
          <w:bCs/>
          <w:color w:val="auto"/>
          <w:sz w:val="24"/>
          <w:szCs w:val="24"/>
          <w:highlight w:val="none"/>
          <w:lang w:val="zh-CN"/>
        </w:rPr>
      </w:pPr>
    </w:p>
    <w:p w14:paraId="084DDA9C">
      <w:pPr>
        <w:widowControl w:val="0"/>
        <w:numPr>
          <w:ilvl w:val="0"/>
          <w:numId w:val="0"/>
        </w:numPr>
        <w:tabs>
          <w:tab w:val="left" w:pos="425"/>
        </w:tabs>
        <w:snapToGrid w:val="0"/>
        <w:spacing w:line="440" w:lineRule="atLeast"/>
        <w:jc w:val="both"/>
        <w:rPr>
          <w:rFonts w:hint="eastAsia" w:asciiTheme="minorEastAsia" w:hAnsiTheme="minorEastAsia" w:eastAsiaTheme="minorEastAsia" w:cstheme="minorEastAsia"/>
          <w:b/>
          <w:bCs/>
          <w:color w:val="auto"/>
          <w:sz w:val="24"/>
          <w:szCs w:val="24"/>
          <w:highlight w:val="none"/>
          <w:lang w:val="zh-CN"/>
        </w:rPr>
      </w:pPr>
    </w:p>
    <w:tbl>
      <w:tblPr>
        <w:tblStyle w:val="10"/>
        <w:tblpPr w:leftFromText="180" w:rightFromText="180" w:vertAnchor="text" w:horzAnchor="page" w:tblpX="1062" w:tblpY="651"/>
        <w:tblOverlap w:val="never"/>
        <w:tblW w:w="0" w:type="auto"/>
        <w:tblInd w:w="0" w:type="dxa"/>
        <w:tblLayout w:type="fixed"/>
        <w:tblCellMar>
          <w:top w:w="0" w:type="dxa"/>
          <w:left w:w="108" w:type="dxa"/>
          <w:bottom w:w="0" w:type="dxa"/>
          <w:right w:w="108" w:type="dxa"/>
        </w:tblCellMar>
      </w:tblPr>
      <w:tblGrid>
        <w:gridCol w:w="1701"/>
        <w:gridCol w:w="993"/>
        <w:gridCol w:w="1134"/>
        <w:gridCol w:w="1134"/>
        <w:gridCol w:w="1134"/>
        <w:gridCol w:w="850"/>
        <w:gridCol w:w="851"/>
        <w:gridCol w:w="850"/>
        <w:gridCol w:w="1512"/>
      </w:tblGrid>
      <w:tr w14:paraId="2BA35F37">
        <w:tblPrEx>
          <w:tblCellMar>
            <w:top w:w="0" w:type="dxa"/>
            <w:left w:w="108" w:type="dxa"/>
            <w:bottom w:w="0" w:type="dxa"/>
            <w:right w:w="108" w:type="dxa"/>
          </w:tblCellMar>
        </w:tblPrEx>
        <w:trPr>
          <w:trHeight w:val="495" w:hRule="atLeast"/>
        </w:trPr>
        <w:tc>
          <w:tcPr>
            <w:tcW w:w="1701"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0C27708">
            <w:pPr>
              <w:widowControl/>
              <w:jc w:val="center"/>
              <w:rPr>
                <w:rFonts w:ascii="宋体" w:cs="宋体"/>
                <w:color w:val="auto"/>
                <w:kern w:val="0"/>
                <w:szCs w:val="21"/>
                <w:highlight w:val="none"/>
              </w:rPr>
            </w:pPr>
            <w:r>
              <w:rPr>
                <w:rFonts w:hint="eastAsia" w:ascii="宋体" w:hAnsi="宋体" w:cs="宋体"/>
                <w:color w:val="auto"/>
                <w:kern w:val="0"/>
                <w:szCs w:val="21"/>
                <w:highlight w:val="none"/>
              </w:rPr>
              <w:t>序号</w:t>
            </w:r>
          </w:p>
        </w:tc>
        <w:tc>
          <w:tcPr>
            <w:tcW w:w="3261" w:type="dxa"/>
            <w:gridSpan w:val="3"/>
            <w:tcBorders>
              <w:top w:val="single" w:color="auto" w:sz="8" w:space="0"/>
              <w:left w:val="single" w:color="auto" w:sz="8" w:space="0"/>
              <w:bottom w:val="single" w:color="auto" w:sz="8" w:space="0"/>
              <w:right w:val="single" w:color="auto" w:sz="8" w:space="0"/>
            </w:tcBorders>
            <w:shd w:val="clear" w:color="auto" w:fill="E6E6E6"/>
            <w:noWrap/>
            <w:vAlign w:val="center"/>
          </w:tcPr>
          <w:p w14:paraId="52CB19DA">
            <w:pPr>
              <w:widowControl/>
              <w:jc w:val="center"/>
              <w:rPr>
                <w:rFonts w:ascii="宋体" w:cs="宋体"/>
                <w:color w:val="auto"/>
                <w:kern w:val="0"/>
                <w:szCs w:val="21"/>
                <w:highlight w:val="none"/>
              </w:rPr>
            </w:pPr>
            <w:r>
              <w:rPr>
                <w:rFonts w:hint="eastAsia" w:ascii="宋体" w:hAnsi="宋体" w:cs="宋体"/>
                <w:color w:val="auto"/>
                <w:kern w:val="0"/>
                <w:szCs w:val="21"/>
                <w:highlight w:val="none"/>
              </w:rPr>
              <w:t>一</w:t>
            </w:r>
          </w:p>
        </w:tc>
        <w:tc>
          <w:tcPr>
            <w:tcW w:w="1134"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70D3433">
            <w:pPr>
              <w:widowControl/>
              <w:jc w:val="center"/>
              <w:rPr>
                <w:rFonts w:ascii="宋体" w:cs="宋体"/>
                <w:color w:val="auto"/>
                <w:kern w:val="0"/>
                <w:szCs w:val="21"/>
                <w:highlight w:val="none"/>
              </w:rPr>
            </w:pPr>
            <w:r>
              <w:rPr>
                <w:rFonts w:hint="eastAsia" w:ascii="宋体" w:hAnsi="宋体" w:cs="宋体"/>
                <w:color w:val="auto"/>
                <w:kern w:val="0"/>
                <w:szCs w:val="21"/>
                <w:highlight w:val="none"/>
              </w:rPr>
              <w:t>二</w:t>
            </w:r>
          </w:p>
        </w:tc>
        <w:tc>
          <w:tcPr>
            <w:tcW w:w="2551" w:type="dxa"/>
            <w:gridSpan w:val="3"/>
            <w:tcBorders>
              <w:top w:val="single" w:color="auto" w:sz="8" w:space="0"/>
              <w:left w:val="single" w:color="auto" w:sz="8" w:space="0"/>
              <w:bottom w:val="single" w:color="auto" w:sz="8" w:space="0"/>
              <w:right w:val="single" w:color="auto" w:sz="8" w:space="0"/>
            </w:tcBorders>
            <w:shd w:val="clear" w:color="auto" w:fill="E6E6E6"/>
            <w:noWrap/>
            <w:vAlign w:val="center"/>
          </w:tcPr>
          <w:p w14:paraId="34732C5A">
            <w:pPr>
              <w:widowControl/>
              <w:jc w:val="center"/>
              <w:rPr>
                <w:rFonts w:ascii="宋体" w:cs="宋体"/>
                <w:color w:val="auto"/>
                <w:kern w:val="0"/>
                <w:szCs w:val="21"/>
                <w:highlight w:val="none"/>
              </w:rPr>
            </w:pPr>
            <w:r>
              <w:rPr>
                <w:rFonts w:ascii="宋体" w:cs="宋体"/>
                <w:color w:val="auto"/>
                <w:kern w:val="0"/>
                <w:szCs w:val="21"/>
                <w:highlight w:val="none"/>
              </w:rPr>
              <w:t>三</w:t>
            </w:r>
          </w:p>
        </w:tc>
        <w:tc>
          <w:tcPr>
            <w:tcW w:w="1512"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E126EBC">
            <w:pPr>
              <w:widowControl/>
              <w:jc w:val="center"/>
              <w:rPr>
                <w:rFonts w:ascii="宋体" w:cs="宋体"/>
                <w:color w:val="auto"/>
                <w:kern w:val="0"/>
                <w:szCs w:val="21"/>
                <w:highlight w:val="none"/>
              </w:rPr>
            </w:pPr>
            <w:r>
              <w:rPr>
                <w:rFonts w:hint="eastAsia" w:ascii="宋体" w:hAnsi="宋体" w:cs="宋体"/>
                <w:color w:val="auto"/>
                <w:kern w:val="0"/>
                <w:szCs w:val="21"/>
                <w:highlight w:val="none"/>
              </w:rPr>
              <w:t>四</w:t>
            </w:r>
          </w:p>
        </w:tc>
      </w:tr>
      <w:tr w14:paraId="1B1D6B2C">
        <w:tblPrEx>
          <w:tblCellMar>
            <w:top w:w="0" w:type="dxa"/>
            <w:left w:w="108" w:type="dxa"/>
            <w:bottom w:w="0" w:type="dxa"/>
            <w:right w:w="108" w:type="dxa"/>
          </w:tblCellMar>
        </w:tblPrEx>
        <w:trPr>
          <w:trHeight w:val="355" w:hRule="atLeast"/>
        </w:trPr>
        <w:tc>
          <w:tcPr>
            <w:tcW w:w="1701" w:type="dxa"/>
            <w:vMerge w:val="restart"/>
            <w:tcBorders>
              <w:top w:val="single" w:color="auto" w:sz="8" w:space="0"/>
              <w:left w:val="single" w:color="auto" w:sz="8" w:space="0"/>
              <w:bottom w:val="single" w:color="auto" w:sz="8" w:space="0"/>
              <w:right w:val="single" w:color="auto" w:sz="8" w:space="0"/>
            </w:tcBorders>
            <w:noWrap/>
            <w:vAlign w:val="center"/>
          </w:tcPr>
          <w:p w14:paraId="225ED2B4">
            <w:pPr>
              <w:widowControl/>
              <w:jc w:val="center"/>
              <w:rPr>
                <w:rFonts w:ascii="宋体" w:cs="宋体"/>
                <w:color w:val="auto"/>
                <w:kern w:val="0"/>
                <w:szCs w:val="21"/>
                <w:highlight w:val="none"/>
              </w:rPr>
            </w:pPr>
            <w:r>
              <w:rPr>
                <w:rFonts w:hint="eastAsia" w:ascii="宋体" w:hAnsi="宋体" w:cs="宋体"/>
                <w:color w:val="auto"/>
                <w:kern w:val="0"/>
                <w:szCs w:val="21"/>
                <w:highlight w:val="none"/>
              </w:rPr>
              <w:t>费用名称</w:t>
            </w:r>
          </w:p>
        </w:tc>
        <w:tc>
          <w:tcPr>
            <w:tcW w:w="3261" w:type="dxa"/>
            <w:gridSpan w:val="3"/>
            <w:tcBorders>
              <w:top w:val="single" w:color="auto" w:sz="8" w:space="0"/>
              <w:left w:val="single" w:color="auto" w:sz="8" w:space="0"/>
              <w:bottom w:val="single" w:color="auto" w:sz="8" w:space="0"/>
              <w:right w:val="single" w:color="auto" w:sz="8" w:space="0"/>
            </w:tcBorders>
            <w:noWrap/>
            <w:vAlign w:val="center"/>
          </w:tcPr>
          <w:p w14:paraId="3AE7AD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现场安全文明施工费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BF49564">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35628403">
            <w:pPr>
              <w:widowControl/>
              <w:jc w:val="center"/>
              <w:rPr>
                <w:rFonts w:ascii="宋体" w:cs="宋体"/>
                <w:color w:val="auto"/>
                <w:kern w:val="0"/>
                <w:sz w:val="18"/>
                <w:szCs w:val="18"/>
                <w:highlight w:val="none"/>
              </w:rPr>
            </w:pPr>
            <w:r>
              <w:rPr>
                <w:rFonts w:ascii="宋体" w:cs="宋体"/>
                <w:color w:val="auto"/>
                <w:kern w:val="0"/>
                <w:sz w:val="18"/>
                <w:szCs w:val="18"/>
                <w:highlight w:val="none"/>
              </w:rPr>
              <w:t>规费</w:t>
            </w:r>
          </w:p>
        </w:tc>
        <w:tc>
          <w:tcPr>
            <w:tcW w:w="1512" w:type="dxa"/>
            <w:vMerge w:val="restart"/>
            <w:tcBorders>
              <w:top w:val="single" w:color="auto" w:sz="8" w:space="0"/>
              <w:left w:val="single" w:color="auto" w:sz="8" w:space="0"/>
              <w:bottom w:val="single" w:color="auto" w:sz="8" w:space="0"/>
              <w:right w:val="single" w:color="auto" w:sz="8" w:space="0"/>
            </w:tcBorders>
            <w:noWrap/>
            <w:vAlign w:val="center"/>
          </w:tcPr>
          <w:p w14:paraId="3F67257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税金</w:t>
            </w:r>
          </w:p>
        </w:tc>
      </w:tr>
      <w:tr w14:paraId="5622F5F4">
        <w:tblPrEx>
          <w:tblCellMar>
            <w:top w:w="0" w:type="dxa"/>
            <w:left w:w="108" w:type="dxa"/>
            <w:bottom w:w="0" w:type="dxa"/>
            <w:right w:w="108" w:type="dxa"/>
          </w:tblCellMar>
        </w:tblPrEx>
        <w:trPr>
          <w:trHeight w:val="540" w:hRule="atLeast"/>
        </w:trPr>
        <w:tc>
          <w:tcPr>
            <w:tcW w:w="1701" w:type="dxa"/>
            <w:vMerge w:val="continue"/>
            <w:tcBorders>
              <w:top w:val="single" w:color="auto" w:sz="8" w:space="0"/>
              <w:left w:val="single" w:color="auto" w:sz="8" w:space="0"/>
              <w:bottom w:val="single" w:color="auto" w:sz="8" w:space="0"/>
              <w:right w:val="single" w:color="auto" w:sz="8" w:space="0"/>
            </w:tcBorders>
            <w:noWrap/>
            <w:vAlign w:val="center"/>
          </w:tcPr>
          <w:p w14:paraId="273987D5">
            <w:pPr>
              <w:widowControl/>
              <w:jc w:val="left"/>
              <w:rPr>
                <w:rFonts w:ascii="宋体" w:cs="宋体"/>
                <w:color w:val="auto"/>
                <w:kern w:val="0"/>
                <w:szCs w:val="21"/>
                <w:highlight w:val="none"/>
              </w:rPr>
            </w:pPr>
          </w:p>
        </w:tc>
        <w:tc>
          <w:tcPr>
            <w:tcW w:w="993" w:type="dxa"/>
            <w:tcBorders>
              <w:top w:val="single" w:color="auto" w:sz="8" w:space="0"/>
              <w:left w:val="single" w:color="auto" w:sz="8" w:space="0"/>
              <w:bottom w:val="single" w:color="auto" w:sz="8" w:space="0"/>
              <w:right w:val="single" w:color="auto" w:sz="8" w:space="0"/>
            </w:tcBorders>
            <w:noWrap/>
            <w:vAlign w:val="center"/>
          </w:tcPr>
          <w:p w14:paraId="6372C83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基本费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C260F2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省级标化增加费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14D5445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扬尘污染防治增加费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3E1102B2">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850" w:type="dxa"/>
            <w:tcBorders>
              <w:top w:val="single" w:color="auto" w:sz="8" w:space="0"/>
              <w:left w:val="single" w:color="auto" w:sz="8" w:space="0"/>
              <w:bottom w:val="single" w:color="auto" w:sz="8" w:space="0"/>
              <w:right w:val="single" w:color="auto" w:sz="8" w:space="0"/>
            </w:tcBorders>
            <w:noWrap/>
            <w:vAlign w:val="center"/>
          </w:tcPr>
          <w:p w14:paraId="7237CAC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社会保险费</w:t>
            </w:r>
          </w:p>
        </w:tc>
        <w:tc>
          <w:tcPr>
            <w:tcW w:w="851" w:type="dxa"/>
            <w:tcBorders>
              <w:top w:val="single" w:color="auto" w:sz="8" w:space="0"/>
              <w:left w:val="single" w:color="auto" w:sz="8" w:space="0"/>
              <w:bottom w:val="single" w:color="auto" w:sz="8" w:space="0"/>
              <w:right w:val="single" w:color="auto" w:sz="8" w:space="0"/>
            </w:tcBorders>
            <w:noWrap/>
            <w:vAlign w:val="center"/>
          </w:tcPr>
          <w:p w14:paraId="250FA05C">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住房公积金</w:t>
            </w:r>
          </w:p>
        </w:tc>
        <w:tc>
          <w:tcPr>
            <w:tcW w:w="850" w:type="dxa"/>
            <w:tcBorders>
              <w:top w:val="single" w:color="auto" w:sz="8" w:space="0"/>
              <w:left w:val="single" w:color="auto" w:sz="8" w:space="0"/>
              <w:bottom w:val="single" w:color="auto" w:sz="8" w:space="0"/>
              <w:right w:val="single" w:color="auto" w:sz="8" w:space="0"/>
            </w:tcBorders>
            <w:noWrap/>
            <w:vAlign w:val="center"/>
          </w:tcPr>
          <w:p w14:paraId="57A27B0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环境保护税</w:t>
            </w: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0B920115">
            <w:pPr>
              <w:widowControl/>
              <w:jc w:val="left"/>
              <w:rPr>
                <w:rFonts w:ascii="宋体" w:cs="宋体"/>
                <w:color w:val="auto"/>
                <w:kern w:val="0"/>
                <w:sz w:val="18"/>
                <w:szCs w:val="18"/>
                <w:highlight w:val="none"/>
              </w:rPr>
            </w:pPr>
          </w:p>
        </w:tc>
      </w:tr>
      <w:tr w14:paraId="514551B4">
        <w:tblPrEx>
          <w:tblCellMar>
            <w:top w:w="0" w:type="dxa"/>
            <w:left w:w="108" w:type="dxa"/>
            <w:bottom w:w="0" w:type="dxa"/>
            <w:right w:w="108" w:type="dxa"/>
          </w:tblCellMar>
        </w:tblPrEx>
        <w:trPr>
          <w:trHeight w:val="1395"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0DF94FB4">
            <w:pPr>
              <w:widowControl/>
              <w:jc w:val="center"/>
              <w:rPr>
                <w:rFonts w:ascii="宋体" w:cs="宋体"/>
                <w:color w:val="auto"/>
                <w:kern w:val="0"/>
                <w:szCs w:val="21"/>
                <w:highlight w:val="none"/>
              </w:rPr>
            </w:pPr>
            <w:r>
              <w:rPr>
                <w:rFonts w:hint="eastAsia" w:ascii="宋体" w:hAnsi="宋体" w:cs="宋体"/>
                <w:color w:val="auto"/>
                <w:kern w:val="0"/>
                <w:szCs w:val="21"/>
                <w:highlight w:val="none"/>
              </w:rPr>
              <w:t>计算基础</w:t>
            </w:r>
          </w:p>
        </w:tc>
        <w:tc>
          <w:tcPr>
            <w:tcW w:w="4395" w:type="dxa"/>
            <w:gridSpan w:val="4"/>
            <w:tcBorders>
              <w:top w:val="single" w:color="auto" w:sz="8" w:space="0"/>
              <w:left w:val="single" w:color="auto" w:sz="8" w:space="0"/>
              <w:bottom w:val="single" w:color="auto" w:sz="8" w:space="0"/>
              <w:right w:val="single" w:color="auto" w:sz="8" w:space="0"/>
            </w:tcBorders>
            <w:noWrap/>
            <w:vAlign w:val="center"/>
          </w:tcPr>
          <w:p w14:paraId="72E53B7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分部分项合计+单价措施项目合计</w:t>
            </w:r>
            <w:r>
              <w:rPr>
                <w:rFonts w:hint="eastAsia" w:ascii="宋体" w:hAnsi="宋体" w:cs="宋体"/>
                <w:color w:val="auto"/>
                <w:kern w:val="0"/>
                <w:sz w:val="18"/>
                <w:szCs w:val="18"/>
                <w:highlight w:val="none"/>
              </w:rPr>
              <w:t>-除税工程设备费</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61231C3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w:t>
            </w:r>
            <w:r>
              <w:rPr>
                <w:rFonts w:hint="eastAsia" w:ascii="宋体" w:hAnsi="宋体" w:cs="宋体"/>
                <w:color w:val="auto"/>
                <w:kern w:val="0"/>
                <w:sz w:val="18"/>
                <w:szCs w:val="18"/>
                <w:highlight w:val="none"/>
              </w:rPr>
              <w:t>-除税工程设备费</w:t>
            </w:r>
          </w:p>
        </w:tc>
        <w:tc>
          <w:tcPr>
            <w:tcW w:w="1512" w:type="dxa"/>
            <w:tcBorders>
              <w:top w:val="single" w:color="auto" w:sz="8" w:space="0"/>
              <w:left w:val="single" w:color="auto" w:sz="8" w:space="0"/>
              <w:bottom w:val="single" w:color="auto" w:sz="8" w:space="0"/>
              <w:right w:val="single" w:color="auto" w:sz="8" w:space="0"/>
            </w:tcBorders>
            <w:noWrap/>
            <w:vAlign w:val="center"/>
          </w:tcPr>
          <w:p w14:paraId="1214B4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分部分项工程费+措施项目费+其他项目费+规费+税金</w:t>
            </w:r>
            <w:r>
              <w:rPr>
                <w:rFonts w:hint="eastAsia" w:ascii="宋体" w:hAnsi="宋体" w:cs="宋体"/>
                <w:color w:val="auto"/>
                <w:kern w:val="0"/>
                <w:sz w:val="18"/>
                <w:szCs w:val="18"/>
                <w:highlight w:val="none"/>
              </w:rPr>
              <w:t>-除税甲供材料和甲供设备费/1.01</w:t>
            </w:r>
          </w:p>
        </w:tc>
      </w:tr>
      <w:tr w14:paraId="210B5024">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7D586E35">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lang w:val="en-US" w:eastAsia="zh-CN"/>
              </w:rPr>
              <w:t>装饰工程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4CA458C5">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w:t>
            </w:r>
            <w:r>
              <w:rPr>
                <w:rFonts w:hint="eastAsia" w:ascii="宋体" w:cs="宋体"/>
                <w:color w:val="auto"/>
                <w:kern w:val="0"/>
                <w:sz w:val="18"/>
                <w:szCs w:val="18"/>
                <w:highlight w:val="none"/>
                <w:lang w:val="en-US" w:eastAsia="zh-CN"/>
              </w:rPr>
              <w:t>7</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right w:val="single" w:color="auto" w:sz="8" w:space="0"/>
            </w:tcBorders>
            <w:noWrap/>
            <w:vAlign w:val="center"/>
          </w:tcPr>
          <w:p w14:paraId="76E7505F">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134" w:type="dxa"/>
            <w:tcBorders>
              <w:top w:val="single" w:color="auto" w:sz="8" w:space="0"/>
              <w:left w:val="single" w:color="auto" w:sz="8" w:space="0"/>
              <w:bottom w:val="single" w:color="auto" w:sz="8" w:space="0"/>
              <w:right w:val="single" w:color="auto" w:sz="8" w:space="0"/>
            </w:tcBorders>
            <w:noWrap/>
            <w:vAlign w:val="center"/>
          </w:tcPr>
          <w:p w14:paraId="382C0D60">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22</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right w:val="single" w:color="auto" w:sz="8" w:space="0"/>
            </w:tcBorders>
            <w:noWrap/>
            <w:vAlign w:val="center"/>
          </w:tcPr>
          <w:p w14:paraId="5813DC43">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850" w:type="dxa"/>
            <w:tcBorders>
              <w:top w:val="single" w:color="auto" w:sz="8" w:space="0"/>
              <w:left w:val="single" w:color="auto" w:sz="8" w:space="0"/>
              <w:bottom w:val="single" w:color="auto" w:sz="8" w:space="0"/>
              <w:right w:val="single" w:color="auto" w:sz="8" w:space="0"/>
            </w:tcBorders>
            <w:noWrap/>
            <w:vAlign w:val="center"/>
          </w:tcPr>
          <w:p w14:paraId="49B30112">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2.4</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7C6AA226">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42</w:t>
            </w:r>
            <w:r>
              <w:rPr>
                <w:rFonts w:hint="eastAsia" w:ascii="宋体" w:cs="宋体"/>
                <w:color w:val="auto"/>
                <w:kern w:val="0"/>
                <w:sz w:val="18"/>
                <w:szCs w:val="18"/>
                <w:highlight w:val="none"/>
              </w:rPr>
              <w:t>%</w:t>
            </w:r>
          </w:p>
        </w:tc>
        <w:tc>
          <w:tcPr>
            <w:tcW w:w="850" w:type="dxa"/>
            <w:vMerge w:val="restart"/>
            <w:tcBorders>
              <w:top w:val="single" w:color="auto" w:sz="8" w:space="0"/>
              <w:left w:val="single" w:color="auto" w:sz="8" w:space="0"/>
              <w:right w:val="single" w:color="auto" w:sz="8" w:space="0"/>
            </w:tcBorders>
            <w:noWrap/>
            <w:vAlign w:val="center"/>
          </w:tcPr>
          <w:p w14:paraId="2F0AE217">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512" w:type="dxa"/>
            <w:vMerge w:val="restart"/>
            <w:tcBorders>
              <w:top w:val="single" w:color="auto" w:sz="8" w:space="0"/>
              <w:left w:val="single" w:color="auto" w:sz="8" w:space="0"/>
              <w:right w:val="single" w:color="auto" w:sz="8" w:space="0"/>
            </w:tcBorders>
            <w:noWrap/>
            <w:vAlign w:val="center"/>
          </w:tcPr>
          <w:p w14:paraId="3A0A80EB">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9%</w:t>
            </w:r>
          </w:p>
        </w:tc>
      </w:tr>
      <w:tr w14:paraId="106B8EE1">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5EAF4D83">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rPr>
              <w:t>安装工程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6C37BE16">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1.5%</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5F1B7D2B">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68B5CB71">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0.21%</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74F6D9B4">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0A90B022">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2.4%</w:t>
            </w:r>
          </w:p>
        </w:tc>
        <w:tc>
          <w:tcPr>
            <w:tcW w:w="851" w:type="dxa"/>
            <w:tcBorders>
              <w:top w:val="single" w:color="auto" w:sz="8" w:space="0"/>
              <w:left w:val="single" w:color="auto" w:sz="8" w:space="0"/>
              <w:bottom w:val="single" w:color="auto" w:sz="8" w:space="0"/>
              <w:right w:val="single" w:color="auto" w:sz="8" w:space="0"/>
            </w:tcBorders>
            <w:noWrap/>
            <w:vAlign w:val="center"/>
          </w:tcPr>
          <w:p w14:paraId="620C4A5E">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0.42%</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5200C3DF">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5D608189">
            <w:pPr>
              <w:widowControl/>
              <w:spacing w:line="360" w:lineRule="auto"/>
              <w:jc w:val="center"/>
              <w:rPr>
                <w:rFonts w:hint="eastAsia" w:ascii="宋体" w:cs="宋体"/>
                <w:color w:val="auto"/>
                <w:kern w:val="0"/>
                <w:sz w:val="18"/>
                <w:szCs w:val="18"/>
                <w:highlight w:val="none"/>
                <w:lang w:val="en-US" w:eastAsia="zh-CN"/>
              </w:rPr>
            </w:pPr>
          </w:p>
        </w:tc>
      </w:tr>
    </w:tbl>
    <w:p w14:paraId="5EDEA454">
      <w:pPr>
        <w:numPr>
          <w:ilvl w:val="0"/>
          <w:numId w:val="1"/>
        </w:numPr>
        <w:snapToGrid w:val="0"/>
        <w:spacing w:line="440" w:lineRule="atLeast"/>
        <w:rPr>
          <w:rFonts w:ascii="宋体" w:hAnsi="宋体" w:cs="宋体"/>
          <w:b/>
          <w:color w:val="auto"/>
          <w:sz w:val="28"/>
          <w:szCs w:val="28"/>
          <w:highlight w:val="none"/>
          <w:lang w:val="zh-CN"/>
        </w:rPr>
      </w:pPr>
      <w:r>
        <w:rPr>
          <w:rFonts w:hint="eastAsia" w:ascii="宋体" w:hAnsi="宋体" w:cs="宋体"/>
          <w:b/>
          <w:color w:val="auto"/>
          <w:sz w:val="24"/>
          <w:highlight w:val="none"/>
          <w:lang w:val="zh-CN"/>
        </w:rPr>
        <w:t>不可竞争费：现场安全文明施工费、规费、税金为不可竞争费，取费标准如下表：</w:t>
      </w:r>
    </w:p>
    <w:p w14:paraId="12AD97BD">
      <w:pPr>
        <w:pStyle w:val="5"/>
        <w:spacing w:line="360" w:lineRule="auto"/>
        <w:ind w:firstLine="422" w:firstLineChars="200"/>
        <w:rPr>
          <w:rFonts w:ascii="宋体" w:hAnsi="宋体" w:cs="宋体"/>
          <w:b/>
          <w:color w:val="auto"/>
          <w:szCs w:val="21"/>
          <w:highlight w:val="none"/>
          <w:lang w:val="zh-CN"/>
        </w:rPr>
      </w:pPr>
      <w:r>
        <w:rPr>
          <w:rFonts w:hint="eastAsia" w:ascii="宋体" w:hAnsi="宋体" w:cs="Courier New"/>
          <w:b/>
          <w:color w:val="auto"/>
          <w:szCs w:val="21"/>
          <w:highlight w:val="none"/>
        </w:rPr>
        <w:t>注1：安全文明施工费的标化工地增加费和扬尘污染防治增加费、按质论价费按有关文件考评后给予结算，招标时作为不可竞争费计入报价。注2：本工程按一般计税法计算。</w:t>
      </w:r>
    </w:p>
    <w:p w14:paraId="7106BE89">
      <w:pPr>
        <w:numPr>
          <w:ilvl w:val="0"/>
          <w:numId w:val="1"/>
        </w:numPr>
        <w:snapToGrid w:val="0"/>
        <w:spacing w:line="440" w:lineRule="atLeast"/>
        <w:rPr>
          <w:rFonts w:ascii="宋体" w:hAnsi="宋体" w:cs="宋体"/>
          <w:b/>
          <w:color w:val="auto"/>
          <w:sz w:val="24"/>
          <w:highlight w:val="none"/>
        </w:rPr>
      </w:pPr>
      <w:r>
        <w:rPr>
          <w:rFonts w:hint="eastAsia" w:ascii="宋体" w:hAnsi="宋体" w:cs="宋体"/>
          <w:b/>
          <w:color w:val="auto"/>
          <w:sz w:val="24"/>
          <w:highlight w:val="none"/>
          <w:lang w:val="zh-CN"/>
        </w:rPr>
        <w:t>其他说明：</w:t>
      </w:r>
    </w:p>
    <w:p w14:paraId="4199AFE4">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清单内施工做法均由建设单位确认，施工时需严格执行；</w:t>
      </w:r>
    </w:p>
    <w:p w14:paraId="25DFE5A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施工前需与建设单位明确具体施工范围，若由施工单位盲目施工造成的工程量/工序增加，相关费用由施工单位自行承担，后续不予结算；</w:t>
      </w:r>
    </w:p>
    <w:p w14:paraId="195A84D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施工时需做好工序配套的成品保护（如室外涂料施工时的地面保护、门窗部位成品保护等），由于保护不到位造成的翻修、清理等费用由施工单位自行承担，后续不予结算；</w:t>
      </w:r>
    </w:p>
    <w:p w14:paraId="20CB7B4E">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rPr>
        <w:t>水电费（包括柴油发电机的使用费用）、因投标人导致的施工降效费、安全文明施工费、临时设施费、夜间施工费、赶工措施、冬雨季施工、二次搬运费、施工措施费、材料垂直及水平运输所需人工费机械费等费用计入总价中，为本工程的施工过程和维护而发生的全过程所有费用，并考虑了明示或暗示的所有责任、义务、风险因素涉及的费用。招标人不再另行支付其他费用。综合单价合同有效期内不予调整，结算时工程量按实结算。</w:t>
      </w:r>
    </w:p>
    <w:p w14:paraId="00FB3ABC">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施工场地及弃土区必须采取扬尘污染防治措施及抛洒滴漏防治措施，必须符合当地的有关规定，由此产生的费用各投标单位综合考虑计入相应的投标报价；</w:t>
      </w:r>
    </w:p>
    <w:p w14:paraId="448FC85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对于成品构件的运输（如钢构件等）需综合考虑在投标报价中，结算清单报价单价不作调整</w:t>
      </w:r>
      <w:r>
        <w:rPr>
          <w:rFonts w:hint="eastAsia" w:ascii="宋体" w:hAnsi="宋体"/>
          <w:color w:val="auto"/>
          <w:sz w:val="24"/>
          <w:highlight w:val="none"/>
          <w:lang w:eastAsia="zh-CN"/>
        </w:rPr>
        <w:t>；</w:t>
      </w:r>
    </w:p>
    <w:p w14:paraId="4FF4028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未明确的做法，标底内已按照常规做法计入，投标单位自行考虑报价</w:t>
      </w:r>
      <w:r>
        <w:rPr>
          <w:rFonts w:hint="eastAsia" w:ascii="宋体" w:hAnsi="宋体"/>
          <w:color w:val="auto"/>
          <w:sz w:val="24"/>
          <w:highlight w:val="none"/>
          <w:lang w:val="en-US" w:eastAsia="zh-CN"/>
        </w:rPr>
        <w:t>；</w:t>
      </w:r>
    </w:p>
    <w:p w14:paraId="772D8589">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本工程混凝土采用商品混凝土，混凝土中需要的添加剂、泵送费、布管费、二次搬运费由施工单位自行考虑，且根据规范要求对混凝土的性能要求进行报价，计入投标报价中，结算不予调整，砂浆考虑预拌砂浆；</w:t>
      </w:r>
    </w:p>
    <w:p w14:paraId="7700FFC3">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本工程可能发生的材料二次搬运费及交叉、垃圾处置、衔接施工等增加的费用，投标人自行踏勘现场并在报价中考虑，结算时综合单价不予调整；</w:t>
      </w:r>
    </w:p>
    <w:p w14:paraId="09F018BF">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lang w:val="en-US" w:eastAsia="zh-CN"/>
        </w:rPr>
        <w:t>铝合金门窗二次深化设计的须提前根据规范要求设计，并经建设和设计单位认可，深化设计费用考虑在投标报价中，结算时综合单价不予调整</w:t>
      </w:r>
    </w:p>
    <w:p w14:paraId="098D107A">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措施项目费投标人根据施工组织设计投标时自行报价，结算时不调整；</w:t>
      </w:r>
    </w:p>
    <w:p w14:paraId="5313474B">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本工程工程量清单是根据改造意向结合现场勘察计算；</w:t>
      </w:r>
    </w:p>
    <w:p w14:paraId="1DEAFB5F">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施工临时护栏的搭建、维护及拆除，需符合锡建质安（2020）24号文《关于落实建筑工地围挡提升工作的通知》的规定</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综合考虑土建、装饰、市政、安装等专业施工期间必要的施工围护费用，满足建设单位正常办公、教学需由为准，投标单位综合考虑报价，后续不另行增加、不做调整</w:t>
      </w:r>
      <w:r>
        <w:rPr>
          <w:rFonts w:hint="eastAsia" w:ascii="宋体" w:hAnsi="宋体"/>
          <w:color w:val="auto"/>
          <w:sz w:val="24"/>
          <w:highlight w:val="none"/>
        </w:rPr>
        <w:t>；</w:t>
      </w:r>
    </w:p>
    <w:p w14:paraId="1035AE1A">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工程施工期间，施工区域内道路或场地占用及保持交通通畅等费用，投标人需踏勘现场，对各种影响施工的条件进行综合考虑，并计入投标报价中，结算时综合单价不予调整</w:t>
      </w:r>
      <w:r>
        <w:rPr>
          <w:rFonts w:hint="eastAsia" w:ascii="宋体" w:hAnsi="宋体"/>
          <w:color w:val="auto"/>
          <w:sz w:val="24"/>
          <w:highlight w:val="none"/>
          <w:lang w:eastAsia="zh-CN"/>
        </w:rPr>
        <w:t>；</w:t>
      </w:r>
    </w:p>
    <w:p w14:paraId="7E1A8571">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投标单位应充分考虑招投标期间及施工过程中措施项目（包括且不限于模板支架、脚手架等措施）相关国家地方等政策变化的风险，严格执行国家江苏省及无锡江阴的政策要求，相关风险及费用要求综合考虑计入投标报价，结算时综合单价不予调整</w:t>
      </w:r>
      <w:r>
        <w:rPr>
          <w:rFonts w:hint="eastAsia" w:ascii="宋体" w:hAnsi="宋体"/>
          <w:color w:val="auto"/>
          <w:sz w:val="24"/>
          <w:highlight w:val="none"/>
          <w:lang w:eastAsia="zh-CN"/>
        </w:rPr>
        <w:t>；</w:t>
      </w:r>
    </w:p>
    <w:p w14:paraId="370F67C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在改造施工时，注意保护改造范围外结构，注意不得破坏现有建、构筑物，不得扰动其基础等，并将相应费用考虑在投标报价中，如施工破坏现有建、构筑物，施工方应自行将其恢复原状，费用不另行计算；</w:t>
      </w:r>
    </w:p>
    <w:p w14:paraId="7AA06CDC">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投标人在报价时应结合自身单位的具体情况，充分考虑各自实际的施工组织设计、施工方案及技术措施，据实报价，一旦中标，结算不予另计。若设计图纸发生重大变更导致施工方案变化，结算时仅增加实际方案与投标方案不一致引起的费用差额；</w:t>
      </w:r>
    </w:p>
    <w:p w14:paraId="0CEC1A4E">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本工程单价措施项目费中脚手架工程</w:t>
      </w:r>
      <w:r>
        <w:rPr>
          <w:rFonts w:hint="eastAsia" w:ascii="宋体" w:hAnsi="宋体"/>
          <w:color w:val="auto"/>
          <w:sz w:val="24"/>
          <w:highlight w:val="none"/>
          <w:lang w:val="en-US" w:eastAsia="zh-CN"/>
        </w:rPr>
        <w:t>如有</w:t>
      </w:r>
      <w:r>
        <w:rPr>
          <w:rFonts w:hint="eastAsia" w:ascii="宋体" w:hAnsi="宋体"/>
          <w:color w:val="auto"/>
          <w:sz w:val="24"/>
          <w:highlight w:val="none"/>
        </w:rPr>
        <w:t>以</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项</w:t>
      </w:r>
      <w:r>
        <w:rPr>
          <w:rFonts w:hint="eastAsia" w:ascii="宋体" w:hAnsi="宋体"/>
          <w:color w:val="auto"/>
          <w:sz w:val="24"/>
          <w:highlight w:val="none"/>
          <w:lang w:eastAsia="zh-CN"/>
        </w:rPr>
        <w:t>”</w:t>
      </w:r>
      <w:r>
        <w:rPr>
          <w:rFonts w:hint="eastAsia" w:ascii="宋体" w:hAnsi="宋体"/>
          <w:color w:val="auto"/>
          <w:sz w:val="24"/>
          <w:highlight w:val="none"/>
        </w:rPr>
        <w:t>计算，包含本工程所有类型的脚手架费用，投标单位投标时应结合图纸及现场实际情况，自行考虑，结算不另行增加</w:t>
      </w:r>
      <w:r>
        <w:rPr>
          <w:rFonts w:hint="eastAsia" w:ascii="宋体" w:hAnsi="宋体"/>
          <w:color w:val="auto"/>
          <w:sz w:val="24"/>
          <w:highlight w:val="none"/>
          <w:lang w:eastAsia="zh-CN"/>
        </w:rPr>
        <w:t>；</w:t>
      </w:r>
    </w:p>
    <w:p w14:paraId="12BAF649">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rPr>
      </w:pPr>
      <w:r>
        <w:rPr>
          <w:rFonts w:hint="eastAsia" w:ascii="宋体" w:hAnsi="宋体"/>
          <w:color w:val="auto"/>
          <w:sz w:val="24"/>
          <w:highlight w:val="none"/>
        </w:rPr>
        <w:t>施工现场因施工增加的建筑垃圾由投标单位清理出场，费用综合在报价中，结算不予调整；</w:t>
      </w:r>
    </w:p>
    <w:p w14:paraId="2D09432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rPr>
      </w:pPr>
      <w:r>
        <w:rPr>
          <w:rFonts w:hint="eastAsia" w:ascii="宋体" w:hAnsi="宋体"/>
          <w:color w:val="auto"/>
          <w:sz w:val="24"/>
          <w:highlight w:val="none"/>
        </w:rPr>
        <w:t>关于现场建筑垃圾的清运和处理费用：现场不设置建筑垃圾堆场，需要及时清运各单位垃圾。因环保政策因素影响造成的目前该项费用的成本增加请施工单位充分考虑，无论政策如何调整，该项内容涉及到的费用均不再做调整增加，并服从发包人管理</w:t>
      </w:r>
      <w:r>
        <w:rPr>
          <w:rFonts w:hint="eastAsia" w:ascii="宋体" w:hAnsi="宋体"/>
          <w:color w:val="auto"/>
          <w:sz w:val="24"/>
          <w:highlight w:val="none"/>
          <w:lang w:eastAsia="zh-CN"/>
        </w:rPr>
        <w:t>；</w:t>
      </w:r>
    </w:p>
    <w:p w14:paraId="0D46CF27">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卫生间墙面砖等贴面已经扣除墙面砂浆刮糙、找平部分费用，墙面砂浆找平已另列清单，投标单位报价时需综合考虑；</w:t>
      </w:r>
    </w:p>
    <w:p w14:paraId="359DAD67">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rPr>
        <w:t>所有装饰材料的磨边、倒角、打胶、清洁、勾缝、切割，各类材料损耗及超常规的切割损耗等工作内容均应包括投标报价中，结算时不作调整。墙地砖石材开孔洞、天棚吊顶阳角收口条费用，阴阳角处所有打胶、勾缝费用等均考虑在相应清单综合单价中，结算不做调整</w:t>
      </w:r>
      <w:r>
        <w:rPr>
          <w:rFonts w:hint="eastAsia" w:ascii="宋体" w:hAnsi="宋体"/>
          <w:color w:val="auto"/>
          <w:sz w:val="24"/>
          <w:highlight w:val="none"/>
          <w:lang w:eastAsia="zh-CN"/>
        </w:rPr>
        <w:t>；</w:t>
      </w:r>
    </w:p>
    <w:p w14:paraId="0B8EE605">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所</w:t>
      </w:r>
      <w:r>
        <w:rPr>
          <w:rFonts w:hint="eastAsia" w:ascii="宋体" w:hAnsi="宋体"/>
          <w:color w:val="auto"/>
          <w:sz w:val="24"/>
          <w:highlight w:val="none"/>
        </w:rPr>
        <w:t>有钢骨架采用镀锌处理，应满足消防规范及施工工艺要求</w:t>
      </w:r>
      <w:r>
        <w:rPr>
          <w:rFonts w:hint="eastAsia" w:ascii="宋体" w:hAnsi="宋体"/>
          <w:color w:val="auto"/>
          <w:sz w:val="24"/>
          <w:highlight w:val="none"/>
          <w:lang w:eastAsia="zh-CN"/>
        </w:rPr>
        <w:t>；</w:t>
      </w:r>
    </w:p>
    <w:p w14:paraId="181F29C4">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施工过程中及施工完成后的开荒、精细保洁、成品保护由投标单位综合考虑报价计入报价中，不另行单列清单。</w:t>
      </w:r>
    </w:p>
    <w:p w14:paraId="26FBEDAA">
      <w:pPr>
        <w:numPr>
          <w:ilvl w:val="0"/>
          <w:numId w:val="5"/>
        </w:numPr>
        <w:autoSpaceDE w:val="0"/>
        <w:autoSpaceDN w:val="0"/>
        <w:adjustRightInd w:val="0"/>
        <w:spacing w:line="420" w:lineRule="exact"/>
        <w:ind w:right="170"/>
        <w:jc w:val="left"/>
        <w:rPr>
          <w:rFonts w:ascii="宋体" w:hAnsi="宋体" w:cs="宋体"/>
          <w:color w:val="auto"/>
          <w:sz w:val="24"/>
          <w:highlight w:val="none"/>
        </w:rPr>
      </w:pPr>
      <w:r>
        <w:rPr>
          <w:rFonts w:hint="eastAsia" w:ascii="宋体" w:hAnsi="宋体" w:cs="宋体"/>
          <w:color w:val="auto"/>
          <w:sz w:val="24"/>
          <w:highlight w:val="none"/>
        </w:rPr>
        <w:t>出现特征描述不全面的情况的补充说明：</w:t>
      </w:r>
    </w:p>
    <w:p w14:paraId="11C3E160">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1）招标人的本意是完成该子目项工作内容的全部，当特征描述出现文字瑕疵错误的情况时，或出现特征描述中前后表达不一致时</w:t>
      </w:r>
      <w:r>
        <w:rPr>
          <w:rFonts w:hint="eastAsia" w:ascii="宋体" w:hAnsi="宋体" w:cs="宋体"/>
          <w:color w:val="auto"/>
          <w:sz w:val="24"/>
          <w:highlight w:val="none"/>
          <w:lang w:eastAsia="zh-CN"/>
        </w:rPr>
        <w:t>，</w:t>
      </w:r>
      <w:r>
        <w:rPr>
          <w:rFonts w:hint="eastAsia" w:ascii="宋体" w:hAnsi="宋体" w:cs="宋体"/>
          <w:color w:val="auto"/>
          <w:sz w:val="24"/>
          <w:highlight w:val="none"/>
        </w:rPr>
        <w:t>投标人应在投标规定的提疑时间内提出疑问，招标人确认后及时修正，不管投标人是否提疑、招标人是否修正，这并不代表投标人可以以此申请该子目的补充签证及增加费用；</w:t>
      </w:r>
    </w:p>
    <w:p w14:paraId="2F706EBB">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2）如招标人在子目中编制的应完成该项子目工作的综合单价（招标控制价）明显低于成本价的，投标人应在投标规定的提疑时间内提出疑问，招标人应确认后及时修正。若投标人未按时提出视为投标人的让利，不得作为投标人提出索赔或要求调价的理由，并不可以以此签证及增加费用；</w:t>
      </w:r>
    </w:p>
    <w:p w14:paraId="284FABDC">
      <w:pPr>
        <w:autoSpaceDE w:val="0"/>
        <w:autoSpaceDN w:val="0"/>
        <w:adjustRightInd w:val="0"/>
        <w:spacing w:line="420" w:lineRule="exact"/>
        <w:ind w:left="483" w:right="170"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3）投标人不得因上述原因，拒绝此项子目工作的施工内容，因拒绝造成该子目内容未施工，而由其它单位施工完成而发生的费用，将由投标人承担，并在结算中予以扣除。</w:t>
      </w:r>
    </w:p>
    <w:p w14:paraId="2BED9A35">
      <w:pPr>
        <w:numPr>
          <w:ilvl w:val="0"/>
          <w:numId w:val="1"/>
        </w:numPr>
        <w:snapToGrid w:val="0"/>
        <w:spacing w:line="440" w:lineRule="atLeast"/>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zh-CN"/>
        </w:rPr>
        <w:t>主要材料品牌参考表：</w:t>
      </w:r>
      <w:r>
        <w:rPr>
          <w:rFonts w:hint="eastAsia" w:ascii="宋体" w:hAnsi="宋体" w:cs="宋体"/>
          <w:b/>
          <w:color w:val="auto"/>
          <w:sz w:val="24"/>
          <w:highlight w:val="none"/>
          <w:lang w:val="en-US" w:eastAsia="zh-CN"/>
        </w:rPr>
        <w:t>无</w:t>
      </w:r>
    </w:p>
    <w:p w14:paraId="5DDAE1DA">
      <w:pPr>
        <w:numPr>
          <w:ilvl w:val="0"/>
          <w:numId w:val="1"/>
        </w:numPr>
        <w:snapToGrid w:val="0"/>
        <w:spacing w:line="440" w:lineRule="atLeast"/>
        <w:rPr>
          <w:rFonts w:hint="eastAsia" w:ascii="宋体" w:hAnsi="宋体" w:cs="宋体"/>
          <w:b/>
          <w:color w:val="auto"/>
          <w:sz w:val="24"/>
          <w:highlight w:val="none"/>
          <w:lang w:val="zh-CN"/>
        </w:rPr>
      </w:pPr>
      <w:r>
        <w:rPr>
          <w:rFonts w:hint="eastAsia" w:ascii="宋体" w:hAnsi="宋体" w:cs="宋体"/>
          <w:b/>
          <w:color w:val="auto"/>
          <w:sz w:val="24"/>
          <w:highlight w:val="none"/>
          <w:lang w:val="zh-CN"/>
        </w:rPr>
        <w:t>暂估价明细表（投标单位报价时不得变动让利）：</w:t>
      </w:r>
    </w:p>
    <w:p w14:paraId="131305F3">
      <w:pPr>
        <w:pStyle w:val="16"/>
        <w:numPr>
          <w:ilvl w:val="0"/>
          <w:numId w:val="6"/>
        </w:numPr>
        <w:snapToGrid w:val="0"/>
        <w:spacing w:line="240" w:lineRule="auto"/>
        <w:ind w:left="425"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暂列金额明细表：</w:t>
      </w:r>
    </w:p>
    <w:tbl>
      <w:tblPr>
        <w:tblStyle w:val="10"/>
        <w:tblW w:w="9300" w:type="dxa"/>
        <w:tblInd w:w="38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95"/>
        <w:gridCol w:w="3988"/>
        <w:gridCol w:w="1235"/>
        <w:gridCol w:w="1945"/>
        <w:gridCol w:w="1337"/>
      </w:tblGrid>
      <w:tr w14:paraId="200AC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795" w:type="dxa"/>
            <w:tcBorders>
              <w:tl2br w:val="nil"/>
              <w:tr2bl w:val="nil"/>
            </w:tcBorders>
            <w:vAlign w:val="center"/>
          </w:tcPr>
          <w:p w14:paraId="66FB83D9">
            <w:pPr>
              <w:autoSpaceDE w:val="0"/>
              <w:autoSpaceDN w:val="0"/>
              <w:jc w:val="center"/>
              <w:rPr>
                <w:rFonts w:ascii="宋体" w:hAnsi="宋体" w:cs="宋体"/>
                <w:color w:val="auto"/>
                <w:highlight w:val="none"/>
              </w:rPr>
            </w:pPr>
            <w:r>
              <w:rPr>
                <w:rFonts w:hint="eastAsia" w:ascii="宋体" w:hAnsi="宋体" w:cs="宋体"/>
                <w:color w:val="auto"/>
                <w:highlight w:val="none"/>
              </w:rPr>
              <w:t>序号</w:t>
            </w:r>
          </w:p>
        </w:tc>
        <w:tc>
          <w:tcPr>
            <w:tcW w:w="3988" w:type="dxa"/>
            <w:tcBorders>
              <w:tl2br w:val="nil"/>
              <w:tr2bl w:val="nil"/>
            </w:tcBorders>
            <w:vAlign w:val="center"/>
          </w:tcPr>
          <w:p w14:paraId="42E2DCD8">
            <w:pPr>
              <w:autoSpaceDE w:val="0"/>
              <w:autoSpaceDN w:val="0"/>
              <w:jc w:val="center"/>
              <w:rPr>
                <w:rFonts w:ascii="宋体" w:hAnsi="宋体" w:cs="宋体"/>
                <w:color w:val="auto"/>
                <w:highlight w:val="none"/>
              </w:rPr>
            </w:pPr>
            <w:r>
              <w:rPr>
                <w:rFonts w:hint="eastAsia" w:ascii="宋体" w:hAnsi="宋体" w:cs="宋体"/>
                <w:color w:val="auto"/>
                <w:highlight w:val="none"/>
              </w:rPr>
              <w:t>项目名称</w:t>
            </w:r>
          </w:p>
        </w:tc>
        <w:tc>
          <w:tcPr>
            <w:tcW w:w="1235" w:type="dxa"/>
            <w:tcBorders>
              <w:tl2br w:val="nil"/>
              <w:tr2bl w:val="nil"/>
            </w:tcBorders>
            <w:vAlign w:val="center"/>
          </w:tcPr>
          <w:p w14:paraId="733E951C">
            <w:pPr>
              <w:autoSpaceDE w:val="0"/>
              <w:autoSpaceDN w:val="0"/>
              <w:jc w:val="center"/>
              <w:rPr>
                <w:rFonts w:ascii="宋体" w:hAnsi="宋体" w:cs="宋体"/>
                <w:color w:val="auto"/>
                <w:highlight w:val="none"/>
              </w:rPr>
            </w:pPr>
            <w:r>
              <w:rPr>
                <w:rFonts w:hint="eastAsia" w:ascii="宋体" w:hAnsi="宋体" w:cs="宋体"/>
                <w:color w:val="auto"/>
                <w:highlight w:val="none"/>
              </w:rPr>
              <w:t>计量单位</w:t>
            </w:r>
          </w:p>
        </w:tc>
        <w:tc>
          <w:tcPr>
            <w:tcW w:w="1945" w:type="dxa"/>
            <w:tcBorders>
              <w:tl2br w:val="nil"/>
              <w:tr2bl w:val="nil"/>
            </w:tcBorders>
            <w:vAlign w:val="center"/>
          </w:tcPr>
          <w:p w14:paraId="5C2D33B0">
            <w:pPr>
              <w:autoSpaceDE w:val="0"/>
              <w:autoSpaceDN w:val="0"/>
              <w:jc w:val="center"/>
              <w:rPr>
                <w:rFonts w:ascii="宋体" w:hAnsi="宋体" w:cs="宋体"/>
                <w:color w:val="auto"/>
                <w:highlight w:val="none"/>
              </w:rPr>
            </w:pPr>
            <w:r>
              <w:rPr>
                <w:rFonts w:hint="eastAsia" w:ascii="宋体" w:hAnsi="宋体" w:cs="宋体"/>
                <w:color w:val="auto"/>
                <w:highlight w:val="none"/>
              </w:rPr>
              <w:t>暂定金额（元）</w:t>
            </w:r>
          </w:p>
        </w:tc>
        <w:tc>
          <w:tcPr>
            <w:tcW w:w="1337" w:type="dxa"/>
            <w:tcBorders>
              <w:tl2br w:val="nil"/>
              <w:tr2bl w:val="nil"/>
            </w:tcBorders>
            <w:vAlign w:val="center"/>
          </w:tcPr>
          <w:p w14:paraId="71064535">
            <w:pPr>
              <w:autoSpaceDE w:val="0"/>
              <w:autoSpaceDN w:val="0"/>
              <w:jc w:val="center"/>
              <w:rPr>
                <w:rFonts w:ascii="宋体" w:hAnsi="宋体" w:cs="宋体"/>
                <w:color w:val="auto"/>
                <w:highlight w:val="none"/>
              </w:rPr>
            </w:pPr>
            <w:r>
              <w:rPr>
                <w:rFonts w:hint="eastAsia" w:ascii="宋体" w:hAnsi="宋体" w:cs="宋体"/>
                <w:color w:val="auto"/>
                <w:highlight w:val="none"/>
              </w:rPr>
              <w:t>备注</w:t>
            </w:r>
          </w:p>
        </w:tc>
      </w:tr>
      <w:tr w14:paraId="2C220D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56E04F7">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1</w:t>
            </w:r>
          </w:p>
        </w:tc>
        <w:tc>
          <w:tcPr>
            <w:tcW w:w="3988" w:type="dxa"/>
            <w:tcBorders>
              <w:tl2br w:val="nil"/>
              <w:tr2bl w:val="nil"/>
            </w:tcBorders>
            <w:vAlign w:val="center"/>
          </w:tcPr>
          <w:p w14:paraId="5B778A4A">
            <w:pPr>
              <w:autoSpaceDE w:val="0"/>
              <w:autoSpaceDN w:val="0"/>
              <w:jc w:val="left"/>
              <w:rPr>
                <w:rFonts w:ascii="宋体" w:hAnsi="宋体" w:cs="宋体"/>
                <w:color w:val="auto"/>
                <w:highlight w:val="none"/>
              </w:rPr>
            </w:pPr>
            <w:r>
              <w:rPr>
                <w:rFonts w:hint="eastAsia" w:ascii="宋体" w:hAnsi="宋体" w:cs="宋体"/>
                <w:color w:val="auto"/>
                <w:highlight w:val="none"/>
              </w:rPr>
              <w:t>工程量清单中工程量偏差和设计变更</w:t>
            </w:r>
          </w:p>
        </w:tc>
        <w:tc>
          <w:tcPr>
            <w:tcW w:w="1235" w:type="dxa"/>
            <w:tcBorders>
              <w:tl2br w:val="nil"/>
              <w:tr2bl w:val="nil"/>
            </w:tcBorders>
            <w:vAlign w:val="center"/>
          </w:tcPr>
          <w:p w14:paraId="0A631EE4">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053EDDDD">
            <w:pPr>
              <w:autoSpaceDE w:val="0"/>
              <w:autoSpaceDN w:val="0"/>
              <w:jc w:val="center"/>
              <w:rPr>
                <w:rFonts w:ascii="宋体" w:hAnsi="宋体" w:cs="宋体"/>
                <w:color w:val="auto"/>
                <w:highlight w:val="none"/>
              </w:rPr>
            </w:pPr>
          </w:p>
        </w:tc>
        <w:tc>
          <w:tcPr>
            <w:tcW w:w="1337" w:type="dxa"/>
            <w:tcBorders>
              <w:tl2br w:val="nil"/>
              <w:tr2bl w:val="nil"/>
            </w:tcBorders>
            <w:vAlign w:val="center"/>
          </w:tcPr>
          <w:p w14:paraId="45FBD1FA">
            <w:pPr>
              <w:autoSpaceDE w:val="0"/>
              <w:autoSpaceDN w:val="0"/>
              <w:jc w:val="center"/>
              <w:rPr>
                <w:rFonts w:ascii="宋体" w:hAnsi="宋体" w:cs="宋体"/>
                <w:color w:val="auto"/>
                <w:highlight w:val="none"/>
              </w:rPr>
            </w:pPr>
          </w:p>
        </w:tc>
      </w:tr>
      <w:tr w14:paraId="31D58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568FE80">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2</w:t>
            </w:r>
          </w:p>
        </w:tc>
        <w:tc>
          <w:tcPr>
            <w:tcW w:w="3988" w:type="dxa"/>
            <w:tcBorders>
              <w:tl2br w:val="nil"/>
              <w:tr2bl w:val="nil"/>
            </w:tcBorders>
            <w:vAlign w:val="center"/>
          </w:tcPr>
          <w:p w14:paraId="557C33D9">
            <w:pPr>
              <w:autoSpaceDE w:val="0"/>
              <w:autoSpaceDN w:val="0"/>
              <w:jc w:val="left"/>
              <w:rPr>
                <w:rFonts w:ascii="宋体" w:hAnsi="宋体" w:cs="宋体"/>
                <w:color w:val="auto"/>
                <w:highlight w:val="none"/>
              </w:rPr>
            </w:pPr>
            <w:r>
              <w:rPr>
                <w:rFonts w:hint="eastAsia" w:ascii="宋体" w:hAnsi="宋体" w:cs="宋体"/>
                <w:color w:val="auto"/>
                <w:highlight w:val="none"/>
              </w:rPr>
              <w:t>政策性调整和材料价格风险</w:t>
            </w:r>
          </w:p>
        </w:tc>
        <w:tc>
          <w:tcPr>
            <w:tcW w:w="1235" w:type="dxa"/>
            <w:tcBorders>
              <w:tl2br w:val="nil"/>
              <w:tr2bl w:val="nil"/>
            </w:tcBorders>
            <w:vAlign w:val="center"/>
          </w:tcPr>
          <w:p w14:paraId="380C4391">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7CAE35EF">
            <w:pPr>
              <w:autoSpaceDE w:val="0"/>
              <w:autoSpaceDN w:val="0"/>
              <w:jc w:val="center"/>
              <w:rPr>
                <w:rFonts w:ascii="宋体" w:hAnsi="宋体" w:cs="宋体"/>
                <w:color w:val="auto"/>
                <w:highlight w:val="none"/>
              </w:rPr>
            </w:pPr>
          </w:p>
        </w:tc>
        <w:tc>
          <w:tcPr>
            <w:tcW w:w="1337" w:type="dxa"/>
            <w:tcBorders>
              <w:tl2br w:val="nil"/>
              <w:tr2bl w:val="nil"/>
            </w:tcBorders>
            <w:vAlign w:val="center"/>
          </w:tcPr>
          <w:p w14:paraId="1F19BA7F">
            <w:pPr>
              <w:autoSpaceDE w:val="0"/>
              <w:autoSpaceDN w:val="0"/>
              <w:jc w:val="center"/>
              <w:rPr>
                <w:rFonts w:ascii="宋体" w:hAnsi="宋体" w:cs="宋体"/>
                <w:color w:val="auto"/>
                <w:highlight w:val="none"/>
              </w:rPr>
            </w:pPr>
          </w:p>
        </w:tc>
      </w:tr>
      <w:tr w14:paraId="72C78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4AD19CC">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3</w:t>
            </w:r>
          </w:p>
        </w:tc>
        <w:tc>
          <w:tcPr>
            <w:tcW w:w="3988" w:type="dxa"/>
            <w:tcBorders>
              <w:tl2br w:val="nil"/>
              <w:tr2bl w:val="nil"/>
            </w:tcBorders>
            <w:vAlign w:val="center"/>
          </w:tcPr>
          <w:p w14:paraId="43172E05">
            <w:pPr>
              <w:autoSpaceDE w:val="0"/>
              <w:autoSpaceDN w:val="0"/>
              <w:jc w:val="left"/>
              <w:rPr>
                <w:rFonts w:ascii="宋体" w:hAnsi="宋体" w:cs="宋体"/>
                <w:color w:val="auto"/>
                <w:highlight w:val="none"/>
              </w:rPr>
            </w:pPr>
            <w:r>
              <w:rPr>
                <w:rFonts w:hint="eastAsia" w:ascii="宋体" w:hAnsi="宋体" w:cs="宋体"/>
                <w:color w:val="auto"/>
                <w:highlight w:val="none"/>
              </w:rPr>
              <w:t>预留金</w:t>
            </w:r>
          </w:p>
        </w:tc>
        <w:tc>
          <w:tcPr>
            <w:tcW w:w="1235" w:type="dxa"/>
            <w:tcBorders>
              <w:tl2br w:val="nil"/>
              <w:tr2bl w:val="nil"/>
            </w:tcBorders>
            <w:vAlign w:val="center"/>
          </w:tcPr>
          <w:p w14:paraId="77C3AE97">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7631489F">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l2br w:val="nil"/>
              <w:tr2bl w:val="nil"/>
            </w:tcBorders>
            <w:vAlign w:val="center"/>
          </w:tcPr>
          <w:p w14:paraId="55B3C84C">
            <w:pPr>
              <w:autoSpaceDE w:val="0"/>
              <w:autoSpaceDN w:val="0"/>
              <w:jc w:val="center"/>
              <w:rPr>
                <w:rFonts w:ascii="宋体" w:hAnsi="宋体" w:cs="宋体"/>
                <w:color w:val="auto"/>
                <w:highlight w:val="none"/>
              </w:rPr>
            </w:pPr>
          </w:p>
        </w:tc>
      </w:tr>
      <w:tr w14:paraId="0919D3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3CCC06C">
            <w:pPr>
              <w:autoSpaceDE w:val="0"/>
              <w:autoSpaceDN w:val="0"/>
              <w:jc w:val="center"/>
              <w:rPr>
                <w:rFonts w:ascii="宋体" w:hAnsi="宋体" w:cs="宋体"/>
                <w:color w:val="auto"/>
                <w:highlight w:val="none"/>
              </w:rPr>
            </w:pPr>
          </w:p>
        </w:tc>
        <w:tc>
          <w:tcPr>
            <w:tcW w:w="3988" w:type="dxa"/>
            <w:tcBorders>
              <w:tl2br w:val="nil"/>
              <w:tr2bl w:val="nil"/>
            </w:tcBorders>
            <w:vAlign w:val="center"/>
          </w:tcPr>
          <w:p w14:paraId="3986DF92">
            <w:pPr>
              <w:autoSpaceDE w:val="0"/>
              <w:autoSpaceDN w:val="0"/>
              <w:jc w:val="center"/>
              <w:rPr>
                <w:rFonts w:ascii="宋体" w:hAnsi="宋体" w:cs="宋体"/>
                <w:color w:val="auto"/>
                <w:highlight w:val="none"/>
              </w:rPr>
            </w:pPr>
            <w:r>
              <w:rPr>
                <w:rFonts w:hint="eastAsia" w:ascii="宋体" w:hAnsi="宋体" w:cs="宋体"/>
                <w:color w:val="auto"/>
                <w:highlight w:val="none"/>
              </w:rPr>
              <w:t>合计</w:t>
            </w:r>
          </w:p>
        </w:tc>
        <w:tc>
          <w:tcPr>
            <w:tcW w:w="1235" w:type="dxa"/>
            <w:tcBorders>
              <w:tl2br w:val="nil"/>
              <w:tr2bl w:val="nil"/>
            </w:tcBorders>
            <w:vAlign w:val="center"/>
          </w:tcPr>
          <w:p w14:paraId="7D30CD07">
            <w:pPr>
              <w:autoSpaceDE w:val="0"/>
              <w:autoSpaceDN w:val="0"/>
              <w:jc w:val="center"/>
              <w:rPr>
                <w:rFonts w:ascii="宋体" w:hAnsi="宋体" w:cs="宋体"/>
                <w:color w:val="auto"/>
                <w:highlight w:val="none"/>
              </w:rPr>
            </w:pPr>
          </w:p>
        </w:tc>
        <w:tc>
          <w:tcPr>
            <w:tcW w:w="1945" w:type="dxa"/>
            <w:tcBorders>
              <w:tl2br w:val="nil"/>
              <w:tr2bl w:val="nil"/>
            </w:tcBorders>
            <w:vAlign w:val="center"/>
          </w:tcPr>
          <w:p w14:paraId="001F904E">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l2br w:val="nil"/>
              <w:tr2bl w:val="nil"/>
            </w:tcBorders>
            <w:vAlign w:val="center"/>
          </w:tcPr>
          <w:p w14:paraId="37BCDB26">
            <w:pPr>
              <w:autoSpaceDE w:val="0"/>
              <w:autoSpaceDN w:val="0"/>
              <w:jc w:val="center"/>
              <w:rPr>
                <w:rFonts w:ascii="宋体" w:hAnsi="宋体" w:cs="宋体"/>
                <w:color w:val="auto"/>
                <w:highlight w:val="none"/>
              </w:rPr>
            </w:pPr>
          </w:p>
        </w:tc>
      </w:tr>
    </w:tbl>
    <w:p w14:paraId="1036A42C">
      <w:pPr>
        <w:pStyle w:val="16"/>
        <w:numPr>
          <w:ilvl w:val="0"/>
          <w:numId w:val="5"/>
        </w:numPr>
        <w:snapToGrid w:val="0"/>
        <w:spacing w:line="440" w:lineRule="atLeast"/>
        <w:ind w:left="483" w:leftChars="0"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专业工程暂估价明细表</w:t>
      </w:r>
      <w:r>
        <w:rPr>
          <w:rFonts w:hint="eastAsia" w:ascii="宋体" w:hAnsi="宋体" w:cs="宋体"/>
          <w:b/>
          <w:color w:val="auto"/>
          <w:szCs w:val="21"/>
          <w:highlight w:val="none"/>
          <w:lang w:val="en-US" w:eastAsia="zh-CN"/>
        </w:rPr>
        <w:t>/</w:t>
      </w:r>
      <w:r>
        <w:rPr>
          <w:rFonts w:hint="eastAsia" w:ascii="宋体" w:hAnsi="宋体" w:cs="宋体"/>
          <w:b/>
          <w:color w:val="auto"/>
          <w:szCs w:val="21"/>
          <w:highlight w:val="none"/>
        </w:rPr>
        <w:t>材料暂估价明细表：</w:t>
      </w:r>
      <w:r>
        <w:rPr>
          <w:rFonts w:hint="eastAsia" w:ascii="宋体" w:hAnsi="宋体" w:cs="宋体"/>
          <w:b/>
          <w:color w:val="auto"/>
          <w:szCs w:val="21"/>
          <w:highlight w:val="none"/>
          <w:lang w:val="en-US" w:eastAsia="zh-CN"/>
        </w:rPr>
        <w:t>无</w:t>
      </w:r>
    </w:p>
    <w:p w14:paraId="592364C8">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 xml:space="preserve">工程信息明细： </w:t>
      </w:r>
    </w:p>
    <w:tbl>
      <w:tblPr>
        <w:tblStyle w:val="10"/>
        <w:tblW w:w="9315"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4438"/>
        <w:gridCol w:w="3894"/>
      </w:tblGrid>
      <w:tr w14:paraId="6195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8955C44">
            <w:pPr>
              <w:autoSpaceDE w:val="0"/>
              <w:autoSpaceDN w:val="0"/>
              <w:rPr>
                <w:rFonts w:ascii="宋体" w:hAnsi="宋体" w:cs="宋体"/>
                <w:color w:val="auto"/>
                <w:highlight w:val="none"/>
              </w:rPr>
            </w:pPr>
            <w:r>
              <w:rPr>
                <w:rFonts w:hint="eastAsia" w:ascii="宋体" w:hAnsi="宋体" w:cs="宋体"/>
                <w:color w:val="auto"/>
                <w:highlight w:val="none"/>
              </w:rPr>
              <w:t>项目编号：001</w:t>
            </w:r>
          </w:p>
        </w:tc>
      </w:tr>
      <w:tr w14:paraId="2D92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E3965D0">
            <w:pPr>
              <w:pStyle w:val="16"/>
              <w:ind w:left="0" w:leftChars="0" w:firstLine="0" w:firstLineChars="0"/>
              <w:rPr>
                <w:rFonts w:ascii="宋体" w:hAnsi="宋体" w:cs="宋体"/>
                <w:color w:val="auto"/>
                <w:highlight w:val="none"/>
              </w:rPr>
            </w:pPr>
            <w:r>
              <w:rPr>
                <w:rFonts w:hint="eastAsia" w:ascii="宋体" w:hAnsi="宋体" w:cs="宋体"/>
                <w:color w:val="auto"/>
                <w:highlight w:val="none"/>
                <w:lang w:val="zh-CN"/>
              </w:rPr>
              <w:t>工程名称：江阴职业技术学院2号楼302教室4号楼201教室改造工程</w:t>
            </w:r>
          </w:p>
        </w:tc>
      </w:tr>
      <w:tr w14:paraId="3038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47D312C4">
            <w:pPr>
              <w:widowControl/>
              <w:jc w:val="left"/>
              <w:rPr>
                <w:rFonts w:ascii="宋体" w:hAnsi="宋体" w:cs="宋体"/>
                <w:color w:val="auto"/>
                <w:highlight w:val="none"/>
              </w:rPr>
            </w:pPr>
            <w:r>
              <w:rPr>
                <w:rFonts w:hint="eastAsia" w:ascii="宋体" w:hAnsi="宋体" w:cs="宋体"/>
                <w:color w:val="auto"/>
                <w:highlight w:val="none"/>
                <w:lang w:val="zh-CN"/>
              </w:rPr>
              <w:t>建设单位：</w:t>
            </w:r>
            <w:r>
              <w:rPr>
                <w:rFonts w:hint="eastAsia" w:ascii="宋体" w:hAnsi="宋体" w:cs="宋体"/>
                <w:color w:val="auto"/>
                <w:highlight w:val="none"/>
                <w:lang w:val="zh-CN"/>
              </w:rPr>
              <w:t>江阴职业技术学院</w:t>
            </w:r>
          </w:p>
        </w:tc>
      </w:tr>
      <w:tr w14:paraId="3E74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54071CB4">
            <w:pPr>
              <w:autoSpaceDE w:val="0"/>
              <w:autoSpaceDN w:val="0"/>
              <w:rPr>
                <w:rFonts w:ascii="宋体" w:hAnsi="宋体" w:cs="宋体"/>
                <w:color w:val="auto"/>
                <w:highlight w:val="none"/>
              </w:rPr>
            </w:pPr>
            <w:r>
              <w:rPr>
                <w:rFonts w:hint="eastAsia" w:ascii="宋体" w:hAnsi="宋体" w:cs="宋体"/>
                <w:color w:val="auto"/>
                <w:highlight w:val="none"/>
              </w:rPr>
              <w:t>单位工程明细：</w:t>
            </w:r>
          </w:p>
        </w:tc>
      </w:tr>
      <w:tr w14:paraId="52F3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2969972">
            <w:pPr>
              <w:autoSpaceDE w:val="0"/>
              <w:autoSpaceDN w:val="0"/>
              <w:jc w:val="center"/>
              <w:rPr>
                <w:rFonts w:ascii="宋体" w:hAnsi="宋体" w:cs="宋体"/>
                <w:color w:val="auto"/>
                <w:highlight w:val="none"/>
              </w:rPr>
            </w:pPr>
            <w:r>
              <w:rPr>
                <w:rFonts w:hint="eastAsia" w:ascii="宋体" w:hAnsi="宋体" w:cs="宋体"/>
                <w:color w:val="auto"/>
                <w:highlight w:val="none"/>
              </w:rPr>
              <w:t>编号</w:t>
            </w:r>
          </w:p>
        </w:tc>
        <w:tc>
          <w:tcPr>
            <w:tcW w:w="4438" w:type="dxa"/>
            <w:tcBorders>
              <w:top w:val="single" w:color="auto" w:sz="8" w:space="0"/>
              <w:left w:val="single" w:color="auto" w:sz="8" w:space="0"/>
              <w:bottom w:val="single" w:color="auto" w:sz="8" w:space="0"/>
              <w:right w:val="single" w:color="auto" w:sz="8" w:space="0"/>
            </w:tcBorders>
            <w:vAlign w:val="center"/>
          </w:tcPr>
          <w:p w14:paraId="6660656A">
            <w:pPr>
              <w:autoSpaceDE w:val="0"/>
              <w:autoSpaceDN w:val="0"/>
              <w:jc w:val="center"/>
              <w:rPr>
                <w:rFonts w:ascii="宋体" w:hAnsi="宋体" w:cs="宋体"/>
                <w:color w:val="auto"/>
                <w:highlight w:val="none"/>
              </w:rPr>
            </w:pPr>
            <w:r>
              <w:rPr>
                <w:rFonts w:hint="eastAsia" w:ascii="宋体" w:hAnsi="宋体" w:cs="宋体"/>
                <w:color w:val="auto"/>
                <w:highlight w:val="none"/>
              </w:rPr>
              <w:t>单位工程名称</w:t>
            </w:r>
          </w:p>
        </w:tc>
        <w:tc>
          <w:tcPr>
            <w:tcW w:w="3894" w:type="dxa"/>
            <w:tcBorders>
              <w:top w:val="single" w:color="auto" w:sz="8" w:space="0"/>
              <w:left w:val="single" w:color="auto" w:sz="8" w:space="0"/>
              <w:bottom w:val="single" w:color="auto" w:sz="8" w:space="0"/>
              <w:right w:val="single" w:color="auto" w:sz="8" w:space="0"/>
            </w:tcBorders>
            <w:vAlign w:val="center"/>
          </w:tcPr>
          <w:p w14:paraId="7FB4E2AC">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不可竞争费</w:t>
            </w:r>
          </w:p>
        </w:tc>
      </w:tr>
      <w:tr w14:paraId="080F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7490632E">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001</w:t>
            </w:r>
          </w:p>
        </w:tc>
        <w:tc>
          <w:tcPr>
            <w:tcW w:w="4438" w:type="dxa"/>
            <w:tcBorders>
              <w:top w:val="single" w:color="auto" w:sz="8" w:space="0"/>
              <w:left w:val="single" w:color="auto" w:sz="8" w:space="0"/>
              <w:bottom w:val="single" w:color="auto" w:sz="8" w:space="0"/>
              <w:right w:val="single" w:color="auto" w:sz="8" w:space="0"/>
            </w:tcBorders>
            <w:vAlign w:val="center"/>
          </w:tcPr>
          <w:p w14:paraId="7E813DAB">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装饰</w:t>
            </w:r>
          </w:p>
        </w:tc>
        <w:tc>
          <w:tcPr>
            <w:tcW w:w="3894" w:type="dxa"/>
            <w:tcBorders>
              <w:top w:val="single" w:color="auto" w:sz="8" w:space="0"/>
              <w:left w:val="single" w:color="auto" w:sz="8" w:space="0"/>
              <w:bottom w:val="single" w:color="auto" w:sz="8" w:space="0"/>
              <w:right w:val="single" w:color="auto" w:sz="8" w:space="0"/>
            </w:tcBorders>
            <w:vAlign w:val="center"/>
          </w:tcPr>
          <w:p w14:paraId="69719EF1">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按【单独装饰工程】执行</w:t>
            </w:r>
          </w:p>
        </w:tc>
      </w:tr>
      <w:tr w14:paraId="43C9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A63CBCD">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002</w:t>
            </w:r>
          </w:p>
        </w:tc>
        <w:tc>
          <w:tcPr>
            <w:tcW w:w="4438" w:type="dxa"/>
            <w:tcBorders>
              <w:top w:val="single" w:color="auto" w:sz="8" w:space="0"/>
              <w:left w:val="single" w:color="auto" w:sz="8" w:space="0"/>
              <w:bottom w:val="single" w:color="auto" w:sz="8" w:space="0"/>
              <w:right w:val="single" w:color="auto" w:sz="8" w:space="0"/>
            </w:tcBorders>
            <w:vAlign w:val="center"/>
          </w:tcPr>
          <w:p w14:paraId="64E766AA">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安装</w:t>
            </w:r>
          </w:p>
        </w:tc>
        <w:tc>
          <w:tcPr>
            <w:tcW w:w="3894" w:type="dxa"/>
            <w:tcBorders>
              <w:top w:val="single" w:color="auto" w:sz="8" w:space="0"/>
              <w:left w:val="single" w:color="auto" w:sz="8" w:space="0"/>
              <w:bottom w:val="single" w:color="auto" w:sz="8" w:space="0"/>
              <w:right w:val="single" w:color="auto" w:sz="8" w:space="0"/>
            </w:tcBorders>
            <w:vAlign w:val="center"/>
          </w:tcPr>
          <w:p w14:paraId="11170076">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按【安装工程】执行</w:t>
            </w:r>
          </w:p>
        </w:tc>
      </w:tr>
    </w:tbl>
    <w:p w14:paraId="384E7C71">
      <w:pPr>
        <w:autoSpaceDE w:val="0"/>
        <w:autoSpaceDN w:val="0"/>
        <w:rPr>
          <w:rFonts w:ascii="宋体" w:hAnsi="宋体" w:cs="宋体"/>
          <w:color w:val="auto"/>
          <w:sz w:val="24"/>
          <w:highlight w:val="none"/>
        </w:rPr>
      </w:pPr>
    </w:p>
    <w:p w14:paraId="5EFF212C">
      <w:pPr>
        <w:autoSpaceDE w:val="0"/>
        <w:autoSpaceDN w:val="0"/>
        <w:jc w:val="right"/>
        <w:rPr>
          <w:rFonts w:ascii="宋体" w:hAnsi="宋体" w:cs="宋体"/>
          <w:color w:val="auto"/>
          <w:sz w:val="24"/>
          <w:highlight w:val="none"/>
          <w:lang w:val="zh-CN"/>
        </w:rPr>
      </w:pPr>
      <w:r>
        <w:rPr>
          <w:rFonts w:hint="eastAsia" w:ascii="宋体" w:hAnsi="宋体" w:cs="宋体"/>
          <w:color w:val="auto"/>
          <w:sz w:val="24"/>
          <w:highlight w:val="none"/>
        </w:rPr>
        <w:t>苏世建设管理集团</w:t>
      </w:r>
      <w:r>
        <w:rPr>
          <w:rFonts w:hint="eastAsia" w:ascii="宋体" w:hAnsi="宋体" w:cs="宋体"/>
          <w:color w:val="auto"/>
          <w:sz w:val="24"/>
          <w:highlight w:val="none"/>
          <w:lang w:val="zh-CN"/>
        </w:rPr>
        <w:t>有限公司</w:t>
      </w:r>
    </w:p>
    <w:p w14:paraId="3B01DD4C">
      <w:pPr>
        <w:snapToGrid w:val="0"/>
        <w:spacing w:line="440" w:lineRule="atLeast"/>
        <w:ind w:firstLine="465"/>
        <w:jc w:val="right"/>
        <w:rPr>
          <w:rFonts w:ascii="宋体" w:hAnsi="宋体" w:cs="宋体"/>
          <w:color w:val="auto"/>
          <w:highlight w:val="none"/>
          <w:lang w:val="zh-CN"/>
        </w:rPr>
      </w:pPr>
      <w:r>
        <w:rPr>
          <w:rFonts w:hint="eastAsia" w:ascii="宋体" w:hAnsi="宋体" w:cs="宋体"/>
          <w:color w:val="auto"/>
          <w:sz w:val="24"/>
          <w:highlight w:val="none"/>
          <w:lang w:val="zh-CN"/>
        </w:rPr>
        <w:t>20</w:t>
      </w:r>
      <w:r>
        <w:rPr>
          <w:rFonts w:hint="eastAsia" w:ascii="宋体" w:hAnsi="宋体" w:cs="宋体"/>
          <w:color w:val="auto"/>
          <w:sz w:val="24"/>
          <w:highlight w:val="none"/>
        </w:rPr>
        <w:t>2</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val="zh-CN"/>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lang w:val="zh-CN"/>
        </w:rPr>
        <w:t>月</w:t>
      </w:r>
      <w:r>
        <w:rPr>
          <w:rFonts w:hint="eastAsia" w:ascii="宋体" w:hAnsi="宋体" w:cs="宋体"/>
          <w:color w:val="auto"/>
          <w:sz w:val="24"/>
          <w:highlight w:val="none"/>
          <w:lang w:val="en-US" w:eastAsia="zh-CN"/>
        </w:rPr>
        <w:t>20</w:t>
      </w:r>
      <w:bookmarkStart w:id="0" w:name="_GoBack"/>
      <w:bookmarkEnd w:id="0"/>
      <w:r>
        <w:rPr>
          <w:rFonts w:hint="eastAsia" w:ascii="宋体" w:hAnsi="宋体" w:cs="宋体"/>
          <w:color w:val="auto"/>
          <w:sz w:val="24"/>
          <w:highlight w:val="none"/>
          <w:lang w:val="zh-CN"/>
        </w:rPr>
        <w:t>日</w:t>
      </w:r>
    </w:p>
    <w:p w14:paraId="14FBFB2E">
      <w:pPr>
        <w:snapToGrid w:val="0"/>
        <w:spacing w:line="440" w:lineRule="atLeast"/>
        <w:ind w:firstLine="465"/>
        <w:jc w:val="right"/>
        <w:rPr>
          <w:rFonts w:ascii="宋体" w:hAnsi="宋体" w:cs="宋体"/>
          <w:color w:val="auto"/>
          <w:highlight w:val="none"/>
          <w:lang w:val="zh-CN"/>
        </w:rPr>
      </w:pPr>
    </w:p>
    <w:sectPr>
      <w:headerReference r:id="rId3" w:type="default"/>
      <w:footerReference r:id="rId4" w:type="default"/>
      <w:footerReference r:id="rId5" w:type="even"/>
      <w:pgSz w:w="11906" w:h="16838"/>
      <w:pgMar w:top="1091" w:right="829" w:bottom="779" w:left="99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EA1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7AC476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4785">
    <w:pPr>
      <w:pStyle w:val="7"/>
      <w:framePr w:wrap="around" w:vAnchor="text" w:hAnchor="margin" w:xAlign="center" w:y="1"/>
      <w:rPr>
        <w:rStyle w:val="13"/>
      </w:rPr>
    </w:pPr>
    <w:r>
      <w:fldChar w:fldCharType="begin"/>
    </w:r>
    <w:r>
      <w:rPr>
        <w:rStyle w:val="13"/>
      </w:rPr>
      <w:instrText xml:space="preserve">PAGE  </w:instrText>
    </w:r>
    <w:r>
      <w:fldChar w:fldCharType="end"/>
    </w:r>
  </w:p>
  <w:p w14:paraId="38FE4B2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B069F">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C1A80"/>
    <w:multiLevelType w:val="singleLevel"/>
    <w:tmpl w:val="DE8C1A80"/>
    <w:lvl w:ilvl="0" w:tentative="0">
      <w:start w:val="1"/>
      <w:numFmt w:val="decimal"/>
      <w:suff w:val="nothing"/>
      <w:lvlText w:val="%1、"/>
      <w:lvlJc w:val="left"/>
    </w:lvl>
  </w:abstractNum>
  <w:abstractNum w:abstractNumId="1">
    <w:nsid w:val="55B99465"/>
    <w:multiLevelType w:val="singleLevel"/>
    <w:tmpl w:val="55B99465"/>
    <w:lvl w:ilvl="0" w:tentative="0">
      <w:start w:val="1"/>
      <w:numFmt w:val="decimal"/>
      <w:lvlText w:val="%1."/>
      <w:lvlJc w:val="left"/>
      <w:pPr>
        <w:tabs>
          <w:tab w:val="left" w:pos="5"/>
        </w:tabs>
        <w:ind w:left="5" w:hanging="425"/>
      </w:pPr>
      <w:rPr>
        <w:rFonts w:hint="default"/>
      </w:rPr>
    </w:lvl>
  </w:abstractNum>
  <w:abstractNum w:abstractNumId="2">
    <w:nsid w:val="55D3F4C5"/>
    <w:multiLevelType w:val="singleLevel"/>
    <w:tmpl w:val="55D3F4C5"/>
    <w:lvl w:ilvl="0" w:tentative="0">
      <w:start w:val="1"/>
      <w:numFmt w:val="chineseCounting"/>
      <w:lvlText w:val="%1."/>
      <w:lvlJc w:val="left"/>
      <w:pPr>
        <w:tabs>
          <w:tab w:val="left" w:pos="425"/>
        </w:tabs>
        <w:ind w:left="425" w:hanging="425"/>
      </w:pPr>
      <w:rPr>
        <w:rFonts w:hint="eastAsia"/>
        <w:b/>
        <w:bCs/>
        <w:sz w:val="22"/>
        <w:szCs w:val="22"/>
      </w:rPr>
    </w:lvl>
  </w:abstractNum>
  <w:abstractNum w:abstractNumId="3">
    <w:nsid w:val="652C0AFA"/>
    <w:multiLevelType w:val="singleLevel"/>
    <w:tmpl w:val="652C0AFA"/>
    <w:lvl w:ilvl="0" w:tentative="0">
      <w:start w:val="1"/>
      <w:numFmt w:val="decimal"/>
      <w:lvlText w:val="%1."/>
      <w:lvlJc w:val="left"/>
      <w:pPr>
        <w:tabs>
          <w:tab w:val="left" w:pos="5"/>
        </w:tabs>
        <w:ind w:left="5" w:hanging="425"/>
      </w:pPr>
      <w:rPr>
        <w:rFonts w:hint="default"/>
      </w:rPr>
    </w:lvl>
  </w:abstractNum>
  <w:abstractNum w:abstractNumId="4">
    <w:nsid w:val="6F7810CC"/>
    <w:multiLevelType w:val="singleLevel"/>
    <w:tmpl w:val="6F7810CC"/>
    <w:lvl w:ilvl="0" w:tentative="0">
      <w:start w:val="1"/>
      <w:numFmt w:val="decimal"/>
      <w:suff w:val="nothing"/>
      <w:lvlText w:val="%1、"/>
      <w:lvlJc w:val="left"/>
      <w:pPr>
        <w:ind w:left="483" w:firstLine="0"/>
      </w:pPr>
    </w:lvl>
  </w:abstractNum>
  <w:abstractNum w:abstractNumId="5">
    <w:nsid w:val="71F59A73"/>
    <w:multiLevelType w:val="singleLevel"/>
    <w:tmpl w:val="71F59A73"/>
    <w:lvl w:ilvl="0" w:tentative="0">
      <w:start w:val="1"/>
      <w:numFmt w:val="decimal"/>
      <w:suff w:val="nothing"/>
      <w:lvlText w:val="%1、"/>
      <w:lvlJc w:val="left"/>
      <w:pPr>
        <w:ind w:left="483" w:firstLine="0"/>
      </w:pPr>
    </w:lvl>
  </w:abstractNum>
  <w:num w:numId="1">
    <w:abstractNumId w:val="2"/>
    <w:lvlOverride w:ilvl="0">
      <w:startOverride w:val="1"/>
    </w:lvlOverride>
  </w:num>
  <w:num w:numId="2">
    <w:abstractNumId w:val="1"/>
    <w:lvlOverride w:ilvl="0">
      <w:startOverride w:val="1"/>
    </w:lvlOverride>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3MThkNDYyOGVkM2RmNmFmYTYyZjExZTFjMTBlNzkifQ=="/>
  </w:docVars>
  <w:rsids>
    <w:rsidRoot w:val="00172A27"/>
    <w:rsid w:val="00033918"/>
    <w:rsid w:val="00055546"/>
    <w:rsid w:val="000A5DAA"/>
    <w:rsid w:val="00143FFB"/>
    <w:rsid w:val="00172A27"/>
    <w:rsid w:val="001A6AF9"/>
    <w:rsid w:val="001E7F76"/>
    <w:rsid w:val="00275DDF"/>
    <w:rsid w:val="002D7A2C"/>
    <w:rsid w:val="00324123"/>
    <w:rsid w:val="003268E5"/>
    <w:rsid w:val="0036701D"/>
    <w:rsid w:val="003C3447"/>
    <w:rsid w:val="003D119A"/>
    <w:rsid w:val="004163B2"/>
    <w:rsid w:val="004A540E"/>
    <w:rsid w:val="004D51BC"/>
    <w:rsid w:val="00587CD5"/>
    <w:rsid w:val="0065097B"/>
    <w:rsid w:val="00696ABA"/>
    <w:rsid w:val="007A6290"/>
    <w:rsid w:val="00857459"/>
    <w:rsid w:val="00872CFB"/>
    <w:rsid w:val="009136E0"/>
    <w:rsid w:val="00951F6C"/>
    <w:rsid w:val="009E7094"/>
    <w:rsid w:val="00AE6F5B"/>
    <w:rsid w:val="00AE7BF5"/>
    <w:rsid w:val="00B439D0"/>
    <w:rsid w:val="00B512B2"/>
    <w:rsid w:val="00BB27C9"/>
    <w:rsid w:val="00C510E9"/>
    <w:rsid w:val="00D91292"/>
    <w:rsid w:val="00D92D4A"/>
    <w:rsid w:val="00E23770"/>
    <w:rsid w:val="012305CE"/>
    <w:rsid w:val="015A036C"/>
    <w:rsid w:val="015B73FB"/>
    <w:rsid w:val="01DC5624"/>
    <w:rsid w:val="023D34F8"/>
    <w:rsid w:val="029E6B70"/>
    <w:rsid w:val="02C941D1"/>
    <w:rsid w:val="02DD4B80"/>
    <w:rsid w:val="046519CC"/>
    <w:rsid w:val="048E3795"/>
    <w:rsid w:val="04B50DAE"/>
    <w:rsid w:val="0607593C"/>
    <w:rsid w:val="06B1727A"/>
    <w:rsid w:val="06C510AB"/>
    <w:rsid w:val="07600DB1"/>
    <w:rsid w:val="07F7533D"/>
    <w:rsid w:val="08245768"/>
    <w:rsid w:val="08503B02"/>
    <w:rsid w:val="08930F12"/>
    <w:rsid w:val="08B05BA6"/>
    <w:rsid w:val="08F611EA"/>
    <w:rsid w:val="095E300D"/>
    <w:rsid w:val="0AEC39F9"/>
    <w:rsid w:val="0B903B7E"/>
    <w:rsid w:val="0BD4544E"/>
    <w:rsid w:val="0C61670A"/>
    <w:rsid w:val="0CF12CEE"/>
    <w:rsid w:val="0D3F09CA"/>
    <w:rsid w:val="0DEA074D"/>
    <w:rsid w:val="0E0C489A"/>
    <w:rsid w:val="0E342E47"/>
    <w:rsid w:val="0E75680A"/>
    <w:rsid w:val="0E8511D0"/>
    <w:rsid w:val="0EE1718B"/>
    <w:rsid w:val="0F7246AE"/>
    <w:rsid w:val="104A3DAC"/>
    <w:rsid w:val="11F56F16"/>
    <w:rsid w:val="11FD2E49"/>
    <w:rsid w:val="12265F4D"/>
    <w:rsid w:val="12BF6D64"/>
    <w:rsid w:val="13A12C42"/>
    <w:rsid w:val="13A206C4"/>
    <w:rsid w:val="13AE7D5A"/>
    <w:rsid w:val="13C96A30"/>
    <w:rsid w:val="14193B86"/>
    <w:rsid w:val="146E1270"/>
    <w:rsid w:val="15887845"/>
    <w:rsid w:val="15E6010D"/>
    <w:rsid w:val="163C5AEE"/>
    <w:rsid w:val="16756285"/>
    <w:rsid w:val="17070465"/>
    <w:rsid w:val="17373603"/>
    <w:rsid w:val="17404D49"/>
    <w:rsid w:val="17950FEA"/>
    <w:rsid w:val="17B976EE"/>
    <w:rsid w:val="18433E31"/>
    <w:rsid w:val="189270E7"/>
    <w:rsid w:val="1A76158E"/>
    <w:rsid w:val="1B423AAD"/>
    <w:rsid w:val="1C022402"/>
    <w:rsid w:val="1CB727DF"/>
    <w:rsid w:val="1D857BFA"/>
    <w:rsid w:val="1D9C596C"/>
    <w:rsid w:val="1E0616E7"/>
    <w:rsid w:val="1E74624E"/>
    <w:rsid w:val="1F746710"/>
    <w:rsid w:val="210452FD"/>
    <w:rsid w:val="216A129A"/>
    <w:rsid w:val="22056993"/>
    <w:rsid w:val="221C47C9"/>
    <w:rsid w:val="221D7F2E"/>
    <w:rsid w:val="22221625"/>
    <w:rsid w:val="233D46D3"/>
    <w:rsid w:val="24407A49"/>
    <w:rsid w:val="2595153D"/>
    <w:rsid w:val="25B54415"/>
    <w:rsid w:val="26310946"/>
    <w:rsid w:val="26FD5932"/>
    <w:rsid w:val="27125E10"/>
    <w:rsid w:val="28CB5CFA"/>
    <w:rsid w:val="293811B0"/>
    <w:rsid w:val="29F821AA"/>
    <w:rsid w:val="2ADF3CE2"/>
    <w:rsid w:val="2B19167E"/>
    <w:rsid w:val="2BB50348"/>
    <w:rsid w:val="2CB94FE4"/>
    <w:rsid w:val="2CF40298"/>
    <w:rsid w:val="2D106B5B"/>
    <w:rsid w:val="2DC773DC"/>
    <w:rsid w:val="2DD300BC"/>
    <w:rsid w:val="2F727CE6"/>
    <w:rsid w:val="2FD7017E"/>
    <w:rsid w:val="30CF0ED1"/>
    <w:rsid w:val="3116717A"/>
    <w:rsid w:val="31185F0A"/>
    <w:rsid w:val="313047C4"/>
    <w:rsid w:val="32344C40"/>
    <w:rsid w:val="32547EBA"/>
    <w:rsid w:val="33F626B2"/>
    <w:rsid w:val="34391BEF"/>
    <w:rsid w:val="34E31A07"/>
    <w:rsid w:val="35652274"/>
    <w:rsid w:val="360755E5"/>
    <w:rsid w:val="36E557CA"/>
    <w:rsid w:val="380D264C"/>
    <w:rsid w:val="382B0EB3"/>
    <w:rsid w:val="383D5BB4"/>
    <w:rsid w:val="38A5428E"/>
    <w:rsid w:val="38FB4C32"/>
    <w:rsid w:val="39861023"/>
    <w:rsid w:val="3A0A519C"/>
    <w:rsid w:val="3A4259D7"/>
    <w:rsid w:val="3B170879"/>
    <w:rsid w:val="3BA33020"/>
    <w:rsid w:val="3BF91729"/>
    <w:rsid w:val="3C686BA6"/>
    <w:rsid w:val="3CF01C21"/>
    <w:rsid w:val="3E200862"/>
    <w:rsid w:val="3F2A5A1C"/>
    <w:rsid w:val="3F2E46C0"/>
    <w:rsid w:val="40945B4B"/>
    <w:rsid w:val="411D5225"/>
    <w:rsid w:val="4152413E"/>
    <w:rsid w:val="415E1A4D"/>
    <w:rsid w:val="421826FC"/>
    <w:rsid w:val="425431BB"/>
    <w:rsid w:val="430D6CAE"/>
    <w:rsid w:val="437E616A"/>
    <w:rsid w:val="44305A47"/>
    <w:rsid w:val="446829A7"/>
    <w:rsid w:val="447535DD"/>
    <w:rsid w:val="44B109AF"/>
    <w:rsid w:val="452644FF"/>
    <w:rsid w:val="45D6555B"/>
    <w:rsid w:val="45F42FCF"/>
    <w:rsid w:val="48CF521D"/>
    <w:rsid w:val="491F3390"/>
    <w:rsid w:val="492547F9"/>
    <w:rsid w:val="4AFA0FD4"/>
    <w:rsid w:val="4BA95F1B"/>
    <w:rsid w:val="4D6E4C5A"/>
    <w:rsid w:val="4D7D5F96"/>
    <w:rsid w:val="4DAC3FBB"/>
    <w:rsid w:val="4DF06B51"/>
    <w:rsid w:val="4E5B3840"/>
    <w:rsid w:val="4FDC7852"/>
    <w:rsid w:val="50B87750"/>
    <w:rsid w:val="51210503"/>
    <w:rsid w:val="519E2E63"/>
    <w:rsid w:val="52D2191F"/>
    <w:rsid w:val="537F32F8"/>
    <w:rsid w:val="545466D7"/>
    <w:rsid w:val="54FE0CA8"/>
    <w:rsid w:val="55186629"/>
    <w:rsid w:val="55C93441"/>
    <w:rsid w:val="55E64A28"/>
    <w:rsid w:val="56D06A51"/>
    <w:rsid w:val="56D25B35"/>
    <w:rsid w:val="577053BD"/>
    <w:rsid w:val="589C176E"/>
    <w:rsid w:val="59DE383D"/>
    <w:rsid w:val="5AFD1836"/>
    <w:rsid w:val="5B066847"/>
    <w:rsid w:val="5D14403F"/>
    <w:rsid w:val="5DC44AC2"/>
    <w:rsid w:val="5E03770C"/>
    <w:rsid w:val="5E742AD8"/>
    <w:rsid w:val="5FD15884"/>
    <w:rsid w:val="60462F5E"/>
    <w:rsid w:val="60863B5C"/>
    <w:rsid w:val="609F702C"/>
    <w:rsid w:val="61AB47F2"/>
    <w:rsid w:val="62121814"/>
    <w:rsid w:val="63E23618"/>
    <w:rsid w:val="63E975F8"/>
    <w:rsid w:val="64441F50"/>
    <w:rsid w:val="656938DB"/>
    <w:rsid w:val="656D07F8"/>
    <w:rsid w:val="65840B4F"/>
    <w:rsid w:val="65AB4911"/>
    <w:rsid w:val="65C73B99"/>
    <w:rsid w:val="6642746F"/>
    <w:rsid w:val="67092CB3"/>
    <w:rsid w:val="67147642"/>
    <w:rsid w:val="67656D42"/>
    <w:rsid w:val="67A870F7"/>
    <w:rsid w:val="67AA13B4"/>
    <w:rsid w:val="68EA41CF"/>
    <w:rsid w:val="693742A5"/>
    <w:rsid w:val="6AC634A7"/>
    <w:rsid w:val="6AD44D57"/>
    <w:rsid w:val="6B460B8C"/>
    <w:rsid w:val="6BD30D17"/>
    <w:rsid w:val="6C9B68B0"/>
    <w:rsid w:val="6D1B3CE3"/>
    <w:rsid w:val="6D975F80"/>
    <w:rsid w:val="6E0D7A9C"/>
    <w:rsid w:val="6E373BED"/>
    <w:rsid w:val="6ECF0C36"/>
    <w:rsid w:val="6F260E44"/>
    <w:rsid w:val="6F2D3D6B"/>
    <w:rsid w:val="6FD01098"/>
    <w:rsid w:val="704D2132"/>
    <w:rsid w:val="70F44DB6"/>
    <w:rsid w:val="717A39B4"/>
    <w:rsid w:val="72B14395"/>
    <w:rsid w:val="7324525B"/>
    <w:rsid w:val="73817AF3"/>
    <w:rsid w:val="73B75AAA"/>
    <w:rsid w:val="73DB080D"/>
    <w:rsid w:val="741E5AB1"/>
    <w:rsid w:val="749C2CC3"/>
    <w:rsid w:val="766E17DB"/>
    <w:rsid w:val="767B541E"/>
    <w:rsid w:val="7696711C"/>
    <w:rsid w:val="76E40E5C"/>
    <w:rsid w:val="77177EC8"/>
    <w:rsid w:val="78132E72"/>
    <w:rsid w:val="78812509"/>
    <w:rsid w:val="78895092"/>
    <w:rsid w:val="78D7630C"/>
    <w:rsid w:val="78E416ED"/>
    <w:rsid w:val="794E5C13"/>
    <w:rsid w:val="79800315"/>
    <w:rsid w:val="79C350D7"/>
    <w:rsid w:val="79C55D56"/>
    <w:rsid w:val="7AE96523"/>
    <w:rsid w:val="7B5B25DA"/>
    <w:rsid w:val="7B780796"/>
    <w:rsid w:val="7B9120F6"/>
    <w:rsid w:val="7BD17279"/>
    <w:rsid w:val="7C3B183D"/>
    <w:rsid w:val="7C405DB4"/>
    <w:rsid w:val="7C494A62"/>
    <w:rsid w:val="7CEB1213"/>
    <w:rsid w:val="7D492462"/>
    <w:rsid w:val="7E8539BE"/>
    <w:rsid w:val="7F375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ind w:firstLine="178" w:firstLineChars="178"/>
    </w:pPr>
    <w:rPr>
      <w:sz w:val="2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标题3"/>
    <w:basedOn w:val="1"/>
    <w:next w:val="3"/>
    <w:qFormat/>
    <w:uiPriority w:val="0"/>
    <w:pPr>
      <w:adjustRightInd w:val="0"/>
      <w:spacing w:line="360" w:lineRule="auto"/>
    </w:pPr>
    <w:rPr>
      <w:rFonts w:ascii="Arial" w:hAnsi="Arial" w:eastAsia="黑体"/>
      <w:sz w:val="28"/>
      <w:szCs w:val="28"/>
    </w:rPr>
  </w:style>
  <w:style w:type="paragraph" w:styleId="16">
    <w:name w:val="List Paragraph"/>
    <w:basedOn w:val="1"/>
    <w:qFormat/>
    <w:uiPriority w:val="34"/>
    <w:pPr>
      <w:ind w:firstLine="420" w:firstLineChars="200"/>
    </w:pPr>
    <w:rPr>
      <w:rFonts w:ascii="Calibri" w:hAnsi="Calibri"/>
    </w:rPr>
  </w:style>
  <w:style w:type="character" w:customStyle="1" w:styleId="17">
    <w:name w:val="标题 1 Char"/>
    <w:basedOn w:val="12"/>
    <w:link w:val="2"/>
    <w:qFormat/>
    <w:uiPriority w:val="0"/>
    <w:rPr>
      <w:b/>
      <w:bCs/>
    </w:rPr>
  </w:style>
  <w:style w:type="character" w:customStyle="1" w:styleId="18">
    <w:name w:val="样式1 Char"/>
    <w:basedOn w:val="12"/>
    <w:qFormat/>
    <w:uiPriority w:val="0"/>
    <w:rPr>
      <w:b/>
      <w:bCs/>
    </w:rPr>
  </w:style>
  <w:style w:type="character" w:customStyle="1" w:styleId="19">
    <w:name w:val="页脚 Char"/>
    <w:basedOn w:val="12"/>
    <w:link w:val="7"/>
    <w:qFormat/>
    <w:uiPriority w:val="0"/>
  </w:style>
  <w:style w:type="character" w:customStyle="1" w:styleId="20">
    <w:name w:val="页眉 Char"/>
    <w:basedOn w:val="12"/>
    <w:link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3245</Words>
  <Characters>3378</Characters>
  <Lines>27</Lines>
  <Paragraphs>7</Paragraphs>
  <TotalTime>5</TotalTime>
  <ScaleCrop>false</ScaleCrop>
  <LinksUpToDate>false</LinksUpToDate>
  <CharactersWithSpaces>3379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四斤呀</cp:lastModifiedBy>
  <cp:lastPrinted>2019-06-19T04:19:00Z</cp:lastPrinted>
  <dcterms:modified xsi:type="dcterms:W3CDTF">2026-07-20T06:58:42Z</dcterms:modified>
  <dc:title>江阴市实验小学北校区景观工程--清单编制总说明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8AC7A4E964BE4D47918D367FC02FB1CF_13</vt:lpwstr>
  </property>
  <property fmtid="{D5CDD505-2E9C-101B-9397-08002B2CF9AE}" pid="4" name="commondata">
    <vt:lpwstr>eyJoZGlkIjoiZjNkMmI0NWEzZDJlOTdiZWY3MWE5YmZiZDJhM2U1ZWYifQ==</vt:lpwstr>
  </property>
  <property fmtid="{D5CDD505-2E9C-101B-9397-08002B2CF9AE}" pid="5" name="KSOTemplateDocerSaveRecord">
    <vt:lpwstr>eyJoZGlkIjoiZmViM2M1ZjI0ZGJmN2U5N2ZkNWEwOTRlODE4MTI3NDgiLCJ1c2VySWQiOiI2NzQ3ODIxMjYifQ==</vt:lpwstr>
  </property>
</Properties>
</file>