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C8796">
      <w:pPr>
        <w:spacing w:line="360" w:lineRule="auto"/>
        <w:jc w:val="center"/>
        <w:rPr>
          <w:highlight w:val="none"/>
        </w:rPr>
      </w:pPr>
      <w:bookmarkStart w:id="0" w:name="_Toc389065121"/>
      <w:r>
        <w:rPr>
          <w:rFonts w:hint="eastAsia"/>
          <w:color w:val="auto"/>
          <w:sz w:val="28"/>
          <w:szCs w:val="28"/>
          <w:highlight w:val="none"/>
          <w:u w:val="single"/>
          <w:lang w:val="en-US" w:eastAsia="zh-CN"/>
        </w:rPr>
        <w:t xml:space="preserve"> </w:t>
      </w:r>
      <w:r>
        <w:rPr>
          <w:rFonts w:hint="eastAsia"/>
          <w:color w:val="auto"/>
          <w:sz w:val="28"/>
          <w:szCs w:val="28"/>
          <w:highlight w:val="none"/>
          <w:u w:val="single"/>
          <w:lang w:eastAsia="zh-CN"/>
        </w:rPr>
        <w:t>电力增容工程</w:t>
      </w:r>
      <w:r>
        <w:rPr>
          <w:rFonts w:hint="eastAsia"/>
          <w:color w:val="auto"/>
          <w:sz w:val="28"/>
          <w:szCs w:val="28"/>
          <w:highlight w:val="none"/>
          <w:u w:val="single"/>
          <w:lang w:val="en-US" w:eastAsia="zh-CN"/>
        </w:rPr>
        <w:t xml:space="preserve"> </w:t>
      </w:r>
      <w:r>
        <w:rPr>
          <w:sz w:val="28"/>
          <w:szCs w:val="28"/>
          <w:highlight w:val="none"/>
        </w:rPr>
        <w:t>施工招标公告</w:t>
      </w:r>
      <w:bookmarkEnd w:id="0"/>
    </w:p>
    <w:p w14:paraId="38956945">
      <w:pPr>
        <w:pStyle w:val="3"/>
        <w:adjustRightInd w:val="0"/>
        <w:snapToGrid w:val="0"/>
        <w:spacing w:before="0" w:after="0" w:line="360" w:lineRule="auto"/>
        <w:rPr>
          <w:rFonts w:hint="eastAsia" w:ascii="宋体" w:hAnsi="宋体" w:eastAsia="宋体" w:cs="宋体"/>
          <w:highlight w:val="none"/>
        </w:rPr>
      </w:pPr>
      <w:bookmarkStart w:id="1" w:name="_Toc1229"/>
      <w:bookmarkStart w:id="2" w:name="_Toc49175905"/>
      <w:bookmarkStart w:id="3" w:name="_Toc389065122"/>
      <w:r>
        <w:rPr>
          <w:rFonts w:hint="eastAsia" w:ascii="宋体" w:hAnsi="宋体" w:eastAsia="宋体" w:cs="宋体"/>
          <w:highlight w:val="none"/>
        </w:rPr>
        <w:t>1. 招标条件</w:t>
      </w:r>
      <w:bookmarkEnd w:id="1"/>
      <w:bookmarkEnd w:id="2"/>
      <w:bookmarkEnd w:id="3"/>
    </w:p>
    <w:p w14:paraId="37D4055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本</w:t>
      </w:r>
      <w:r>
        <w:rPr>
          <w:rFonts w:hint="eastAsia" w:ascii="宋体" w:hAnsi="宋体" w:cs="宋体"/>
          <w:highlight w:val="none"/>
        </w:rPr>
        <w:t>招标项目</w:t>
      </w:r>
      <w:r>
        <w:rPr>
          <w:rFonts w:hint="eastAsia" w:ascii="宋体" w:hAnsi="宋体" w:cs="宋体"/>
          <w:highlight w:val="none"/>
          <w:u w:val="single"/>
        </w:rPr>
        <w:t xml:space="preserve"> </w:t>
      </w:r>
      <w:r>
        <w:rPr>
          <w:rFonts w:hint="eastAsia" w:ascii="宋体" w:hAnsi="宋体" w:cs="宋体"/>
          <w:highlight w:val="none"/>
          <w:u w:val="single"/>
          <w:lang w:eastAsia="zh-CN"/>
        </w:rPr>
        <w:t>电力增容工程</w:t>
      </w:r>
      <w:r>
        <w:rPr>
          <w:rFonts w:hint="eastAsia" w:ascii="宋体" w:hAnsi="宋体" w:cs="宋体"/>
          <w:highlight w:val="none"/>
        </w:rPr>
        <w:t>（项目名称）已由</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rPr>
        <w:t>（项目审批、核准或备案机关名称）以</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（批文名称及编号）批准建设，项目业主为</w:t>
      </w:r>
      <w:r>
        <w:rPr>
          <w:rFonts w:hint="eastAsia" w:ascii="宋体" w:hAnsi="宋体" w:cs="宋体"/>
          <w:highlight w:val="none"/>
          <w:u w:val="single"/>
          <w:lang w:eastAsia="zh-CN"/>
        </w:rPr>
        <w:t>江阴初级中学</w:t>
      </w:r>
      <w:r>
        <w:rPr>
          <w:rFonts w:hint="eastAsia" w:ascii="宋体" w:hAnsi="宋体" w:cs="宋体"/>
          <w:highlight w:val="none"/>
        </w:rPr>
        <w:t>，建设资金来自</w:t>
      </w:r>
      <w:r>
        <w:rPr>
          <w:rFonts w:hint="eastAsia" w:ascii="宋体" w:hAnsi="宋体" w:cs="宋体"/>
          <w:highlight w:val="none"/>
          <w:u w:val="single"/>
        </w:rPr>
        <w:t xml:space="preserve">  </w:t>
      </w:r>
      <w:r>
        <w:rPr>
          <w:rFonts w:hint="eastAsia" w:ascii="宋体" w:hAnsi="宋体" w:cs="宋体"/>
          <w:highlight w:val="none"/>
          <w:u w:val="single"/>
          <w:lang w:val="en-US" w:eastAsia="zh-CN"/>
        </w:rPr>
        <w:t>财政</w:t>
      </w:r>
      <w:r>
        <w:rPr>
          <w:rFonts w:hint="eastAsia" w:ascii="宋体" w:hAnsi="宋体" w:cs="宋体"/>
          <w:highlight w:val="none"/>
          <w:u w:val="single"/>
        </w:rPr>
        <w:t>资金（资金来源）</w:t>
      </w:r>
      <w:r>
        <w:rPr>
          <w:rFonts w:hint="eastAsia" w:ascii="宋体" w:hAnsi="宋体" w:cs="宋体"/>
          <w:highlight w:val="none"/>
        </w:rPr>
        <w:t>，项目出资比例为</w:t>
      </w:r>
      <w:r>
        <w:rPr>
          <w:rFonts w:hint="eastAsia" w:ascii="宋体" w:hAnsi="宋体" w:cs="宋体"/>
          <w:highlight w:val="none"/>
          <w:u w:val="single"/>
        </w:rPr>
        <w:t xml:space="preserve">  100%   </w:t>
      </w:r>
      <w:r>
        <w:rPr>
          <w:rFonts w:hint="eastAsia" w:ascii="宋体" w:hAnsi="宋体" w:cs="宋体"/>
          <w:highlight w:val="none"/>
        </w:rPr>
        <w:t>。项目已</w:t>
      </w:r>
      <w:r>
        <w:rPr>
          <w:rFonts w:hint="eastAsia" w:ascii="宋体" w:hAnsi="宋体" w:cs="宋体"/>
          <w:color w:val="auto"/>
          <w:highlight w:val="none"/>
        </w:rPr>
        <w:t>具备招标条件，现对该项目</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电力增容工程</w:t>
      </w:r>
      <w:r>
        <w:rPr>
          <w:rFonts w:hint="eastAsia" w:ascii="宋体" w:hAnsi="宋体" w:cs="宋体"/>
          <w:color w:val="auto"/>
          <w:highlight w:val="none"/>
          <w:u w:val="single"/>
        </w:rPr>
        <w:t>（</w:t>
      </w:r>
      <w:r>
        <w:rPr>
          <w:rFonts w:hint="eastAsia" w:ascii="宋体" w:hAnsi="宋体" w:cs="宋体"/>
          <w:color w:val="auto"/>
          <w:highlight w:val="none"/>
        </w:rPr>
        <w:t>标段）的施工进行公开招标，特邀请有兴趣的潜在投标人参加投标。</w:t>
      </w:r>
    </w:p>
    <w:p w14:paraId="692036A8">
      <w:pPr>
        <w:pStyle w:val="3"/>
        <w:adjustRightInd w:val="0"/>
        <w:snapToGrid w:val="0"/>
        <w:spacing w:before="0" w:after="0" w:line="360" w:lineRule="auto"/>
        <w:rPr>
          <w:rFonts w:hint="eastAsia" w:ascii="宋体" w:hAnsi="宋体" w:eastAsia="宋体" w:cs="宋体"/>
          <w:color w:val="auto"/>
          <w:highlight w:val="none"/>
        </w:rPr>
      </w:pPr>
      <w:bookmarkStart w:id="4" w:name="_Toc389065123"/>
      <w:bookmarkStart w:id="5" w:name="_Toc23603"/>
      <w:bookmarkStart w:id="6" w:name="_Toc49175906"/>
      <w:r>
        <w:rPr>
          <w:rFonts w:hint="eastAsia" w:ascii="宋体" w:hAnsi="宋体" w:eastAsia="宋体" w:cs="宋体"/>
          <w:color w:val="auto"/>
          <w:highlight w:val="none"/>
        </w:rPr>
        <w:t>2. 项目概况与招标范围</w:t>
      </w:r>
      <w:bookmarkEnd w:id="4"/>
      <w:bookmarkEnd w:id="5"/>
      <w:bookmarkEnd w:id="6"/>
    </w:p>
    <w:p w14:paraId="705D0C4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2.1项目概况</w:t>
      </w:r>
    </w:p>
    <w:p w14:paraId="0ECE9DD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2.1.1建设地点：</w:t>
      </w:r>
      <w:r>
        <w:rPr>
          <w:rFonts w:hint="eastAsia" w:ascii="宋体" w:hAnsi="宋体" w:cs="宋体"/>
          <w:highlight w:val="none"/>
          <w:u w:val="single"/>
          <w:lang w:eastAsia="zh-CN"/>
        </w:rPr>
        <w:t>江阴初级中学</w:t>
      </w:r>
      <w:r>
        <w:rPr>
          <w:rFonts w:hint="eastAsia" w:ascii="宋体" w:hAnsi="宋体" w:cs="宋体"/>
          <w:highlight w:val="none"/>
          <w:u w:val="single"/>
          <w:lang w:val="en-US" w:eastAsia="zh-CN"/>
        </w:rPr>
        <w:t>内</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p>
    <w:p w14:paraId="75C6EC0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highlight w:val="none"/>
          <w:u w:val="single"/>
          <w:lang w:eastAsia="zh-CN"/>
        </w:rPr>
      </w:pPr>
      <w:r>
        <w:rPr>
          <w:rFonts w:hint="eastAsia" w:ascii="宋体" w:hAnsi="宋体" w:eastAsia="宋体" w:cs="宋体"/>
          <w:highlight w:val="none"/>
          <w:u w:val="none"/>
          <w:lang w:eastAsia="zh-CN"/>
        </w:rPr>
        <w:t>2.1.2建设规模：</w:t>
      </w:r>
      <w:r>
        <w:rPr>
          <w:rFonts w:hint="eastAsia" w:ascii="宋体" w:hAnsi="宋体" w:eastAsia="宋体" w:cs="宋体"/>
          <w:highlight w:val="none"/>
          <w:u w:val="single"/>
          <w:lang w:eastAsia="zh-CN"/>
        </w:rPr>
        <w:t>电力增容工程，位于江阴初级中学内，主要改造内容如下：</w:t>
      </w:r>
    </w:p>
    <w:p w14:paraId="20846F0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highlight w:val="none"/>
          <w:u w:val="single"/>
          <w:lang w:eastAsia="zh-CN"/>
        </w:rPr>
      </w:pPr>
      <w:r>
        <w:rPr>
          <w:rFonts w:hint="eastAsia" w:ascii="宋体" w:hAnsi="宋体" w:eastAsia="宋体" w:cs="宋体"/>
          <w:highlight w:val="none"/>
          <w:u w:val="single"/>
          <w:lang w:eastAsia="zh-CN"/>
        </w:rPr>
        <w:t>1、本期配电间工程在用户办公用房改造新建变电所内新上1000kVA变压器及配套高低压设备；本期10kV电源供电，电源接于35kV东海变10kV澄文线，供电容量1×1000kVA；本期工程设变电所1座，变电所内设变压器1台（1×1000kVA），配变对应的0.4kV配电装置为单母线结线，远景亦为单母线结线，无功补偿在0.4kV侧；本期变电所内集中补偿400kVAR以及基础土建等内容。</w:t>
      </w:r>
    </w:p>
    <w:p w14:paraId="4BC2C7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highlight w:val="none"/>
          <w:u w:val="single"/>
          <w:lang w:val="en-US" w:eastAsia="zh-CN"/>
        </w:rPr>
      </w:pPr>
      <w:r>
        <w:rPr>
          <w:rFonts w:hint="eastAsia" w:ascii="宋体" w:hAnsi="宋体" w:eastAsia="宋体" w:cs="宋体"/>
          <w:highlight w:val="none"/>
          <w:u w:val="single"/>
          <w:lang w:eastAsia="zh-CN"/>
        </w:rPr>
        <w:t>2、行政楼、励志楼照明线路改造。</w:t>
      </w:r>
    </w:p>
    <w:p w14:paraId="5AA2FC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2.1.3合同估算价：</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约</w:t>
      </w:r>
      <w:r>
        <w:rPr>
          <w:rFonts w:hint="eastAsia" w:ascii="宋体" w:hAnsi="宋体" w:cs="宋体"/>
          <w:color w:val="auto"/>
          <w:highlight w:val="none"/>
          <w:u w:val="single"/>
          <w:lang w:val="en-US" w:eastAsia="zh-CN"/>
        </w:rPr>
        <w:t>167万元</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p>
    <w:p w14:paraId="0C3E30A0">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textAlignment w:val="auto"/>
        <w:rPr>
          <w:rFonts w:hint="eastAsia" w:ascii="宋体" w:hAnsi="宋体" w:cs="宋体"/>
          <w:color w:val="auto"/>
          <w:highlight w:val="none"/>
        </w:rPr>
      </w:pPr>
      <w:r>
        <w:rPr>
          <w:rFonts w:hint="eastAsia" w:ascii="宋体" w:hAnsi="宋体" w:cs="宋体"/>
          <w:color w:val="auto"/>
          <w:highlight w:val="none"/>
        </w:rPr>
        <w:t>2.1.4工期要求：</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10  </w:t>
      </w:r>
      <w:r>
        <w:rPr>
          <w:rFonts w:hint="eastAsia" w:ascii="宋体" w:hAnsi="宋体" w:cs="宋体"/>
          <w:color w:val="auto"/>
          <w:highlight w:val="none"/>
        </w:rPr>
        <w:t>日历天，计划开工日期：</w:t>
      </w:r>
      <w:r>
        <w:rPr>
          <w:rFonts w:hint="eastAsia" w:ascii="宋体" w:hAnsi="宋体" w:cs="宋体"/>
          <w:color w:val="auto"/>
          <w:highlight w:val="none"/>
          <w:u w:val="single"/>
        </w:rPr>
        <w:t>202</w:t>
      </w:r>
      <w:r>
        <w:rPr>
          <w:rFonts w:hint="eastAsia" w:ascii="宋体" w:hAnsi="宋体" w:cs="宋体"/>
          <w:color w:val="auto"/>
          <w:highlight w:val="none"/>
          <w:u w:val="single"/>
          <w:lang w:val="en-US" w:eastAsia="zh-CN"/>
        </w:rPr>
        <w:t>6</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18 </w:t>
      </w:r>
      <w:r>
        <w:rPr>
          <w:rFonts w:hint="eastAsia" w:ascii="宋体" w:hAnsi="宋体" w:cs="宋体"/>
          <w:color w:val="auto"/>
          <w:highlight w:val="none"/>
        </w:rPr>
        <w:t>日，竣工日期：</w:t>
      </w:r>
      <w:r>
        <w:rPr>
          <w:rFonts w:hint="eastAsia" w:ascii="宋体" w:hAnsi="宋体" w:cs="宋体"/>
          <w:color w:val="auto"/>
          <w:highlight w:val="none"/>
          <w:u w:val="single"/>
        </w:rPr>
        <w:t>202</w:t>
      </w:r>
      <w:r>
        <w:rPr>
          <w:rFonts w:hint="eastAsia" w:ascii="宋体" w:hAnsi="宋体" w:cs="宋体"/>
          <w:color w:val="auto"/>
          <w:highlight w:val="none"/>
          <w:u w:val="single"/>
          <w:lang w:val="en-US" w:eastAsia="zh-CN"/>
        </w:rPr>
        <w:t>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27</w:t>
      </w:r>
      <w:r>
        <w:rPr>
          <w:rFonts w:hint="eastAsia" w:ascii="宋体" w:hAnsi="宋体" w:cs="宋体"/>
          <w:color w:val="auto"/>
          <w:highlight w:val="none"/>
        </w:rPr>
        <w:t>日</w:t>
      </w:r>
      <w:r>
        <w:rPr>
          <w:rFonts w:hint="eastAsia" w:ascii="宋体" w:hAnsi="宋体" w:cs="宋体"/>
          <w:color w:val="auto"/>
          <w:highlight w:val="none"/>
        </w:rPr>
        <w:t>，具体开工日期以开工令为准。</w:t>
      </w:r>
    </w:p>
    <w:p w14:paraId="06AAD8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2.1.5 其他:</w:t>
      </w:r>
      <w:r>
        <w:rPr>
          <w:rFonts w:hint="eastAsia" w:ascii="宋体" w:hAnsi="宋体" w:cs="宋体"/>
          <w:color w:val="auto"/>
          <w:highlight w:val="none"/>
          <w:u w:val="single"/>
        </w:rPr>
        <w:t>/</w:t>
      </w:r>
      <w:r>
        <w:rPr>
          <w:rFonts w:hint="eastAsia" w:ascii="宋体" w:hAnsi="宋体" w:cs="宋体"/>
          <w:color w:val="auto"/>
          <w:highlight w:val="none"/>
        </w:rPr>
        <w:t xml:space="preserve">                   </w:t>
      </w:r>
    </w:p>
    <w:p w14:paraId="5AB456B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u w:val="single"/>
          <w:lang w:eastAsia="zh-CN"/>
        </w:rPr>
      </w:pPr>
      <w:r>
        <w:rPr>
          <w:rFonts w:hint="eastAsia" w:ascii="宋体" w:hAnsi="宋体" w:cs="宋体"/>
          <w:color w:val="auto"/>
          <w:highlight w:val="none"/>
        </w:rPr>
        <w:t>2.2招标范围：</w:t>
      </w:r>
      <w:r>
        <w:rPr>
          <w:rFonts w:hint="eastAsia" w:ascii="宋体" w:hAnsi="宋体" w:cs="宋体"/>
          <w:color w:val="auto"/>
          <w:highlight w:val="none"/>
          <w:u w:val="single"/>
        </w:rPr>
        <w:t>施工图纸及清单范围内的</w:t>
      </w:r>
      <w:r>
        <w:rPr>
          <w:rFonts w:hint="eastAsia" w:ascii="宋体" w:hAnsi="宋体" w:cs="宋体"/>
          <w:color w:val="auto"/>
          <w:highlight w:val="none"/>
          <w:u w:val="single"/>
          <w:lang w:eastAsia="zh-CN"/>
        </w:rPr>
        <w:t>所有工程量</w:t>
      </w:r>
      <w:r>
        <w:rPr>
          <w:rFonts w:hint="eastAsia" w:ascii="宋体" w:hAnsi="宋体" w:cs="宋体"/>
          <w:color w:val="auto"/>
          <w:highlight w:val="none"/>
          <w:u w:val="single"/>
        </w:rPr>
        <w:t>。</w:t>
      </w:r>
    </w:p>
    <w:p w14:paraId="7A6C0937">
      <w:pPr>
        <w:pStyle w:val="3"/>
        <w:adjustRightInd w:val="0"/>
        <w:snapToGrid w:val="0"/>
        <w:spacing w:before="0" w:after="0" w:line="360" w:lineRule="auto"/>
        <w:rPr>
          <w:rFonts w:hint="eastAsia" w:ascii="宋体" w:hAnsi="宋体" w:eastAsia="宋体" w:cs="宋体"/>
          <w:color w:val="auto"/>
          <w:highlight w:val="none"/>
        </w:rPr>
      </w:pPr>
      <w:bookmarkStart w:id="7" w:name="_Toc10863"/>
      <w:bookmarkStart w:id="8" w:name="_Toc389065124"/>
      <w:bookmarkStart w:id="9" w:name="_Toc49175907"/>
      <w:r>
        <w:rPr>
          <w:rFonts w:hint="eastAsia" w:ascii="宋体" w:hAnsi="宋体" w:eastAsia="宋体" w:cs="宋体"/>
          <w:highlight w:val="none"/>
        </w:rPr>
        <w:t>3. 投标人资格要求</w:t>
      </w:r>
      <w:bookmarkEnd w:id="7"/>
      <w:bookmarkEnd w:id="8"/>
      <w:bookmarkEnd w:id="9"/>
    </w:p>
    <w:p w14:paraId="710DBB53">
      <w:pPr>
        <w:adjustRightInd w:val="0"/>
        <w:snapToGrid w:val="0"/>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en-US" w:eastAsia="zh-CN"/>
        </w:rPr>
        <w:t>3.1投标人须具备</w:t>
      </w:r>
      <w:r>
        <w:rPr>
          <w:rFonts w:hint="eastAsia" w:ascii="宋体" w:hAnsi="宋体" w:eastAsia="宋体" w:cs="宋体"/>
          <w:color w:val="auto"/>
          <w:highlight w:val="none"/>
          <w:u w:val="single"/>
          <w:lang w:val="en-US" w:eastAsia="zh-CN"/>
        </w:rPr>
        <w:t>建设行政主管部门核发的</w:t>
      </w:r>
      <w:r>
        <w:rPr>
          <w:rFonts w:hint="eastAsia" w:ascii="宋体" w:hAnsi="宋体" w:eastAsia="宋体" w:cs="宋体"/>
          <w:color w:val="auto"/>
          <w:highlight w:val="none"/>
          <w:u w:val="single"/>
        </w:rPr>
        <w:t>电力工程施工总承包叁级及以上资质或输变电工程专业承包叁级及以上资质，且同时具备承装（修、试）类三级及以上电力设施许可证（原承装（修、试）类五级及以上电力设施许可证）（有效期内）（资质）</w:t>
      </w:r>
      <w:r>
        <w:rPr>
          <w:rFonts w:hint="eastAsia" w:ascii="宋体" w:hAnsi="宋体" w:eastAsia="宋体" w:cs="宋体"/>
          <w:color w:val="auto"/>
          <w:highlight w:val="none"/>
          <w:u w:val="single"/>
          <w:lang w:val="en-US" w:eastAsia="zh-CN"/>
        </w:rPr>
        <w:t>，并在人员、设备、资金等方面具有相应的施工能力。</w:t>
      </w:r>
    </w:p>
    <w:p w14:paraId="100D04FE">
      <w:pPr>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3.2投标人拟派项目负责人须具备</w:t>
      </w:r>
      <w:r>
        <w:rPr>
          <w:rFonts w:hint="eastAsia" w:ascii="宋体" w:hAnsi="宋体" w:cs="宋体"/>
          <w:color w:val="auto"/>
          <w:highlight w:val="none"/>
          <w:u w:val="single"/>
        </w:rPr>
        <w:t xml:space="preserve">  注册建造师（</w:t>
      </w:r>
      <w:r>
        <w:rPr>
          <w:rFonts w:hint="eastAsia" w:ascii="宋体" w:hAnsi="宋体" w:eastAsia="宋体" w:cs="宋体"/>
          <w:i w:val="0"/>
          <w:iCs w:val="0"/>
          <w:caps w:val="0"/>
          <w:color w:val="auto"/>
          <w:spacing w:val="0"/>
          <w:sz w:val="21"/>
          <w:szCs w:val="21"/>
          <w:highlight w:val="none"/>
          <w:u w:val="single"/>
          <w:shd w:val="clear" w:color="auto" w:fill="FFFFFF"/>
          <w:lang w:val="en-US" w:eastAsia="zh-CN"/>
        </w:rPr>
        <w:t>机电安装</w:t>
      </w:r>
      <w:r>
        <w:rPr>
          <w:rFonts w:hint="eastAsia" w:ascii="宋体" w:hAnsi="宋体" w:eastAsia="宋体" w:cs="宋体"/>
          <w:i w:val="0"/>
          <w:iCs w:val="0"/>
          <w:caps w:val="0"/>
          <w:color w:val="auto"/>
          <w:spacing w:val="0"/>
          <w:sz w:val="21"/>
          <w:szCs w:val="21"/>
          <w:highlight w:val="none"/>
          <w:u w:val="single"/>
          <w:shd w:val="clear" w:color="auto" w:fill="FFFFFF"/>
        </w:rPr>
        <w:t>工程专业</w:t>
      </w:r>
      <w:r>
        <w:rPr>
          <w:rFonts w:hint="eastAsia" w:ascii="宋体" w:hAnsi="宋体" w:cs="宋体"/>
          <w:color w:val="auto"/>
          <w:highlight w:val="none"/>
          <w:u w:val="single"/>
        </w:rPr>
        <w:t>）</w:t>
      </w:r>
      <w:r>
        <w:rPr>
          <w:rFonts w:hint="eastAsia" w:ascii="宋体" w:hAnsi="宋体" w:cs="宋体"/>
          <w:color w:val="auto"/>
          <w:highlight w:val="none"/>
          <w:u w:val="single"/>
          <w:lang w:val="en-US" w:eastAsia="zh-CN"/>
        </w:rPr>
        <w:t>贰</w:t>
      </w:r>
      <w:r>
        <w:rPr>
          <w:rFonts w:hint="eastAsia" w:ascii="宋体" w:hAnsi="宋体" w:cs="宋体"/>
          <w:color w:val="auto"/>
          <w:highlight w:val="none"/>
          <w:u w:val="single"/>
        </w:rPr>
        <w:t xml:space="preserve">级及以上 </w:t>
      </w:r>
      <w:r>
        <w:rPr>
          <w:rFonts w:hint="eastAsia" w:ascii="宋体" w:hAnsi="宋体" w:cs="宋体"/>
          <w:color w:val="auto"/>
          <w:highlight w:val="none"/>
        </w:rPr>
        <w:t>（资格），且必须满足下列条件：</w:t>
      </w:r>
    </w:p>
    <w:p w14:paraId="602F2C11">
      <w:pPr>
        <w:adjustRightInd w:val="0"/>
        <w:snapToGrid w:val="0"/>
        <w:spacing w:line="360" w:lineRule="auto"/>
        <w:ind w:firstLine="424" w:firstLineChars="202"/>
        <w:rPr>
          <w:rFonts w:ascii="宋体" w:hAnsi="宋体" w:cs="宋体"/>
          <w:color w:val="auto"/>
          <w:highlight w:val="none"/>
        </w:rPr>
      </w:pPr>
      <w:r>
        <w:rPr>
          <w:rFonts w:hint="eastAsia" w:ascii="宋体" w:hAnsi="宋体" w:cs="宋体"/>
          <w:color w:val="auto"/>
          <w:highlight w:val="none"/>
        </w:rPr>
        <w:t>（1）项目负责人不得同时在两个或者两个以上单位受聘或者执业。</w:t>
      </w:r>
    </w:p>
    <w:p w14:paraId="5E0E44D7">
      <w:pPr>
        <w:adjustRightInd w:val="0"/>
        <w:snapToGrid w:val="0"/>
        <w:spacing w:line="360" w:lineRule="auto"/>
        <w:ind w:firstLine="424" w:firstLineChars="202"/>
        <w:rPr>
          <w:rFonts w:hint="eastAsia" w:ascii="宋体" w:hAnsi="宋体" w:cs="宋体"/>
          <w:color w:val="auto"/>
          <w:highlight w:val="none"/>
        </w:rPr>
      </w:pPr>
      <w:r>
        <w:rPr>
          <w:rFonts w:hint="eastAsia" w:ascii="宋体" w:hAnsi="宋体" w:cs="宋体"/>
          <w:color w:val="auto"/>
          <w:highlight w:val="none"/>
        </w:rPr>
        <w:t>（2）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232E0691">
      <w:pPr>
        <w:adjustRightInd w:val="0"/>
        <w:snapToGrid w:val="0"/>
        <w:spacing w:line="360" w:lineRule="auto"/>
        <w:ind w:firstLine="424" w:firstLineChars="202"/>
        <w:rPr>
          <w:rFonts w:hint="eastAsia" w:ascii="宋体" w:hAnsi="宋体" w:cs="宋体"/>
          <w:color w:val="auto"/>
          <w:highlight w:val="none"/>
        </w:rPr>
      </w:pPr>
      <w:r>
        <w:rPr>
          <w:rFonts w:hint="eastAsia" w:ascii="宋体" w:hAnsi="宋体" w:cs="宋体"/>
          <w:color w:val="auto"/>
          <w:highlight w:val="none"/>
        </w:rPr>
        <w:t>（3）项目负责人无行贿犯罪行为记录；或有行贿犯罪行为记录，但自记录</w:t>
      </w:r>
      <w:r>
        <w:rPr>
          <w:rFonts w:ascii="宋体" w:hAnsi="宋体" w:cs="宋体"/>
          <w:color w:val="auto"/>
          <w:highlight w:val="none"/>
        </w:rPr>
        <w:t>之日起已超过</w:t>
      </w:r>
      <w:r>
        <w:rPr>
          <w:rFonts w:hint="eastAsia" w:ascii="宋体" w:hAnsi="宋体" w:cs="宋体"/>
          <w:color w:val="auto"/>
          <w:highlight w:val="none"/>
        </w:rPr>
        <w:t>5年的。</w:t>
      </w:r>
    </w:p>
    <w:p w14:paraId="70A3C6B4">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3.3 投标人及拟派项目负责人应具备其他要求：</w:t>
      </w:r>
    </w:p>
    <w:p w14:paraId="7E08BDE3">
      <w:pPr>
        <w:adjustRightInd w:val="0"/>
        <w:snapToGrid w:val="0"/>
        <w:spacing w:line="360" w:lineRule="auto"/>
        <w:ind w:firstLine="424" w:firstLineChars="202"/>
        <w:rPr>
          <w:color w:val="auto"/>
          <w:highlight w:val="none"/>
        </w:rPr>
      </w:pPr>
      <w:r>
        <w:rPr>
          <w:rFonts w:hint="eastAsia" w:ascii="宋体" w:hAnsi="宋体" w:cs="宋体"/>
          <w:color w:val="auto"/>
          <w:szCs w:val="21"/>
          <w:highlight w:val="none"/>
        </w:rPr>
        <w:sym w:font="Wingdings" w:char="00FE"/>
      </w:r>
      <w:r>
        <w:rPr>
          <w:rFonts w:hint="eastAsia" w:ascii="宋体" w:hAnsi="宋体" w:cs="宋体"/>
          <w:color w:val="auto"/>
          <w:szCs w:val="21"/>
          <w:highlight w:val="none"/>
        </w:rPr>
        <w:t xml:space="preserve"> </w:t>
      </w:r>
      <w:r>
        <w:rPr>
          <w:color w:val="auto"/>
          <w:highlight w:val="none"/>
          <w:u w:val="single"/>
        </w:rPr>
        <w:t>投标人</w:t>
      </w:r>
      <w:r>
        <w:rPr>
          <w:rFonts w:hint="eastAsia"/>
          <w:color w:val="auto"/>
          <w:highlight w:val="none"/>
          <w:u w:val="single"/>
        </w:rPr>
        <w:t xml:space="preserve"> </w:t>
      </w: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eq \o\ac(□)</w:instrText>
      </w:r>
      <w:r>
        <w:rPr>
          <w:rFonts w:ascii="宋体" w:hAnsi="宋体" w:cs="宋体"/>
          <w:color w:val="auto"/>
          <w:szCs w:val="21"/>
          <w:highlight w:val="none"/>
        </w:rPr>
        <w:fldChar w:fldCharType="end"/>
      </w:r>
      <w:r>
        <w:rPr>
          <w:color w:val="auto"/>
          <w:highlight w:val="none"/>
          <w:u w:val="single"/>
        </w:rPr>
        <w:t>项目负责人</w:t>
      </w:r>
      <w:r>
        <w:rPr>
          <w:rFonts w:hint="eastAsia"/>
          <w:color w:val="auto"/>
          <w:highlight w:val="none"/>
          <w:u w:val="single"/>
        </w:rPr>
        <w:t xml:space="preserve"> </w:t>
      </w:r>
      <w:r>
        <w:rPr>
          <w:color w:val="auto"/>
          <w:highlight w:val="none"/>
        </w:rPr>
        <w:t>承担过类似工程；</w:t>
      </w:r>
    </w:p>
    <w:p w14:paraId="10138317">
      <w:pPr>
        <w:adjustRightInd w:val="0"/>
        <w:snapToGrid w:val="0"/>
        <w:spacing w:line="360" w:lineRule="auto"/>
        <w:ind w:firstLine="424" w:firstLineChars="202"/>
        <w:rPr>
          <w:rFonts w:hint="eastAsia"/>
          <w:color w:val="auto"/>
          <w:highlight w:val="none"/>
        </w:rPr>
      </w:pPr>
      <w:r>
        <w:rPr>
          <w:color w:val="auto"/>
          <w:highlight w:val="none"/>
        </w:rPr>
        <w:t>类似工程认定标准：</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自 </w:t>
      </w:r>
      <w:r>
        <w:rPr>
          <w:rFonts w:hint="eastAsia" w:ascii="宋体" w:hAnsi="宋体"/>
          <w:color w:val="auto"/>
          <w:highlight w:val="none"/>
          <w:u w:val="single"/>
          <w:lang w:val="en-US" w:eastAsia="zh-CN"/>
        </w:rPr>
        <w:t>2023</w:t>
      </w:r>
      <w:r>
        <w:rPr>
          <w:rFonts w:hint="eastAsia" w:ascii="宋体" w:hAnsi="宋体"/>
          <w:color w:val="auto"/>
          <w:highlight w:val="none"/>
          <w:u w:val="single"/>
        </w:rPr>
        <w:t>年</w:t>
      </w:r>
      <w:r>
        <w:rPr>
          <w:rFonts w:hint="eastAsia" w:ascii="宋体" w:hAnsi="宋体"/>
          <w:color w:val="auto"/>
          <w:highlight w:val="none"/>
          <w:u w:val="single"/>
          <w:lang w:val="en-US" w:eastAsia="zh-CN"/>
        </w:rPr>
        <w:t>7</w:t>
      </w:r>
      <w:r>
        <w:rPr>
          <w:rFonts w:hint="eastAsia" w:ascii="宋体" w:hAnsi="宋体"/>
          <w:color w:val="auto"/>
          <w:highlight w:val="none"/>
          <w:u w:val="single"/>
        </w:rPr>
        <w:t>月</w:t>
      </w:r>
      <w:r>
        <w:rPr>
          <w:rFonts w:hint="eastAsia" w:ascii="宋体" w:hAnsi="宋体"/>
          <w:color w:val="auto"/>
          <w:highlight w:val="none"/>
          <w:u w:val="single"/>
          <w:lang w:val="en-US" w:eastAsia="zh-CN"/>
        </w:rPr>
        <w:t xml:space="preserve"> 20 </w:t>
      </w:r>
      <w:r>
        <w:rPr>
          <w:rFonts w:hint="eastAsia" w:ascii="宋体" w:hAnsi="宋体"/>
          <w:color w:val="auto"/>
          <w:highlight w:val="none"/>
          <w:u w:val="single"/>
        </w:rPr>
        <w:t>日至202</w:t>
      </w:r>
      <w:r>
        <w:rPr>
          <w:rFonts w:hint="eastAsia" w:ascii="宋体" w:hAnsi="宋体"/>
          <w:color w:val="auto"/>
          <w:highlight w:val="none"/>
          <w:u w:val="single"/>
          <w:lang w:val="en-US" w:eastAsia="zh-CN"/>
        </w:rPr>
        <w:t>6</w:t>
      </w:r>
      <w:r>
        <w:rPr>
          <w:rFonts w:hint="eastAsia" w:ascii="宋体" w:hAnsi="宋体"/>
          <w:color w:val="auto"/>
          <w:highlight w:val="none"/>
          <w:u w:val="single"/>
        </w:rPr>
        <w:t>年</w:t>
      </w:r>
      <w:r>
        <w:rPr>
          <w:rFonts w:hint="eastAsia" w:ascii="宋体" w:hAnsi="宋体"/>
          <w:color w:val="auto"/>
          <w:highlight w:val="none"/>
          <w:u w:val="single"/>
          <w:lang w:val="en-US" w:eastAsia="zh-CN"/>
        </w:rPr>
        <w:t>7</w:t>
      </w:r>
      <w:r>
        <w:rPr>
          <w:rFonts w:hint="eastAsia" w:ascii="宋体" w:hAnsi="宋体"/>
          <w:color w:val="auto"/>
          <w:highlight w:val="none"/>
          <w:u w:val="single"/>
        </w:rPr>
        <w:t>月</w:t>
      </w:r>
      <w:r>
        <w:rPr>
          <w:rFonts w:hint="eastAsia" w:ascii="宋体" w:hAnsi="宋体"/>
          <w:color w:val="auto"/>
          <w:highlight w:val="none"/>
          <w:u w:val="single"/>
          <w:lang w:val="en-US" w:eastAsia="zh-CN"/>
        </w:rPr>
        <w:t>20</w:t>
      </w:r>
      <w:r>
        <w:rPr>
          <w:rFonts w:hint="eastAsia" w:ascii="宋体" w:hAnsi="宋体"/>
          <w:color w:val="auto"/>
          <w:highlight w:val="none"/>
          <w:u w:val="single"/>
        </w:rPr>
        <w:t>日</w:t>
      </w:r>
      <w:r>
        <w:rPr>
          <w:rFonts w:hint="eastAsia" w:ascii="宋体" w:hAnsi="宋体"/>
          <w:color w:val="auto"/>
          <w:highlight w:val="none"/>
          <w:u w:val="single"/>
          <w:lang w:val="en-US" w:eastAsia="zh-CN"/>
        </w:rPr>
        <w:t>单项合同金额≥ 167万元的电力</w:t>
      </w:r>
      <w:r>
        <w:rPr>
          <w:rFonts w:hint="eastAsia" w:eastAsia="宋体" w:cs="Times New Roman"/>
          <w:color w:val="auto"/>
          <w:highlight w:val="none"/>
          <w:u w:val="single"/>
          <w:lang w:eastAsia="zh-CN"/>
        </w:rPr>
        <w:t>工程施工</w:t>
      </w:r>
      <w:r>
        <w:rPr>
          <w:rFonts w:hint="eastAsia" w:eastAsia="宋体" w:cs="Times New Roman"/>
          <w:color w:val="auto"/>
          <w:highlight w:val="none"/>
          <w:u w:val="single"/>
          <w:lang w:val="en-US" w:eastAsia="zh-CN"/>
        </w:rPr>
        <w:t>业绩</w:t>
      </w:r>
      <w:r>
        <w:rPr>
          <w:rFonts w:hint="eastAsia" w:ascii="宋体" w:hAnsi="宋体"/>
          <w:color w:val="auto"/>
          <w:highlight w:val="none"/>
          <w:u w:val="single"/>
        </w:rPr>
        <w:t>。（</w:t>
      </w:r>
      <w:r>
        <w:rPr>
          <w:rFonts w:ascii="宋体" w:hAnsi="宋体"/>
          <w:color w:val="auto"/>
          <w:highlight w:val="none"/>
          <w:u w:val="single"/>
        </w:rPr>
        <w:t>须同时提供中标通知书、施工合同及竣工验收证明，并以竣工验收证明的时间为准</w:t>
      </w:r>
      <w:r>
        <w:rPr>
          <w:rFonts w:hint="eastAsia" w:ascii="宋体" w:hAnsi="宋体"/>
          <w:color w:val="auto"/>
          <w:highlight w:val="none"/>
          <w:u w:val="single"/>
        </w:rPr>
        <w:t>）</w:t>
      </w:r>
    </w:p>
    <w:p w14:paraId="75626CF0">
      <w:pPr>
        <w:adjustRightInd w:val="0"/>
        <w:snapToGrid w:val="0"/>
        <w:spacing w:line="360" w:lineRule="auto"/>
        <w:ind w:firstLine="424" w:firstLineChars="202"/>
        <w:rPr>
          <w:rFonts w:hint="eastAsia" w:ascii="宋体" w:hAnsi="宋体" w:cs="宋体"/>
          <w:color w:val="auto"/>
          <w:highlight w:val="none"/>
        </w:rPr>
      </w:pP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eq \o\ac(□,√)</w:instrText>
      </w:r>
      <w:r>
        <w:rPr>
          <w:rFonts w:ascii="宋体" w:hAnsi="宋体" w:cs="宋体"/>
          <w:color w:val="auto"/>
          <w:szCs w:val="21"/>
          <w:highlight w:val="none"/>
        </w:rPr>
        <w:fldChar w:fldCharType="end"/>
      </w:r>
      <w:r>
        <w:rPr>
          <w:rFonts w:hint="eastAsia" w:ascii="宋体" w:hAnsi="宋体" w:cs="宋体"/>
          <w:color w:val="auto"/>
          <w:szCs w:val="21"/>
          <w:highlight w:val="none"/>
        </w:rPr>
        <w:t xml:space="preserve"> 自</w:t>
      </w:r>
      <w:r>
        <w:rPr>
          <w:rFonts w:hint="eastAsia" w:ascii="宋体" w:hAnsi="宋体" w:cs="宋体"/>
          <w:color w:val="auto"/>
          <w:szCs w:val="21"/>
          <w:highlight w:val="none"/>
          <w:u w:val="single"/>
        </w:rPr>
        <w:t xml:space="preserve"> 20</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rPr>
        <w:t>月</w:t>
      </w:r>
      <w:r>
        <w:rPr>
          <w:rFonts w:hint="eastAsia" w:ascii="宋体" w:hAnsi="宋体" w:cs="宋体"/>
          <w:color w:val="auto"/>
          <w:szCs w:val="21"/>
          <w:highlight w:val="none"/>
          <w:u w:val="single"/>
          <w:lang w:val="en-US" w:eastAsia="zh-CN"/>
        </w:rPr>
        <w:t xml:space="preserve"> 20 </w:t>
      </w:r>
      <w:r>
        <w:rPr>
          <w:rFonts w:hint="eastAsia" w:ascii="宋体" w:hAnsi="宋体" w:cs="宋体"/>
          <w:color w:val="auto"/>
          <w:szCs w:val="21"/>
          <w:highlight w:val="none"/>
        </w:rPr>
        <w:t>日以来，</w:t>
      </w:r>
      <w:r>
        <w:rPr>
          <w:rFonts w:hint="eastAsia" w:ascii="宋体" w:hAnsi="宋体" w:cs="宋体"/>
          <w:color w:val="auto"/>
          <w:highlight w:val="none"/>
        </w:rPr>
        <w:t>企业和拟派项目负责人没有因串通投标、弄虚作假、以他人名义投标、骗取中标、转包、违法分包等违法行为受到建设等有关部门行政处罚的；</w:t>
      </w:r>
    </w:p>
    <w:p w14:paraId="0628B8E6">
      <w:pPr>
        <w:adjustRightInd w:val="0"/>
        <w:snapToGrid w:val="0"/>
        <w:spacing w:line="360" w:lineRule="auto"/>
        <w:ind w:firstLine="422" w:firstLineChars="201"/>
        <w:rPr>
          <w:rFonts w:hint="eastAsia" w:ascii="宋体" w:hAnsi="宋体" w:cs="宋体"/>
          <w:color w:val="auto"/>
          <w:highlight w:val="none"/>
        </w:rPr>
      </w:pP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eq \o\ac(□,√)</w:instrText>
      </w:r>
      <w:r>
        <w:rPr>
          <w:rFonts w:ascii="宋体" w:hAnsi="宋体" w:cs="宋体"/>
          <w:color w:val="auto"/>
          <w:szCs w:val="21"/>
          <w:highlight w:val="none"/>
        </w:rPr>
        <w:fldChar w:fldCharType="end"/>
      </w:r>
      <w:r>
        <w:rPr>
          <w:rFonts w:hint="eastAsia" w:ascii="宋体" w:hAnsi="宋体" w:cs="宋体"/>
          <w:color w:val="auto"/>
          <w:szCs w:val="21"/>
          <w:highlight w:val="none"/>
        </w:rPr>
        <w:t xml:space="preserve"> 自</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rPr>
        <w:t>月</w:t>
      </w:r>
      <w:r>
        <w:rPr>
          <w:rFonts w:hint="eastAsia" w:ascii="宋体" w:hAnsi="宋体" w:cs="宋体"/>
          <w:color w:val="auto"/>
          <w:szCs w:val="21"/>
          <w:highlight w:val="none"/>
          <w:u w:val="single"/>
          <w:lang w:val="en-US" w:eastAsia="zh-CN"/>
        </w:rPr>
        <w:t xml:space="preserve"> 20 </w:t>
      </w:r>
      <w:r>
        <w:rPr>
          <w:rFonts w:hint="eastAsia" w:ascii="宋体" w:hAnsi="宋体" w:cs="宋体"/>
          <w:color w:val="auto"/>
          <w:szCs w:val="21"/>
          <w:highlight w:val="none"/>
        </w:rPr>
        <w:t>日以来，</w:t>
      </w:r>
      <w:r>
        <w:rPr>
          <w:rFonts w:hint="eastAsia" w:ascii="宋体" w:hAnsi="宋体" w:cs="宋体"/>
          <w:color w:val="auto"/>
          <w:highlight w:val="none"/>
        </w:rPr>
        <w:t>企业没有无正当理由放弃中标资格（不含项目负责人多投多中后放弃）、不与招标人订立合同、拒不提供履约担保情形的；</w:t>
      </w:r>
    </w:p>
    <w:p w14:paraId="66648205">
      <w:pPr>
        <w:adjustRightInd w:val="0"/>
        <w:snapToGrid w:val="0"/>
        <w:spacing w:line="360" w:lineRule="auto"/>
        <w:ind w:firstLine="422" w:firstLineChars="201"/>
        <w:rPr>
          <w:rFonts w:hint="eastAsia" w:ascii="宋体" w:hAnsi="宋体" w:cs="宋体"/>
          <w:color w:val="auto"/>
          <w:highlight w:val="none"/>
        </w:rPr>
      </w:pP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eq \o\ac(□,√)</w:instrText>
      </w:r>
      <w:r>
        <w:rPr>
          <w:rFonts w:ascii="宋体" w:hAnsi="宋体" w:cs="宋体"/>
          <w:color w:val="auto"/>
          <w:szCs w:val="21"/>
          <w:highlight w:val="none"/>
        </w:rPr>
        <w:fldChar w:fldCharType="end"/>
      </w:r>
      <w:r>
        <w:rPr>
          <w:rFonts w:hint="eastAsia" w:ascii="宋体" w:hAnsi="宋体" w:cs="宋体"/>
          <w:color w:val="auto"/>
          <w:szCs w:val="21"/>
          <w:highlight w:val="none"/>
        </w:rPr>
        <w:t xml:space="preserve"> 自</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6</w:t>
      </w:r>
      <w:bookmarkStart w:id="29" w:name="_GoBack"/>
      <w:bookmarkEnd w:id="29"/>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 xml:space="preserve"> 4 </w:t>
      </w:r>
      <w:r>
        <w:rPr>
          <w:rFonts w:hint="eastAsia" w:ascii="宋体" w:hAnsi="宋体" w:cs="宋体"/>
          <w:color w:val="auto"/>
          <w:szCs w:val="21"/>
          <w:highlight w:val="none"/>
        </w:rPr>
        <w:t>月</w:t>
      </w:r>
      <w:r>
        <w:rPr>
          <w:rFonts w:hint="eastAsia" w:ascii="宋体" w:hAnsi="宋体" w:cs="宋体"/>
          <w:color w:val="auto"/>
          <w:szCs w:val="21"/>
          <w:highlight w:val="none"/>
          <w:u w:val="single"/>
          <w:lang w:val="en-US" w:eastAsia="zh-CN"/>
        </w:rPr>
        <w:t xml:space="preserve"> 20 </w:t>
      </w:r>
      <w:r>
        <w:rPr>
          <w:rFonts w:hint="eastAsia" w:ascii="宋体" w:hAnsi="宋体" w:cs="宋体"/>
          <w:color w:val="auto"/>
          <w:szCs w:val="21"/>
          <w:highlight w:val="none"/>
        </w:rPr>
        <w:t>日以来，</w:t>
      </w:r>
      <w:r>
        <w:rPr>
          <w:rFonts w:hint="eastAsia" w:ascii="宋体" w:hAnsi="宋体" w:cs="宋体"/>
          <w:color w:val="auto"/>
          <w:highlight w:val="none"/>
        </w:rPr>
        <w:t>企业没有因拖欠工人工资被招标项目所在地省、市、县（市、区）建设行政主管部门通报批评的；</w:t>
      </w:r>
    </w:p>
    <w:p w14:paraId="146EE9BF">
      <w:pPr>
        <w:adjustRightInd w:val="0"/>
        <w:snapToGrid w:val="0"/>
        <w:spacing w:line="360" w:lineRule="auto"/>
        <w:ind w:firstLine="422" w:firstLineChars="201"/>
        <w:rPr>
          <w:rFonts w:hint="eastAsia" w:ascii="宋体" w:hAnsi="宋体" w:cs="宋体"/>
          <w:color w:val="auto"/>
          <w:highlight w:val="none"/>
        </w:rPr>
      </w:pPr>
      <w:r>
        <w:rPr>
          <w:rFonts w:hint="eastAsia" w:ascii="宋体" w:hAnsi="宋体" w:cs="宋体"/>
          <w:color w:val="auto"/>
          <w:szCs w:val="21"/>
          <w:highlight w:val="none"/>
        </w:rPr>
        <w:t>□ 自</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日以来，</w:t>
      </w:r>
      <w:r>
        <w:rPr>
          <w:rFonts w:hint="eastAsia" w:ascii="宋体" w:hAnsi="宋体" w:cs="宋体"/>
          <w:color w:val="auto"/>
          <w:highlight w:val="none"/>
        </w:rPr>
        <w:t>投标人或者拟派项目负责人在招标人之前的工程中没有履约评价不合格的，履约评价不合格的名单如下：</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68E378FD">
      <w:pPr>
        <w:adjustRightInd w:val="0"/>
        <w:snapToGrid w:val="0"/>
        <w:spacing w:line="360" w:lineRule="auto"/>
        <w:rPr>
          <w:rFonts w:hint="eastAsia" w:ascii="Calibri" w:hAnsi="Calibri"/>
          <w:color w:val="auto"/>
          <w:szCs w:val="22"/>
          <w:highlight w:val="none"/>
        </w:rPr>
      </w:pPr>
      <w:r>
        <w:rPr>
          <w:rFonts w:hint="eastAsia" w:ascii="宋体" w:hAnsi="宋体" w:cs="宋体"/>
          <w:color w:val="auto"/>
          <w:highlight w:val="none"/>
        </w:rPr>
        <w:t xml:space="preserve">3.4 </w:t>
      </w:r>
      <w:r>
        <w:rPr>
          <w:rFonts w:hint="eastAsia" w:ascii="Calibri" w:hAnsi="Calibri"/>
          <w:color w:val="auto"/>
          <w:szCs w:val="22"/>
          <w:highlight w:val="none"/>
        </w:rPr>
        <w:t>投标人不</w:t>
      </w:r>
      <w:r>
        <w:rPr>
          <w:rFonts w:hint="eastAsia" w:ascii="宋体" w:hAnsi="宋体" w:cs="宋体"/>
          <w:color w:val="auto"/>
          <w:highlight w:val="none"/>
        </w:rPr>
        <w:t>得有招标文件第二章投标人须知第1.4.3项规定的情形。</w:t>
      </w:r>
    </w:p>
    <w:p w14:paraId="3522E704">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3.5 本次招标</w:t>
      </w:r>
      <w:r>
        <w:rPr>
          <w:rFonts w:hint="eastAsia" w:ascii="宋体" w:hAnsi="宋体" w:cs="宋体"/>
          <w:color w:val="auto"/>
          <w:highlight w:val="none"/>
          <w:u w:val="single"/>
        </w:rPr>
        <w:t xml:space="preserve">  不接受  </w:t>
      </w:r>
      <w:r>
        <w:rPr>
          <w:rFonts w:hint="eastAsia" w:ascii="宋体" w:hAnsi="宋体" w:cs="宋体"/>
          <w:color w:val="auto"/>
          <w:highlight w:val="none"/>
        </w:rPr>
        <w:t>（接受/不接受）联合体投标。</w:t>
      </w:r>
    </w:p>
    <w:p w14:paraId="24DA532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highlight w:val="none"/>
        </w:rPr>
        <w:t>采用联合体投标的，应满足招标文件第二章投标人须知第1.4.2项的规定。</w:t>
      </w:r>
    </w:p>
    <w:p w14:paraId="528A3091">
      <w:pPr>
        <w:pStyle w:val="3"/>
        <w:adjustRightInd w:val="0"/>
        <w:snapToGrid w:val="0"/>
        <w:spacing w:before="0" w:after="0" w:line="360" w:lineRule="auto"/>
        <w:rPr>
          <w:rFonts w:hint="eastAsia" w:ascii="宋体" w:hAnsi="宋体" w:eastAsia="宋体" w:cs="宋体"/>
          <w:color w:val="auto"/>
          <w:highlight w:val="none"/>
        </w:rPr>
      </w:pPr>
      <w:bookmarkStart w:id="10" w:name="_Toc389065125"/>
      <w:bookmarkStart w:id="11" w:name="_Toc28001"/>
      <w:bookmarkStart w:id="12" w:name="_Toc49175908"/>
      <w:r>
        <w:rPr>
          <w:rFonts w:hint="eastAsia" w:ascii="宋体" w:hAnsi="宋体" w:eastAsia="宋体" w:cs="宋体"/>
          <w:color w:val="auto"/>
          <w:highlight w:val="none"/>
        </w:rPr>
        <w:t xml:space="preserve">4. </w:t>
      </w:r>
      <w:bookmarkEnd w:id="10"/>
      <w:bookmarkStart w:id="13" w:name="_Toc389065126"/>
      <w:r>
        <w:rPr>
          <w:rFonts w:hint="eastAsia" w:ascii="宋体" w:hAnsi="宋体" w:eastAsia="宋体" w:cs="宋体"/>
          <w:color w:val="auto"/>
          <w:highlight w:val="none"/>
        </w:rPr>
        <w:t>招标文件的获取</w:t>
      </w:r>
      <w:bookmarkEnd w:id="11"/>
      <w:bookmarkEnd w:id="12"/>
      <w:bookmarkEnd w:id="13"/>
    </w:p>
    <w:p w14:paraId="10A29155">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4.1招标文件获取时间为：</w:t>
      </w:r>
      <w:r>
        <w:rPr>
          <w:rFonts w:hint="eastAsia" w:ascii="宋体" w:hAnsi="宋体" w:cs="宋体"/>
          <w:color w:val="auto"/>
          <w:kern w:val="0"/>
          <w:szCs w:val="21"/>
          <w:highlight w:val="none"/>
          <w:u w:val="single"/>
        </w:rPr>
        <w:t>202</w:t>
      </w:r>
      <w:r>
        <w:rPr>
          <w:rFonts w:hint="eastAsia" w:ascii="宋体" w:hAnsi="宋体" w:cs="宋体"/>
          <w:color w:val="auto"/>
          <w:kern w:val="0"/>
          <w:szCs w:val="21"/>
          <w:highlight w:val="none"/>
          <w:u w:val="single"/>
          <w:lang w:val="en-US" w:eastAsia="zh-CN"/>
        </w:rPr>
        <w:t>6</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lang w:val="en-US" w:eastAsia="zh-CN"/>
        </w:rPr>
        <w:t xml:space="preserve"> 7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lang w:val="en-US" w:eastAsia="zh-CN"/>
        </w:rPr>
        <w:t xml:space="preserve"> 20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lang w:val="en-US" w:eastAsia="zh-CN"/>
        </w:rPr>
        <w:t>9</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rPr>
        <w:t>分至</w:t>
      </w:r>
      <w:r>
        <w:rPr>
          <w:rFonts w:hint="eastAsia" w:ascii="宋体" w:hAnsi="宋体" w:cs="宋体"/>
          <w:color w:val="auto"/>
          <w:kern w:val="0"/>
          <w:szCs w:val="21"/>
          <w:highlight w:val="none"/>
          <w:u w:val="single"/>
        </w:rPr>
        <w:t>202</w:t>
      </w:r>
      <w:r>
        <w:rPr>
          <w:rFonts w:hint="eastAsia" w:ascii="宋体" w:hAnsi="宋体" w:cs="宋体"/>
          <w:color w:val="auto"/>
          <w:kern w:val="0"/>
          <w:szCs w:val="21"/>
          <w:highlight w:val="none"/>
          <w:u w:val="single"/>
          <w:lang w:val="en-US" w:eastAsia="zh-CN"/>
        </w:rPr>
        <w:t>6</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lang w:val="en-US" w:eastAsia="zh-CN"/>
        </w:rPr>
        <w:t xml:space="preserve"> 7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lang w:val="en-US" w:eastAsia="zh-CN"/>
        </w:rPr>
        <w:t xml:space="preserve"> 27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lang w:val="en-US" w:eastAsia="zh-CN"/>
        </w:rPr>
        <w:t>24</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rPr>
        <w:t>分</w:t>
      </w:r>
      <w:r>
        <w:rPr>
          <w:rFonts w:hint="eastAsia" w:ascii="宋体" w:hAnsi="宋体" w:cs="宋体"/>
          <w:color w:val="auto"/>
          <w:kern w:val="0"/>
          <w:szCs w:val="21"/>
          <w:highlight w:val="none"/>
        </w:rPr>
        <w:t xml:space="preserve">； </w:t>
      </w:r>
    </w:p>
    <w:p w14:paraId="30B186AE">
      <w:pPr>
        <w:adjustRightInd w:val="0"/>
        <w:snapToGrid w:val="0"/>
        <w:spacing w:line="360" w:lineRule="auto"/>
        <w:ind w:firstLine="420" w:firstLineChars="200"/>
        <w:rPr>
          <w:rFonts w:hint="eastAsia" w:ascii="宋体" w:hAnsi="宋体" w:eastAsia="宋体" w:cs="宋体"/>
          <w:color w:val="auto"/>
          <w:kern w:val="0"/>
          <w:szCs w:val="21"/>
          <w:highlight w:val="none"/>
        </w:rPr>
      </w:pPr>
      <w:bookmarkStart w:id="14" w:name="_Toc389065127"/>
      <w:bookmarkStart w:id="15" w:name="_Toc49175909"/>
      <w:r>
        <w:rPr>
          <w:rFonts w:hint="eastAsia" w:ascii="宋体" w:hAnsi="宋体" w:eastAsia="宋体" w:cs="宋体"/>
          <w:color w:val="auto"/>
          <w:kern w:val="0"/>
          <w:szCs w:val="21"/>
          <w:highlight w:val="none"/>
        </w:rPr>
        <w:t>4.2招标文件获取方式：请投标申请人至“江阴市公共资源电子交易平台综合交易（乡镇）平台（http://www.jiangyin.gov.cn/ggzy/zhjyxz/index.shtml)”使用“江苏CA数字证书”会员系统登录获取。</w:t>
      </w:r>
    </w:p>
    <w:p w14:paraId="14606D88">
      <w:pPr>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4.3招标文件每套售价</w:t>
      </w:r>
      <w:r>
        <w:rPr>
          <w:rFonts w:hint="eastAsia" w:ascii="宋体" w:hAnsi="宋体" w:eastAsia="宋体" w:cs="宋体"/>
          <w:color w:val="auto"/>
          <w:kern w:val="0"/>
          <w:szCs w:val="21"/>
          <w:highlight w:val="none"/>
          <w:u w:val="single"/>
        </w:rPr>
        <w:t> 100 </w:t>
      </w:r>
      <w:r>
        <w:rPr>
          <w:rFonts w:hint="eastAsia" w:ascii="宋体" w:hAnsi="宋体" w:eastAsia="宋体" w:cs="宋体"/>
          <w:color w:val="auto"/>
          <w:kern w:val="0"/>
          <w:szCs w:val="21"/>
          <w:highlight w:val="none"/>
        </w:rPr>
        <w:t>元，投标人通过会员系统内网上支付方式支付。</w:t>
      </w:r>
    </w:p>
    <w:p w14:paraId="32E5CD98">
      <w:pPr>
        <w:pStyle w:val="3"/>
        <w:adjustRightInd w:val="0"/>
        <w:snapToGrid w:val="0"/>
        <w:spacing w:before="0" w:after="0" w:line="360" w:lineRule="auto"/>
        <w:rPr>
          <w:rFonts w:hint="eastAsia" w:ascii="宋体" w:hAnsi="宋体" w:eastAsia="宋体" w:cs="宋体"/>
          <w:b/>
          <w:bCs/>
          <w:color w:val="auto"/>
          <w:highlight w:val="none"/>
          <w:lang w:val="en-US" w:eastAsia="zh-CN"/>
        </w:rPr>
      </w:pPr>
      <w:bookmarkStart w:id="16" w:name="_Toc23242"/>
      <w:r>
        <w:rPr>
          <w:rFonts w:hint="eastAsia" w:ascii="宋体" w:hAnsi="宋体" w:eastAsia="宋体" w:cs="宋体"/>
          <w:b/>
          <w:bCs/>
          <w:color w:val="auto"/>
          <w:highlight w:val="none"/>
          <w:lang w:val="en-US" w:eastAsia="zh-CN"/>
        </w:rPr>
        <w:t>5、投标保证金</w:t>
      </w:r>
      <w:bookmarkEnd w:id="16"/>
    </w:p>
    <w:p w14:paraId="043A529A">
      <w:pPr>
        <w:topLinePunct/>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5.1投标保证金的形式：</w:t>
      </w:r>
      <w:r>
        <w:rPr>
          <w:rFonts w:hint="eastAsia" w:ascii="宋体" w:hAnsi="宋体" w:eastAsia="宋体" w:cs="宋体"/>
          <w:color w:val="auto"/>
          <w:szCs w:val="21"/>
          <w:highlight w:val="none"/>
          <w:lang w:val="en-US" w:eastAsia="zh-CN"/>
        </w:rPr>
        <w:t>网银转账、电汇</w:t>
      </w:r>
      <w:r>
        <w:rPr>
          <w:rFonts w:hint="eastAsia" w:ascii="宋体" w:hAnsi="宋体" w:cs="宋体"/>
          <w:b/>
          <w:szCs w:val="21"/>
          <w:highlight w:val="none"/>
        </w:rPr>
        <w:t>【</w:t>
      </w:r>
      <w:r>
        <w:rPr>
          <w:rFonts w:hint="eastAsia" w:ascii="宋体" w:hAnsi="宋体" w:eastAsia="宋体" w:cs="宋体"/>
          <w:color w:val="auto"/>
          <w:szCs w:val="21"/>
          <w:highlight w:val="none"/>
          <w:lang w:val="en-US" w:eastAsia="zh-CN"/>
        </w:rPr>
        <w:t>必须是投标人从企业注册所在地的基本账户以银行转账的方式一次性足额转入（其他方式如：银行本票、银行汇票、现金、个人账户、一般账户汇款均视为无效保证金，未按要求缴纳的投标文件予以否决。）】</w:t>
      </w:r>
    </w:p>
    <w:p w14:paraId="2B3F817E">
      <w:pPr>
        <w:topLinePunct/>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5.2投标保证金的金额：人民币</w:t>
      </w:r>
      <w:r>
        <w:rPr>
          <w:rFonts w:hint="eastAsia" w:ascii="宋体" w:hAnsi="宋体" w:eastAsia="宋体" w:cs="宋体"/>
          <w:color w:val="auto"/>
          <w:szCs w:val="21"/>
          <w:highlight w:val="none"/>
          <w:u w:val="single"/>
          <w:lang w:val="en-US" w:eastAsia="zh-CN"/>
        </w:rPr>
        <w:t xml:space="preserve">  叁万  </w:t>
      </w:r>
      <w:r>
        <w:rPr>
          <w:rFonts w:hint="eastAsia" w:ascii="宋体" w:hAnsi="宋体" w:eastAsia="宋体" w:cs="宋体"/>
          <w:color w:val="auto"/>
          <w:szCs w:val="21"/>
          <w:highlight w:val="none"/>
          <w:lang w:val="en-US" w:eastAsia="zh-CN"/>
        </w:rPr>
        <w:t xml:space="preserve"> 元</w:t>
      </w:r>
    </w:p>
    <w:p w14:paraId="1E25AE9B">
      <w:pPr>
        <w:topLinePunct/>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5.3保证金形式详见招标文件第二章</w:t>
      </w:r>
    </w:p>
    <w:p w14:paraId="6D8EEECF">
      <w:pPr>
        <w:pStyle w:val="3"/>
        <w:adjustRightInd w:val="0"/>
        <w:snapToGrid w:val="0"/>
        <w:spacing w:before="0" w:after="0" w:line="360" w:lineRule="auto"/>
        <w:rPr>
          <w:rFonts w:hint="eastAsia" w:ascii="宋体" w:hAnsi="宋体" w:eastAsia="宋体" w:cs="宋体"/>
          <w:highlight w:val="none"/>
        </w:rPr>
      </w:pPr>
      <w:bookmarkStart w:id="17" w:name="_Toc29252"/>
      <w:r>
        <w:rPr>
          <w:rFonts w:hint="eastAsia" w:ascii="宋体" w:hAnsi="宋体" w:eastAsia="宋体" w:cs="宋体"/>
          <w:highlight w:val="none"/>
          <w:lang w:val="en-US" w:eastAsia="zh-CN"/>
        </w:rPr>
        <w:t>6</w:t>
      </w:r>
      <w:r>
        <w:rPr>
          <w:rFonts w:hint="eastAsia" w:ascii="宋体" w:hAnsi="宋体" w:eastAsia="宋体" w:cs="宋体"/>
          <w:highlight w:val="none"/>
        </w:rPr>
        <w:t>. 投标</w:t>
      </w:r>
      <w:bookmarkEnd w:id="14"/>
      <w:r>
        <w:rPr>
          <w:rFonts w:hint="eastAsia" w:ascii="宋体" w:hAnsi="宋体" w:eastAsia="宋体" w:cs="宋体"/>
          <w:highlight w:val="none"/>
        </w:rPr>
        <w:t>截止时间</w:t>
      </w:r>
      <w:bookmarkEnd w:id="15"/>
      <w:bookmarkEnd w:id="17"/>
    </w:p>
    <w:p w14:paraId="505A4AF7">
      <w:pPr>
        <w:adjustRightInd w:val="0"/>
        <w:snapToGrid w:val="0"/>
        <w:spacing w:line="360" w:lineRule="auto"/>
        <w:ind w:firstLine="420" w:firstLineChars="200"/>
        <w:rPr>
          <w:rFonts w:hint="eastAsia" w:ascii="宋体" w:hAnsi="宋体" w:cs="宋体"/>
          <w:szCs w:val="21"/>
          <w:highlight w:val="none"/>
        </w:rPr>
      </w:pPr>
      <w:bookmarkStart w:id="18" w:name="_Toc389065128"/>
      <w:r>
        <w:rPr>
          <w:rFonts w:hint="eastAsia" w:ascii="宋体" w:hAnsi="宋体" w:cs="宋体"/>
          <w:szCs w:val="21"/>
          <w:highlight w:val="none"/>
          <w:lang w:val="en-US" w:eastAsia="zh-CN"/>
        </w:rPr>
        <w:t>6</w:t>
      </w:r>
      <w:r>
        <w:rPr>
          <w:rFonts w:hint="eastAsia" w:ascii="宋体" w:hAnsi="宋体" w:cs="宋体"/>
          <w:szCs w:val="21"/>
          <w:highlight w:val="none"/>
        </w:rPr>
        <w:t>.1 投标截止时间为</w:t>
      </w:r>
      <w:r>
        <w:rPr>
          <w:rFonts w:hint="eastAsia" w:ascii="宋体" w:hAnsi="宋体" w:cs="宋体"/>
          <w:kern w:val="0"/>
          <w:szCs w:val="21"/>
          <w:highlight w:val="none"/>
        </w:rPr>
        <w:t xml:space="preserve"> ：</w:t>
      </w:r>
      <w:r>
        <w:rPr>
          <w:rFonts w:hint="eastAsia" w:ascii="宋体" w:hAnsi="宋体" w:cs="宋体"/>
          <w:color w:val="FF0000"/>
          <w:szCs w:val="21"/>
          <w:highlight w:val="none"/>
          <w:u w:val="single"/>
        </w:rPr>
        <w:t>202</w:t>
      </w:r>
      <w:r>
        <w:rPr>
          <w:rFonts w:hint="eastAsia" w:ascii="宋体" w:hAnsi="宋体" w:cs="宋体"/>
          <w:color w:val="FF0000"/>
          <w:szCs w:val="21"/>
          <w:highlight w:val="none"/>
          <w:u w:val="single"/>
          <w:lang w:val="en-US" w:eastAsia="zh-CN"/>
        </w:rPr>
        <w:t>6</w:t>
      </w:r>
      <w:r>
        <w:rPr>
          <w:rFonts w:hint="eastAsia" w:ascii="宋体" w:hAnsi="宋体" w:cs="宋体"/>
          <w:color w:val="FF0000"/>
          <w:szCs w:val="21"/>
          <w:highlight w:val="none"/>
        </w:rPr>
        <w:t>年</w:t>
      </w:r>
      <w:r>
        <w:rPr>
          <w:rFonts w:hint="eastAsia" w:ascii="宋体" w:hAnsi="宋体" w:cs="宋体"/>
          <w:color w:val="FF0000"/>
          <w:szCs w:val="21"/>
          <w:highlight w:val="none"/>
          <w:u w:val="single"/>
          <w:lang w:val="en-US" w:eastAsia="zh-CN"/>
        </w:rPr>
        <w:t xml:space="preserve"> 8 </w:t>
      </w:r>
      <w:r>
        <w:rPr>
          <w:rFonts w:hint="eastAsia" w:ascii="宋体" w:hAnsi="宋体" w:cs="宋体"/>
          <w:color w:val="FF0000"/>
          <w:szCs w:val="21"/>
          <w:highlight w:val="none"/>
        </w:rPr>
        <w:t>月</w:t>
      </w:r>
      <w:r>
        <w:rPr>
          <w:rFonts w:hint="eastAsia" w:ascii="宋体" w:hAnsi="宋体" w:cs="宋体"/>
          <w:color w:val="FF0000"/>
          <w:szCs w:val="21"/>
          <w:highlight w:val="none"/>
          <w:u w:val="single"/>
          <w:lang w:val="en-US" w:eastAsia="zh-CN"/>
        </w:rPr>
        <w:t xml:space="preserve"> 10 </w:t>
      </w:r>
      <w:r>
        <w:rPr>
          <w:rFonts w:hint="eastAsia" w:ascii="宋体" w:hAnsi="宋体" w:cs="宋体"/>
          <w:color w:val="FF0000"/>
          <w:szCs w:val="21"/>
          <w:highlight w:val="none"/>
        </w:rPr>
        <w:t>日</w:t>
      </w:r>
      <w:r>
        <w:rPr>
          <w:rFonts w:hint="eastAsia" w:ascii="宋体" w:hAnsi="宋体" w:cs="宋体"/>
          <w:color w:val="FF0000"/>
          <w:szCs w:val="21"/>
          <w:highlight w:val="none"/>
          <w:u w:val="single"/>
          <w:lang w:val="en-US" w:eastAsia="zh-CN"/>
        </w:rPr>
        <w:t>14</w:t>
      </w:r>
      <w:r>
        <w:rPr>
          <w:rFonts w:hint="eastAsia" w:ascii="宋体" w:hAnsi="宋体" w:cs="宋体"/>
          <w:color w:val="FF0000"/>
          <w:szCs w:val="21"/>
          <w:highlight w:val="none"/>
        </w:rPr>
        <w:t>时</w:t>
      </w:r>
      <w:r>
        <w:rPr>
          <w:rFonts w:hint="eastAsia" w:ascii="宋体" w:hAnsi="宋体" w:cs="宋体"/>
          <w:color w:val="FF0000"/>
          <w:szCs w:val="21"/>
          <w:highlight w:val="none"/>
          <w:u w:val="single"/>
          <w:lang w:val="en-US" w:eastAsia="zh-CN"/>
        </w:rPr>
        <w:t>00</w:t>
      </w:r>
      <w:r>
        <w:rPr>
          <w:rFonts w:hint="eastAsia" w:ascii="宋体" w:hAnsi="宋体" w:cs="宋体"/>
          <w:color w:val="FF0000"/>
          <w:szCs w:val="21"/>
          <w:highlight w:val="none"/>
        </w:rPr>
        <w:t>分。</w:t>
      </w:r>
      <w:r>
        <w:rPr>
          <w:rFonts w:hint="eastAsia" w:ascii="宋体" w:hAnsi="宋体" w:cs="宋体"/>
          <w:color w:val="FF0000"/>
          <w:szCs w:val="21"/>
          <w:highlight w:val="none"/>
        </w:rPr>
        <w:t xml:space="preserve"> </w:t>
      </w:r>
    </w:p>
    <w:p w14:paraId="2CB4CDDE">
      <w:pPr>
        <w:topLinePunct/>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投标文件递交地点：</w:t>
      </w:r>
      <w:r>
        <w:rPr>
          <w:rFonts w:hint="eastAsia" w:ascii="宋体" w:hAnsi="宋体" w:eastAsia="宋体" w:cs="宋体"/>
          <w:color w:val="auto"/>
          <w:sz w:val="21"/>
          <w:szCs w:val="21"/>
          <w:highlight w:val="none"/>
          <w:u w:val="single"/>
          <w:shd w:val="clear" w:color="auto" w:fill="FFFFFF"/>
          <w:lang w:eastAsia="zh-CN"/>
        </w:rPr>
        <w:t>江阴市长江路218号（名都国际12B13室）</w:t>
      </w:r>
      <w:r>
        <w:rPr>
          <w:rFonts w:hint="eastAsia" w:ascii="宋体" w:hAnsi="宋体" w:cs="宋体"/>
          <w:color w:val="auto"/>
          <w:szCs w:val="21"/>
          <w:highlight w:val="none"/>
        </w:rPr>
        <w:t>。</w:t>
      </w:r>
    </w:p>
    <w:p w14:paraId="0520DF63">
      <w:pPr>
        <w:pStyle w:val="3"/>
        <w:adjustRightInd w:val="0"/>
        <w:snapToGrid w:val="0"/>
        <w:spacing w:before="0" w:after="0" w:line="360" w:lineRule="auto"/>
        <w:rPr>
          <w:rFonts w:hint="eastAsia" w:ascii="宋体" w:hAnsi="宋体" w:eastAsia="宋体" w:cs="宋体"/>
          <w:highlight w:val="none"/>
        </w:rPr>
      </w:pPr>
      <w:bookmarkStart w:id="19" w:name="_Toc17765"/>
      <w:bookmarkStart w:id="20" w:name="_Toc49175910"/>
      <w:r>
        <w:rPr>
          <w:rFonts w:hint="eastAsia" w:ascii="宋体" w:hAnsi="宋体" w:eastAsia="宋体" w:cs="宋体"/>
          <w:highlight w:val="none"/>
          <w:lang w:val="en-US" w:eastAsia="zh-CN"/>
        </w:rPr>
        <w:t>7</w:t>
      </w:r>
      <w:r>
        <w:rPr>
          <w:rFonts w:hint="eastAsia" w:ascii="宋体" w:hAnsi="宋体" w:eastAsia="宋体" w:cs="宋体"/>
          <w:highlight w:val="none"/>
        </w:rPr>
        <w:t>. 资格审查</w:t>
      </w:r>
      <w:bookmarkEnd w:id="19"/>
      <w:bookmarkEnd w:id="20"/>
    </w:p>
    <w:p w14:paraId="39563764">
      <w:pPr>
        <w:topLinePunct/>
        <w:adjustRightInd w:val="0"/>
        <w:snapToGrid w:val="0"/>
        <w:spacing w:line="360" w:lineRule="auto"/>
        <w:ind w:firstLine="424" w:firstLineChars="202"/>
        <w:rPr>
          <w:rFonts w:hint="eastAsia" w:ascii="宋体" w:hAnsi="宋体" w:cs="宋体"/>
          <w:szCs w:val="21"/>
          <w:highlight w:val="none"/>
        </w:rPr>
      </w:pPr>
      <w:r>
        <w:rPr>
          <w:rFonts w:hint="eastAsia" w:ascii="宋体" w:hAnsi="宋体" w:cs="宋体"/>
          <w:szCs w:val="21"/>
          <w:highlight w:val="none"/>
        </w:rPr>
        <w:t xml:space="preserve">本次招标采用资格后审方式进行资格审查，资格评审标准详见招标文件第三章。   </w:t>
      </w:r>
    </w:p>
    <w:p w14:paraId="2CC9CF87">
      <w:pPr>
        <w:pStyle w:val="3"/>
        <w:adjustRightInd w:val="0"/>
        <w:snapToGrid w:val="0"/>
        <w:spacing w:before="0" w:after="0" w:line="360" w:lineRule="auto"/>
        <w:rPr>
          <w:rFonts w:hint="eastAsia" w:ascii="宋体" w:hAnsi="宋体" w:eastAsia="宋体" w:cs="宋体"/>
          <w:highlight w:val="none"/>
        </w:rPr>
      </w:pPr>
      <w:bookmarkStart w:id="21" w:name="_Toc49175911"/>
      <w:bookmarkStart w:id="22" w:name="_Toc5451"/>
      <w:r>
        <w:rPr>
          <w:rFonts w:hint="eastAsia" w:ascii="宋体" w:hAnsi="宋体" w:eastAsia="宋体" w:cs="宋体"/>
          <w:highlight w:val="none"/>
          <w:lang w:val="en-US" w:eastAsia="zh-CN"/>
        </w:rPr>
        <w:t>8</w:t>
      </w:r>
      <w:r>
        <w:rPr>
          <w:rFonts w:hint="eastAsia" w:ascii="宋体" w:hAnsi="宋体" w:eastAsia="宋体" w:cs="宋体"/>
          <w:highlight w:val="none"/>
        </w:rPr>
        <w:t>. 评标</w:t>
      </w:r>
      <w:bookmarkEnd w:id="18"/>
      <w:r>
        <w:rPr>
          <w:rFonts w:hint="eastAsia" w:ascii="宋体" w:hAnsi="宋体" w:eastAsia="宋体" w:cs="宋体"/>
          <w:highlight w:val="none"/>
        </w:rPr>
        <w:t>方法</w:t>
      </w:r>
      <w:bookmarkEnd w:id="21"/>
      <w:bookmarkEnd w:id="22"/>
    </w:p>
    <w:p w14:paraId="03FC18E4">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本次招标采用</w:t>
      </w:r>
      <w:r>
        <w:rPr>
          <w:rFonts w:hint="eastAsia" w:ascii="宋体" w:hAnsi="宋体" w:cs="宋体"/>
          <w:szCs w:val="21"/>
          <w:highlight w:val="none"/>
          <w:u w:val="single"/>
        </w:rPr>
        <w:t xml:space="preserve"> 综合评估法（二阶段） </w:t>
      </w:r>
      <w:r>
        <w:rPr>
          <w:rFonts w:hint="eastAsia" w:ascii="宋体" w:hAnsi="宋体" w:cs="宋体"/>
          <w:szCs w:val="21"/>
          <w:highlight w:val="none"/>
        </w:rPr>
        <w:t>，评标标准和方法详见招标文件第三章。</w:t>
      </w:r>
    </w:p>
    <w:p w14:paraId="7234691F">
      <w:pPr>
        <w:pStyle w:val="3"/>
        <w:numPr>
          <w:ilvl w:val="0"/>
          <w:numId w:val="0"/>
        </w:numPr>
        <w:adjustRightInd w:val="0"/>
        <w:snapToGrid w:val="0"/>
        <w:spacing w:before="0" w:after="0" w:line="360" w:lineRule="auto"/>
        <w:rPr>
          <w:rFonts w:hint="eastAsia" w:ascii="宋体" w:hAnsi="宋体" w:eastAsia="宋体" w:cs="宋体"/>
          <w:highlight w:val="none"/>
        </w:rPr>
      </w:pPr>
      <w:bookmarkStart w:id="23" w:name="_Toc49175912"/>
      <w:bookmarkStart w:id="24" w:name="_Toc18412"/>
      <w:r>
        <w:rPr>
          <w:rFonts w:hint="eastAsia" w:ascii="宋体" w:hAnsi="宋体" w:eastAsia="宋体" w:cs="宋体"/>
          <w:b/>
          <w:bCs/>
          <w:kern w:val="2"/>
          <w:sz w:val="21"/>
          <w:szCs w:val="32"/>
          <w:highlight w:val="none"/>
          <w:lang w:val="en-US" w:eastAsia="zh-CN" w:bidi="ar-SA"/>
        </w:rPr>
        <w:t>9.</w:t>
      </w:r>
      <w:r>
        <w:rPr>
          <w:rFonts w:hint="eastAsia" w:ascii="宋体" w:hAnsi="宋体" w:eastAsia="宋体" w:cs="宋体"/>
          <w:highlight w:val="none"/>
        </w:rPr>
        <w:t>发布公告的媒介</w:t>
      </w:r>
      <w:bookmarkEnd w:id="23"/>
      <w:bookmarkEnd w:id="24"/>
    </w:p>
    <w:p w14:paraId="377D7DD3">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本次招标公告在“江阴市公共资源电子交易平台综合交易（乡镇）平台http://www.jiangyin.gov.cn/ggzy/zhjyxz/index.shtml”平台发布。</w:t>
      </w:r>
    </w:p>
    <w:p w14:paraId="704F75FA">
      <w:pPr>
        <w:numPr>
          <w:ilvl w:val="0"/>
          <w:numId w:val="0"/>
        </w:numPr>
        <w:adjustRightInd w:val="0"/>
        <w:snapToGrid w:val="0"/>
        <w:spacing w:line="360" w:lineRule="auto"/>
        <w:ind w:left="0" w:leftChars="0" w:firstLine="0" w:firstLineChars="0"/>
        <w:rPr>
          <w:rFonts w:hint="eastAsia" w:ascii="宋体" w:hAnsi="宋体" w:cs="宋体"/>
          <w:b/>
          <w:bCs/>
          <w:szCs w:val="32"/>
          <w:highlight w:val="none"/>
        </w:rPr>
      </w:pPr>
      <w:r>
        <w:rPr>
          <w:rFonts w:hint="eastAsia" w:ascii="宋体" w:hAnsi="宋体" w:cs="宋体"/>
          <w:b/>
          <w:bCs/>
          <w:kern w:val="2"/>
          <w:sz w:val="21"/>
          <w:szCs w:val="32"/>
          <w:highlight w:val="none"/>
          <w:lang w:val="en-US" w:eastAsia="zh-CN" w:bidi="ar-SA"/>
        </w:rPr>
        <w:t>9.</w:t>
      </w:r>
      <w:r>
        <w:rPr>
          <w:rFonts w:hint="eastAsia" w:ascii="宋体" w:hAnsi="宋体" w:cs="宋体"/>
          <w:b/>
          <w:bCs/>
          <w:szCs w:val="32"/>
          <w:highlight w:val="none"/>
        </w:rPr>
        <w:t>其他</w:t>
      </w:r>
    </w:p>
    <w:p w14:paraId="192E677A">
      <w:pPr>
        <w:numPr>
          <w:ilvl w:val="0"/>
          <w:numId w:val="0"/>
        </w:numPr>
        <w:adjustRightInd w:val="0"/>
        <w:snapToGrid w:val="0"/>
        <w:spacing w:before="0" w:after="0" w:line="360" w:lineRule="auto"/>
        <w:outlineLvl w:val="9"/>
        <w:rPr>
          <w:rFonts w:hint="eastAsia" w:ascii="宋体" w:hAnsi="宋体" w:eastAsia="宋体" w:cs="宋体"/>
          <w:b/>
          <w:bCs/>
          <w:highlight w:val="none"/>
        </w:rPr>
      </w:pPr>
      <w:bookmarkStart w:id="25" w:name="_Toc32718"/>
      <w:bookmarkStart w:id="26" w:name="_Toc389065130"/>
      <w:bookmarkStart w:id="27" w:name="_Toc63066512"/>
      <w:r>
        <w:rPr>
          <w:rFonts w:hint="eastAsia" w:ascii="宋体" w:hAnsi="宋体" w:eastAsia="宋体" w:cs="宋体"/>
          <w:b/>
          <w:bCs/>
          <w:highlight w:val="none"/>
        </w:rPr>
        <w:t>（1）所有投标人和项目负责人在开标前必须通过江阴市公共资源交易中心网（http://221.228.70.71/TPBidder/memberframe/FrameAll）办理好企业库信息申报和更新。</w:t>
      </w:r>
    </w:p>
    <w:p w14:paraId="496E6551">
      <w:pPr>
        <w:numPr>
          <w:ilvl w:val="0"/>
          <w:numId w:val="0"/>
        </w:numPr>
        <w:adjustRightInd w:val="0"/>
        <w:snapToGrid w:val="0"/>
        <w:spacing w:before="0" w:after="0" w:line="360" w:lineRule="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（3）项目负责人须参加本工程开标会议。</w:t>
      </w:r>
    </w:p>
    <w:p w14:paraId="60AD39E9">
      <w:pPr>
        <w:numPr>
          <w:ilvl w:val="0"/>
          <w:numId w:val="0"/>
        </w:numPr>
        <w:adjustRightInd w:val="0"/>
        <w:snapToGrid w:val="0"/>
        <w:spacing w:before="0" w:after="0" w:line="360" w:lineRule="auto"/>
        <w:outlineLvl w:val="9"/>
        <w:rPr>
          <w:rFonts w:hint="eastAsia" w:ascii="宋体" w:hAnsi="宋体" w:eastAsia="宋体" w:cs="宋体"/>
          <w:b/>
          <w:bCs/>
          <w:highlight w:val="none"/>
        </w:rPr>
      </w:pPr>
      <w:r>
        <w:rPr>
          <w:rFonts w:hint="eastAsia" w:ascii="宋体" w:hAnsi="宋体" w:eastAsia="宋体" w:cs="宋体"/>
          <w:b/>
          <w:bCs/>
          <w:highlight w:val="none"/>
        </w:rPr>
        <w:t>（</w:t>
      </w:r>
      <w:r>
        <w:rPr>
          <w:rFonts w:hint="eastAsia" w:ascii="宋体" w:hAnsi="宋体" w:eastAsia="宋体" w:cs="宋体"/>
          <w:b/>
          <w:bCs/>
          <w:highlight w:val="none"/>
          <w:lang w:val="en-US" w:eastAsia="zh-CN"/>
        </w:rPr>
        <w:t>4</w:t>
      </w:r>
      <w:r>
        <w:rPr>
          <w:rFonts w:hint="eastAsia" w:ascii="宋体" w:hAnsi="宋体" w:eastAsia="宋体" w:cs="宋体"/>
          <w:b/>
          <w:bCs/>
          <w:highlight w:val="none"/>
        </w:rPr>
        <w:t>）若CA无法登录系统，需要进行会员注册，并绑定CA锁。</w:t>
      </w:r>
    </w:p>
    <w:p w14:paraId="3DF6C914">
      <w:pPr>
        <w:numPr>
          <w:ilvl w:val="0"/>
          <w:numId w:val="0"/>
        </w:numPr>
        <w:adjustRightInd w:val="0"/>
        <w:snapToGrid w:val="0"/>
        <w:spacing w:before="0" w:after="0" w:line="360" w:lineRule="auto"/>
        <w:outlineLvl w:val="9"/>
        <w:rPr>
          <w:rFonts w:hint="eastAsia" w:ascii="宋体" w:hAnsi="宋体" w:eastAsia="宋体" w:cs="宋体"/>
          <w:b/>
          <w:bCs/>
          <w:highlight w:val="none"/>
        </w:rPr>
      </w:pPr>
      <w:r>
        <w:rPr>
          <w:rFonts w:hint="eastAsia" w:ascii="宋体" w:hAnsi="宋体" w:eastAsia="宋体" w:cs="宋体"/>
          <w:b/>
          <w:bCs/>
          <w:highlight w:val="none"/>
        </w:rPr>
        <w:t>（</w:t>
      </w:r>
      <w:r>
        <w:rPr>
          <w:rFonts w:hint="eastAsia" w:ascii="宋体" w:hAnsi="宋体" w:eastAsia="宋体" w:cs="宋体"/>
          <w:b/>
          <w:bCs/>
          <w:highlight w:val="none"/>
          <w:lang w:val="en-US" w:eastAsia="zh-CN"/>
        </w:rPr>
        <w:t>5</w:t>
      </w:r>
      <w:r>
        <w:rPr>
          <w:rFonts w:hint="eastAsia" w:ascii="宋体" w:hAnsi="宋体" w:eastAsia="宋体" w:cs="宋体"/>
          <w:b/>
          <w:bCs/>
          <w:highlight w:val="none"/>
        </w:rPr>
        <w:t>）所有投标人必须以自己的名义在其依法取得的资质证书许可业务范围内承接业务。</w:t>
      </w:r>
    </w:p>
    <w:p w14:paraId="73CC2D80">
      <w:pPr>
        <w:numPr>
          <w:ilvl w:val="0"/>
          <w:numId w:val="0"/>
        </w:numPr>
        <w:adjustRightInd w:val="0"/>
        <w:snapToGrid w:val="0"/>
        <w:spacing w:before="0" w:after="0" w:line="360" w:lineRule="auto"/>
        <w:outlineLvl w:val="9"/>
        <w:rPr>
          <w:rFonts w:hint="eastAsia" w:ascii="宋体" w:hAnsi="宋体" w:eastAsia="宋体" w:cs="宋体"/>
          <w:b/>
          <w:bCs/>
          <w:highlight w:val="none"/>
        </w:rPr>
      </w:pPr>
      <w:r>
        <w:rPr>
          <w:rFonts w:hint="eastAsia" w:ascii="宋体" w:hAnsi="宋体" w:eastAsia="宋体" w:cs="宋体"/>
          <w:b/>
          <w:bCs/>
          <w:highlight w:val="none"/>
        </w:rPr>
        <w:t>（</w:t>
      </w:r>
      <w:r>
        <w:rPr>
          <w:rFonts w:hint="eastAsia" w:ascii="宋体" w:hAnsi="宋体" w:eastAsia="宋体" w:cs="宋体"/>
          <w:b/>
          <w:bCs/>
          <w:highlight w:val="none"/>
          <w:lang w:val="en-US" w:eastAsia="zh-CN"/>
        </w:rPr>
        <w:t>6</w:t>
      </w:r>
      <w:r>
        <w:rPr>
          <w:rFonts w:hint="eastAsia" w:ascii="宋体" w:hAnsi="宋体" w:eastAsia="宋体" w:cs="宋体"/>
          <w:b/>
          <w:bCs/>
          <w:highlight w:val="none"/>
        </w:rPr>
        <w:t>）投标人在投标文件递交截止时间当日，本次招标中需要的建筑业企业资质动态监管结果不处于不合格状态。</w:t>
      </w:r>
    </w:p>
    <w:p w14:paraId="1F4ADC9F">
      <w:pPr>
        <w:numPr>
          <w:ilvl w:val="0"/>
          <w:numId w:val="0"/>
        </w:numPr>
        <w:adjustRightInd w:val="0"/>
        <w:snapToGrid w:val="0"/>
        <w:spacing w:before="0" w:after="0" w:line="360" w:lineRule="auto"/>
        <w:outlineLvl w:val="9"/>
        <w:rPr>
          <w:rFonts w:hint="eastAsia" w:ascii="宋体" w:hAnsi="宋体" w:eastAsia="宋体" w:cs="宋体"/>
          <w:b/>
          <w:bCs/>
          <w:highlight w:val="none"/>
          <w:lang w:eastAsia="zh-CN"/>
        </w:rPr>
      </w:pP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7</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在施工期间，学校仍然在正常开展工作，暑期校内修葺、新生入学登记、夏令营、军训、教师工作等多项工作正有条不紊地进行中，为保证各项工作能顺利开展，在本项目在施工过程中，必须不停电作业。</w:t>
      </w:r>
    </w:p>
    <w:p w14:paraId="55B421CA">
      <w:pPr>
        <w:spacing w:line="360" w:lineRule="auto"/>
        <w:ind w:left="6107" w:leftChars="208" w:hanging="5670" w:hangingChars="2700"/>
        <w:rPr>
          <w:rFonts w:hint="eastAsia" w:ascii="宋体" w:hAnsi="宋体" w:eastAsia="宋体" w:cs="宋体"/>
          <w:highlight w:val="none"/>
        </w:rPr>
      </w:pPr>
      <w:bookmarkStart w:id="28" w:name="_Toc3713"/>
      <w:r>
        <w:rPr>
          <w:rFonts w:hint="eastAsia" w:ascii="宋体" w:hAnsi="宋体" w:eastAsia="宋体" w:cs="宋体"/>
          <w:highlight w:val="none"/>
        </w:rPr>
        <w:t>10.</w:t>
      </w:r>
      <w:bookmarkEnd w:id="25"/>
      <w:bookmarkEnd w:id="26"/>
      <w:r>
        <w:rPr>
          <w:rFonts w:hint="eastAsia" w:ascii="宋体" w:hAnsi="宋体" w:eastAsia="宋体" w:cs="宋体"/>
          <w:highlight w:val="none"/>
        </w:rPr>
        <w:t>联系方式</w:t>
      </w:r>
      <w:bookmarkEnd w:id="27"/>
      <w:bookmarkEnd w:id="28"/>
    </w:p>
    <w:p w14:paraId="18EE8D6C">
      <w:pPr>
        <w:spacing w:line="360" w:lineRule="auto"/>
        <w:ind w:left="6107" w:leftChars="208" w:hanging="5670" w:hangingChars="2700"/>
        <w:rPr>
          <w:rFonts w:hint="eastAsia" w:ascii="宋体" w:hAnsi="宋体" w:eastAsia="宋体" w:cs="宋体"/>
          <w:color w:val="000000"/>
          <w:szCs w:val="21"/>
          <w:highlight w:val="none"/>
          <w:u w:val="single"/>
          <w:lang w:eastAsia="zh-CN"/>
        </w:rPr>
      </w:pPr>
      <w:r>
        <w:rPr>
          <w:rFonts w:hint="eastAsia" w:ascii="宋体" w:hAnsi="宋体" w:cs="宋体"/>
          <w:color w:val="000000"/>
          <w:szCs w:val="21"/>
          <w:highlight w:val="none"/>
        </w:rPr>
        <w:t>招 标 人：</w:t>
      </w:r>
      <w:r>
        <w:rPr>
          <w:rFonts w:hint="eastAsia" w:ascii="宋体" w:hAnsi="宋体" w:eastAsia="宋体" w:cs="宋体"/>
          <w:szCs w:val="21"/>
          <w:highlight w:val="none"/>
          <w:u w:val="single"/>
          <w:lang w:eastAsia="zh-CN"/>
        </w:rPr>
        <w:t>江阴初级中学</w:t>
      </w:r>
    </w:p>
    <w:p w14:paraId="50D4A9B6">
      <w:pPr>
        <w:spacing w:line="360" w:lineRule="auto"/>
        <w:ind w:firstLine="437"/>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auto"/>
          <w:szCs w:val="21"/>
          <w:highlight w:val="none"/>
          <w:u w:val="single"/>
          <w:lang w:eastAsia="zh-CN"/>
        </w:rPr>
        <w:t>江阴市澄江西路248号</w:t>
      </w:r>
      <w:r>
        <w:rPr>
          <w:rFonts w:hint="eastAsia" w:ascii="宋体" w:hAnsi="宋体" w:cs="宋体"/>
          <w:color w:val="auto"/>
          <w:szCs w:val="21"/>
          <w:highlight w:val="none"/>
          <w:u w:val="single"/>
        </w:rPr>
        <w:t xml:space="preserve"> </w:t>
      </w:r>
    </w:p>
    <w:p w14:paraId="72CEB3AD">
      <w:pPr>
        <w:spacing w:line="360" w:lineRule="auto"/>
        <w:ind w:firstLine="437"/>
        <w:rPr>
          <w:rFonts w:ascii="宋体" w:hAnsi="宋体" w:cs="宋体"/>
          <w:color w:val="000000"/>
          <w:szCs w:val="21"/>
          <w:highlight w:val="none"/>
        </w:rPr>
      </w:pPr>
      <w:r>
        <w:rPr>
          <w:rFonts w:hint="eastAsia" w:ascii="宋体" w:hAnsi="宋体" w:cs="宋体"/>
          <w:color w:val="000000"/>
          <w:szCs w:val="21"/>
          <w:highlight w:val="none"/>
        </w:rPr>
        <w:t>联 系 人：</w:t>
      </w:r>
      <w:r>
        <w:rPr>
          <w:rFonts w:hint="eastAsia" w:ascii="宋体" w:hAnsi="宋体" w:cs="宋体"/>
          <w:color w:val="000000"/>
          <w:szCs w:val="21"/>
          <w:highlight w:val="none"/>
          <w:u w:val="single"/>
          <w:lang w:val="en-US" w:eastAsia="zh-CN"/>
        </w:rPr>
        <w:t>蒋先生</w:t>
      </w:r>
      <w:r>
        <w:rPr>
          <w:rFonts w:hint="eastAsia" w:ascii="宋体" w:hAnsi="宋体" w:cs="宋体"/>
          <w:color w:val="000000"/>
          <w:szCs w:val="21"/>
          <w:highlight w:val="none"/>
          <w:u w:val="single"/>
        </w:rPr>
        <w:t xml:space="preserve"> </w:t>
      </w:r>
      <w:r>
        <w:rPr>
          <w:rFonts w:hint="eastAsia" w:ascii="宋体" w:hAnsi="宋体" w:cs="宋体"/>
          <w:color w:val="333333"/>
          <w:kern w:val="0"/>
          <w:szCs w:val="21"/>
          <w:highlight w:val="none"/>
          <w:u w:val="single"/>
        </w:rPr>
        <w:t xml:space="preserve">     </w:t>
      </w:r>
      <w:r>
        <w:rPr>
          <w:rFonts w:hint="eastAsia" w:ascii="宋体" w:hAnsi="宋体" w:cs="宋体"/>
          <w:color w:val="000000"/>
          <w:szCs w:val="21"/>
          <w:highlight w:val="none"/>
          <w:u w:val="single"/>
        </w:rPr>
        <w:t xml:space="preserve">       </w:t>
      </w:r>
    </w:p>
    <w:p w14:paraId="6B84E73B">
      <w:pPr>
        <w:spacing w:line="360" w:lineRule="auto"/>
        <w:ind w:firstLine="420" w:firstLineChars="200"/>
        <w:rPr>
          <w:rFonts w:hint="default" w:ascii="宋体" w:hAnsi="宋体" w:eastAsia="宋体" w:cs="宋体"/>
          <w:color w:val="000000"/>
          <w:szCs w:val="21"/>
          <w:highlight w:val="none"/>
          <w:u w:val="single"/>
          <w:lang w:val="en-US" w:eastAsia="zh-CN"/>
        </w:rPr>
      </w:pPr>
      <w:r>
        <w:rPr>
          <w:rFonts w:hint="eastAsia" w:ascii="宋体" w:hAnsi="宋体" w:cs="宋体"/>
          <w:color w:val="000000"/>
          <w:szCs w:val="21"/>
          <w:highlight w:val="none"/>
        </w:rPr>
        <w:t>电    话：</w:t>
      </w:r>
      <w:r>
        <w:rPr>
          <w:rFonts w:hint="eastAsia" w:ascii="宋体" w:hAnsi="宋体" w:cs="宋体"/>
          <w:color w:val="auto"/>
          <w:szCs w:val="21"/>
          <w:highlight w:val="none"/>
          <w:u w:val="single"/>
          <w:lang w:val="en-US" w:eastAsia="zh-CN"/>
        </w:rPr>
        <w:t xml:space="preserve">0510-86837617  </w:t>
      </w:r>
    </w:p>
    <w:p w14:paraId="3ED5A7AB">
      <w:pPr>
        <w:spacing w:line="360" w:lineRule="auto"/>
        <w:ind w:firstLine="420" w:firstLineChars="200"/>
        <w:rPr>
          <w:rFonts w:hint="eastAsia" w:ascii="宋体" w:hAnsi="宋体" w:cs="宋体"/>
          <w:color w:val="000000"/>
          <w:szCs w:val="21"/>
          <w:highlight w:val="none"/>
          <w:u w:val="single"/>
        </w:rPr>
      </w:pPr>
    </w:p>
    <w:p w14:paraId="4359B38C">
      <w:pPr>
        <w:spacing w:line="360" w:lineRule="auto"/>
        <w:ind w:firstLine="420" w:firstLineChars="200"/>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招标代理机构：</w:t>
      </w:r>
      <w:r>
        <w:rPr>
          <w:rFonts w:hint="eastAsia"/>
          <w:color w:val="auto"/>
          <w:highlight w:val="none"/>
          <w:u w:val="single"/>
          <w:lang w:eastAsia="zh-CN"/>
        </w:rPr>
        <w:t>苏世建设管理集团有限公司</w:t>
      </w:r>
    </w:p>
    <w:p w14:paraId="37197648">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地    址：</w:t>
      </w:r>
      <w:r>
        <w:rPr>
          <w:rFonts w:hint="eastAsia" w:hAnsi="宋体"/>
          <w:color w:val="auto"/>
          <w:szCs w:val="21"/>
          <w:highlight w:val="none"/>
          <w:u w:val="single"/>
        </w:rPr>
        <w:t xml:space="preserve"> </w:t>
      </w:r>
      <w:r>
        <w:rPr>
          <w:rFonts w:hint="eastAsia"/>
          <w:color w:val="auto"/>
          <w:highlight w:val="none"/>
          <w:u w:val="single"/>
          <w:lang w:eastAsia="zh-CN"/>
        </w:rPr>
        <w:t>江阴市长江路218号（名都国际12B10室）</w:t>
      </w:r>
      <w:r>
        <w:rPr>
          <w:rFonts w:hint="eastAsia" w:ascii="宋体" w:hAnsi="宋体" w:cs="宋体"/>
          <w:color w:val="auto"/>
          <w:szCs w:val="21"/>
          <w:highlight w:val="none"/>
          <w:u w:val="single"/>
        </w:rPr>
        <w:t xml:space="preserve">   </w:t>
      </w:r>
    </w:p>
    <w:p w14:paraId="4673B6A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 系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郭工</w:t>
      </w:r>
      <w:r>
        <w:rPr>
          <w:rFonts w:hint="eastAsia" w:ascii="宋体" w:hAnsi="宋体" w:cs="宋体"/>
          <w:color w:val="auto"/>
          <w:szCs w:val="21"/>
          <w:highlight w:val="none"/>
          <w:u w:val="single"/>
        </w:rPr>
        <w:t xml:space="preserve">               </w:t>
      </w:r>
    </w:p>
    <w:p w14:paraId="22B3248D">
      <w:pPr>
        <w:adjustRightInd w:val="0"/>
        <w:snapToGrid w:val="0"/>
        <w:spacing w:line="360" w:lineRule="auto"/>
        <w:ind w:firstLine="420" w:firstLineChars="200"/>
        <w:jc w:val="both"/>
        <w:rPr>
          <w:rFonts w:hint="eastAsia" w:ascii="宋体" w:hAnsi="宋体" w:cs="宋体"/>
          <w:color w:val="auto"/>
          <w:szCs w:val="21"/>
          <w:highlight w:val="none"/>
          <w:u w:val="singl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eastAsia="zh-CN"/>
        </w:rPr>
        <w:t>15961606033</w:t>
      </w:r>
      <w:r>
        <w:rPr>
          <w:rFonts w:hint="eastAsia" w:ascii="宋体" w:hAnsi="宋体" w:cs="宋体"/>
          <w:color w:val="auto"/>
          <w:szCs w:val="21"/>
          <w:highlight w:val="none"/>
          <w:u w:val="single"/>
        </w:rPr>
        <w:t xml:space="preserve">  </w:t>
      </w:r>
    </w:p>
    <w:p w14:paraId="143EB2DC">
      <w:pPr>
        <w:adjustRightInd w:val="0"/>
        <w:snapToGrid w:val="0"/>
        <w:spacing w:line="360" w:lineRule="auto"/>
        <w:jc w:val="right"/>
        <w:rPr>
          <w:rFonts w:hint="eastAsia" w:ascii="宋体" w:hAnsi="宋体" w:cs="宋体"/>
          <w:szCs w:val="21"/>
          <w:highlight w:val="none"/>
        </w:rPr>
      </w:pPr>
      <w:r>
        <w:rPr>
          <w:rFonts w:hint="eastAsia" w:ascii="宋体" w:hAnsi="宋体" w:cs="宋体"/>
          <w:highlight w:val="none"/>
          <w:u w:val="single"/>
          <w:lang w:val="en-US" w:eastAsia="zh-CN"/>
        </w:rPr>
        <w:t xml:space="preserve"> </w:t>
      </w:r>
      <w:r>
        <w:rPr>
          <w:rFonts w:hint="eastAsia" w:ascii="宋体" w:hAnsi="宋体" w:cs="宋体"/>
          <w:highlight w:val="none"/>
          <w:u w:val="single"/>
        </w:rPr>
        <w:t>202</w:t>
      </w:r>
      <w:r>
        <w:rPr>
          <w:rFonts w:hint="eastAsia" w:ascii="宋体" w:hAnsi="宋体" w:cs="宋体"/>
          <w:highlight w:val="none"/>
          <w:u w:val="single"/>
          <w:lang w:val="en-US" w:eastAsia="zh-CN"/>
        </w:rPr>
        <w:t>6</w:t>
      </w:r>
      <w:r>
        <w:rPr>
          <w:rFonts w:hint="eastAsia" w:ascii="宋体" w:hAnsi="宋体" w:cs="宋体"/>
          <w:szCs w:val="21"/>
          <w:highlight w:val="none"/>
        </w:rPr>
        <w:t>年</w:t>
      </w:r>
      <w:r>
        <w:rPr>
          <w:rFonts w:hint="eastAsia" w:ascii="宋体" w:hAnsi="宋体" w:cs="宋体"/>
          <w:highlight w:val="none"/>
          <w:u w:val="single"/>
          <w:lang w:val="en-US" w:eastAsia="zh-CN"/>
        </w:rPr>
        <w:t xml:space="preserve"> 7 </w:t>
      </w:r>
      <w:r>
        <w:rPr>
          <w:rFonts w:hint="eastAsia" w:ascii="宋体" w:hAnsi="宋体" w:cs="宋体"/>
          <w:szCs w:val="21"/>
          <w:highlight w:val="none"/>
        </w:rPr>
        <w:t>月</w:t>
      </w:r>
      <w:r>
        <w:rPr>
          <w:rFonts w:hint="eastAsia" w:ascii="宋体" w:hAnsi="宋体" w:cs="宋体"/>
          <w:highlight w:val="none"/>
          <w:u w:val="single"/>
          <w:lang w:val="en-US" w:eastAsia="zh-CN"/>
        </w:rPr>
        <w:t xml:space="preserve"> 20 </w:t>
      </w:r>
      <w:r>
        <w:rPr>
          <w:rFonts w:hint="eastAsia" w:ascii="宋体" w:hAnsi="宋体" w:cs="宋体"/>
          <w:szCs w:val="21"/>
          <w:highlight w:val="none"/>
        </w:rPr>
        <w:t>日</w:t>
      </w:r>
    </w:p>
    <w:p w14:paraId="2A2B09CC">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77C5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CE68D4">
                          <w:pPr>
                            <w:pStyle w:val="4"/>
                            <w:rPr>
                              <w:rStyle w:val="7"/>
                            </w:rPr>
                          </w:pPr>
                          <w:r>
                            <w:fldChar w:fldCharType="begin"/>
                          </w:r>
                          <w:r>
                            <w:rPr>
                              <w:rStyle w:val="7"/>
                            </w:rPr>
                            <w:instrText xml:space="preserve">PAGE  </w:instrText>
                          </w:r>
                          <w:r>
                            <w:fldChar w:fldCharType="separate"/>
                          </w:r>
                          <w:r>
                            <w:rPr>
                              <w:rStyle w:val="7"/>
                            </w:rP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33CE68D4">
                    <w:pPr>
                      <w:pStyle w:val="4"/>
                      <w:rPr>
                        <w:rStyle w:val="7"/>
                      </w:rPr>
                    </w:pPr>
                    <w:r>
                      <w:fldChar w:fldCharType="begin"/>
                    </w:r>
                    <w:r>
                      <w:rPr>
                        <w:rStyle w:val="7"/>
                      </w:rPr>
                      <w:instrText xml:space="preserve">PAGE  </w:instrText>
                    </w:r>
                    <w:r>
                      <w:fldChar w:fldCharType="separate"/>
                    </w:r>
                    <w:r>
                      <w:rPr>
                        <w:rStyle w:val="7"/>
                      </w:rPr>
                      <w:t>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10D7F"/>
    <w:rsid w:val="48561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List Paragraph"/>
    <w:basedOn w:val="1"/>
    <w:qFormat/>
    <w:uiPriority w:val="0"/>
    <w:pPr>
      <w:ind w:firstLine="420" w:firstLineChars="200"/>
    </w:pPr>
    <w:rPr>
      <w:rFonts w:ascii="Calibri" w:hAnsi="Calibri"/>
      <w:szCs w:val="22"/>
    </w:rPr>
  </w:style>
  <w:style w:type="paragraph" w:styleId="4">
    <w:name w:val="footer"/>
    <w:basedOn w:val="1"/>
    <w:uiPriority w:val="0"/>
    <w:pPr>
      <w:tabs>
        <w:tab w:val="center" w:pos="4153"/>
        <w:tab w:val="right" w:pos="8306"/>
      </w:tabs>
      <w:snapToGrid w:val="0"/>
      <w:jc w:val="left"/>
    </w:pPr>
    <w:rPr>
      <w:sz w:val="18"/>
      <w:szCs w:val="18"/>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2036</Words>
  <Characters>2273</Characters>
  <Lines>0</Lines>
  <Paragraphs>0</Paragraphs>
  <TotalTime>1</TotalTime>
  <ScaleCrop>false</ScaleCrop>
  <LinksUpToDate>false</LinksUpToDate>
  <CharactersWithSpaces>2420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2026-07-03T00:59:00Z</dcterms:created>
  <dc:creator>Administrator</dc:creator>
  <cp:lastModifiedBy>administrator</cp:lastModifiedBy>
  <dcterms:modified xsi:type="dcterms:W3CDTF">2026-07-20T07:18:44Z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eyJoZGlkIjoiMTQ1OGZjZDU4NWE1N2M0ZmQwY2JkMjFjNWU4MGIwYzEiLCJ1c2VySWQiOiI4MDMxMTkwNzMifQ==</vt:lpwstr>
  </property>
  <property fmtid="{D5CDD505-2E9C-101B-9397-08002B2CF9AE}" pid="4" name="ICV">
    <vt:lpwstr>AB3F2A06BEF346B6A21EBC871D8F2810_12</vt:lpwstr>
  </property>
</Properties>
</file>