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03780">
      <w:pPr>
        <w:snapToGrid w:val="0"/>
        <w:spacing w:line="440" w:lineRule="atLeast"/>
        <w:ind w:firstLine="465"/>
        <w:jc w:val="center"/>
        <w:rPr>
          <w:rFonts w:ascii="宋体" w:hAnsi="宋体"/>
          <w:b/>
          <w:sz w:val="36"/>
          <w:szCs w:val="36"/>
          <w:lang w:val="zh-CN"/>
        </w:rPr>
      </w:pPr>
      <w:r>
        <w:rPr>
          <w:rFonts w:hint="eastAsia" w:ascii="宋体" w:hAnsi="宋体"/>
          <w:b/>
          <w:sz w:val="36"/>
          <w:szCs w:val="36"/>
          <w:lang w:val="zh-CN"/>
        </w:rPr>
        <w:t>江阴市第一初级中学餐厅装修工程</w:t>
      </w:r>
    </w:p>
    <w:p w14:paraId="2EE62C71">
      <w:pPr>
        <w:snapToGrid w:val="0"/>
        <w:spacing w:line="440" w:lineRule="atLeast"/>
        <w:ind w:firstLine="465"/>
        <w:jc w:val="center"/>
        <w:rPr>
          <w:rFonts w:ascii="宋体" w:hAnsi="宋体"/>
          <w:b/>
          <w:sz w:val="36"/>
          <w:szCs w:val="36"/>
          <w:lang w:val="zh-CN"/>
        </w:rPr>
      </w:pPr>
      <w:r>
        <w:rPr>
          <w:rFonts w:hint="eastAsia" w:ascii="宋体" w:hAnsi="宋体"/>
          <w:b/>
          <w:sz w:val="36"/>
          <w:szCs w:val="36"/>
          <w:lang w:val="zh-CN"/>
        </w:rPr>
        <w:t>工程</w:t>
      </w:r>
      <w:r>
        <w:rPr>
          <w:rFonts w:hint="eastAsia" w:ascii="宋体" w:hAnsi="宋体"/>
          <w:b/>
          <w:sz w:val="36"/>
          <w:szCs w:val="36"/>
          <w:lang w:val="en-US" w:eastAsia="zh-CN"/>
        </w:rPr>
        <w:t>控制价</w:t>
      </w:r>
      <w:r>
        <w:rPr>
          <w:rFonts w:hint="eastAsia" w:ascii="宋体" w:hAnsi="宋体"/>
          <w:b/>
          <w:sz w:val="36"/>
          <w:szCs w:val="36"/>
          <w:lang w:val="zh-CN"/>
        </w:rPr>
        <w:t>编制说明</w:t>
      </w:r>
    </w:p>
    <w:p w14:paraId="5E8DD88F">
      <w:pPr>
        <w:numPr>
          <w:ilvl w:val="0"/>
          <w:numId w:val="1"/>
        </w:numPr>
        <w:snapToGrid w:val="0"/>
        <w:spacing w:line="440" w:lineRule="atLeast"/>
        <w:rPr>
          <w:rFonts w:ascii="宋体" w:hAnsi="宋体" w:cs="宋体"/>
          <w:b/>
          <w:sz w:val="24"/>
          <w:lang w:val="zh-CN"/>
        </w:rPr>
      </w:pPr>
      <w:r>
        <w:rPr>
          <w:rFonts w:hint="eastAsia" w:ascii="宋体" w:hAnsi="宋体" w:cs="宋体"/>
          <w:b/>
          <w:sz w:val="24"/>
          <w:lang w:val="zh-CN"/>
        </w:rPr>
        <w:t>工程概况：</w:t>
      </w:r>
    </w:p>
    <w:p w14:paraId="411A7560">
      <w:pPr>
        <w:snapToGrid w:val="0"/>
        <w:spacing w:line="440" w:lineRule="atLeast"/>
        <w:ind w:left="479" w:leftChars="228" w:firstLine="480" w:firstLineChars="200"/>
        <w:rPr>
          <w:rFonts w:hint="eastAsia" w:ascii="宋体" w:hAnsi="宋体" w:cs="宋体"/>
          <w:bCs/>
          <w:sz w:val="24"/>
          <w:lang w:val="en-US" w:eastAsia="zh-CN"/>
        </w:rPr>
      </w:pPr>
      <w:r>
        <w:rPr>
          <w:rFonts w:hint="eastAsia" w:ascii="宋体" w:hAnsi="宋体" w:cs="宋体"/>
          <w:bCs/>
          <w:sz w:val="24"/>
          <w:lang w:val="zh-CN" w:eastAsia="zh-CN"/>
        </w:rPr>
        <w:t>江阴市第一初级中学餐厅装修工程</w:t>
      </w:r>
      <w:r>
        <w:rPr>
          <w:rFonts w:hint="eastAsia" w:ascii="宋体" w:hAnsi="宋体" w:cs="宋体"/>
          <w:bCs/>
          <w:sz w:val="24"/>
          <w:lang w:val="en-US" w:eastAsia="zh-CN"/>
        </w:rPr>
        <w:t>，位于</w:t>
      </w:r>
      <w:r>
        <w:rPr>
          <w:rFonts w:hint="default" w:ascii="宋体" w:hAnsi="宋体" w:cs="宋体"/>
          <w:bCs/>
          <w:sz w:val="24"/>
          <w:lang w:val="zh-CN" w:eastAsia="zh-CN"/>
        </w:rPr>
        <w:t>江阴市黄山路199号</w:t>
      </w:r>
      <w:r>
        <w:rPr>
          <w:rFonts w:hint="eastAsia" w:ascii="宋体" w:hAnsi="宋体" w:cs="宋体"/>
          <w:bCs/>
          <w:sz w:val="24"/>
          <w:lang w:val="en-US" w:eastAsia="zh-CN"/>
        </w:rPr>
        <w:t>范围内。</w:t>
      </w:r>
      <w:r>
        <w:rPr>
          <w:rFonts w:hint="eastAsia" w:ascii="宋体" w:hAnsi="宋体" w:cs="宋体"/>
          <w:bCs/>
          <w:sz w:val="24"/>
          <w:lang w:val="zh-CN" w:eastAsia="zh-CN"/>
        </w:rPr>
        <w:t>本项目包括</w:t>
      </w:r>
      <w:r>
        <w:rPr>
          <w:rFonts w:hint="eastAsia" w:ascii="宋体" w:hAnsi="宋体" w:cs="宋体"/>
          <w:bCs/>
          <w:sz w:val="24"/>
          <w:lang w:val="en-US" w:eastAsia="zh-CN"/>
        </w:rPr>
        <w:t>土建、拆除、装饰、安装等工程</w:t>
      </w:r>
      <w:r>
        <w:rPr>
          <w:rFonts w:hint="eastAsia" w:ascii="宋体" w:hAnsi="宋体" w:cs="宋体"/>
          <w:bCs/>
          <w:sz w:val="24"/>
          <w:lang w:val="zh-CN" w:eastAsia="zh-CN"/>
        </w:rPr>
        <w:t>，</w:t>
      </w:r>
      <w:r>
        <w:rPr>
          <w:rFonts w:hint="eastAsia" w:ascii="宋体" w:hAnsi="宋体" w:cs="宋体"/>
          <w:bCs/>
          <w:sz w:val="24"/>
          <w:lang w:val="en-US" w:eastAsia="zh-CN"/>
        </w:rPr>
        <w:t>主要情况如下：</w:t>
      </w:r>
    </w:p>
    <w:p w14:paraId="21950FB0">
      <w:pPr>
        <w:snapToGrid w:val="0"/>
        <w:spacing w:line="440" w:lineRule="atLeast"/>
        <w:ind w:left="479" w:leftChars="228" w:firstLine="480" w:firstLineChars="200"/>
        <w:rPr>
          <w:rFonts w:hint="eastAsia" w:ascii="宋体" w:hAnsi="宋体" w:cs="宋体"/>
          <w:bCs/>
          <w:sz w:val="24"/>
          <w:lang w:val="en-US" w:eastAsia="zh-CN"/>
        </w:rPr>
      </w:pPr>
      <w:r>
        <w:rPr>
          <w:rFonts w:hint="eastAsia" w:ascii="宋体" w:hAnsi="宋体" w:cs="宋体"/>
          <w:bCs/>
          <w:sz w:val="24"/>
          <w:lang w:val="zh-CN" w:eastAsia="zh-CN"/>
        </w:rPr>
        <w:t>江阴市第一初级中学餐厅装修</w:t>
      </w:r>
      <w:r>
        <w:rPr>
          <w:rFonts w:hint="eastAsia" w:ascii="宋体" w:hAnsi="宋体" w:cs="宋体"/>
          <w:bCs/>
          <w:sz w:val="24"/>
          <w:lang w:val="en-US" w:eastAsia="zh-CN"/>
        </w:rPr>
        <w:t>，为教师食堂用餐区改造，包括：教师食堂装饰改造约242.27m2、配套的楼顶地面装饰、门窗隔断、水电、消防设施安装、家具布置以及以上内容配套的土建、拆除、垃圾清运的一切内容；</w:t>
      </w:r>
    </w:p>
    <w:p w14:paraId="16FF11C1">
      <w:pPr>
        <w:numPr>
          <w:ilvl w:val="0"/>
          <w:numId w:val="1"/>
        </w:numPr>
        <w:snapToGrid w:val="0"/>
        <w:spacing w:line="440" w:lineRule="atLeast"/>
        <w:rPr>
          <w:rFonts w:ascii="宋体" w:hAnsi="宋体" w:cs="宋体"/>
          <w:b/>
          <w:sz w:val="24"/>
          <w:lang w:val="zh-CN"/>
        </w:rPr>
      </w:pPr>
      <w:r>
        <w:rPr>
          <w:rFonts w:hint="eastAsia" w:ascii="宋体" w:hAnsi="宋体" w:cs="宋体"/>
          <w:b/>
          <w:sz w:val="24"/>
          <w:lang w:val="zh-CN"/>
        </w:rPr>
        <w:t>招标范围：</w:t>
      </w:r>
    </w:p>
    <w:p w14:paraId="112A3676">
      <w:pPr>
        <w:numPr>
          <w:ilvl w:val="0"/>
          <w:numId w:val="2"/>
        </w:numPr>
        <w:tabs>
          <w:tab w:val="left" w:pos="425"/>
        </w:tabs>
        <w:spacing w:line="440" w:lineRule="exact"/>
        <w:ind w:left="845" w:right="25" w:rightChars="12"/>
        <w:rPr>
          <w:rFonts w:ascii="宋体" w:hAnsi="宋体" w:cs="宋体"/>
          <w:bCs/>
          <w:sz w:val="24"/>
          <w:lang w:val="zh-CN"/>
        </w:rPr>
      </w:pPr>
      <w:r>
        <w:rPr>
          <w:rFonts w:hint="eastAsia" w:ascii="宋体" w:hAnsi="宋体" w:cs="宋体"/>
          <w:bCs/>
          <w:sz w:val="24"/>
          <w:lang w:val="zh-CN"/>
        </w:rPr>
        <w:t>拟建《江阴市第一初级中学餐厅装修工程》</w:t>
      </w:r>
      <w:r>
        <w:rPr>
          <w:rFonts w:hint="eastAsia" w:ascii="宋体" w:hAnsi="宋体" w:cs="宋体"/>
          <w:bCs/>
          <w:sz w:val="24"/>
        </w:rPr>
        <w:t>工程量清单</w:t>
      </w:r>
      <w:r>
        <w:rPr>
          <w:rFonts w:hint="eastAsia" w:ascii="宋体" w:hAnsi="宋体" w:cs="宋体"/>
          <w:bCs/>
          <w:sz w:val="24"/>
          <w:lang w:val="zh-CN"/>
        </w:rPr>
        <w:t>中的所有工程，</w:t>
      </w:r>
      <w:r>
        <w:rPr>
          <w:rFonts w:hint="eastAsia" w:ascii="宋体" w:hAnsi="宋体" w:cs="宋体"/>
          <w:bCs/>
          <w:sz w:val="24"/>
        </w:rPr>
        <w:t>包括</w:t>
      </w:r>
      <w:r>
        <w:rPr>
          <w:rFonts w:hint="eastAsia" w:ascii="宋体" w:hAnsi="宋体" w:cs="宋体"/>
          <w:bCs/>
          <w:sz w:val="24"/>
          <w:lang w:val="en-US" w:eastAsia="zh-CN"/>
        </w:rPr>
        <w:t>土建、拆除、</w:t>
      </w:r>
      <w:r>
        <w:rPr>
          <w:rFonts w:hint="eastAsia" w:ascii="宋体" w:hAnsi="宋体" w:cs="宋体"/>
          <w:bCs/>
          <w:sz w:val="24"/>
        </w:rPr>
        <w:t>装饰</w:t>
      </w:r>
      <w:r>
        <w:rPr>
          <w:rFonts w:hint="eastAsia" w:ascii="宋体" w:hAnsi="宋体" w:cs="宋体"/>
          <w:bCs/>
          <w:sz w:val="24"/>
          <w:lang w:val="en-US" w:eastAsia="zh-CN"/>
        </w:rPr>
        <w:t>、水电、消防、家具布置</w:t>
      </w:r>
      <w:r>
        <w:rPr>
          <w:rFonts w:hint="eastAsia" w:ascii="宋体" w:hAnsi="宋体" w:cs="宋体"/>
          <w:bCs/>
          <w:sz w:val="24"/>
        </w:rPr>
        <w:t>等</w:t>
      </w:r>
      <w:r>
        <w:rPr>
          <w:rFonts w:hint="eastAsia" w:ascii="宋体" w:hAnsi="宋体" w:cs="宋体"/>
          <w:bCs/>
          <w:sz w:val="24"/>
          <w:lang w:val="zh-CN"/>
        </w:rPr>
        <w:t>。</w:t>
      </w:r>
    </w:p>
    <w:p w14:paraId="47AAFC53">
      <w:pPr>
        <w:numPr>
          <w:ilvl w:val="0"/>
          <w:numId w:val="2"/>
        </w:numPr>
        <w:tabs>
          <w:tab w:val="left" w:pos="425"/>
        </w:tabs>
        <w:spacing w:line="440" w:lineRule="exact"/>
        <w:ind w:left="845" w:right="25" w:rightChars="12"/>
        <w:rPr>
          <w:rFonts w:ascii="宋体" w:hAnsi="宋体" w:cs="宋体"/>
          <w:bCs/>
          <w:sz w:val="24"/>
          <w:lang w:val="zh-CN"/>
        </w:rPr>
      </w:pPr>
      <w:r>
        <w:rPr>
          <w:rFonts w:hint="eastAsia" w:ascii="宋体" w:hAnsi="宋体" w:cs="宋体"/>
          <w:bCs/>
          <w:sz w:val="24"/>
          <w:lang w:val="zh-CN"/>
        </w:rPr>
        <w:t>以下工程不包括在本次工程量清单范围内：清单及改造</w:t>
      </w:r>
      <w:r>
        <w:rPr>
          <w:rFonts w:hint="eastAsia" w:ascii="宋体" w:hAnsi="宋体" w:cs="宋体"/>
          <w:bCs/>
          <w:sz w:val="24"/>
        </w:rPr>
        <w:t>图纸</w:t>
      </w:r>
      <w:r>
        <w:rPr>
          <w:rFonts w:hint="eastAsia" w:ascii="宋体" w:hAnsi="宋体" w:cs="宋体"/>
          <w:bCs/>
          <w:sz w:val="24"/>
          <w:lang w:val="zh-CN"/>
        </w:rPr>
        <w:t>方案上没有的内容。</w:t>
      </w:r>
    </w:p>
    <w:p w14:paraId="3348F407">
      <w:pPr>
        <w:numPr>
          <w:ilvl w:val="0"/>
          <w:numId w:val="1"/>
        </w:numPr>
        <w:snapToGrid w:val="0"/>
        <w:spacing w:line="440" w:lineRule="atLeast"/>
        <w:rPr>
          <w:rFonts w:ascii="宋体" w:hAnsi="宋体" w:cs="宋体"/>
          <w:b/>
          <w:sz w:val="24"/>
          <w:lang w:val="zh-CN"/>
        </w:rPr>
      </w:pPr>
      <w:r>
        <w:rPr>
          <w:rFonts w:hint="eastAsia" w:ascii="宋体" w:hAnsi="宋体" w:cs="宋体"/>
          <w:b/>
          <w:sz w:val="24"/>
          <w:lang w:val="zh-CN"/>
        </w:rPr>
        <w:t>编制依据：</w:t>
      </w:r>
    </w:p>
    <w:p w14:paraId="7331E510">
      <w:pPr>
        <w:numPr>
          <w:ilvl w:val="0"/>
          <w:numId w:val="3"/>
        </w:numPr>
        <w:tabs>
          <w:tab w:val="left" w:pos="425"/>
        </w:tabs>
        <w:spacing w:line="440" w:lineRule="exact"/>
        <w:ind w:left="845" w:right="25" w:rightChars="12"/>
        <w:jc w:val="left"/>
        <w:rPr>
          <w:rFonts w:hint="eastAsia" w:ascii="宋体" w:hAnsi="宋体" w:eastAsia="宋体" w:cs="宋体"/>
          <w:bCs/>
          <w:kern w:val="2"/>
          <w:sz w:val="24"/>
          <w:szCs w:val="24"/>
          <w:lang w:val="zh-CN" w:eastAsia="zh-CN" w:bidi="ar-SA"/>
        </w:rPr>
      </w:pPr>
      <w:r>
        <w:rPr>
          <w:rFonts w:hint="eastAsia" w:ascii="宋体" w:hAnsi="宋体" w:cs="宋体"/>
          <w:bCs/>
          <w:kern w:val="2"/>
          <w:sz w:val="24"/>
          <w:szCs w:val="24"/>
          <w:lang w:val="zh-CN" w:eastAsia="zh-CN" w:bidi="ar-SA"/>
        </w:rPr>
        <w:t>江阴市第一初级中学餐厅装修工程</w:t>
      </w:r>
      <w:r>
        <w:rPr>
          <w:rFonts w:hint="eastAsia" w:ascii="宋体" w:hAnsi="宋体" w:eastAsia="宋体" w:cs="宋体"/>
          <w:bCs/>
          <w:kern w:val="2"/>
          <w:sz w:val="24"/>
          <w:szCs w:val="24"/>
          <w:lang w:val="zh-CN" w:eastAsia="zh-CN" w:bidi="ar-SA"/>
        </w:rPr>
        <w:t>招标文件；</w:t>
      </w:r>
    </w:p>
    <w:p w14:paraId="387C45E4">
      <w:pPr>
        <w:numPr>
          <w:ilvl w:val="0"/>
          <w:numId w:val="3"/>
        </w:numPr>
        <w:tabs>
          <w:tab w:val="left" w:pos="425"/>
        </w:tabs>
        <w:spacing w:line="440" w:lineRule="exact"/>
        <w:ind w:left="845" w:right="25" w:rightChars="12"/>
        <w:jc w:val="left"/>
        <w:rPr>
          <w:rFonts w:hint="eastAsia" w:ascii="宋体" w:hAnsi="宋体" w:eastAsia="宋体" w:cs="宋体"/>
          <w:bCs/>
          <w:kern w:val="2"/>
          <w:sz w:val="24"/>
          <w:szCs w:val="24"/>
          <w:lang w:val="zh-CN" w:eastAsia="zh-CN" w:bidi="ar-SA"/>
        </w:rPr>
      </w:pPr>
      <w:r>
        <w:rPr>
          <w:rFonts w:hint="eastAsia" w:ascii="宋体" w:hAnsi="宋体" w:eastAsia="宋体" w:cs="宋体"/>
          <w:bCs/>
          <w:kern w:val="2"/>
          <w:sz w:val="24"/>
          <w:szCs w:val="24"/>
          <w:lang w:val="zh-CN" w:eastAsia="zh-CN" w:bidi="ar-SA"/>
        </w:rPr>
        <w:t>由建设单位提供的</w:t>
      </w:r>
      <w:r>
        <w:rPr>
          <w:rFonts w:hint="eastAsia" w:ascii="宋体" w:hAnsi="宋体" w:cs="宋体"/>
          <w:bCs/>
          <w:kern w:val="2"/>
          <w:sz w:val="24"/>
          <w:szCs w:val="24"/>
          <w:lang w:val="en-US" w:eastAsia="zh-CN" w:bidi="ar-SA"/>
        </w:rPr>
        <w:t>由江苏迪森建筑设计有限公司设计的</w:t>
      </w:r>
      <w:r>
        <w:rPr>
          <w:rFonts w:hint="eastAsia" w:ascii="宋体" w:hAnsi="宋体" w:eastAsia="宋体" w:cs="宋体"/>
          <w:bCs/>
          <w:kern w:val="2"/>
          <w:sz w:val="24"/>
          <w:szCs w:val="24"/>
          <w:lang w:val="zh-CN" w:eastAsia="zh-CN" w:bidi="ar-SA"/>
        </w:rPr>
        <w:t>改造</w:t>
      </w:r>
      <w:r>
        <w:rPr>
          <w:rFonts w:hint="eastAsia" w:ascii="宋体" w:hAnsi="宋体" w:eastAsia="宋体" w:cs="宋体"/>
          <w:bCs/>
          <w:kern w:val="2"/>
          <w:sz w:val="24"/>
          <w:szCs w:val="24"/>
          <w:lang w:val="en-US" w:eastAsia="zh-CN" w:bidi="ar-SA"/>
        </w:rPr>
        <w:t>图纸</w:t>
      </w:r>
      <w:r>
        <w:rPr>
          <w:rFonts w:hint="eastAsia" w:ascii="宋体" w:hAnsi="宋体" w:eastAsia="宋体" w:cs="宋体"/>
          <w:bCs/>
          <w:kern w:val="2"/>
          <w:sz w:val="24"/>
          <w:szCs w:val="24"/>
          <w:lang w:val="zh-CN" w:eastAsia="zh-CN" w:bidi="ar-SA"/>
        </w:rPr>
        <w:t>方案结合现场踏勘情况；</w:t>
      </w:r>
    </w:p>
    <w:p w14:paraId="56B3B7A5">
      <w:pPr>
        <w:numPr>
          <w:ilvl w:val="0"/>
          <w:numId w:val="3"/>
        </w:numPr>
        <w:tabs>
          <w:tab w:val="left" w:pos="425"/>
          <w:tab w:val="clear" w:pos="5"/>
        </w:tabs>
        <w:spacing w:line="440" w:lineRule="exact"/>
        <w:ind w:left="845" w:right="25" w:rightChars="12"/>
        <w:rPr>
          <w:rFonts w:ascii="宋体" w:hAnsi="宋体" w:cs="宋体"/>
          <w:bCs/>
          <w:sz w:val="24"/>
        </w:rPr>
      </w:pPr>
      <w:r>
        <w:rPr>
          <w:rFonts w:hint="eastAsia" w:ascii="宋体" w:hAnsi="宋体" w:cs="宋体"/>
          <w:bCs/>
          <w:sz w:val="24"/>
        </w:rPr>
        <w:t>清单依据：</w:t>
      </w:r>
    </w:p>
    <w:p w14:paraId="1CAA367C">
      <w:pPr>
        <w:tabs>
          <w:tab w:val="left" w:pos="425"/>
        </w:tabs>
        <w:spacing w:line="440" w:lineRule="exact"/>
        <w:ind w:left="420" w:right="25" w:rightChars="12" w:firstLine="240" w:firstLineChars="100"/>
        <w:rPr>
          <w:rFonts w:ascii="宋体" w:hAnsi="宋体" w:cs="宋体"/>
          <w:bCs/>
          <w:sz w:val="24"/>
        </w:rPr>
      </w:pPr>
      <w:r>
        <w:rPr>
          <w:rFonts w:hint="eastAsia" w:ascii="宋体" w:hAnsi="宋体" w:cs="宋体"/>
          <w:bCs/>
          <w:sz w:val="24"/>
        </w:rPr>
        <w:t>（1）《建设工程工程量清单计价规范》（GB50500-2013）；</w:t>
      </w:r>
    </w:p>
    <w:p w14:paraId="49485A62">
      <w:pPr>
        <w:tabs>
          <w:tab w:val="left" w:pos="425"/>
        </w:tabs>
        <w:spacing w:line="440" w:lineRule="exact"/>
        <w:ind w:left="420" w:right="25" w:rightChars="12" w:firstLine="240" w:firstLineChars="100"/>
        <w:rPr>
          <w:rFonts w:ascii="宋体" w:hAnsi="宋体"/>
          <w:color w:val="000000"/>
          <w:sz w:val="24"/>
        </w:rPr>
      </w:pPr>
      <w:r>
        <w:rPr>
          <w:rFonts w:hint="eastAsia" w:ascii="宋体" w:hAnsi="宋体" w:cs="宋体"/>
          <w:bCs/>
          <w:sz w:val="24"/>
        </w:rPr>
        <w:t>（2）</w:t>
      </w:r>
      <w:r>
        <w:rPr>
          <w:rFonts w:hint="eastAsia" w:ascii="宋体" w:hAnsi="宋体"/>
          <w:color w:val="000000"/>
          <w:sz w:val="24"/>
        </w:rPr>
        <w:t>《房屋建筑与装饰工程工程量计算规范》（GB50854-2013）</w:t>
      </w:r>
      <w:r>
        <w:rPr>
          <w:rFonts w:hint="eastAsia" w:ascii="宋体" w:hAnsi="宋体" w:cs="宋体"/>
          <w:sz w:val="24"/>
        </w:rPr>
        <w:t>；</w:t>
      </w:r>
    </w:p>
    <w:p w14:paraId="7DA9F7E3">
      <w:pPr>
        <w:tabs>
          <w:tab w:val="left" w:pos="425"/>
        </w:tabs>
        <w:spacing w:line="440" w:lineRule="exact"/>
        <w:ind w:left="420" w:right="25" w:rightChars="12" w:firstLine="240" w:firstLineChars="100"/>
        <w:rPr>
          <w:rFonts w:hint="eastAsia" w:ascii="宋体" w:hAnsi="宋体" w:eastAsia="宋体" w:cs="宋体"/>
          <w:color w:val="000000"/>
          <w:kern w:val="0"/>
          <w:sz w:val="24"/>
          <w:lang w:val="en-US" w:eastAsia="zh-CN"/>
        </w:rPr>
      </w:pPr>
      <w:r>
        <w:rPr>
          <w:rFonts w:hint="eastAsia" w:ascii="宋体" w:hAnsi="宋体"/>
          <w:color w:val="000000"/>
          <w:sz w:val="24"/>
        </w:rPr>
        <w:t>（3）</w:t>
      </w:r>
      <w:r>
        <w:rPr>
          <w:rFonts w:hint="eastAsia" w:ascii="宋体" w:hAnsi="宋体" w:cs="宋体"/>
          <w:color w:val="000000"/>
          <w:kern w:val="0"/>
          <w:sz w:val="24"/>
        </w:rPr>
        <w:t>《通用安装工程工程量计算规范》（GB50856-2013）</w:t>
      </w:r>
      <w:r>
        <w:rPr>
          <w:rFonts w:hint="eastAsia" w:ascii="宋体" w:hAnsi="宋体" w:cs="宋体"/>
          <w:color w:val="000000"/>
          <w:kern w:val="0"/>
          <w:sz w:val="24"/>
          <w:lang w:eastAsia="zh-CN"/>
        </w:rPr>
        <w:t>。</w:t>
      </w:r>
    </w:p>
    <w:p w14:paraId="66C49D7F">
      <w:pPr>
        <w:numPr>
          <w:ilvl w:val="0"/>
          <w:numId w:val="3"/>
        </w:numPr>
        <w:tabs>
          <w:tab w:val="left" w:pos="425"/>
          <w:tab w:val="clear" w:pos="5"/>
        </w:tabs>
        <w:spacing w:line="440" w:lineRule="exact"/>
        <w:ind w:left="845" w:right="25" w:rightChars="12"/>
        <w:rPr>
          <w:rFonts w:ascii="宋体" w:hAnsi="宋体" w:cs="宋体"/>
          <w:bCs/>
          <w:sz w:val="24"/>
          <w:lang w:val="zh-CN"/>
        </w:rPr>
      </w:pPr>
      <w:r>
        <w:rPr>
          <w:rFonts w:hint="eastAsia" w:ascii="宋体" w:hAnsi="宋体" w:cs="宋体"/>
          <w:bCs/>
          <w:sz w:val="24"/>
        </w:rPr>
        <w:t>定额依据：</w:t>
      </w:r>
    </w:p>
    <w:p w14:paraId="44CCE30F">
      <w:pPr>
        <w:tabs>
          <w:tab w:val="left" w:pos="425"/>
        </w:tabs>
        <w:spacing w:line="440" w:lineRule="exact"/>
        <w:ind w:right="25" w:rightChars="12" w:firstLine="720" w:firstLineChars="300"/>
        <w:rPr>
          <w:rFonts w:ascii="宋体" w:hAnsi="宋体"/>
          <w:color w:val="000000"/>
          <w:sz w:val="24"/>
        </w:rPr>
      </w:pPr>
      <w:r>
        <w:rPr>
          <w:rFonts w:hint="eastAsia" w:ascii="宋体" w:hAnsi="宋体" w:cs="宋体"/>
          <w:bCs/>
          <w:sz w:val="24"/>
        </w:rPr>
        <w:t>（1）《江苏省建筑与装饰工程计价定额》（2014版）</w:t>
      </w:r>
      <w:r>
        <w:rPr>
          <w:rFonts w:hint="eastAsia" w:ascii="宋体" w:hAnsi="宋体" w:cs="宋体"/>
          <w:sz w:val="24"/>
        </w:rPr>
        <w:t>；</w:t>
      </w:r>
    </w:p>
    <w:p w14:paraId="41D3A169">
      <w:pPr>
        <w:tabs>
          <w:tab w:val="left" w:pos="425"/>
        </w:tabs>
        <w:spacing w:line="440" w:lineRule="exact"/>
        <w:ind w:right="25" w:rightChars="12" w:firstLine="720" w:firstLineChars="300"/>
        <w:rPr>
          <w:rFonts w:hint="eastAsia" w:ascii="宋体" w:hAnsi="宋体"/>
          <w:color w:val="000000"/>
          <w:sz w:val="24"/>
        </w:rPr>
      </w:pPr>
      <w:r>
        <w:rPr>
          <w:rFonts w:hint="eastAsia" w:ascii="宋体" w:hAnsi="宋体"/>
          <w:color w:val="000000"/>
          <w:sz w:val="24"/>
        </w:rPr>
        <w:t>（2）《江苏</w:t>
      </w:r>
      <w:r>
        <w:rPr>
          <w:rFonts w:hint="eastAsia" w:ascii="宋体" w:hAnsi="宋体"/>
          <w:color w:val="000000"/>
          <w:sz w:val="24"/>
          <w:lang w:val="en-US" w:eastAsia="zh-CN"/>
        </w:rPr>
        <w:t>省</w:t>
      </w:r>
      <w:r>
        <w:rPr>
          <w:rFonts w:hint="eastAsia" w:ascii="宋体" w:hAnsi="宋体"/>
          <w:color w:val="000000"/>
          <w:sz w:val="24"/>
        </w:rPr>
        <w:t>安装工程计价定额》（2014版）；</w:t>
      </w:r>
    </w:p>
    <w:p w14:paraId="318562C6">
      <w:pPr>
        <w:tabs>
          <w:tab w:val="left" w:pos="425"/>
        </w:tabs>
        <w:spacing w:line="440" w:lineRule="exact"/>
        <w:ind w:right="25" w:rightChars="12" w:firstLine="720" w:firstLineChars="300"/>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w:t>
      </w:r>
      <w:r>
        <w:rPr>
          <w:rFonts w:hint="eastAsia" w:ascii="宋体" w:hAnsi="宋体" w:cs="Times New Roman"/>
          <w:color w:val="000000"/>
          <w:sz w:val="24"/>
          <w:lang w:val="en-US" w:eastAsia="zh-CN"/>
        </w:rPr>
        <w:t>3</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lang w:val="en-US" w:eastAsia="zh-CN"/>
        </w:rPr>
        <w:t>《江苏省抗震加固工程计价表》</w:t>
      </w:r>
      <w:r>
        <w:rPr>
          <w:rFonts w:hint="eastAsia" w:ascii="宋体" w:hAnsi="宋体" w:eastAsia="宋体" w:cs="Times New Roman"/>
          <w:color w:val="000000"/>
          <w:sz w:val="24"/>
          <w:lang w:eastAsia="zh-CN"/>
        </w:rPr>
        <w:t>（200</w:t>
      </w:r>
      <w:r>
        <w:rPr>
          <w:rFonts w:hint="eastAsia" w:ascii="宋体" w:hAnsi="宋体" w:eastAsia="宋体" w:cs="Times New Roman"/>
          <w:color w:val="000000"/>
          <w:sz w:val="24"/>
          <w:lang w:val="en-US" w:eastAsia="zh-CN"/>
        </w:rPr>
        <w:t>9</w:t>
      </w:r>
      <w:r>
        <w:rPr>
          <w:rFonts w:hint="eastAsia" w:ascii="宋体" w:hAnsi="宋体" w:eastAsia="宋体" w:cs="Times New Roman"/>
          <w:color w:val="000000"/>
          <w:sz w:val="24"/>
          <w:lang w:eastAsia="zh-CN"/>
        </w:rPr>
        <w:t>版）；</w:t>
      </w:r>
    </w:p>
    <w:p w14:paraId="3ABACB29">
      <w:pPr>
        <w:tabs>
          <w:tab w:val="left" w:pos="425"/>
        </w:tabs>
        <w:spacing w:line="440" w:lineRule="exact"/>
        <w:ind w:right="25" w:rightChars="12" w:firstLine="720" w:firstLineChars="3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eastAsia="zh-CN"/>
        </w:rPr>
        <w:t>（</w:t>
      </w:r>
      <w:r>
        <w:rPr>
          <w:rFonts w:hint="eastAsia" w:ascii="宋体" w:hAnsi="宋体" w:cs="Times New Roman"/>
          <w:color w:val="000000"/>
          <w:sz w:val="24"/>
          <w:lang w:val="en-US" w:eastAsia="zh-CN"/>
        </w:rPr>
        <w:t>4</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lang w:val="en-US" w:eastAsia="zh-CN"/>
        </w:rPr>
        <w:t>《江苏省房屋修缮工程计价表》</w:t>
      </w:r>
      <w:r>
        <w:rPr>
          <w:rFonts w:hint="eastAsia" w:ascii="宋体" w:hAnsi="宋体" w:eastAsia="宋体" w:cs="Times New Roman"/>
          <w:color w:val="000000"/>
          <w:sz w:val="24"/>
          <w:lang w:eastAsia="zh-CN"/>
        </w:rPr>
        <w:t>（200</w:t>
      </w:r>
      <w:r>
        <w:rPr>
          <w:rFonts w:hint="eastAsia" w:ascii="宋体" w:hAnsi="宋体" w:eastAsia="宋体" w:cs="Times New Roman"/>
          <w:color w:val="000000"/>
          <w:sz w:val="24"/>
          <w:lang w:val="en-US" w:eastAsia="zh-CN"/>
        </w:rPr>
        <w:t>9</w:t>
      </w:r>
      <w:r>
        <w:rPr>
          <w:rFonts w:hint="eastAsia" w:ascii="宋体" w:hAnsi="宋体" w:eastAsia="宋体" w:cs="Times New Roman"/>
          <w:color w:val="000000"/>
          <w:sz w:val="24"/>
          <w:lang w:eastAsia="zh-CN"/>
        </w:rPr>
        <w:t>版）；</w:t>
      </w:r>
    </w:p>
    <w:p w14:paraId="076EA01C">
      <w:pPr>
        <w:tabs>
          <w:tab w:val="left" w:pos="425"/>
        </w:tabs>
        <w:spacing w:line="440" w:lineRule="exact"/>
        <w:ind w:right="25" w:rightChars="12" w:firstLine="720" w:firstLineChars="300"/>
        <w:rPr>
          <w:rFonts w:ascii="宋体" w:hAnsi="宋体" w:cs="宋体"/>
          <w:sz w:val="24"/>
          <w:lang w:val="zh-CN"/>
        </w:rPr>
      </w:pPr>
      <w:r>
        <w:rPr>
          <w:rFonts w:hint="eastAsia" w:ascii="宋体" w:hAnsi="宋体" w:eastAsia="宋体" w:cs="Times New Roman"/>
          <w:color w:val="000000"/>
          <w:sz w:val="24"/>
          <w:lang w:eastAsia="zh-CN"/>
        </w:rPr>
        <w:t>（</w:t>
      </w:r>
      <w:r>
        <w:rPr>
          <w:rFonts w:hint="eastAsia" w:ascii="宋体" w:hAnsi="宋体" w:cs="Times New Roman"/>
          <w:color w:val="000000"/>
          <w:sz w:val="24"/>
          <w:lang w:val="en-US" w:eastAsia="zh-CN"/>
        </w:rPr>
        <w:t>5</w:t>
      </w:r>
      <w:r>
        <w:rPr>
          <w:rFonts w:hint="eastAsia" w:ascii="宋体" w:hAnsi="宋体" w:eastAsia="宋体" w:cs="Times New Roman"/>
          <w:color w:val="000000"/>
          <w:sz w:val="24"/>
          <w:lang w:eastAsia="zh-CN"/>
        </w:rPr>
        <w:t>）《江苏省建设工程费用定额》（20</w:t>
      </w:r>
      <w:r>
        <w:rPr>
          <w:rFonts w:hint="eastAsia" w:ascii="宋体" w:hAnsi="宋体" w:cs="宋体"/>
          <w:bCs/>
          <w:sz w:val="24"/>
        </w:rPr>
        <w:t>14版）</w:t>
      </w:r>
      <w:r>
        <w:rPr>
          <w:rFonts w:hint="eastAsia" w:ascii="宋体" w:hAnsi="宋体" w:cs="宋体"/>
          <w:sz w:val="24"/>
          <w:lang w:val="zh-CN"/>
        </w:rPr>
        <w:t>营改增后调整、其他相关文件及甲方要求</w:t>
      </w:r>
    </w:p>
    <w:p w14:paraId="40E12C86">
      <w:pPr>
        <w:spacing w:line="440" w:lineRule="exact"/>
        <w:ind w:left="1198" w:leftChars="342" w:right="25" w:rightChars="12" w:hanging="480" w:hangingChars="200"/>
        <w:rPr>
          <w:rFonts w:ascii="宋体" w:hAnsi="宋体" w:cs="宋体"/>
          <w:sz w:val="24"/>
          <w:lang w:val="zh-CN"/>
        </w:rPr>
      </w:pPr>
      <w:r>
        <w:rPr>
          <w:rFonts w:hint="eastAsia" w:ascii="宋体" w:hAnsi="宋体" w:cs="宋体"/>
          <w:sz w:val="24"/>
        </w:rPr>
        <w:t>及</w:t>
      </w:r>
      <w:r>
        <w:rPr>
          <w:rFonts w:hint="eastAsia" w:ascii="宋体" w:hAnsi="宋体" w:cs="宋体"/>
          <w:sz w:val="24"/>
          <w:lang w:val="zh-CN"/>
        </w:rPr>
        <w:t>江阴市建设局颁发的相关造价文件。</w:t>
      </w:r>
    </w:p>
    <w:p w14:paraId="42229367">
      <w:pPr>
        <w:numPr>
          <w:ilvl w:val="0"/>
          <w:numId w:val="3"/>
        </w:numPr>
        <w:tabs>
          <w:tab w:val="left" w:pos="425"/>
          <w:tab w:val="clear" w:pos="5"/>
        </w:tabs>
        <w:spacing w:line="440" w:lineRule="exact"/>
        <w:ind w:left="845" w:right="25" w:rightChars="12"/>
        <w:rPr>
          <w:rFonts w:ascii="宋体" w:hAnsi="宋体" w:cs="宋体"/>
          <w:bCs/>
          <w:sz w:val="24"/>
          <w:lang w:val="zh-CN"/>
        </w:rPr>
      </w:pPr>
      <w:r>
        <w:rPr>
          <w:rFonts w:hint="eastAsia" w:ascii="宋体" w:hAnsi="宋体" w:cs="宋体"/>
          <w:bCs/>
          <w:sz w:val="24"/>
        </w:rPr>
        <w:t>政策性文件：</w:t>
      </w:r>
    </w:p>
    <w:p w14:paraId="0444C6C7">
      <w:pPr>
        <w:tabs>
          <w:tab w:val="left" w:pos="425"/>
        </w:tabs>
        <w:spacing w:line="440" w:lineRule="exact"/>
        <w:ind w:right="25" w:rightChars="12" w:firstLine="720" w:firstLineChars="300"/>
        <w:rPr>
          <w:rFonts w:ascii="宋体" w:hAnsi="宋体" w:cs="宋体"/>
          <w:bCs/>
          <w:sz w:val="24"/>
          <w:lang w:val="zh-CN"/>
        </w:rPr>
      </w:pPr>
      <w:r>
        <w:rPr>
          <w:rFonts w:hint="eastAsia" w:ascii="宋体" w:hAnsi="宋体" w:cs="宋体"/>
          <w:bCs/>
          <w:sz w:val="24"/>
        </w:rPr>
        <w:t>（1）</w:t>
      </w:r>
      <w:r>
        <w:rPr>
          <w:rFonts w:hint="eastAsia" w:ascii="宋体" w:hAnsi="宋体" w:cs="宋体"/>
          <w:bCs/>
          <w:sz w:val="24"/>
          <w:lang w:val="zh-CN"/>
        </w:rPr>
        <w:t>本工程按锡建建市【2019】7号文有关增值税计价政策进行调整；</w:t>
      </w:r>
    </w:p>
    <w:p w14:paraId="400A2506">
      <w:pPr>
        <w:tabs>
          <w:tab w:val="left" w:pos="425"/>
        </w:tabs>
        <w:spacing w:line="440" w:lineRule="exact"/>
        <w:ind w:right="25" w:rightChars="12" w:firstLine="720" w:firstLineChars="300"/>
        <w:rPr>
          <w:rFonts w:ascii="宋体" w:hAnsi="宋体" w:cs="宋体"/>
          <w:bCs/>
          <w:sz w:val="24"/>
          <w:lang w:val="zh-CN"/>
        </w:rPr>
      </w:pPr>
      <w:r>
        <w:rPr>
          <w:rFonts w:hint="eastAsia" w:ascii="宋体" w:hAnsi="宋体" w:cs="宋体"/>
          <w:bCs/>
          <w:sz w:val="24"/>
        </w:rPr>
        <w:t>（2）</w:t>
      </w:r>
      <w:r>
        <w:rPr>
          <w:rFonts w:hint="eastAsia" w:ascii="宋体" w:hAnsi="宋体" w:cs="宋体"/>
          <w:bCs/>
          <w:sz w:val="24"/>
          <w:lang w:val="zh-CN"/>
        </w:rPr>
        <w:t>本工程按锡建建市【2018】17号文计算扬尘污染防治增加费。</w:t>
      </w:r>
    </w:p>
    <w:p w14:paraId="15567D0E">
      <w:pPr>
        <w:numPr>
          <w:ilvl w:val="0"/>
          <w:numId w:val="3"/>
        </w:numPr>
        <w:tabs>
          <w:tab w:val="left" w:pos="425"/>
          <w:tab w:val="clear" w:pos="5"/>
        </w:tabs>
        <w:spacing w:line="440" w:lineRule="exact"/>
        <w:ind w:left="845" w:right="25" w:rightChars="12"/>
        <w:rPr>
          <w:rFonts w:ascii="宋体" w:hAnsi="宋体" w:cs="宋体"/>
          <w:bCs/>
          <w:sz w:val="24"/>
        </w:rPr>
      </w:pPr>
      <w:r>
        <w:rPr>
          <w:rFonts w:hint="eastAsia" w:ascii="宋体" w:hAnsi="宋体" w:cs="宋体"/>
          <w:bCs/>
          <w:sz w:val="24"/>
        </w:rPr>
        <w:t>材料费：材料价格按202</w:t>
      </w:r>
      <w:r>
        <w:rPr>
          <w:rFonts w:hint="eastAsia" w:ascii="宋体" w:hAnsi="宋体" w:cs="宋体"/>
          <w:bCs/>
          <w:sz w:val="24"/>
          <w:lang w:val="en-US" w:eastAsia="zh-CN"/>
        </w:rPr>
        <w:t>6</w:t>
      </w:r>
      <w:r>
        <w:rPr>
          <w:rFonts w:hint="eastAsia" w:ascii="宋体" w:hAnsi="宋体" w:cs="宋体"/>
          <w:bCs/>
          <w:sz w:val="24"/>
        </w:rPr>
        <w:t>年</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lang w:val="en-US" w:eastAsia="zh-CN"/>
        </w:rPr>
        <w:t>6</w:t>
      </w:r>
      <w:r>
        <w:rPr>
          <w:rFonts w:hint="eastAsia" w:ascii="宋体" w:hAnsi="宋体" w:cs="宋体"/>
          <w:b/>
          <w:sz w:val="28"/>
          <w:szCs w:val="28"/>
          <w:highlight w:val="none"/>
          <w:u w:val="single"/>
        </w:rPr>
        <w:t xml:space="preserve"> </w:t>
      </w:r>
      <w:r>
        <w:rPr>
          <w:rFonts w:hint="eastAsia" w:ascii="宋体" w:hAnsi="宋体" w:cs="宋体"/>
          <w:bCs/>
          <w:sz w:val="24"/>
          <w:highlight w:val="none"/>
        </w:rPr>
        <w:t>期</w:t>
      </w:r>
      <w:r>
        <w:rPr>
          <w:rFonts w:hint="eastAsia" w:ascii="宋体" w:hAnsi="宋体" w:cs="宋体"/>
          <w:bCs/>
          <w:sz w:val="24"/>
          <w:lang w:val="en-US" w:eastAsia="zh-CN"/>
        </w:rPr>
        <w:t>无锡</w:t>
      </w:r>
      <w:r>
        <w:rPr>
          <w:rFonts w:hint="eastAsia" w:ascii="宋体" w:hAnsi="宋体" w:cs="宋体"/>
          <w:bCs/>
          <w:sz w:val="24"/>
        </w:rPr>
        <w:t>市建设工程造价信息除税指导价，无指导价的按编标时同期市场询价计入，投标人报价时自考虑报</w:t>
      </w:r>
      <w:r>
        <w:rPr>
          <w:rFonts w:hint="eastAsia" w:ascii="宋体" w:hAnsi="宋体" w:cs="宋体"/>
          <w:bCs/>
          <w:sz w:val="24"/>
          <w:highlight w:val="none"/>
        </w:rPr>
        <w:t>价</w:t>
      </w:r>
      <w:bookmarkStart w:id="0" w:name="_GoBack"/>
      <w:bookmarkEnd w:id="0"/>
      <w:r>
        <w:rPr>
          <w:rFonts w:hint="eastAsia" w:ascii="宋体" w:hAnsi="宋体" w:cs="宋体"/>
          <w:bCs/>
          <w:sz w:val="24"/>
          <w:highlight w:val="none"/>
        </w:rPr>
        <w:t>；</w:t>
      </w:r>
    </w:p>
    <w:p w14:paraId="3D180FC9">
      <w:pPr>
        <w:numPr>
          <w:ilvl w:val="0"/>
          <w:numId w:val="3"/>
        </w:numPr>
        <w:tabs>
          <w:tab w:val="left" w:pos="425"/>
          <w:tab w:val="clear" w:pos="5"/>
        </w:tabs>
        <w:spacing w:line="440" w:lineRule="exact"/>
        <w:ind w:left="845" w:right="25" w:rightChars="12"/>
        <w:rPr>
          <w:rFonts w:ascii="宋体" w:hAnsi="宋体" w:cs="宋体"/>
          <w:bCs/>
          <w:sz w:val="24"/>
        </w:rPr>
      </w:pPr>
      <w:r>
        <w:rPr>
          <w:rFonts w:hint="eastAsia" w:ascii="宋体" w:hAnsi="宋体" w:cs="宋体"/>
          <w:bCs/>
          <w:sz w:val="24"/>
        </w:rPr>
        <w:t>人工费：执行《江苏省住房城乡建设厅关于发布建设工程人工工资指导价的通知》苏建函价</w:t>
      </w:r>
      <w:r>
        <w:rPr>
          <w:rFonts w:hint="eastAsia" w:ascii="宋体" w:hAnsi="宋体" w:cs="宋体"/>
          <w:b/>
          <w:sz w:val="28"/>
          <w:szCs w:val="28"/>
          <w:u w:val="single"/>
        </w:rPr>
        <w:t>[202</w:t>
      </w:r>
      <w:r>
        <w:rPr>
          <w:rFonts w:hint="eastAsia" w:ascii="宋体" w:hAnsi="宋体" w:cs="宋体"/>
          <w:b/>
          <w:sz w:val="28"/>
          <w:szCs w:val="28"/>
          <w:u w:val="single"/>
          <w:lang w:val="en-US" w:eastAsia="zh-CN"/>
        </w:rPr>
        <w:t>6</w:t>
      </w:r>
      <w:r>
        <w:rPr>
          <w:rFonts w:hint="eastAsia" w:ascii="宋体" w:hAnsi="宋体" w:cs="宋体"/>
          <w:b/>
          <w:sz w:val="28"/>
          <w:szCs w:val="28"/>
          <w:u w:val="single"/>
        </w:rPr>
        <w:t>]</w:t>
      </w:r>
      <w:r>
        <w:rPr>
          <w:rFonts w:hint="eastAsia" w:ascii="宋体" w:hAnsi="宋体" w:cs="宋体"/>
          <w:b/>
          <w:sz w:val="28"/>
          <w:szCs w:val="28"/>
          <w:u w:val="single"/>
          <w:lang w:val="en-US" w:eastAsia="zh-CN"/>
        </w:rPr>
        <w:t>27</w:t>
      </w:r>
      <w:r>
        <w:rPr>
          <w:rFonts w:hint="eastAsia" w:ascii="宋体" w:hAnsi="宋体" w:cs="宋体"/>
          <w:b/>
          <w:sz w:val="28"/>
          <w:szCs w:val="28"/>
          <w:u w:val="single"/>
        </w:rPr>
        <w:t>号</w:t>
      </w:r>
      <w:r>
        <w:rPr>
          <w:rFonts w:hint="eastAsia" w:ascii="宋体" w:hAnsi="宋体" w:cs="宋体"/>
          <w:bCs/>
          <w:sz w:val="24"/>
        </w:rPr>
        <w:t>；</w:t>
      </w:r>
    </w:p>
    <w:p w14:paraId="0D080C7A">
      <w:pPr>
        <w:numPr>
          <w:ilvl w:val="0"/>
          <w:numId w:val="3"/>
        </w:numPr>
        <w:tabs>
          <w:tab w:val="left" w:pos="425"/>
          <w:tab w:val="clear" w:pos="5"/>
        </w:tabs>
        <w:spacing w:line="440" w:lineRule="exact"/>
        <w:ind w:left="845" w:right="25" w:rightChars="12"/>
        <w:rPr>
          <w:rFonts w:ascii="宋体" w:hAnsi="宋体" w:cs="宋体"/>
          <w:bCs/>
          <w:sz w:val="24"/>
        </w:rPr>
      </w:pPr>
      <w:r>
        <w:rPr>
          <w:rFonts w:hint="eastAsia" w:ascii="宋体" w:hAnsi="宋体" w:cs="宋体"/>
          <w:bCs/>
          <w:sz w:val="24"/>
        </w:rPr>
        <w:t>施工规范按照现行的施工规范和操作规程；</w:t>
      </w:r>
    </w:p>
    <w:p w14:paraId="0CF92248">
      <w:pPr>
        <w:numPr>
          <w:ilvl w:val="0"/>
          <w:numId w:val="3"/>
        </w:numPr>
        <w:tabs>
          <w:tab w:val="left" w:pos="425"/>
        </w:tabs>
        <w:spacing w:line="440" w:lineRule="exact"/>
        <w:ind w:left="845" w:right="25" w:rightChars="12"/>
        <w:rPr>
          <w:rFonts w:ascii="宋体" w:hAnsi="宋体" w:cs="宋体"/>
          <w:bCs/>
          <w:sz w:val="24"/>
        </w:rPr>
      </w:pPr>
      <w:r>
        <w:rPr>
          <w:rFonts w:hint="eastAsia" w:ascii="宋体" w:hAnsi="宋体" w:cs="宋体"/>
          <w:bCs/>
          <w:sz w:val="24"/>
        </w:rPr>
        <w:t>本工程量清单应与招标文件、投标须知、工程规范、清单计价规范及相关文件等一起使用。</w:t>
      </w:r>
    </w:p>
    <w:p w14:paraId="2EEF825F">
      <w:pPr>
        <w:numPr>
          <w:ilvl w:val="0"/>
          <w:numId w:val="1"/>
        </w:numPr>
        <w:snapToGrid w:val="0"/>
        <w:spacing w:line="440" w:lineRule="atLeast"/>
        <w:rPr>
          <w:rFonts w:ascii="宋体" w:hAnsi="宋体" w:cs="宋体"/>
          <w:b/>
          <w:sz w:val="24"/>
          <w:lang w:val="zh-CN"/>
        </w:rPr>
      </w:pPr>
      <w:r>
        <w:rPr>
          <w:rFonts w:hint="eastAsia" w:ascii="宋体" w:hAnsi="宋体" w:cs="宋体"/>
          <w:b/>
          <w:sz w:val="24"/>
          <w:lang w:val="zh-CN"/>
        </w:rPr>
        <w:t>工程类别：</w:t>
      </w:r>
      <w:r>
        <w:rPr>
          <w:rFonts w:hint="eastAsia" w:ascii="宋体" w:hAnsi="宋体" w:cs="宋体"/>
          <w:b w:val="0"/>
          <w:bCs/>
          <w:sz w:val="24"/>
          <w:lang w:val="en-US" w:eastAsia="zh-CN"/>
        </w:rPr>
        <w:t>装饰工程</w:t>
      </w:r>
    </w:p>
    <w:p w14:paraId="04CB8FC5">
      <w:pPr>
        <w:numPr>
          <w:ilvl w:val="0"/>
          <w:numId w:val="1"/>
        </w:numPr>
        <w:snapToGrid w:val="0"/>
        <w:spacing w:line="440" w:lineRule="atLeast"/>
        <w:rPr>
          <w:rFonts w:ascii="宋体" w:hAnsi="宋体" w:cs="宋体"/>
          <w:b/>
          <w:sz w:val="24"/>
          <w:lang w:val="zh-CN"/>
        </w:rPr>
      </w:pPr>
      <w:r>
        <w:rPr>
          <w:rFonts w:hint="eastAsia" w:ascii="宋体" w:hAnsi="宋体" w:cs="宋体"/>
          <w:b/>
          <w:sz w:val="24"/>
          <w:lang w:val="zh-CN"/>
        </w:rPr>
        <w:t>工程质量要求：</w:t>
      </w:r>
      <w:r>
        <w:rPr>
          <w:rFonts w:hint="eastAsia" w:asciiTheme="minorEastAsia" w:hAnsiTheme="minorEastAsia" w:eastAsiaTheme="minorEastAsia" w:cstheme="minorEastAsia"/>
          <w:b/>
          <w:bCs/>
          <w:color w:val="0000FF"/>
          <w:sz w:val="24"/>
          <w:szCs w:val="24"/>
        </w:rPr>
        <w:t>按招标文件</w:t>
      </w:r>
    </w:p>
    <w:p w14:paraId="63606A14">
      <w:pPr>
        <w:numPr>
          <w:ilvl w:val="0"/>
          <w:numId w:val="1"/>
        </w:numPr>
        <w:snapToGrid w:val="0"/>
        <w:spacing w:line="440" w:lineRule="atLeast"/>
        <w:rPr>
          <w:rFonts w:hint="eastAsia" w:ascii="宋体" w:hAnsi="宋体" w:cs="宋体"/>
          <w:bCs/>
          <w:sz w:val="24"/>
          <w:highlight w:val="none"/>
          <w:lang w:val="zh-CN"/>
        </w:rPr>
      </w:pPr>
      <w:r>
        <w:rPr>
          <w:rFonts w:hint="eastAsia" w:ascii="宋体" w:hAnsi="宋体" w:cs="宋体"/>
          <w:b/>
          <w:sz w:val="24"/>
          <w:highlight w:val="none"/>
          <w:lang w:val="zh-CN"/>
        </w:rPr>
        <w:t>工期要求</w:t>
      </w:r>
      <w:r>
        <w:rPr>
          <w:rFonts w:hint="eastAsia" w:ascii="宋体" w:hAnsi="宋体" w:cs="宋体"/>
          <w:b/>
          <w:sz w:val="28"/>
          <w:szCs w:val="28"/>
          <w:highlight w:val="none"/>
          <w:lang w:val="zh-CN"/>
        </w:rPr>
        <w:t>：</w:t>
      </w:r>
      <w:r>
        <w:rPr>
          <w:rFonts w:hint="eastAsia" w:asciiTheme="minorEastAsia" w:hAnsiTheme="minorEastAsia" w:eastAsiaTheme="minorEastAsia" w:cstheme="minorEastAsia"/>
          <w:b/>
          <w:bCs/>
          <w:color w:val="0000FF"/>
          <w:sz w:val="24"/>
          <w:szCs w:val="24"/>
          <w:highlight w:val="none"/>
        </w:rPr>
        <w:t>按招标文件</w:t>
      </w:r>
    </w:p>
    <w:tbl>
      <w:tblPr>
        <w:tblStyle w:val="10"/>
        <w:tblpPr w:leftFromText="180" w:rightFromText="180" w:vertAnchor="text" w:horzAnchor="page" w:tblpX="1062" w:tblpY="651"/>
        <w:tblOverlap w:val="never"/>
        <w:tblW w:w="0" w:type="auto"/>
        <w:tblInd w:w="0" w:type="dxa"/>
        <w:tblLayout w:type="fixed"/>
        <w:tblCellMar>
          <w:top w:w="0" w:type="dxa"/>
          <w:left w:w="108" w:type="dxa"/>
          <w:bottom w:w="0" w:type="dxa"/>
          <w:right w:w="108" w:type="dxa"/>
        </w:tblCellMar>
      </w:tblPr>
      <w:tblGrid>
        <w:gridCol w:w="1701"/>
        <w:gridCol w:w="993"/>
        <w:gridCol w:w="1134"/>
        <w:gridCol w:w="1134"/>
        <w:gridCol w:w="1134"/>
        <w:gridCol w:w="850"/>
        <w:gridCol w:w="851"/>
        <w:gridCol w:w="850"/>
        <w:gridCol w:w="1512"/>
      </w:tblGrid>
      <w:tr w14:paraId="2BA35F37">
        <w:tblPrEx>
          <w:tblCellMar>
            <w:top w:w="0" w:type="dxa"/>
            <w:left w:w="108" w:type="dxa"/>
            <w:bottom w:w="0" w:type="dxa"/>
            <w:right w:w="108" w:type="dxa"/>
          </w:tblCellMar>
        </w:tblPrEx>
        <w:trPr>
          <w:trHeight w:val="495" w:hRule="atLeast"/>
        </w:trPr>
        <w:tc>
          <w:tcPr>
            <w:tcW w:w="1701" w:type="dxa"/>
            <w:tcBorders>
              <w:top w:val="single" w:color="auto" w:sz="8" w:space="0"/>
              <w:left w:val="single" w:color="auto" w:sz="8" w:space="0"/>
              <w:bottom w:val="single" w:color="auto" w:sz="8" w:space="0"/>
              <w:right w:val="single" w:color="auto" w:sz="4" w:space="0"/>
            </w:tcBorders>
            <w:shd w:val="clear" w:color="auto" w:fill="E6E6E6"/>
            <w:noWrap/>
            <w:vAlign w:val="center"/>
          </w:tcPr>
          <w:p w14:paraId="30C27708">
            <w:pPr>
              <w:widowControl/>
              <w:jc w:val="center"/>
              <w:rPr>
                <w:rFonts w:ascii="宋体" w:cs="宋体"/>
                <w:color w:val="000000"/>
                <w:kern w:val="0"/>
                <w:szCs w:val="21"/>
              </w:rPr>
            </w:pPr>
            <w:r>
              <w:rPr>
                <w:rFonts w:hint="eastAsia" w:ascii="宋体" w:hAnsi="宋体" w:cs="宋体"/>
                <w:color w:val="000000"/>
                <w:kern w:val="0"/>
                <w:szCs w:val="21"/>
              </w:rPr>
              <w:t>序号</w:t>
            </w:r>
          </w:p>
        </w:tc>
        <w:tc>
          <w:tcPr>
            <w:tcW w:w="3261" w:type="dxa"/>
            <w:gridSpan w:val="3"/>
            <w:tcBorders>
              <w:top w:val="single" w:color="auto" w:sz="8" w:space="0"/>
              <w:left w:val="nil"/>
              <w:bottom w:val="single" w:color="auto" w:sz="8" w:space="0"/>
              <w:right w:val="single" w:color="auto" w:sz="4" w:space="0"/>
            </w:tcBorders>
            <w:shd w:val="clear" w:color="auto" w:fill="E6E6E6"/>
            <w:noWrap/>
            <w:vAlign w:val="center"/>
          </w:tcPr>
          <w:p w14:paraId="52CB19DA">
            <w:pPr>
              <w:widowControl/>
              <w:jc w:val="center"/>
              <w:rPr>
                <w:rFonts w:ascii="宋体" w:cs="宋体"/>
                <w:color w:val="000000"/>
                <w:kern w:val="0"/>
                <w:szCs w:val="21"/>
              </w:rPr>
            </w:pPr>
            <w:r>
              <w:rPr>
                <w:rFonts w:hint="eastAsia" w:ascii="宋体" w:hAnsi="宋体" w:cs="宋体"/>
                <w:color w:val="000000"/>
                <w:kern w:val="0"/>
                <w:szCs w:val="21"/>
              </w:rPr>
              <w:t>一</w:t>
            </w:r>
          </w:p>
        </w:tc>
        <w:tc>
          <w:tcPr>
            <w:tcW w:w="1134" w:type="dxa"/>
            <w:tcBorders>
              <w:top w:val="single" w:color="auto" w:sz="8" w:space="0"/>
              <w:left w:val="nil"/>
              <w:bottom w:val="single" w:color="auto" w:sz="8" w:space="0"/>
              <w:right w:val="single" w:color="auto" w:sz="4" w:space="0"/>
            </w:tcBorders>
            <w:shd w:val="clear" w:color="auto" w:fill="E6E6E6"/>
            <w:noWrap/>
            <w:vAlign w:val="center"/>
          </w:tcPr>
          <w:p w14:paraId="370D3433">
            <w:pPr>
              <w:widowControl/>
              <w:jc w:val="center"/>
              <w:rPr>
                <w:rFonts w:ascii="宋体" w:cs="宋体"/>
                <w:color w:val="000000"/>
                <w:kern w:val="0"/>
                <w:szCs w:val="21"/>
              </w:rPr>
            </w:pPr>
            <w:r>
              <w:rPr>
                <w:rFonts w:hint="eastAsia" w:ascii="宋体" w:hAnsi="宋体" w:cs="宋体"/>
                <w:color w:val="000000"/>
                <w:kern w:val="0"/>
                <w:szCs w:val="21"/>
              </w:rPr>
              <w:t>二</w:t>
            </w:r>
          </w:p>
        </w:tc>
        <w:tc>
          <w:tcPr>
            <w:tcW w:w="2551" w:type="dxa"/>
            <w:gridSpan w:val="3"/>
            <w:tcBorders>
              <w:top w:val="single" w:color="auto" w:sz="8" w:space="0"/>
              <w:left w:val="nil"/>
              <w:bottom w:val="single" w:color="auto" w:sz="8" w:space="0"/>
              <w:right w:val="single" w:color="auto" w:sz="4" w:space="0"/>
            </w:tcBorders>
            <w:shd w:val="clear" w:color="auto" w:fill="E6E6E6"/>
            <w:noWrap/>
            <w:vAlign w:val="center"/>
          </w:tcPr>
          <w:p w14:paraId="34732C5A">
            <w:pPr>
              <w:widowControl/>
              <w:jc w:val="center"/>
              <w:rPr>
                <w:rFonts w:ascii="宋体" w:cs="宋体"/>
                <w:color w:val="000000"/>
                <w:kern w:val="0"/>
                <w:szCs w:val="21"/>
              </w:rPr>
            </w:pPr>
            <w:r>
              <w:rPr>
                <w:rFonts w:ascii="宋体" w:cs="宋体"/>
                <w:color w:val="000000"/>
                <w:kern w:val="0"/>
                <w:szCs w:val="21"/>
              </w:rPr>
              <w:t>三</w:t>
            </w:r>
          </w:p>
        </w:tc>
        <w:tc>
          <w:tcPr>
            <w:tcW w:w="1512" w:type="dxa"/>
            <w:tcBorders>
              <w:top w:val="single" w:color="auto" w:sz="8" w:space="0"/>
              <w:left w:val="nil"/>
              <w:bottom w:val="single" w:color="auto" w:sz="8" w:space="0"/>
              <w:right w:val="single" w:color="auto" w:sz="8" w:space="0"/>
            </w:tcBorders>
            <w:shd w:val="clear" w:color="auto" w:fill="E6E6E6"/>
            <w:noWrap/>
            <w:vAlign w:val="center"/>
          </w:tcPr>
          <w:p w14:paraId="3E126EBC">
            <w:pPr>
              <w:widowControl/>
              <w:jc w:val="center"/>
              <w:rPr>
                <w:rFonts w:ascii="宋体" w:cs="宋体"/>
                <w:color w:val="000000"/>
                <w:kern w:val="0"/>
                <w:szCs w:val="21"/>
              </w:rPr>
            </w:pPr>
            <w:r>
              <w:rPr>
                <w:rFonts w:hint="eastAsia" w:ascii="宋体" w:hAnsi="宋体" w:cs="宋体"/>
                <w:color w:val="000000"/>
                <w:kern w:val="0"/>
                <w:szCs w:val="21"/>
              </w:rPr>
              <w:t>四</w:t>
            </w:r>
          </w:p>
        </w:tc>
      </w:tr>
      <w:tr w14:paraId="1B1D6B2C">
        <w:tblPrEx>
          <w:tblCellMar>
            <w:top w:w="0" w:type="dxa"/>
            <w:left w:w="108" w:type="dxa"/>
            <w:bottom w:w="0" w:type="dxa"/>
            <w:right w:w="108" w:type="dxa"/>
          </w:tblCellMar>
        </w:tblPrEx>
        <w:trPr>
          <w:trHeight w:val="355" w:hRule="atLeast"/>
        </w:trPr>
        <w:tc>
          <w:tcPr>
            <w:tcW w:w="1701" w:type="dxa"/>
            <w:vMerge w:val="restart"/>
            <w:tcBorders>
              <w:top w:val="single" w:color="auto" w:sz="8" w:space="0"/>
              <w:left w:val="single" w:color="auto" w:sz="8" w:space="0"/>
              <w:bottom w:val="single" w:color="auto" w:sz="8" w:space="0"/>
              <w:right w:val="single" w:color="auto" w:sz="8" w:space="0"/>
            </w:tcBorders>
            <w:noWrap/>
            <w:vAlign w:val="center"/>
          </w:tcPr>
          <w:p w14:paraId="225ED2B4">
            <w:pPr>
              <w:widowControl/>
              <w:jc w:val="center"/>
              <w:rPr>
                <w:rFonts w:ascii="宋体" w:cs="宋体"/>
                <w:color w:val="000000"/>
                <w:kern w:val="0"/>
                <w:szCs w:val="21"/>
              </w:rPr>
            </w:pPr>
            <w:r>
              <w:rPr>
                <w:rFonts w:hint="eastAsia" w:ascii="宋体" w:hAnsi="宋体" w:cs="宋体"/>
                <w:color w:val="000000"/>
                <w:kern w:val="0"/>
                <w:szCs w:val="21"/>
              </w:rPr>
              <w:t>费用名称</w:t>
            </w:r>
          </w:p>
        </w:tc>
        <w:tc>
          <w:tcPr>
            <w:tcW w:w="3261" w:type="dxa"/>
            <w:gridSpan w:val="3"/>
            <w:tcBorders>
              <w:top w:val="single" w:color="auto" w:sz="8" w:space="0"/>
              <w:left w:val="single" w:color="auto" w:sz="8" w:space="0"/>
              <w:bottom w:val="single" w:color="auto" w:sz="8" w:space="0"/>
              <w:right w:val="single" w:color="auto" w:sz="8" w:space="0"/>
            </w:tcBorders>
            <w:noWrap/>
            <w:vAlign w:val="center"/>
          </w:tcPr>
          <w:p w14:paraId="3AE7ADA2">
            <w:pPr>
              <w:widowControl/>
              <w:jc w:val="center"/>
              <w:rPr>
                <w:rFonts w:ascii="宋体" w:cs="宋体"/>
                <w:color w:val="000000"/>
                <w:kern w:val="0"/>
                <w:sz w:val="18"/>
                <w:szCs w:val="18"/>
              </w:rPr>
            </w:pPr>
            <w:r>
              <w:rPr>
                <w:rFonts w:hint="eastAsia" w:ascii="宋体" w:hAnsi="宋体" w:cs="宋体"/>
                <w:color w:val="000000"/>
                <w:kern w:val="0"/>
                <w:sz w:val="18"/>
                <w:szCs w:val="18"/>
              </w:rPr>
              <w:t>现场安全文明施工费</w:t>
            </w:r>
          </w:p>
        </w:tc>
        <w:tc>
          <w:tcPr>
            <w:tcW w:w="1134" w:type="dxa"/>
            <w:tcBorders>
              <w:top w:val="single" w:color="auto" w:sz="8" w:space="0"/>
              <w:left w:val="single" w:color="auto" w:sz="8" w:space="0"/>
              <w:bottom w:val="single" w:color="auto" w:sz="8" w:space="0"/>
              <w:right w:val="single" w:color="auto" w:sz="8" w:space="0"/>
            </w:tcBorders>
            <w:noWrap/>
            <w:vAlign w:val="center"/>
          </w:tcPr>
          <w:p w14:paraId="2BF49564">
            <w:pPr>
              <w:widowControl/>
              <w:jc w:val="center"/>
              <w:rPr>
                <w:rFonts w:ascii="宋体" w:cs="宋体"/>
                <w:color w:val="000000"/>
                <w:kern w:val="0"/>
                <w:sz w:val="18"/>
                <w:szCs w:val="18"/>
              </w:rPr>
            </w:pPr>
            <w:r>
              <w:rPr>
                <w:rFonts w:hint="eastAsia" w:ascii="宋体" w:cs="宋体"/>
                <w:color w:val="000000"/>
                <w:kern w:val="0"/>
                <w:sz w:val="18"/>
                <w:szCs w:val="18"/>
              </w:rPr>
              <w:t>按质论价</w:t>
            </w:r>
          </w:p>
        </w:tc>
        <w:tc>
          <w:tcPr>
            <w:tcW w:w="2551" w:type="dxa"/>
            <w:gridSpan w:val="3"/>
            <w:tcBorders>
              <w:top w:val="single" w:color="auto" w:sz="8" w:space="0"/>
              <w:left w:val="single" w:color="auto" w:sz="8" w:space="0"/>
              <w:bottom w:val="single" w:color="auto" w:sz="8" w:space="0"/>
              <w:right w:val="single" w:color="auto" w:sz="8" w:space="0"/>
            </w:tcBorders>
            <w:noWrap/>
            <w:vAlign w:val="center"/>
          </w:tcPr>
          <w:p w14:paraId="35628403">
            <w:pPr>
              <w:widowControl/>
              <w:jc w:val="center"/>
              <w:rPr>
                <w:rFonts w:ascii="宋体" w:cs="宋体"/>
                <w:color w:val="000000"/>
                <w:kern w:val="0"/>
                <w:sz w:val="18"/>
                <w:szCs w:val="18"/>
              </w:rPr>
            </w:pPr>
            <w:r>
              <w:rPr>
                <w:rFonts w:ascii="宋体" w:cs="宋体"/>
                <w:color w:val="000000"/>
                <w:kern w:val="0"/>
                <w:sz w:val="18"/>
                <w:szCs w:val="18"/>
              </w:rPr>
              <w:t>规费</w:t>
            </w:r>
          </w:p>
        </w:tc>
        <w:tc>
          <w:tcPr>
            <w:tcW w:w="1512" w:type="dxa"/>
            <w:vMerge w:val="restart"/>
            <w:tcBorders>
              <w:top w:val="single" w:color="auto" w:sz="8" w:space="0"/>
              <w:left w:val="single" w:color="auto" w:sz="8" w:space="0"/>
              <w:bottom w:val="single" w:color="auto" w:sz="8" w:space="0"/>
              <w:right w:val="single" w:color="auto" w:sz="8" w:space="0"/>
            </w:tcBorders>
            <w:noWrap/>
            <w:vAlign w:val="center"/>
          </w:tcPr>
          <w:p w14:paraId="3F672579">
            <w:pPr>
              <w:widowControl/>
              <w:jc w:val="center"/>
              <w:rPr>
                <w:rFonts w:ascii="宋体" w:cs="宋体"/>
                <w:color w:val="000000"/>
                <w:kern w:val="0"/>
                <w:sz w:val="18"/>
                <w:szCs w:val="18"/>
              </w:rPr>
            </w:pPr>
            <w:r>
              <w:rPr>
                <w:rFonts w:hint="eastAsia" w:ascii="宋体" w:hAnsi="宋体" w:cs="宋体"/>
                <w:color w:val="000000"/>
                <w:kern w:val="0"/>
                <w:sz w:val="18"/>
                <w:szCs w:val="18"/>
              </w:rPr>
              <w:t>税金</w:t>
            </w:r>
          </w:p>
        </w:tc>
      </w:tr>
      <w:tr w14:paraId="5622F5F4">
        <w:tblPrEx>
          <w:tblCellMar>
            <w:top w:w="0" w:type="dxa"/>
            <w:left w:w="108" w:type="dxa"/>
            <w:bottom w:w="0" w:type="dxa"/>
            <w:right w:w="108" w:type="dxa"/>
          </w:tblCellMar>
        </w:tblPrEx>
        <w:trPr>
          <w:trHeight w:val="540" w:hRule="atLeast"/>
        </w:trPr>
        <w:tc>
          <w:tcPr>
            <w:tcW w:w="1701" w:type="dxa"/>
            <w:vMerge w:val="continue"/>
            <w:tcBorders>
              <w:top w:val="single" w:color="auto" w:sz="8" w:space="0"/>
              <w:left w:val="single" w:color="auto" w:sz="8" w:space="0"/>
              <w:bottom w:val="single" w:color="auto" w:sz="8" w:space="0"/>
              <w:right w:val="single" w:color="auto" w:sz="8" w:space="0"/>
            </w:tcBorders>
            <w:noWrap/>
            <w:vAlign w:val="center"/>
          </w:tcPr>
          <w:p w14:paraId="273987D5">
            <w:pPr>
              <w:widowControl/>
              <w:jc w:val="left"/>
              <w:rPr>
                <w:rFonts w:ascii="宋体" w:cs="宋体"/>
                <w:color w:val="000000"/>
                <w:kern w:val="0"/>
                <w:szCs w:val="21"/>
              </w:rPr>
            </w:pPr>
          </w:p>
        </w:tc>
        <w:tc>
          <w:tcPr>
            <w:tcW w:w="993" w:type="dxa"/>
            <w:tcBorders>
              <w:top w:val="single" w:color="auto" w:sz="8" w:space="0"/>
              <w:left w:val="single" w:color="auto" w:sz="8" w:space="0"/>
              <w:bottom w:val="single" w:color="auto" w:sz="8" w:space="0"/>
              <w:right w:val="single" w:color="auto" w:sz="8" w:space="0"/>
            </w:tcBorders>
            <w:noWrap/>
            <w:vAlign w:val="center"/>
          </w:tcPr>
          <w:p w14:paraId="6372C839">
            <w:pPr>
              <w:widowControl/>
              <w:jc w:val="center"/>
              <w:rPr>
                <w:rFonts w:ascii="宋体" w:cs="宋体"/>
                <w:color w:val="000000"/>
                <w:kern w:val="0"/>
                <w:sz w:val="18"/>
                <w:szCs w:val="18"/>
              </w:rPr>
            </w:pPr>
            <w:r>
              <w:rPr>
                <w:rFonts w:hint="eastAsia" w:ascii="宋体" w:hAnsi="宋体" w:cs="宋体"/>
                <w:color w:val="000000"/>
                <w:kern w:val="0"/>
                <w:sz w:val="18"/>
                <w:szCs w:val="18"/>
              </w:rPr>
              <w:t>基本费</w:t>
            </w:r>
          </w:p>
        </w:tc>
        <w:tc>
          <w:tcPr>
            <w:tcW w:w="1134" w:type="dxa"/>
            <w:tcBorders>
              <w:top w:val="single" w:color="auto" w:sz="8" w:space="0"/>
              <w:left w:val="single" w:color="auto" w:sz="8" w:space="0"/>
              <w:bottom w:val="single" w:color="auto" w:sz="8" w:space="0"/>
              <w:right w:val="single" w:color="auto" w:sz="8" w:space="0"/>
            </w:tcBorders>
            <w:noWrap/>
            <w:vAlign w:val="center"/>
          </w:tcPr>
          <w:p w14:paraId="2C260F26">
            <w:pPr>
              <w:widowControl/>
              <w:jc w:val="center"/>
              <w:rPr>
                <w:rFonts w:ascii="宋体" w:cs="宋体"/>
                <w:color w:val="000000"/>
                <w:kern w:val="0"/>
                <w:sz w:val="18"/>
                <w:szCs w:val="18"/>
              </w:rPr>
            </w:pPr>
            <w:r>
              <w:rPr>
                <w:rFonts w:hint="eastAsia" w:ascii="宋体" w:cs="宋体"/>
                <w:color w:val="000000"/>
                <w:kern w:val="0"/>
                <w:sz w:val="18"/>
                <w:szCs w:val="18"/>
              </w:rPr>
              <w:t>省级标化增加费</w:t>
            </w:r>
          </w:p>
        </w:tc>
        <w:tc>
          <w:tcPr>
            <w:tcW w:w="1134" w:type="dxa"/>
            <w:tcBorders>
              <w:top w:val="single" w:color="auto" w:sz="8" w:space="0"/>
              <w:left w:val="single" w:color="auto" w:sz="8" w:space="0"/>
              <w:bottom w:val="single" w:color="auto" w:sz="8" w:space="0"/>
              <w:right w:val="single" w:color="auto" w:sz="8" w:space="0"/>
            </w:tcBorders>
            <w:noWrap/>
            <w:vAlign w:val="center"/>
          </w:tcPr>
          <w:p w14:paraId="14D54456">
            <w:pPr>
              <w:widowControl/>
              <w:jc w:val="center"/>
              <w:rPr>
                <w:rFonts w:ascii="宋体" w:cs="宋体"/>
                <w:color w:val="000000"/>
                <w:kern w:val="0"/>
                <w:sz w:val="18"/>
                <w:szCs w:val="18"/>
              </w:rPr>
            </w:pPr>
            <w:r>
              <w:rPr>
                <w:rFonts w:hint="eastAsia" w:ascii="宋体" w:cs="宋体"/>
                <w:color w:val="000000"/>
                <w:kern w:val="0"/>
                <w:sz w:val="18"/>
                <w:szCs w:val="18"/>
              </w:rPr>
              <w:t>扬尘污染防治增加费</w:t>
            </w:r>
          </w:p>
        </w:tc>
        <w:tc>
          <w:tcPr>
            <w:tcW w:w="1134" w:type="dxa"/>
            <w:tcBorders>
              <w:top w:val="single" w:color="auto" w:sz="8" w:space="0"/>
              <w:left w:val="single" w:color="auto" w:sz="8" w:space="0"/>
              <w:bottom w:val="single" w:color="auto" w:sz="8" w:space="0"/>
              <w:right w:val="single" w:color="auto" w:sz="8" w:space="0"/>
            </w:tcBorders>
            <w:noWrap/>
            <w:vAlign w:val="center"/>
          </w:tcPr>
          <w:p w14:paraId="3E1102B2">
            <w:pPr>
              <w:widowControl/>
              <w:jc w:val="center"/>
              <w:rPr>
                <w:rFonts w:ascii="宋体" w:cs="宋体"/>
                <w:color w:val="000000"/>
                <w:kern w:val="0"/>
                <w:sz w:val="18"/>
                <w:szCs w:val="18"/>
              </w:rPr>
            </w:pPr>
            <w:r>
              <w:rPr>
                <w:rFonts w:hint="eastAsia" w:ascii="宋体" w:cs="宋体"/>
                <w:color w:val="000000"/>
                <w:kern w:val="0"/>
                <w:sz w:val="18"/>
                <w:szCs w:val="18"/>
              </w:rPr>
              <w:t>按质论价</w:t>
            </w:r>
          </w:p>
        </w:tc>
        <w:tc>
          <w:tcPr>
            <w:tcW w:w="850" w:type="dxa"/>
            <w:tcBorders>
              <w:top w:val="single" w:color="auto" w:sz="8" w:space="0"/>
              <w:left w:val="single" w:color="auto" w:sz="8" w:space="0"/>
              <w:bottom w:val="single" w:color="auto" w:sz="8" w:space="0"/>
              <w:right w:val="single" w:color="auto" w:sz="8" w:space="0"/>
            </w:tcBorders>
            <w:noWrap/>
            <w:vAlign w:val="center"/>
          </w:tcPr>
          <w:p w14:paraId="7237CACB">
            <w:pPr>
              <w:widowControl/>
              <w:jc w:val="center"/>
              <w:rPr>
                <w:rFonts w:ascii="宋体" w:cs="宋体"/>
                <w:color w:val="000000"/>
                <w:kern w:val="0"/>
                <w:sz w:val="18"/>
                <w:szCs w:val="18"/>
              </w:rPr>
            </w:pPr>
            <w:r>
              <w:rPr>
                <w:rFonts w:hint="eastAsia" w:ascii="宋体" w:hAnsi="宋体" w:cs="宋体"/>
                <w:color w:val="000000"/>
                <w:kern w:val="0"/>
                <w:sz w:val="18"/>
                <w:szCs w:val="18"/>
              </w:rPr>
              <w:t>社会保险费</w:t>
            </w:r>
          </w:p>
        </w:tc>
        <w:tc>
          <w:tcPr>
            <w:tcW w:w="851" w:type="dxa"/>
            <w:tcBorders>
              <w:top w:val="single" w:color="auto" w:sz="8" w:space="0"/>
              <w:left w:val="single" w:color="auto" w:sz="8" w:space="0"/>
              <w:bottom w:val="single" w:color="auto" w:sz="8" w:space="0"/>
              <w:right w:val="single" w:color="auto" w:sz="8" w:space="0"/>
            </w:tcBorders>
            <w:noWrap/>
            <w:vAlign w:val="center"/>
          </w:tcPr>
          <w:p w14:paraId="250FA05C">
            <w:pPr>
              <w:widowControl/>
              <w:jc w:val="center"/>
              <w:rPr>
                <w:rFonts w:ascii="宋体" w:cs="宋体"/>
                <w:color w:val="000000"/>
                <w:kern w:val="0"/>
                <w:sz w:val="18"/>
                <w:szCs w:val="18"/>
              </w:rPr>
            </w:pPr>
            <w:r>
              <w:rPr>
                <w:rFonts w:hint="eastAsia" w:ascii="宋体" w:hAnsi="宋体" w:cs="宋体"/>
                <w:color w:val="000000"/>
                <w:kern w:val="0"/>
                <w:sz w:val="18"/>
                <w:szCs w:val="18"/>
              </w:rPr>
              <w:t>住房公积金</w:t>
            </w:r>
          </w:p>
        </w:tc>
        <w:tc>
          <w:tcPr>
            <w:tcW w:w="850" w:type="dxa"/>
            <w:tcBorders>
              <w:top w:val="single" w:color="auto" w:sz="8" w:space="0"/>
              <w:left w:val="single" w:color="auto" w:sz="8" w:space="0"/>
              <w:bottom w:val="single" w:color="auto" w:sz="8" w:space="0"/>
              <w:right w:val="single" w:color="auto" w:sz="8" w:space="0"/>
            </w:tcBorders>
            <w:noWrap/>
            <w:vAlign w:val="center"/>
          </w:tcPr>
          <w:p w14:paraId="57A27B0E">
            <w:pPr>
              <w:widowControl/>
              <w:jc w:val="center"/>
              <w:rPr>
                <w:rFonts w:ascii="宋体" w:cs="宋体"/>
                <w:color w:val="000000"/>
                <w:kern w:val="0"/>
                <w:sz w:val="18"/>
                <w:szCs w:val="18"/>
              </w:rPr>
            </w:pPr>
            <w:r>
              <w:rPr>
                <w:rFonts w:hint="eastAsia" w:ascii="宋体" w:hAnsi="宋体" w:cs="宋体"/>
                <w:color w:val="000000"/>
                <w:kern w:val="0"/>
                <w:sz w:val="18"/>
                <w:szCs w:val="18"/>
              </w:rPr>
              <w:t>环境保护税</w:t>
            </w:r>
          </w:p>
        </w:tc>
        <w:tc>
          <w:tcPr>
            <w:tcW w:w="1512" w:type="dxa"/>
            <w:vMerge w:val="continue"/>
            <w:tcBorders>
              <w:top w:val="single" w:color="auto" w:sz="8" w:space="0"/>
              <w:left w:val="single" w:color="auto" w:sz="8" w:space="0"/>
              <w:bottom w:val="single" w:color="auto" w:sz="8" w:space="0"/>
              <w:right w:val="single" w:color="auto" w:sz="8" w:space="0"/>
            </w:tcBorders>
            <w:noWrap/>
            <w:vAlign w:val="center"/>
          </w:tcPr>
          <w:p w14:paraId="0B920115">
            <w:pPr>
              <w:widowControl/>
              <w:jc w:val="left"/>
              <w:rPr>
                <w:rFonts w:ascii="宋体" w:cs="宋体"/>
                <w:color w:val="000000"/>
                <w:kern w:val="0"/>
                <w:sz w:val="18"/>
                <w:szCs w:val="18"/>
              </w:rPr>
            </w:pPr>
          </w:p>
        </w:tc>
      </w:tr>
      <w:tr w14:paraId="514551B4">
        <w:tblPrEx>
          <w:tblCellMar>
            <w:top w:w="0" w:type="dxa"/>
            <w:left w:w="108" w:type="dxa"/>
            <w:bottom w:w="0" w:type="dxa"/>
            <w:right w:w="108" w:type="dxa"/>
          </w:tblCellMar>
        </w:tblPrEx>
        <w:trPr>
          <w:trHeight w:val="1395" w:hRule="atLeast"/>
        </w:trPr>
        <w:tc>
          <w:tcPr>
            <w:tcW w:w="1701" w:type="dxa"/>
            <w:tcBorders>
              <w:top w:val="single" w:color="auto" w:sz="8" w:space="0"/>
              <w:left w:val="single" w:color="auto" w:sz="8" w:space="0"/>
              <w:bottom w:val="single" w:color="auto" w:sz="8" w:space="0"/>
              <w:right w:val="single" w:color="auto" w:sz="8" w:space="0"/>
            </w:tcBorders>
            <w:noWrap/>
            <w:vAlign w:val="center"/>
          </w:tcPr>
          <w:p w14:paraId="0DF94FB4">
            <w:pPr>
              <w:widowControl/>
              <w:jc w:val="center"/>
              <w:rPr>
                <w:rFonts w:ascii="宋体" w:cs="宋体"/>
                <w:color w:val="000000"/>
                <w:kern w:val="0"/>
                <w:szCs w:val="21"/>
              </w:rPr>
            </w:pPr>
            <w:r>
              <w:rPr>
                <w:rFonts w:hint="eastAsia" w:ascii="宋体" w:hAnsi="宋体" w:cs="宋体"/>
                <w:color w:val="000000"/>
                <w:kern w:val="0"/>
                <w:szCs w:val="21"/>
              </w:rPr>
              <w:t>计算基础</w:t>
            </w:r>
          </w:p>
        </w:tc>
        <w:tc>
          <w:tcPr>
            <w:tcW w:w="4395" w:type="dxa"/>
            <w:gridSpan w:val="4"/>
            <w:tcBorders>
              <w:top w:val="single" w:color="auto" w:sz="8" w:space="0"/>
              <w:left w:val="single" w:color="auto" w:sz="8" w:space="0"/>
              <w:bottom w:val="single" w:color="auto" w:sz="8" w:space="0"/>
              <w:right w:val="single" w:color="auto" w:sz="8" w:space="0"/>
            </w:tcBorders>
            <w:noWrap/>
            <w:vAlign w:val="center"/>
          </w:tcPr>
          <w:p w14:paraId="72E53B7E">
            <w:pPr>
              <w:widowControl/>
              <w:jc w:val="center"/>
              <w:rPr>
                <w:rFonts w:ascii="宋体" w:cs="宋体"/>
                <w:color w:val="FF0000"/>
                <w:kern w:val="0"/>
                <w:sz w:val="18"/>
                <w:szCs w:val="18"/>
              </w:rPr>
            </w:pPr>
            <w:r>
              <w:rPr>
                <w:rFonts w:hint="eastAsia" w:ascii="宋体" w:hAnsi="宋体" w:cs="宋体"/>
                <w:kern w:val="0"/>
                <w:sz w:val="18"/>
                <w:szCs w:val="18"/>
              </w:rPr>
              <w:t>分部分项合计+单价措施项目合计</w:t>
            </w:r>
            <w:r>
              <w:rPr>
                <w:rFonts w:hint="eastAsia" w:ascii="宋体" w:hAnsi="宋体" w:cs="宋体"/>
                <w:color w:val="FF0000"/>
                <w:kern w:val="0"/>
                <w:sz w:val="18"/>
                <w:szCs w:val="18"/>
              </w:rPr>
              <w:t>-除税工程设备费</w:t>
            </w:r>
          </w:p>
        </w:tc>
        <w:tc>
          <w:tcPr>
            <w:tcW w:w="2551" w:type="dxa"/>
            <w:gridSpan w:val="3"/>
            <w:tcBorders>
              <w:top w:val="single" w:color="auto" w:sz="8" w:space="0"/>
              <w:left w:val="single" w:color="auto" w:sz="8" w:space="0"/>
              <w:bottom w:val="single" w:color="auto" w:sz="8" w:space="0"/>
              <w:right w:val="single" w:color="auto" w:sz="8" w:space="0"/>
            </w:tcBorders>
            <w:noWrap/>
            <w:vAlign w:val="center"/>
          </w:tcPr>
          <w:p w14:paraId="61231C3B">
            <w:pPr>
              <w:widowControl/>
              <w:jc w:val="center"/>
              <w:rPr>
                <w:rFonts w:ascii="宋体" w:cs="宋体"/>
                <w:color w:val="FF0000"/>
                <w:kern w:val="0"/>
                <w:sz w:val="18"/>
                <w:szCs w:val="18"/>
              </w:rPr>
            </w:pPr>
            <w:r>
              <w:rPr>
                <w:rFonts w:hint="eastAsia" w:ascii="宋体" w:hAnsi="宋体" w:cs="宋体"/>
                <w:kern w:val="0"/>
                <w:sz w:val="18"/>
                <w:szCs w:val="18"/>
              </w:rPr>
              <w:t>分部分项工程费+措施项目费+其他项目费</w:t>
            </w:r>
            <w:r>
              <w:rPr>
                <w:rFonts w:hint="eastAsia" w:ascii="宋体" w:hAnsi="宋体" w:cs="宋体"/>
                <w:color w:val="FF0000"/>
                <w:kern w:val="0"/>
                <w:sz w:val="18"/>
                <w:szCs w:val="18"/>
              </w:rPr>
              <w:t>-除税工程设备费</w:t>
            </w:r>
          </w:p>
        </w:tc>
        <w:tc>
          <w:tcPr>
            <w:tcW w:w="1512" w:type="dxa"/>
            <w:tcBorders>
              <w:top w:val="single" w:color="auto" w:sz="8" w:space="0"/>
              <w:left w:val="single" w:color="auto" w:sz="8" w:space="0"/>
              <w:bottom w:val="single" w:color="auto" w:sz="8" w:space="0"/>
              <w:right w:val="single" w:color="auto" w:sz="8" w:space="0"/>
            </w:tcBorders>
            <w:noWrap/>
            <w:vAlign w:val="center"/>
          </w:tcPr>
          <w:p w14:paraId="1214B4A2">
            <w:pPr>
              <w:widowControl/>
              <w:jc w:val="center"/>
              <w:rPr>
                <w:rFonts w:ascii="宋体" w:cs="宋体"/>
                <w:color w:val="FF0000"/>
                <w:kern w:val="0"/>
                <w:sz w:val="18"/>
                <w:szCs w:val="18"/>
              </w:rPr>
            </w:pPr>
            <w:r>
              <w:rPr>
                <w:rFonts w:hint="eastAsia" w:ascii="宋体" w:hAnsi="宋体" w:cs="宋体"/>
                <w:kern w:val="0"/>
                <w:sz w:val="18"/>
                <w:szCs w:val="18"/>
              </w:rPr>
              <w:t>分部分项工程费+措施项目费+其他项目费+规费+税金</w:t>
            </w:r>
            <w:r>
              <w:rPr>
                <w:rFonts w:hint="eastAsia" w:ascii="宋体" w:hAnsi="宋体" w:cs="宋体"/>
                <w:color w:val="FF0000"/>
                <w:kern w:val="0"/>
                <w:sz w:val="18"/>
                <w:szCs w:val="18"/>
              </w:rPr>
              <w:t>-除税甲供材料和甲供设备费/1.01</w:t>
            </w:r>
          </w:p>
        </w:tc>
      </w:tr>
      <w:tr w14:paraId="4B590C68">
        <w:tblPrEx>
          <w:tblCellMar>
            <w:top w:w="0" w:type="dxa"/>
            <w:left w:w="108" w:type="dxa"/>
            <w:bottom w:w="0" w:type="dxa"/>
            <w:right w:w="108" w:type="dxa"/>
          </w:tblCellMar>
        </w:tblPrEx>
        <w:trPr>
          <w:trHeight w:val="474" w:hRule="atLeast"/>
        </w:trPr>
        <w:tc>
          <w:tcPr>
            <w:tcW w:w="1701" w:type="dxa"/>
            <w:tcBorders>
              <w:top w:val="single" w:color="auto" w:sz="8" w:space="0"/>
              <w:left w:val="single" w:color="auto" w:sz="8" w:space="0"/>
              <w:bottom w:val="single" w:color="auto" w:sz="8" w:space="0"/>
              <w:right w:val="single" w:color="auto" w:sz="8" w:space="0"/>
            </w:tcBorders>
            <w:noWrap/>
            <w:vAlign w:val="center"/>
          </w:tcPr>
          <w:p w14:paraId="3F985AE0">
            <w:pPr>
              <w:widowControl/>
              <w:spacing w:line="360" w:lineRule="auto"/>
              <w:jc w:val="center"/>
              <w:rPr>
                <w:rFonts w:hint="default" w:ascii="宋体" w:cs="宋体"/>
                <w:color w:val="000000"/>
                <w:kern w:val="0"/>
                <w:szCs w:val="21"/>
                <w:lang w:val="en-US" w:eastAsia="zh-CN"/>
              </w:rPr>
            </w:pPr>
            <w:r>
              <w:rPr>
                <w:rFonts w:hint="eastAsia" w:ascii="宋体" w:cs="宋体"/>
                <w:color w:val="000000"/>
                <w:kern w:val="0"/>
                <w:szCs w:val="21"/>
                <w:lang w:val="en-US" w:eastAsia="zh-CN"/>
              </w:rPr>
              <w:t>装饰工程</w:t>
            </w:r>
          </w:p>
        </w:tc>
        <w:tc>
          <w:tcPr>
            <w:tcW w:w="993" w:type="dxa"/>
            <w:tcBorders>
              <w:top w:val="single" w:color="auto" w:sz="8" w:space="0"/>
              <w:left w:val="single" w:color="auto" w:sz="8" w:space="0"/>
              <w:bottom w:val="single" w:color="auto" w:sz="8" w:space="0"/>
              <w:right w:val="single" w:color="auto" w:sz="8" w:space="0"/>
            </w:tcBorders>
            <w:noWrap/>
            <w:vAlign w:val="center"/>
          </w:tcPr>
          <w:p w14:paraId="24B8AD65">
            <w:pPr>
              <w:widowControl/>
              <w:spacing w:line="360" w:lineRule="auto"/>
              <w:jc w:val="center"/>
              <w:rPr>
                <w:rFonts w:hint="default" w:ascii="宋体" w:cs="宋体"/>
                <w:kern w:val="0"/>
                <w:sz w:val="18"/>
                <w:szCs w:val="18"/>
                <w:lang w:val="en-US" w:eastAsia="zh-CN"/>
              </w:rPr>
            </w:pPr>
            <w:r>
              <w:rPr>
                <w:rFonts w:hint="eastAsia" w:ascii="宋体" w:cs="宋体"/>
                <w:kern w:val="0"/>
                <w:sz w:val="18"/>
                <w:szCs w:val="18"/>
                <w:lang w:val="en-US" w:eastAsia="zh-CN"/>
              </w:rPr>
              <w:t>1.7</w:t>
            </w:r>
            <w:r>
              <w:rPr>
                <w:rFonts w:hint="eastAsia" w:ascii="宋体" w:cs="宋体"/>
                <w:kern w:val="0"/>
                <w:sz w:val="18"/>
                <w:szCs w:val="18"/>
              </w:rPr>
              <w:t>%</w:t>
            </w:r>
          </w:p>
        </w:tc>
        <w:tc>
          <w:tcPr>
            <w:tcW w:w="1134" w:type="dxa"/>
            <w:vMerge w:val="restart"/>
            <w:tcBorders>
              <w:top w:val="single" w:color="auto" w:sz="8" w:space="0"/>
              <w:left w:val="single" w:color="auto" w:sz="8" w:space="0"/>
              <w:bottom w:val="single" w:color="auto" w:sz="8" w:space="0"/>
              <w:right w:val="single" w:color="auto" w:sz="8" w:space="0"/>
            </w:tcBorders>
            <w:noWrap/>
            <w:vAlign w:val="center"/>
          </w:tcPr>
          <w:p w14:paraId="399D18CB">
            <w:pPr>
              <w:widowControl/>
              <w:spacing w:line="360" w:lineRule="auto"/>
              <w:jc w:val="center"/>
              <w:rPr>
                <w:rFonts w:hint="eastAsia" w:ascii="宋体" w:eastAsia="宋体" w:cs="宋体"/>
                <w:kern w:val="0"/>
                <w:sz w:val="18"/>
                <w:szCs w:val="18"/>
                <w:lang w:val="en-US" w:eastAsia="zh-CN"/>
              </w:rPr>
            </w:pPr>
            <w:r>
              <w:rPr>
                <w:rFonts w:hint="eastAsia" w:ascii="宋体" w:cs="宋体"/>
                <w:kern w:val="0"/>
                <w:sz w:val="18"/>
                <w:szCs w:val="18"/>
                <w:lang w:val="en-US" w:eastAsia="zh-CN"/>
              </w:rPr>
              <w:t>/</w:t>
            </w:r>
          </w:p>
        </w:tc>
        <w:tc>
          <w:tcPr>
            <w:tcW w:w="1134" w:type="dxa"/>
            <w:tcBorders>
              <w:top w:val="single" w:color="auto" w:sz="8" w:space="0"/>
              <w:left w:val="single" w:color="auto" w:sz="8" w:space="0"/>
              <w:bottom w:val="single" w:color="auto" w:sz="8" w:space="0"/>
              <w:right w:val="single" w:color="auto" w:sz="8" w:space="0"/>
            </w:tcBorders>
            <w:noWrap/>
            <w:vAlign w:val="center"/>
          </w:tcPr>
          <w:p w14:paraId="64675F4C">
            <w:pPr>
              <w:widowControl/>
              <w:spacing w:line="360" w:lineRule="auto"/>
              <w:jc w:val="center"/>
              <w:rPr>
                <w:rFonts w:hint="default" w:ascii="宋体" w:eastAsia="宋体" w:cs="宋体"/>
                <w:kern w:val="0"/>
                <w:sz w:val="18"/>
                <w:szCs w:val="18"/>
                <w:lang w:val="en-US" w:eastAsia="zh-CN"/>
              </w:rPr>
            </w:pPr>
            <w:r>
              <w:rPr>
                <w:rFonts w:hint="eastAsia" w:ascii="宋体" w:cs="宋体"/>
                <w:kern w:val="0"/>
                <w:sz w:val="18"/>
                <w:szCs w:val="18"/>
              </w:rPr>
              <w:t>0.</w:t>
            </w:r>
            <w:r>
              <w:rPr>
                <w:rFonts w:hint="eastAsia" w:ascii="宋体" w:cs="宋体"/>
                <w:kern w:val="0"/>
                <w:sz w:val="18"/>
                <w:szCs w:val="18"/>
                <w:lang w:val="en-US" w:eastAsia="zh-CN"/>
              </w:rPr>
              <w:t>22</w:t>
            </w:r>
            <w:r>
              <w:rPr>
                <w:rFonts w:hint="eastAsia" w:ascii="宋体" w:cs="宋体"/>
                <w:kern w:val="0"/>
                <w:sz w:val="18"/>
                <w:szCs w:val="18"/>
              </w:rPr>
              <w:t>%</w:t>
            </w:r>
          </w:p>
        </w:tc>
        <w:tc>
          <w:tcPr>
            <w:tcW w:w="1134" w:type="dxa"/>
            <w:vMerge w:val="restart"/>
            <w:tcBorders>
              <w:top w:val="single" w:color="auto" w:sz="8" w:space="0"/>
              <w:left w:val="single" w:color="auto" w:sz="8" w:space="0"/>
              <w:bottom w:val="single" w:color="auto" w:sz="8" w:space="0"/>
              <w:right w:val="single" w:color="auto" w:sz="8" w:space="0"/>
            </w:tcBorders>
            <w:noWrap/>
            <w:vAlign w:val="center"/>
          </w:tcPr>
          <w:p w14:paraId="02A55E13">
            <w:pPr>
              <w:widowControl/>
              <w:spacing w:line="360" w:lineRule="auto"/>
              <w:jc w:val="center"/>
              <w:rPr>
                <w:rFonts w:hint="eastAsia" w:ascii="宋体" w:cs="宋体"/>
                <w:kern w:val="0"/>
                <w:sz w:val="18"/>
                <w:szCs w:val="18"/>
                <w:lang w:val="en-US" w:eastAsia="zh-CN"/>
              </w:rPr>
            </w:pPr>
            <w:r>
              <w:rPr>
                <w:rFonts w:hint="eastAsia" w:ascii="宋体" w:cs="宋体"/>
                <w:kern w:val="0"/>
                <w:sz w:val="18"/>
                <w:szCs w:val="18"/>
                <w:lang w:val="en-US" w:eastAsia="zh-CN"/>
              </w:rPr>
              <w:t>/</w:t>
            </w:r>
          </w:p>
        </w:tc>
        <w:tc>
          <w:tcPr>
            <w:tcW w:w="850" w:type="dxa"/>
            <w:tcBorders>
              <w:top w:val="single" w:color="auto" w:sz="8" w:space="0"/>
              <w:left w:val="single" w:color="auto" w:sz="8" w:space="0"/>
              <w:bottom w:val="single" w:color="auto" w:sz="8" w:space="0"/>
              <w:right w:val="single" w:color="auto" w:sz="8" w:space="0"/>
            </w:tcBorders>
            <w:noWrap/>
            <w:vAlign w:val="center"/>
          </w:tcPr>
          <w:p w14:paraId="25262B00">
            <w:pPr>
              <w:widowControl/>
              <w:spacing w:line="360" w:lineRule="auto"/>
              <w:jc w:val="center"/>
              <w:rPr>
                <w:rFonts w:hint="eastAsia" w:ascii="宋体" w:cs="宋体"/>
                <w:kern w:val="0"/>
                <w:sz w:val="18"/>
                <w:szCs w:val="18"/>
                <w:lang w:val="en-US" w:eastAsia="zh-CN"/>
              </w:rPr>
            </w:pPr>
            <w:r>
              <w:rPr>
                <w:rFonts w:hint="eastAsia" w:ascii="宋体" w:cs="宋体"/>
                <w:kern w:val="0"/>
                <w:sz w:val="18"/>
                <w:szCs w:val="18"/>
                <w:lang w:val="en-US" w:eastAsia="zh-CN"/>
              </w:rPr>
              <w:t>2.4</w:t>
            </w:r>
            <w:r>
              <w:rPr>
                <w:rFonts w:hint="eastAsia" w:ascii="宋体" w:cs="宋体"/>
                <w:kern w:val="0"/>
                <w:sz w:val="18"/>
                <w:szCs w:val="18"/>
              </w:rPr>
              <w:t>%</w:t>
            </w:r>
          </w:p>
        </w:tc>
        <w:tc>
          <w:tcPr>
            <w:tcW w:w="851" w:type="dxa"/>
            <w:tcBorders>
              <w:top w:val="single" w:color="auto" w:sz="8" w:space="0"/>
              <w:left w:val="single" w:color="auto" w:sz="8" w:space="0"/>
              <w:bottom w:val="single" w:color="auto" w:sz="8" w:space="0"/>
              <w:right w:val="single" w:color="auto" w:sz="8" w:space="0"/>
            </w:tcBorders>
            <w:noWrap/>
            <w:vAlign w:val="center"/>
          </w:tcPr>
          <w:p w14:paraId="30FBB8DB">
            <w:pPr>
              <w:widowControl/>
              <w:spacing w:line="360" w:lineRule="auto"/>
              <w:jc w:val="center"/>
              <w:rPr>
                <w:rFonts w:hint="eastAsia" w:ascii="宋体" w:cs="宋体"/>
                <w:kern w:val="0"/>
                <w:sz w:val="18"/>
                <w:szCs w:val="18"/>
              </w:rPr>
            </w:pPr>
            <w:r>
              <w:rPr>
                <w:rFonts w:hint="eastAsia" w:ascii="宋体" w:cs="宋体"/>
                <w:kern w:val="0"/>
                <w:sz w:val="18"/>
                <w:szCs w:val="18"/>
              </w:rPr>
              <w:t>0.</w:t>
            </w:r>
            <w:r>
              <w:rPr>
                <w:rFonts w:hint="eastAsia" w:ascii="宋体" w:cs="宋体"/>
                <w:kern w:val="0"/>
                <w:sz w:val="18"/>
                <w:szCs w:val="18"/>
                <w:lang w:val="en-US" w:eastAsia="zh-CN"/>
              </w:rPr>
              <w:t>42</w:t>
            </w:r>
            <w:r>
              <w:rPr>
                <w:rFonts w:hint="eastAsia" w:ascii="宋体" w:cs="宋体"/>
                <w:kern w:val="0"/>
                <w:sz w:val="18"/>
                <w:szCs w:val="18"/>
              </w:rPr>
              <w:t>%</w:t>
            </w:r>
          </w:p>
        </w:tc>
        <w:tc>
          <w:tcPr>
            <w:tcW w:w="850" w:type="dxa"/>
            <w:vMerge w:val="restart"/>
            <w:tcBorders>
              <w:top w:val="single" w:color="auto" w:sz="8" w:space="0"/>
              <w:left w:val="single" w:color="auto" w:sz="8" w:space="0"/>
              <w:bottom w:val="single" w:color="auto" w:sz="8" w:space="0"/>
              <w:right w:val="single" w:color="auto" w:sz="8" w:space="0"/>
            </w:tcBorders>
            <w:noWrap/>
            <w:vAlign w:val="center"/>
          </w:tcPr>
          <w:p w14:paraId="6B1E6E56">
            <w:pPr>
              <w:widowControl/>
              <w:spacing w:line="360" w:lineRule="auto"/>
              <w:jc w:val="center"/>
              <w:rPr>
                <w:rFonts w:hint="eastAsia" w:ascii="宋体" w:eastAsia="宋体" w:cs="宋体"/>
                <w:kern w:val="0"/>
                <w:sz w:val="18"/>
                <w:szCs w:val="18"/>
                <w:lang w:val="en-US" w:eastAsia="zh-CN"/>
              </w:rPr>
            </w:pPr>
            <w:r>
              <w:rPr>
                <w:rFonts w:hint="eastAsia" w:ascii="宋体" w:cs="宋体"/>
                <w:kern w:val="0"/>
                <w:sz w:val="18"/>
                <w:szCs w:val="18"/>
                <w:lang w:val="en-US" w:eastAsia="zh-CN"/>
              </w:rPr>
              <w:t>/</w:t>
            </w:r>
          </w:p>
        </w:tc>
        <w:tc>
          <w:tcPr>
            <w:tcW w:w="1512" w:type="dxa"/>
            <w:vMerge w:val="restart"/>
            <w:tcBorders>
              <w:top w:val="single" w:color="auto" w:sz="8" w:space="0"/>
              <w:left w:val="single" w:color="auto" w:sz="8" w:space="0"/>
              <w:bottom w:val="single" w:color="auto" w:sz="8" w:space="0"/>
              <w:right w:val="single" w:color="auto" w:sz="8" w:space="0"/>
            </w:tcBorders>
            <w:noWrap/>
            <w:vAlign w:val="center"/>
          </w:tcPr>
          <w:p w14:paraId="19460DD5">
            <w:pPr>
              <w:widowControl/>
              <w:spacing w:line="360" w:lineRule="auto"/>
              <w:jc w:val="center"/>
              <w:rPr>
                <w:rFonts w:hint="default" w:ascii="宋体" w:eastAsia="宋体" w:cs="宋体"/>
                <w:kern w:val="0"/>
                <w:sz w:val="18"/>
                <w:szCs w:val="18"/>
                <w:lang w:val="en-US" w:eastAsia="zh-CN"/>
              </w:rPr>
            </w:pPr>
            <w:r>
              <w:rPr>
                <w:rFonts w:hint="eastAsia" w:ascii="宋体" w:cs="宋体"/>
                <w:kern w:val="0"/>
                <w:sz w:val="18"/>
                <w:szCs w:val="18"/>
                <w:lang w:val="en-US" w:eastAsia="zh-CN"/>
              </w:rPr>
              <w:t>9%</w:t>
            </w:r>
          </w:p>
        </w:tc>
      </w:tr>
      <w:tr w14:paraId="12BA0802">
        <w:tblPrEx>
          <w:tblCellMar>
            <w:top w:w="0" w:type="dxa"/>
            <w:left w:w="108" w:type="dxa"/>
            <w:bottom w:w="0" w:type="dxa"/>
            <w:right w:w="108" w:type="dxa"/>
          </w:tblCellMar>
        </w:tblPrEx>
        <w:trPr>
          <w:trHeight w:val="474" w:hRule="atLeast"/>
        </w:trPr>
        <w:tc>
          <w:tcPr>
            <w:tcW w:w="1701" w:type="dxa"/>
            <w:tcBorders>
              <w:top w:val="single" w:color="auto" w:sz="8" w:space="0"/>
              <w:left w:val="single" w:color="auto" w:sz="8" w:space="0"/>
              <w:bottom w:val="single" w:color="auto" w:sz="8" w:space="0"/>
              <w:right w:val="single" w:color="auto" w:sz="8" w:space="0"/>
            </w:tcBorders>
            <w:noWrap/>
            <w:vAlign w:val="center"/>
          </w:tcPr>
          <w:p w14:paraId="5246E854">
            <w:pPr>
              <w:widowControl/>
              <w:spacing w:line="360" w:lineRule="auto"/>
              <w:jc w:val="center"/>
              <w:rPr>
                <w:rFonts w:hint="default" w:ascii="宋体" w:cs="宋体"/>
                <w:color w:val="000000"/>
                <w:kern w:val="0"/>
                <w:szCs w:val="21"/>
                <w:lang w:val="en-US" w:eastAsia="zh-CN"/>
              </w:rPr>
            </w:pPr>
            <w:r>
              <w:rPr>
                <w:rFonts w:hint="eastAsia" w:ascii="宋体" w:cs="宋体"/>
                <w:color w:val="000000"/>
                <w:kern w:val="0"/>
                <w:szCs w:val="21"/>
              </w:rPr>
              <w:t>安装工程</w:t>
            </w:r>
          </w:p>
        </w:tc>
        <w:tc>
          <w:tcPr>
            <w:tcW w:w="993" w:type="dxa"/>
            <w:tcBorders>
              <w:top w:val="single" w:color="auto" w:sz="8" w:space="0"/>
              <w:left w:val="single" w:color="auto" w:sz="8" w:space="0"/>
              <w:bottom w:val="single" w:color="auto" w:sz="8" w:space="0"/>
              <w:right w:val="single" w:color="auto" w:sz="8" w:space="0"/>
            </w:tcBorders>
            <w:noWrap/>
            <w:vAlign w:val="center"/>
          </w:tcPr>
          <w:p w14:paraId="3D3E400B">
            <w:pPr>
              <w:widowControl/>
              <w:spacing w:line="360" w:lineRule="auto"/>
              <w:jc w:val="center"/>
              <w:rPr>
                <w:rFonts w:hint="eastAsia" w:ascii="宋体" w:cs="宋体"/>
                <w:kern w:val="0"/>
                <w:sz w:val="18"/>
                <w:szCs w:val="18"/>
                <w:lang w:val="en-US" w:eastAsia="zh-CN"/>
              </w:rPr>
            </w:pPr>
            <w:r>
              <w:rPr>
                <w:rFonts w:hint="eastAsia" w:ascii="宋体" w:cs="宋体"/>
                <w:kern w:val="0"/>
                <w:sz w:val="18"/>
                <w:szCs w:val="18"/>
              </w:rPr>
              <w:t>1.5%</w:t>
            </w:r>
          </w:p>
        </w:tc>
        <w:tc>
          <w:tcPr>
            <w:tcW w:w="1134" w:type="dxa"/>
            <w:vMerge w:val="continue"/>
            <w:tcBorders>
              <w:top w:val="single" w:color="auto" w:sz="8" w:space="0"/>
              <w:left w:val="single" w:color="auto" w:sz="8" w:space="0"/>
              <w:bottom w:val="single" w:color="auto" w:sz="8" w:space="0"/>
              <w:right w:val="single" w:color="auto" w:sz="8" w:space="0"/>
            </w:tcBorders>
            <w:noWrap/>
            <w:vAlign w:val="center"/>
          </w:tcPr>
          <w:p w14:paraId="6F54E0D1">
            <w:pPr>
              <w:widowControl/>
              <w:spacing w:line="360" w:lineRule="auto"/>
              <w:jc w:val="center"/>
              <w:rPr>
                <w:rFonts w:hint="eastAsia" w:ascii="宋体" w:cs="宋体"/>
                <w:kern w:val="0"/>
                <w:sz w:val="18"/>
                <w:szCs w:val="18"/>
                <w:lang w:val="en-US" w:eastAsia="zh-CN"/>
              </w:rPr>
            </w:pPr>
          </w:p>
        </w:tc>
        <w:tc>
          <w:tcPr>
            <w:tcW w:w="1134" w:type="dxa"/>
            <w:tcBorders>
              <w:top w:val="single" w:color="auto" w:sz="8" w:space="0"/>
              <w:left w:val="single" w:color="auto" w:sz="8" w:space="0"/>
              <w:bottom w:val="single" w:color="auto" w:sz="8" w:space="0"/>
              <w:right w:val="single" w:color="auto" w:sz="8" w:space="0"/>
            </w:tcBorders>
            <w:noWrap/>
            <w:vAlign w:val="center"/>
          </w:tcPr>
          <w:p w14:paraId="50DDB72B">
            <w:pPr>
              <w:widowControl/>
              <w:spacing w:line="360" w:lineRule="auto"/>
              <w:jc w:val="center"/>
              <w:rPr>
                <w:rFonts w:hint="eastAsia" w:ascii="宋体" w:cs="宋体"/>
                <w:kern w:val="0"/>
                <w:sz w:val="18"/>
                <w:szCs w:val="18"/>
              </w:rPr>
            </w:pPr>
            <w:r>
              <w:rPr>
                <w:rFonts w:hint="eastAsia" w:ascii="宋体" w:cs="宋体"/>
                <w:kern w:val="0"/>
                <w:sz w:val="18"/>
                <w:szCs w:val="18"/>
              </w:rPr>
              <w:t>0.21%</w:t>
            </w:r>
          </w:p>
        </w:tc>
        <w:tc>
          <w:tcPr>
            <w:tcW w:w="1134" w:type="dxa"/>
            <w:vMerge w:val="continue"/>
            <w:tcBorders>
              <w:top w:val="single" w:color="auto" w:sz="8" w:space="0"/>
              <w:left w:val="single" w:color="auto" w:sz="8" w:space="0"/>
              <w:bottom w:val="single" w:color="auto" w:sz="8" w:space="0"/>
              <w:right w:val="single" w:color="auto" w:sz="8" w:space="0"/>
            </w:tcBorders>
            <w:noWrap/>
            <w:vAlign w:val="center"/>
          </w:tcPr>
          <w:p w14:paraId="557E1E6F">
            <w:pPr>
              <w:widowControl/>
              <w:spacing w:line="360" w:lineRule="auto"/>
              <w:jc w:val="center"/>
              <w:rPr>
                <w:rFonts w:hint="eastAsia" w:ascii="宋体" w:cs="宋体"/>
                <w:kern w:val="0"/>
                <w:sz w:val="18"/>
                <w:szCs w:val="18"/>
                <w:lang w:val="en-US" w:eastAsia="zh-CN"/>
              </w:rPr>
            </w:pPr>
          </w:p>
        </w:tc>
        <w:tc>
          <w:tcPr>
            <w:tcW w:w="850" w:type="dxa"/>
            <w:tcBorders>
              <w:top w:val="single" w:color="auto" w:sz="8" w:space="0"/>
              <w:left w:val="single" w:color="auto" w:sz="8" w:space="0"/>
              <w:bottom w:val="single" w:color="auto" w:sz="8" w:space="0"/>
              <w:right w:val="single" w:color="auto" w:sz="8" w:space="0"/>
            </w:tcBorders>
            <w:noWrap/>
            <w:vAlign w:val="center"/>
          </w:tcPr>
          <w:p w14:paraId="4B8072CE">
            <w:pPr>
              <w:widowControl/>
              <w:spacing w:line="360" w:lineRule="auto"/>
              <w:jc w:val="center"/>
              <w:rPr>
                <w:rFonts w:hint="eastAsia" w:ascii="宋体" w:cs="宋体"/>
                <w:kern w:val="0"/>
                <w:sz w:val="18"/>
                <w:szCs w:val="18"/>
                <w:lang w:val="en-US" w:eastAsia="zh-CN"/>
              </w:rPr>
            </w:pPr>
            <w:r>
              <w:rPr>
                <w:rFonts w:hint="eastAsia" w:ascii="宋体" w:cs="宋体"/>
                <w:kern w:val="0"/>
                <w:sz w:val="18"/>
                <w:szCs w:val="18"/>
              </w:rPr>
              <w:t>2.4%</w:t>
            </w:r>
          </w:p>
        </w:tc>
        <w:tc>
          <w:tcPr>
            <w:tcW w:w="851" w:type="dxa"/>
            <w:tcBorders>
              <w:top w:val="single" w:color="auto" w:sz="8" w:space="0"/>
              <w:left w:val="single" w:color="auto" w:sz="8" w:space="0"/>
              <w:bottom w:val="single" w:color="auto" w:sz="8" w:space="0"/>
              <w:right w:val="single" w:color="auto" w:sz="8" w:space="0"/>
            </w:tcBorders>
            <w:noWrap/>
            <w:vAlign w:val="center"/>
          </w:tcPr>
          <w:p w14:paraId="4C4EFD2E">
            <w:pPr>
              <w:widowControl/>
              <w:spacing w:line="360" w:lineRule="auto"/>
              <w:jc w:val="center"/>
              <w:rPr>
                <w:rFonts w:hint="eastAsia" w:ascii="宋体" w:cs="宋体"/>
                <w:kern w:val="0"/>
                <w:sz w:val="18"/>
                <w:szCs w:val="18"/>
              </w:rPr>
            </w:pPr>
            <w:r>
              <w:rPr>
                <w:rFonts w:hint="eastAsia" w:ascii="宋体" w:cs="宋体"/>
                <w:kern w:val="0"/>
                <w:sz w:val="18"/>
                <w:szCs w:val="18"/>
              </w:rPr>
              <w:t>0.42%</w:t>
            </w:r>
          </w:p>
        </w:tc>
        <w:tc>
          <w:tcPr>
            <w:tcW w:w="850" w:type="dxa"/>
            <w:vMerge w:val="continue"/>
            <w:tcBorders>
              <w:top w:val="single" w:color="auto" w:sz="8" w:space="0"/>
              <w:left w:val="single" w:color="auto" w:sz="8" w:space="0"/>
              <w:bottom w:val="single" w:color="auto" w:sz="8" w:space="0"/>
              <w:right w:val="single" w:color="auto" w:sz="8" w:space="0"/>
            </w:tcBorders>
            <w:noWrap/>
            <w:vAlign w:val="center"/>
          </w:tcPr>
          <w:p w14:paraId="3B46510B">
            <w:pPr>
              <w:widowControl/>
              <w:spacing w:line="360" w:lineRule="auto"/>
              <w:jc w:val="center"/>
              <w:rPr>
                <w:rFonts w:hint="eastAsia" w:ascii="宋体" w:cs="宋体"/>
                <w:kern w:val="0"/>
                <w:sz w:val="18"/>
                <w:szCs w:val="18"/>
                <w:lang w:val="en-US" w:eastAsia="zh-CN"/>
              </w:rPr>
            </w:pPr>
          </w:p>
        </w:tc>
        <w:tc>
          <w:tcPr>
            <w:tcW w:w="1512" w:type="dxa"/>
            <w:vMerge w:val="continue"/>
            <w:tcBorders>
              <w:top w:val="single" w:color="auto" w:sz="8" w:space="0"/>
              <w:left w:val="single" w:color="auto" w:sz="8" w:space="0"/>
              <w:bottom w:val="single" w:color="auto" w:sz="8" w:space="0"/>
              <w:right w:val="single" w:color="auto" w:sz="8" w:space="0"/>
            </w:tcBorders>
            <w:noWrap/>
            <w:vAlign w:val="center"/>
          </w:tcPr>
          <w:p w14:paraId="2D7C4003">
            <w:pPr>
              <w:widowControl/>
              <w:spacing w:line="360" w:lineRule="auto"/>
              <w:jc w:val="center"/>
              <w:rPr>
                <w:rFonts w:hint="eastAsia" w:ascii="宋体" w:cs="宋体"/>
                <w:kern w:val="0"/>
                <w:sz w:val="18"/>
                <w:szCs w:val="18"/>
                <w:lang w:val="en-US" w:eastAsia="zh-CN"/>
              </w:rPr>
            </w:pPr>
          </w:p>
        </w:tc>
      </w:tr>
    </w:tbl>
    <w:p w14:paraId="5EDEA454">
      <w:pPr>
        <w:numPr>
          <w:ilvl w:val="0"/>
          <w:numId w:val="1"/>
        </w:numPr>
        <w:snapToGrid w:val="0"/>
        <w:spacing w:line="440" w:lineRule="atLeast"/>
        <w:rPr>
          <w:rFonts w:ascii="宋体" w:hAnsi="宋体" w:cs="宋体"/>
          <w:b/>
          <w:sz w:val="28"/>
          <w:szCs w:val="28"/>
          <w:lang w:val="zh-CN"/>
        </w:rPr>
      </w:pPr>
      <w:r>
        <w:rPr>
          <w:rFonts w:hint="eastAsia" w:ascii="宋体" w:hAnsi="宋体" w:cs="宋体"/>
          <w:b/>
          <w:sz w:val="24"/>
          <w:lang w:val="zh-CN"/>
        </w:rPr>
        <w:t>不可竞争费：现场安全文明施工费、规费、税金为不可竞争费，取费标准如下表：</w:t>
      </w:r>
    </w:p>
    <w:p w14:paraId="12AD97BD">
      <w:pPr>
        <w:pStyle w:val="5"/>
        <w:spacing w:line="360" w:lineRule="auto"/>
        <w:ind w:left="420" w:leftChars="200" w:firstLine="0" w:firstLineChars="0"/>
        <w:rPr>
          <w:rFonts w:ascii="宋体" w:hAnsi="宋体" w:cs="宋体"/>
          <w:b/>
          <w:szCs w:val="21"/>
          <w:lang w:val="zh-CN"/>
        </w:rPr>
      </w:pPr>
      <w:r>
        <w:rPr>
          <w:rFonts w:hint="eastAsia" w:ascii="宋体" w:hAnsi="宋体" w:cs="Courier New"/>
          <w:b/>
          <w:szCs w:val="21"/>
        </w:rPr>
        <w:t>注1：安全文明施工费的扬尘污染防治增加费有关文件考评后给予结算，招标时作为不可竞争费计入报价。注2：本工程按一般计税法计算。</w:t>
      </w:r>
    </w:p>
    <w:p w14:paraId="7106BE89">
      <w:pPr>
        <w:numPr>
          <w:ilvl w:val="0"/>
          <w:numId w:val="1"/>
        </w:numPr>
        <w:snapToGrid w:val="0"/>
        <w:spacing w:line="440" w:lineRule="atLeast"/>
        <w:rPr>
          <w:rFonts w:ascii="宋体" w:hAnsi="宋体" w:cs="宋体"/>
          <w:b/>
          <w:sz w:val="24"/>
        </w:rPr>
      </w:pPr>
      <w:r>
        <w:rPr>
          <w:rFonts w:hint="eastAsia" w:ascii="宋体" w:hAnsi="宋体" w:cs="宋体"/>
          <w:b/>
          <w:sz w:val="24"/>
          <w:lang w:val="zh-CN"/>
        </w:rPr>
        <w:t>其他说明：</w:t>
      </w:r>
    </w:p>
    <w:p w14:paraId="5863AB66">
      <w:pPr>
        <w:numPr>
          <w:ilvl w:val="0"/>
          <w:numId w:val="0"/>
        </w:numPr>
        <w:autoSpaceDE w:val="0"/>
        <w:autoSpaceDN w:val="0"/>
        <w:adjustRightInd w:val="0"/>
        <w:spacing w:line="420" w:lineRule="exact"/>
        <w:ind w:left="483" w:leftChars="0" w:right="170" w:rightChars="0"/>
        <w:jc w:val="left"/>
        <w:rPr>
          <w:rFonts w:ascii="宋体" w:hAnsi="宋体" w:cs="宋体"/>
          <w:b/>
          <w:sz w:val="24"/>
        </w:rPr>
      </w:pPr>
      <w:r>
        <w:rPr>
          <w:rFonts w:hint="eastAsia" w:ascii="宋体" w:hAnsi="宋体" w:cs="宋体"/>
          <w:b w:val="0"/>
          <w:bCs w:val="0"/>
          <w:kern w:val="0"/>
          <w:sz w:val="24"/>
          <w:highlight w:val="none"/>
          <w:lang w:val="en-US" w:eastAsia="zh-CN"/>
        </w:rPr>
        <w:t>①土建部分：</w:t>
      </w:r>
    </w:p>
    <w:p w14:paraId="30D4FD21">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投标单位应充分考虑招标时及施工过程中措施项目相关国家政策变化的风险，模板支架、脚手架等措施项应符合国家江苏省及无锡江阴的政策要求，结算时综合单价不予调整</w:t>
      </w:r>
      <w:r>
        <w:rPr>
          <w:rFonts w:hint="eastAsia" w:ascii="宋体" w:hAnsi="宋体" w:eastAsia="宋体" w:cs="Times New Roman"/>
          <w:color w:val="000000"/>
          <w:sz w:val="24"/>
          <w:highlight w:val="none"/>
          <w:lang w:eastAsia="zh-CN"/>
        </w:rPr>
        <w:t>；</w:t>
      </w:r>
    </w:p>
    <w:p w14:paraId="7BA66D00">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清单内</w:t>
      </w:r>
      <w:r>
        <w:rPr>
          <w:rFonts w:hint="eastAsia" w:ascii="宋体" w:hAnsi="宋体" w:eastAsia="宋体" w:cs="Times New Roman"/>
          <w:color w:val="000000"/>
          <w:sz w:val="24"/>
          <w:highlight w:val="none"/>
        </w:rPr>
        <w:t>钢筋按实翻样计算</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rPr>
        <w:t>结算时按实调整</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rPr>
        <w:t>砌体加固筋综合考虑植筋或预埋，结算时综合单价不予调整</w:t>
      </w:r>
      <w:r>
        <w:rPr>
          <w:rFonts w:hint="eastAsia" w:ascii="宋体" w:hAnsi="宋体" w:eastAsia="宋体" w:cs="Times New Roman"/>
          <w:color w:val="000000"/>
          <w:sz w:val="24"/>
          <w:highlight w:val="none"/>
          <w:lang w:eastAsia="zh-CN"/>
        </w:rPr>
        <w:t>；</w:t>
      </w:r>
    </w:p>
    <w:p w14:paraId="448FC85D">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对于成品构件的运输（如钢构件等）需综合考虑在投标报价中，结算清单报价单价不作调整</w:t>
      </w:r>
      <w:r>
        <w:rPr>
          <w:rFonts w:hint="eastAsia" w:ascii="宋体" w:hAnsi="宋体" w:eastAsia="宋体" w:cs="Times New Roman"/>
          <w:color w:val="000000"/>
          <w:sz w:val="24"/>
          <w:highlight w:val="none"/>
          <w:lang w:eastAsia="zh-CN"/>
        </w:rPr>
        <w:t>；</w:t>
      </w:r>
    </w:p>
    <w:p w14:paraId="4FF40280">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未明确的做法，标底内已按照常规做法计入，投标单位自行考虑报价</w:t>
      </w:r>
      <w:r>
        <w:rPr>
          <w:rFonts w:hint="eastAsia" w:ascii="宋体" w:hAnsi="宋体" w:eastAsia="宋体" w:cs="Times New Roman"/>
          <w:color w:val="000000"/>
          <w:sz w:val="24"/>
          <w:highlight w:val="none"/>
          <w:lang w:val="en-US" w:eastAsia="zh-CN"/>
        </w:rPr>
        <w:t>；</w:t>
      </w:r>
    </w:p>
    <w:p w14:paraId="772D8589">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本工程混凝土采用商品混凝土，混凝土中需要的添加剂、泵送费、布管费、二次搬运费由施工单位自行考虑，且根据规范要求对混凝土的性能要求进行报价，计入投标报价中，结算不予调整，砂浆考虑预拌砂浆；</w:t>
      </w:r>
    </w:p>
    <w:p w14:paraId="7700FFC3">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本工程可能发生的材料二次搬运费及交叉、垃圾处置、衔接施工等增加的费用，投标人自行踏勘现场并在报价中考虑，结算时综合单价不予调整；</w:t>
      </w:r>
    </w:p>
    <w:p w14:paraId="098D107A">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措施项目费投标人根据施工组织设计投标时自行报价，结算时不调整；</w:t>
      </w:r>
    </w:p>
    <w:p w14:paraId="5313474B">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本工程工程量清单是根据改造意向结合现场勘察计算；</w:t>
      </w:r>
    </w:p>
    <w:p w14:paraId="34F48F09">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模板工程量按接触面积计算</w:t>
      </w:r>
      <w:r>
        <w:rPr>
          <w:rFonts w:hint="eastAsia" w:ascii="宋体" w:hAnsi="宋体" w:eastAsia="宋体" w:cs="Times New Roman"/>
          <w:color w:val="000000"/>
          <w:sz w:val="24"/>
          <w:highlight w:val="none"/>
          <w:lang w:eastAsia="zh-CN"/>
        </w:rPr>
        <w:t>；</w:t>
      </w:r>
    </w:p>
    <w:p w14:paraId="1DEAFB5F">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施工临时护栏的搭建、维护及拆除，需符合锡建质安（2020）24号文《关于落实建筑工地围挡提升工作的通知》的规定</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综合考虑土建、装饰、安装等专业施工期间必要的施工围护费用，满足建设单位正常办公、教学需由为准，投标单位综合考虑报价，后续不另行增加、不做调整</w:t>
      </w:r>
      <w:r>
        <w:rPr>
          <w:rFonts w:hint="eastAsia" w:ascii="宋体" w:hAnsi="宋体" w:eastAsia="宋体" w:cs="Times New Roman"/>
          <w:color w:val="000000"/>
          <w:sz w:val="24"/>
          <w:highlight w:val="none"/>
        </w:rPr>
        <w:t>；</w:t>
      </w:r>
    </w:p>
    <w:p w14:paraId="1035AE1A">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工程施工期间，施工区域内道路或场地占用及保持交通通畅等费用，投标人需踏勘现场，对各种影响施工的条件进行综合考虑，并计入投标报价中，结算时综合单价不予调整</w:t>
      </w:r>
      <w:r>
        <w:rPr>
          <w:rFonts w:hint="eastAsia" w:ascii="宋体" w:hAnsi="宋体" w:eastAsia="宋体" w:cs="Times New Roman"/>
          <w:color w:val="000000"/>
          <w:sz w:val="24"/>
          <w:highlight w:val="none"/>
          <w:lang w:eastAsia="zh-CN"/>
        </w:rPr>
        <w:t>；</w:t>
      </w:r>
    </w:p>
    <w:p w14:paraId="7E1A8571">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投标单位应充分考虑招投标期间及施工过程中措施项目（包括且不限于模板支架、脚手架等措施）相关国家地方等政策变化的风险，严格执行国家江苏省及无锡江阴的政策要求，相关风险及费用要求综合考虑计入投标报价，结算时综合单价不予调整</w:t>
      </w:r>
      <w:r>
        <w:rPr>
          <w:rFonts w:hint="eastAsia" w:ascii="宋体" w:hAnsi="宋体" w:eastAsia="宋体" w:cs="Times New Roman"/>
          <w:color w:val="000000"/>
          <w:sz w:val="24"/>
          <w:highlight w:val="none"/>
          <w:lang w:eastAsia="zh-CN"/>
        </w:rPr>
        <w:t>；</w:t>
      </w:r>
    </w:p>
    <w:p w14:paraId="13CD18A7">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所有的模板支撑及脚手架，不论清单中是否描述，均按盘扣脚手架考虑，结算时综合单价不予调整</w:t>
      </w:r>
      <w:r>
        <w:rPr>
          <w:rFonts w:hint="eastAsia" w:ascii="宋体" w:hAnsi="宋体" w:eastAsia="宋体" w:cs="Times New Roman"/>
          <w:color w:val="000000"/>
          <w:sz w:val="24"/>
          <w:highlight w:val="none"/>
          <w:lang w:eastAsia="zh-CN"/>
        </w:rPr>
        <w:t>；</w:t>
      </w:r>
    </w:p>
    <w:p w14:paraId="370F67CD">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本工程在改造施工时，注意保护改造范围外结构，注意不得破坏现有建、构筑物，不得扰动其基础等，并将相应费用考虑在投标报价中，如施工破坏现有建、构筑物，施工方应自行将其恢复原状，费用不另行计算；</w:t>
      </w:r>
    </w:p>
    <w:p w14:paraId="7AA06CDC">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投标人在报价时应结合自身单位的具体情况，充分考虑各自实际的施工组织设计、施工方案及技术措施，据实报价，一旦中标，结算不予另计。若设计图纸发生重大变更导致施工方案变化，结算时仅增加实际方案与投标方案不一致引起的费用差额；</w:t>
      </w:r>
    </w:p>
    <w:p w14:paraId="12BAF649">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rPr>
        <w:t>施工现场因施工增加的建筑垃圾由投标单位清理出场，费用综合在报价中，结算不予调整；</w:t>
      </w:r>
    </w:p>
    <w:p w14:paraId="2D094320">
      <w:pPr>
        <w:numPr>
          <w:ilvl w:val="0"/>
          <w:numId w:val="4"/>
        </w:numPr>
        <w:autoSpaceDE w:val="0"/>
        <w:autoSpaceDN w:val="0"/>
        <w:adjustRightInd w:val="0"/>
        <w:spacing w:line="420" w:lineRule="exact"/>
        <w:ind w:right="170"/>
        <w:jc w:val="left"/>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rPr>
        <w:t>关于现场建筑垃圾的清运和处理费用：现场不设置建筑垃圾堆场，需要及时清运各单位垃圾。因环保政策因素影响造成的目前该项费用的成本增加请施工单位充分考虑，无论政策如何调整，该项内容涉及到的费用均不再做调整增加，并服从发包人管理</w:t>
      </w:r>
      <w:r>
        <w:rPr>
          <w:rFonts w:hint="eastAsia" w:ascii="宋体" w:hAnsi="宋体" w:eastAsia="宋体" w:cs="Times New Roman"/>
          <w:color w:val="000000"/>
          <w:sz w:val="24"/>
          <w:highlight w:val="none"/>
          <w:lang w:eastAsia="zh-CN"/>
        </w:rPr>
        <w:t>；</w:t>
      </w:r>
    </w:p>
    <w:p w14:paraId="73B88426">
      <w:pPr>
        <w:numPr>
          <w:ilvl w:val="0"/>
          <w:numId w:val="0"/>
        </w:numPr>
        <w:autoSpaceDE w:val="0"/>
        <w:autoSpaceDN w:val="0"/>
        <w:adjustRightInd w:val="0"/>
        <w:spacing w:line="420" w:lineRule="exact"/>
        <w:ind w:left="483" w:leftChars="0" w:right="170" w:rightChars="0"/>
        <w:jc w:val="left"/>
        <w:rPr>
          <w:rFonts w:hint="eastAsia" w:ascii="宋体" w:hAnsi="宋体" w:cs="宋体"/>
          <w:b w:val="0"/>
          <w:bCs w:val="0"/>
          <w:kern w:val="0"/>
          <w:sz w:val="24"/>
          <w:highlight w:val="none"/>
          <w:lang w:val="en-US" w:eastAsia="zh-CN"/>
        </w:rPr>
      </w:pPr>
      <w:r>
        <w:rPr>
          <w:rFonts w:hint="eastAsia" w:ascii="宋体" w:hAnsi="宋体" w:cs="宋体"/>
          <w:b w:val="0"/>
          <w:bCs w:val="0"/>
          <w:kern w:val="0"/>
          <w:sz w:val="24"/>
          <w:highlight w:val="none"/>
          <w:lang w:val="en-US" w:eastAsia="zh-CN"/>
        </w:rPr>
        <w:t>②安装部分：</w:t>
      </w:r>
    </w:p>
    <w:p w14:paraId="5D9621CF">
      <w:pPr>
        <w:numPr>
          <w:ilvl w:val="0"/>
          <w:numId w:val="5"/>
        </w:numPr>
        <w:autoSpaceDE w:val="0"/>
        <w:autoSpaceDN w:val="0"/>
        <w:adjustRightInd w:val="0"/>
        <w:spacing w:line="420" w:lineRule="exact"/>
        <w:ind w:right="170"/>
        <w:jc w:val="lef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电气工程按照设计图纸计算到位，配电箱进线利用原有进线电缆及配管，箱体拆除新做，箱体往后按照图纸全部新做</w:t>
      </w:r>
      <w:r>
        <w:rPr>
          <w:rFonts w:hint="eastAsia" w:ascii="宋体" w:hAnsi="宋体" w:cs="Times New Roman"/>
          <w:color w:val="000000"/>
          <w:sz w:val="24"/>
          <w:highlight w:val="none"/>
          <w:lang w:val="en-US" w:eastAsia="zh-CN"/>
        </w:rPr>
        <w:t>；</w:t>
      </w:r>
    </w:p>
    <w:p w14:paraId="09096A90">
      <w:pPr>
        <w:numPr>
          <w:ilvl w:val="0"/>
          <w:numId w:val="5"/>
        </w:numPr>
        <w:autoSpaceDE w:val="0"/>
        <w:autoSpaceDN w:val="0"/>
        <w:adjustRightInd w:val="0"/>
        <w:spacing w:line="420" w:lineRule="exact"/>
        <w:ind w:right="170"/>
        <w:jc w:val="left"/>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给排水工程利用原有的立管，支管按照图纸全部新做至每一个用水点，厨房设备不在本次编标范围内</w:t>
      </w:r>
      <w:r>
        <w:rPr>
          <w:rFonts w:hint="eastAsia" w:ascii="宋体" w:hAnsi="宋体" w:cs="Times New Roman"/>
          <w:color w:val="000000"/>
          <w:sz w:val="24"/>
          <w:highlight w:val="none"/>
          <w:lang w:val="en-US" w:eastAsia="zh-CN"/>
        </w:rPr>
        <w:t>；</w:t>
      </w:r>
    </w:p>
    <w:p w14:paraId="1333F349">
      <w:pPr>
        <w:numPr>
          <w:ilvl w:val="0"/>
          <w:numId w:val="5"/>
        </w:numPr>
        <w:autoSpaceDE w:val="0"/>
        <w:autoSpaceDN w:val="0"/>
        <w:adjustRightInd w:val="0"/>
        <w:spacing w:line="420" w:lineRule="exact"/>
        <w:ind w:right="170"/>
        <w:jc w:val="left"/>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喷淋系统利用原有的喷淋主管，支管及喷头按照设计图纸新做到位。</w:t>
      </w:r>
    </w:p>
    <w:p w14:paraId="3B199ACA">
      <w:pPr>
        <w:numPr>
          <w:ilvl w:val="0"/>
          <w:numId w:val="0"/>
        </w:numPr>
        <w:autoSpaceDE w:val="0"/>
        <w:autoSpaceDN w:val="0"/>
        <w:adjustRightInd w:val="0"/>
        <w:spacing w:line="420" w:lineRule="exact"/>
        <w:ind w:left="483" w:leftChars="0" w:right="170" w:rightChars="0"/>
        <w:jc w:val="left"/>
        <w:rPr>
          <w:rFonts w:hint="default" w:ascii="宋体" w:hAnsi="宋体" w:eastAsia="宋体" w:cs="宋体"/>
          <w:kern w:val="0"/>
          <w:sz w:val="24"/>
          <w:lang w:val="en-US" w:eastAsia="zh-CN"/>
        </w:rPr>
      </w:pPr>
      <w:r>
        <w:rPr>
          <w:rFonts w:hint="eastAsia" w:ascii="宋体" w:hAnsi="宋体" w:cs="宋体"/>
          <w:kern w:val="0"/>
          <w:sz w:val="24"/>
          <w:lang w:val="en-US" w:eastAsia="zh-CN"/>
        </w:rPr>
        <w:t>③装饰部分：</w:t>
      </w:r>
    </w:p>
    <w:p w14:paraId="0DAA7ADF">
      <w:pPr>
        <w:numPr>
          <w:ilvl w:val="0"/>
          <w:numId w:val="6"/>
        </w:numPr>
        <w:autoSpaceDE w:val="0"/>
        <w:autoSpaceDN w:val="0"/>
        <w:adjustRightInd w:val="0"/>
        <w:spacing w:line="420" w:lineRule="exact"/>
        <w:ind w:right="170"/>
        <w:jc w:val="left"/>
        <w:rPr>
          <w:rFonts w:hint="eastAsia" w:ascii="宋体" w:hAnsi="宋体" w:eastAsia="宋体" w:cs="宋体"/>
          <w:kern w:val="0"/>
          <w:sz w:val="24"/>
          <w:lang w:val="zh-CN" w:eastAsia="zh-CN"/>
        </w:rPr>
      </w:pPr>
      <w:r>
        <w:rPr>
          <w:rFonts w:hint="eastAsia" w:ascii="宋体" w:hAnsi="宋体" w:cs="宋体"/>
          <w:kern w:val="0"/>
          <w:sz w:val="24"/>
          <w:lang w:val="en-US" w:eastAsia="zh-CN"/>
        </w:rPr>
        <w:t>土建及装饰工程配套的拆除工程已计入拆除及清运工程；</w:t>
      </w:r>
    </w:p>
    <w:p w14:paraId="359DAD67">
      <w:pPr>
        <w:numPr>
          <w:ilvl w:val="0"/>
          <w:numId w:val="6"/>
        </w:numPr>
        <w:autoSpaceDE w:val="0"/>
        <w:autoSpaceDN w:val="0"/>
        <w:adjustRightInd w:val="0"/>
        <w:spacing w:line="420" w:lineRule="exact"/>
        <w:ind w:right="170"/>
        <w:jc w:val="left"/>
        <w:rPr>
          <w:rFonts w:hint="eastAsia" w:ascii="宋体" w:hAnsi="宋体" w:eastAsia="宋体" w:cs="宋体"/>
          <w:kern w:val="0"/>
          <w:sz w:val="24"/>
          <w:lang w:val="zh-CN" w:eastAsia="zh-CN"/>
        </w:rPr>
      </w:pPr>
      <w:r>
        <w:rPr>
          <w:rFonts w:hint="eastAsia" w:ascii="宋体" w:hAnsi="宋体" w:eastAsia="宋体" w:cs="宋体"/>
          <w:color w:val="000000"/>
          <w:kern w:val="0"/>
          <w:sz w:val="24"/>
          <w:szCs w:val="24"/>
        </w:rPr>
        <w:t>所有装饰材料的磨边、倒角、打胶、清洁、勾缝、切割，各类材料损耗及超常规的切割损耗等工作内容均应包括投标报价中，结算时不作调整。墙地砖石材开孔洞、天棚吊顶阳角收口条费用，阴阳角处所有打胶、勾缝费用等均考虑在相应清单综合单价中，结算不做调整</w:t>
      </w:r>
      <w:r>
        <w:rPr>
          <w:rFonts w:hint="eastAsia" w:ascii="宋体" w:hAnsi="宋体" w:eastAsia="宋体" w:cs="宋体"/>
          <w:color w:val="000000"/>
          <w:kern w:val="0"/>
          <w:sz w:val="24"/>
          <w:szCs w:val="24"/>
          <w:lang w:eastAsia="zh-CN"/>
        </w:rPr>
        <w:t>；</w:t>
      </w:r>
    </w:p>
    <w:p w14:paraId="78EF7A51">
      <w:pPr>
        <w:numPr>
          <w:ilvl w:val="0"/>
          <w:numId w:val="6"/>
        </w:numPr>
        <w:autoSpaceDE w:val="0"/>
        <w:autoSpaceDN w:val="0"/>
        <w:adjustRightInd w:val="0"/>
        <w:spacing w:line="420" w:lineRule="exact"/>
        <w:ind w:right="170"/>
        <w:jc w:val="left"/>
        <w:rPr>
          <w:rFonts w:hint="eastAsia" w:ascii="宋体" w:hAnsi="宋体" w:eastAsia="宋体" w:cs="宋体"/>
          <w:kern w:val="0"/>
          <w:sz w:val="24"/>
          <w:lang w:val="zh-CN" w:eastAsia="zh-CN"/>
        </w:rPr>
      </w:pPr>
      <w:r>
        <w:rPr>
          <w:rFonts w:hint="eastAsia" w:ascii="宋体" w:hAnsi="宋体" w:eastAsia="宋体" w:cs="宋体"/>
          <w:color w:val="auto"/>
          <w:kern w:val="0"/>
          <w:sz w:val="24"/>
          <w:szCs w:val="24"/>
          <w:highlight w:val="none"/>
        </w:rPr>
        <w:t>本工程如由于强电、弱电、智能化等现场管线铺设，影响到装饰(水电安装)的吊筋、龙骨等安装，投标单位投标时应结合图纸及现场实际情况，自行考虑相应措施，相关费用含在投标报价中，结算不另行增加</w:t>
      </w:r>
      <w:r>
        <w:rPr>
          <w:rFonts w:hint="eastAsia" w:ascii="宋体" w:hAnsi="宋体" w:eastAsia="宋体" w:cs="宋体"/>
          <w:color w:val="auto"/>
          <w:kern w:val="0"/>
          <w:sz w:val="24"/>
          <w:szCs w:val="24"/>
          <w:highlight w:val="none"/>
          <w:lang w:eastAsia="zh-CN"/>
        </w:rPr>
        <w:t>；</w:t>
      </w:r>
    </w:p>
    <w:p w14:paraId="3D15D818">
      <w:pPr>
        <w:numPr>
          <w:ilvl w:val="0"/>
          <w:numId w:val="6"/>
        </w:numPr>
        <w:autoSpaceDE w:val="0"/>
        <w:autoSpaceDN w:val="0"/>
        <w:adjustRightInd w:val="0"/>
        <w:spacing w:line="420" w:lineRule="exact"/>
        <w:ind w:right="170"/>
        <w:jc w:val="left"/>
        <w:rPr>
          <w:rFonts w:hint="eastAsia" w:ascii="宋体" w:hAnsi="宋体" w:eastAsia="宋体" w:cs="宋体"/>
          <w:kern w:val="0"/>
          <w:sz w:val="24"/>
          <w:lang w:val="zh-CN" w:eastAsia="zh-CN"/>
        </w:rPr>
      </w:pPr>
      <w:r>
        <w:rPr>
          <w:rFonts w:hint="eastAsia" w:ascii="宋体" w:hAnsi="宋体" w:eastAsia="宋体" w:cs="宋体"/>
          <w:color w:val="auto"/>
          <w:sz w:val="24"/>
          <w:szCs w:val="24"/>
          <w:highlight w:val="none"/>
        </w:rPr>
        <w:t>项目各相关专业需要在装饰材料覆盖的顶面、墙面、地面设置检修口、开孔、消火栓装饰门、灯具、开关、空调风口等，由承包人施工，费用由投标人在报价中考虑。位置由相关专业单位配合指定，监理单位参与核准</w:t>
      </w:r>
      <w:r>
        <w:rPr>
          <w:rFonts w:hint="eastAsia" w:ascii="宋体" w:hAnsi="宋体" w:cs="宋体"/>
          <w:color w:val="auto"/>
          <w:sz w:val="24"/>
          <w:szCs w:val="24"/>
          <w:highlight w:val="none"/>
          <w:lang w:eastAsia="zh-CN"/>
        </w:rPr>
        <w:t>；</w:t>
      </w:r>
    </w:p>
    <w:p w14:paraId="0B8EE605">
      <w:pPr>
        <w:numPr>
          <w:ilvl w:val="0"/>
          <w:numId w:val="6"/>
        </w:numPr>
        <w:autoSpaceDE w:val="0"/>
        <w:autoSpaceDN w:val="0"/>
        <w:adjustRightInd w:val="0"/>
        <w:spacing w:line="420" w:lineRule="exact"/>
        <w:ind w:right="170"/>
        <w:jc w:val="left"/>
        <w:rPr>
          <w:rFonts w:hint="eastAsia" w:ascii="宋体" w:hAnsi="宋体" w:eastAsia="宋体" w:cs="宋体"/>
          <w:kern w:val="0"/>
          <w:sz w:val="24"/>
          <w:lang w:val="zh-CN" w:eastAsia="zh-CN"/>
        </w:rPr>
      </w:pPr>
      <w:r>
        <w:rPr>
          <w:rFonts w:hint="eastAsia" w:ascii="宋体" w:hAnsi="宋体" w:cs="宋体"/>
          <w:color w:val="000000"/>
          <w:kern w:val="0"/>
          <w:sz w:val="24"/>
          <w:szCs w:val="24"/>
          <w:lang w:val="en-US" w:eastAsia="zh-CN"/>
        </w:rPr>
        <w:t>所</w:t>
      </w:r>
      <w:r>
        <w:rPr>
          <w:rFonts w:hint="eastAsia" w:ascii="宋体" w:hAnsi="宋体"/>
          <w:sz w:val="24"/>
          <w:szCs w:val="24"/>
        </w:rPr>
        <w:t>有钢骨架采用镀锌处理，应满足消防规范及施工工艺要求</w:t>
      </w:r>
      <w:r>
        <w:rPr>
          <w:rFonts w:hint="eastAsia" w:ascii="宋体" w:hAnsi="宋体"/>
          <w:sz w:val="24"/>
          <w:szCs w:val="24"/>
          <w:lang w:eastAsia="zh-CN"/>
        </w:rPr>
        <w:t>；</w:t>
      </w:r>
    </w:p>
    <w:p w14:paraId="181F29C4">
      <w:pPr>
        <w:numPr>
          <w:ilvl w:val="0"/>
          <w:numId w:val="6"/>
        </w:numPr>
        <w:autoSpaceDE w:val="0"/>
        <w:autoSpaceDN w:val="0"/>
        <w:adjustRightInd w:val="0"/>
        <w:spacing w:line="420" w:lineRule="exact"/>
        <w:ind w:right="170"/>
        <w:jc w:val="left"/>
        <w:rPr>
          <w:rFonts w:hint="eastAsia" w:ascii="宋体" w:hAnsi="宋体" w:eastAsia="宋体" w:cs="宋体"/>
          <w:kern w:val="0"/>
          <w:sz w:val="24"/>
          <w:lang w:val="zh-CN" w:eastAsia="zh-CN"/>
        </w:rPr>
      </w:pPr>
      <w:r>
        <w:rPr>
          <w:rFonts w:hint="eastAsia" w:ascii="宋体" w:hAnsi="宋体" w:cs="宋体"/>
          <w:kern w:val="0"/>
          <w:sz w:val="24"/>
          <w:lang w:val="en-US" w:eastAsia="zh-CN"/>
        </w:rPr>
        <w:t>施工过程中及施工完成后的开荒、精细保洁、成品保护由投标单位综合考虑报价计入报价中，不另行单列清单。</w:t>
      </w:r>
    </w:p>
    <w:p w14:paraId="26FBEDAA">
      <w:pPr>
        <w:numPr>
          <w:ilvl w:val="0"/>
          <w:numId w:val="7"/>
        </w:numPr>
        <w:autoSpaceDE w:val="0"/>
        <w:autoSpaceDN w:val="0"/>
        <w:adjustRightInd w:val="0"/>
        <w:spacing w:line="420" w:lineRule="exact"/>
        <w:ind w:right="170"/>
        <w:jc w:val="left"/>
        <w:rPr>
          <w:rFonts w:ascii="宋体" w:hAnsi="宋体" w:cs="宋体"/>
          <w:sz w:val="24"/>
        </w:rPr>
      </w:pPr>
      <w:r>
        <w:rPr>
          <w:rFonts w:hint="eastAsia" w:ascii="宋体" w:hAnsi="宋体" w:cs="宋体"/>
          <w:sz w:val="24"/>
        </w:rPr>
        <w:t>出现特征描述不全面的情况的补充说明：</w:t>
      </w:r>
    </w:p>
    <w:p w14:paraId="11C3E160">
      <w:pPr>
        <w:autoSpaceDE w:val="0"/>
        <w:autoSpaceDN w:val="0"/>
        <w:adjustRightInd w:val="0"/>
        <w:spacing w:line="420" w:lineRule="exact"/>
        <w:ind w:left="483" w:right="170" w:firstLine="240" w:firstLineChars="100"/>
        <w:jc w:val="left"/>
        <w:rPr>
          <w:rFonts w:ascii="宋体" w:hAnsi="宋体" w:cs="宋体"/>
          <w:sz w:val="24"/>
        </w:rPr>
      </w:pPr>
      <w:r>
        <w:rPr>
          <w:rFonts w:hint="eastAsia" w:ascii="宋体" w:hAnsi="宋体" w:cs="宋体"/>
          <w:sz w:val="24"/>
        </w:rPr>
        <w:t>1）招标人的本意是完成该子目项工作内容的全部，当特征描述与施工图纸中相对应的内容、节点或详图、技术参数表出现表达不一致未能描述清楚和全面，或出现文字瑕疵错误的情况时，或出现特征描述中前后表达不一致时，本特征项的综合标底价是按照图纸内容、节点或详图及技术参数表编制的。投标人应在投标规定的提疑时间内提出疑问，招标人确认后及时修正，不管投标人是否提疑、招标人是否修正，这并不代表投标人可以以此申请该子目的补充签证及增加费用；</w:t>
      </w:r>
    </w:p>
    <w:p w14:paraId="2F706EBB">
      <w:pPr>
        <w:autoSpaceDE w:val="0"/>
        <w:autoSpaceDN w:val="0"/>
        <w:adjustRightInd w:val="0"/>
        <w:spacing w:line="420" w:lineRule="exact"/>
        <w:ind w:left="483" w:right="170" w:firstLine="240" w:firstLineChars="100"/>
        <w:jc w:val="left"/>
        <w:rPr>
          <w:rFonts w:ascii="宋体" w:hAnsi="宋体" w:cs="宋体"/>
          <w:sz w:val="24"/>
        </w:rPr>
      </w:pPr>
      <w:r>
        <w:rPr>
          <w:rFonts w:hint="eastAsia" w:ascii="宋体" w:hAnsi="宋体" w:cs="宋体"/>
          <w:sz w:val="24"/>
        </w:rPr>
        <w:t>2）如招标人在子目中编制的应完成该项子目工作的综合单价（招标控制价）明显低于成本价的，投标人应在投标规定的提疑时间内提出疑问，招标人应确认后及时修正。若投标人未按时提出视为投标人的让利，不得作为投标人提出索赔或要求调价的理由，并不可以以此签证及增加费用；</w:t>
      </w:r>
    </w:p>
    <w:p w14:paraId="284FABDC">
      <w:pPr>
        <w:autoSpaceDE w:val="0"/>
        <w:autoSpaceDN w:val="0"/>
        <w:adjustRightInd w:val="0"/>
        <w:spacing w:line="420" w:lineRule="exact"/>
        <w:ind w:left="483" w:right="170" w:firstLine="240" w:firstLineChars="100"/>
        <w:jc w:val="left"/>
        <w:rPr>
          <w:rFonts w:hint="eastAsia" w:ascii="宋体" w:hAnsi="宋体" w:cs="宋体"/>
          <w:sz w:val="24"/>
        </w:rPr>
      </w:pPr>
      <w:r>
        <w:rPr>
          <w:rFonts w:hint="eastAsia" w:ascii="宋体" w:hAnsi="宋体" w:cs="宋体"/>
          <w:sz w:val="24"/>
        </w:rPr>
        <w:t>3）投标人不得因上述原因，拒绝此项子目工作的施工内容，因拒绝造成该子目内容未施工，而由其它单位施工完成而发生的费用，将由投标人承担，并在结算中予以扣除。</w:t>
      </w:r>
    </w:p>
    <w:p w14:paraId="2BED9A35">
      <w:pPr>
        <w:numPr>
          <w:ilvl w:val="0"/>
          <w:numId w:val="1"/>
        </w:numPr>
        <w:snapToGrid w:val="0"/>
        <w:spacing w:line="440" w:lineRule="atLeast"/>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zh-CN"/>
        </w:rPr>
        <w:t>主要材料品牌参考表：</w:t>
      </w:r>
    </w:p>
    <w:tbl>
      <w:tblPr>
        <w:tblStyle w:val="10"/>
        <w:tblW w:w="9300" w:type="dxa"/>
        <w:tblInd w:w="29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80"/>
        <w:gridCol w:w="4068"/>
        <w:gridCol w:w="1500"/>
        <w:gridCol w:w="1428"/>
        <w:gridCol w:w="1524"/>
      </w:tblGrid>
      <w:tr w14:paraId="5766D9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1" w:hRule="atLeast"/>
        </w:trPr>
        <w:tc>
          <w:tcPr>
            <w:tcW w:w="780" w:type="dxa"/>
            <w:tcBorders>
              <w:tl2br w:val="nil"/>
              <w:tr2bl w:val="nil"/>
            </w:tcBorders>
            <w:shd w:val="clear" w:color="auto" w:fill="auto"/>
            <w:tcMar>
              <w:top w:w="15" w:type="dxa"/>
              <w:left w:w="15" w:type="dxa"/>
              <w:right w:w="15" w:type="dxa"/>
            </w:tcMar>
            <w:vAlign w:val="center"/>
          </w:tcPr>
          <w:p w14:paraId="2899C597">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序号</w:t>
            </w:r>
          </w:p>
        </w:tc>
        <w:tc>
          <w:tcPr>
            <w:tcW w:w="4068" w:type="dxa"/>
            <w:tcBorders>
              <w:tl2br w:val="nil"/>
              <w:tr2bl w:val="nil"/>
            </w:tcBorders>
            <w:shd w:val="clear" w:color="auto" w:fill="auto"/>
            <w:tcMar>
              <w:top w:w="15" w:type="dxa"/>
              <w:left w:w="15" w:type="dxa"/>
              <w:right w:w="15" w:type="dxa"/>
            </w:tcMar>
            <w:vAlign w:val="center"/>
          </w:tcPr>
          <w:p w14:paraId="68A70826">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材料名称</w:t>
            </w:r>
          </w:p>
        </w:tc>
        <w:tc>
          <w:tcPr>
            <w:tcW w:w="1500" w:type="dxa"/>
            <w:tcBorders>
              <w:tl2br w:val="nil"/>
              <w:tr2bl w:val="nil"/>
            </w:tcBorders>
            <w:shd w:val="clear" w:color="auto" w:fill="auto"/>
            <w:tcMar>
              <w:top w:w="15" w:type="dxa"/>
              <w:left w:w="15" w:type="dxa"/>
              <w:right w:w="15" w:type="dxa"/>
            </w:tcMar>
            <w:vAlign w:val="center"/>
          </w:tcPr>
          <w:p w14:paraId="50C90969">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品牌</w:t>
            </w:r>
          </w:p>
        </w:tc>
        <w:tc>
          <w:tcPr>
            <w:tcW w:w="1428" w:type="dxa"/>
            <w:tcBorders>
              <w:tl2br w:val="nil"/>
              <w:tr2bl w:val="nil"/>
            </w:tcBorders>
            <w:shd w:val="clear" w:color="auto" w:fill="auto"/>
            <w:tcMar>
              <w:top w:w="15" w:type="dxa"/>
              <w:left w:w="15" w:type="dxa"/>
              <w:right w:w="15" w:type="dxa"/>
            </w:tcMar>
            <w:vAlign w:val="center"/>
          </w:tcPr>
          <w:p w14:paraId="7A9ACBD2">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品牌</w:t>
            </w:r>
          </w:p>
        </w:tc>
        <w:tc>
          <w:tcPr>
            <w:tcW w:w="1524" w:type="dxa"/>
            <w:tcBorders>
              <w:tl2br w:val="nil"/>
              <w:tr2bl w:val="nil"/>
            </w:tcBorders>
            <w:shd w:val="clear" w:color="auto" w:fill="auto"/>
            <w:tcMar>
              <w:top w:w="15" w:type="dxa"/>
              <w:left w:w="15" w:type="dxa"/>
              <w:right w:w="15" w:type="dxa"/>
            </w:tcMar>
            <w:vAlign w:val="center"/>
          </w:tcPr>
          <w:p w14:paraId="4108D538">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品牌</w:t>
            </w:r>
          </w:p>
        </w:tc>
      </w:tr>
      <w:tr w14:paraId="27190B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0" w:hRule="atLeast"/>
        </w:trPr>
        <w:tc>
          <w:tcPr>
            <w:tcW w:w="780" w:type="dxa"/>
            <w:tcBorders>
              <w:tl2br w:val="nil"/>
              <w:tr2bl w:val="nil"/>
            </w:tcBorders>
            <w:shd w:val="clear" w:color="auto" w:fill="auto"/>
            <w:tcMar>
              <w:top w:w="15" w:type="dxa"/>
              <w:left w:w="15" w:type="dxa"/>
              <w:right w:w="15" w:type="dxa"/>
            </w:tcMar>
            <w:vAlign w:val="center"/>
          </w:tcPr>
          <w:p w14:paraId="2CC4E8BA">
            <w:pPr>
              <w:widowControl/>
              <w:jc w:val="center"/>
              <w:textAlignment w:val="center"/>
              <w:rPr>
                <w:rFonts w:ascii="宋体" w:hAnsi="宋体" w:eastAsia="宋体" w:cs="宋体"/>
                <w:sz w:val="18"/>
                <w:szCs w:val="18"/>
              </w:rPr>
            </w:pPr>
            <w:r>
              <w:rPr>
                <w:rFonts w:hint="eastAsia" w:ascii="宋体" w:hAnsi="宋体" w:eastAsia="宋体" w:cs="宋体"/>
                <w:sz w:val="18"/>
                <w:szCs w:val="18"/>
              </w:rPr>
              <w:t>一</w:t>
            </w:r>
          </w:p>
        </w:tc>
        <w:tc>
          <w:tcPr>
            <w:tcW w:w="4068" w:type="dxa"/>
            <w:tcBorders>
              <w:tl2br w:val="nil"/>
              <w:tr2bl w:val="nil"/>
            </w:tcBorders>
            <w:shd w:val="clear" w:color="auto" w:fill="auto"/>
            <w:tcMar>
              <w:top w:w="15" w:type="dxa"/>
              <w:left w:w="15" w:type="dxa"/>
              <w:right w:w="15" w:type="dxa"/>
            </w:tcMar>
            <w:vAlign w:val="center"/>
          </w:tcPr>
          <w:p w14:paraId="048C23DB">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装饰改造</w:t>
            </w:r>
          </w:p>
        </w:tc>
        <w:tc>
          <w:tcPr>
            <w:tcW w:w="1500" w:type="dxa"/>
            <w:tcBorders>
              <w:tl2br w:val="nil"/>
              <w:tr2bl w:val="nil"/>
            </w:tcBorders>
            <w:shd w:val="clear" w:color="auto" w:fill="auto"/>
            <w:tcMar>
              <w:top w:w="15" w:type="dxa"/>
              <w:left w:w="15" w:type="dxa"/>
              <w:right w:w="15" w:type="dxa"/>
            </w:tcMar>
            <w:vAlign w:val="center"/>
          </w:tcPr>
          <w:p w14:paraId="5689051F">
            <w:pPr>
              <w:widowControl/>
              <w:jc w:val="center"/>
              <w:textAlignment w:val="center"/>
              <w:rPr>
                <w:rFonts w:ascii="宋体" w:hAnsi="宋体" w:eastAsia="宋体" w:cs="宋体"/>
                <w:kern w:val="0"/>
                <w:sz w:val="18"/>
                <w:szCs w:val="18"/>
              </w:rPr>
            </w:pPr>
          </w:p>
        </w:tc>
        <w:tc>
          <w:tcPr>
            <w:tcW w:w="1428" w:type="dxa"/>
            <w:tcBorders>
              <w:tl2br w:val="nil"/>
              <w:tr2bl w:val="nil"/>
            </w:tcBorders>
            <w:shd w:val="clear" w:color="auto" w:fill="auto"/>
            <w:tcMar>
              <w:top w:w="15" w:type="dxa"/>
              <w:left w:w="15" w:type="dxa"/>
              <w:right w:w="15" w:type="dxa"/>
            </w:tcMar>
            <w:vAlign w:val="center"/>
          </w:tcPr>
          <w:p w14:paraId="07990921">
            <w:pPr>
              <w:widowControl/>
              <w:jc w:val="center"/>
              <w:textAlignment w:val="center"/>
              <w:rPr>
                <w:rFonts w:ascii="宋体" w:hAnsi="宋体" w:eastAsia="宋体" w:cs="宋体"/>
                <w:kern w:val="0"/>
                <w:sz w:val="18"/>
                <w:szCs w:val="18"/>
              </w:rPr>
            </w:pPr>
          </w:p>
        </w:tc>
        <w:tc>
          <w:tcPr>
            <w:tcW w:w="1524" w:type="dxa"/>
            <w:tcBorders>
              <w:tl2br w:val="nil"/>
              <w:tr2bl w:val="nil"/>
            </w:tcBorders>
            <w:shd w:val="clear" w:color="auto" w:fill="auto"/>
            <w:tcMar>
              <w:top w:w="15" w:type="dxa"/>
              <w:left w:w="15" w:type="dxa"/>
              <w:right w:w="15" w:type="dxa"/>
            </w:tcMar>
            <w:vAlign w:val="center"/>
          </w:tcPr>
          <w:p w14:paraId="4C62CBD9">
            <w:pPr>
              <w:widowControl/>
              <w:jc w:val="center"/>
              <w:textAlignment w:val="center"/>
              <w:rPr>
                <w:rFonts w:ascii="宋体" w:hAnsi="宋体" w:eastAsia="宋体" w:cs="宋体"/>
                <w:kern w:val="0"/>
                <w:sz w:val="18"/>
                <w:szCs w:val="18"/>
              </w:rPr>
            </w:pPr>
          </w:p>
        </w:tc>
      </w:tr>
      <w:tr w14:paraId="168FDF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0" w:hRule="atLeast"/>
        </w:trPr>
        <w:tc>
          <w:tcPr>
            <w:tcW w:w="780" w:type="dxa"/>
            <w:tcBorders>
              <w:tl2br w:val="nil"/>
              <w:tr2bl w:val="nil"/>
            </w:tcBorders>
            <w:shd w:val="clear" w:color="auto" w:fill="auto"/>
            <w:tcMar>
              <w:top w:w="15" w:type="dxa"/>
              <w:left w:w="15" w:type="dxa"/>
              <w:right w:w="15" w:type="dxa"/>
            </w:tcMar>
            <w:vAlign w:val="center"/>
          </w:tcPr>
          <w:p w14:paraId="74D3E7F5">
            <w:pPr>
              <w:widowControl/>
              <w:jc w:val="center"/>
              <w:textAlignment w:val="center"/>
              <w:rPr>
                <w:rFonts w:ascii="宋体" w:hAnsi="宋体" w:eastAsia="宋体" w:cs="宋体"/>
                <w:sz w:val="18"/>
                <w:szCs w:val="18"/>
              </w:rPr>
            </w:pPr>
            <w:r>
              <w:rPr>
                <w:rFonts w:hint="eastAsia" w:ascii="宋体" w:hAnsi="宋体" w:eastAsia="宋体" w:cs="宋体"/>
                <w:sz w:val="18"/>
                <w:szCs w:val="18"/>
              </w:rPr>
              <w:t>1</w:t>
            </w:r>
          </w:p>
        </w:tc>
        <w:tc>
          <w:tcPr>
            <w:tcW w:w="4068" w:type="dxa"/>
            <w:tcBorders>
              <w:tl2br w:val="nil"/>
              <w:tr2bl w:val="nil"/>
            </w:tcBorders>
            <w:shd w:val="clear" w:color="auto" w:fill="auto"/>
            <w:tcMar>
              <w:top w:w="15" w:type="dxa"/>
              <w:left w:w="15" w:type="dxa"/>
              <w:right w:w="15" w:type="dxa"/>
            </w:tcMar>
            <w:vAlign w:val="center"/>
          </w:tcPr>
          <w:p w14:paraId="1F96D8D3">
            <w:pPr>
              <w:widowControl/>
              <w:jc w:val="left"/>
              <w:textAlignment w:val="center"/>
              <w:rPr>
                <w:rFonts w:ascii="宋体" w:hAnsi="宋体" w:eastAsia="宋体" w:cs="宋体"/>
                <w:sz w:val="18"/>
                <w:szCs w:val="18"/>
              </w:rPr>
            </w:pPr>
            <w:r>
              <w:rPr>
                <w:rFonts w:hint="eastAsia" w:ascii="宋体" w:hAnsi="宋体" w:eastAsia="宋体" w:cs="宋体"/>
                <w:kern w:val="0"/>
                <w:sz w:val="18"/>
                <w:szCs w:val="18"/>
              </w:rPr>
              <w:t>石膏板</w:t>
            </w:r>
          </w:p>
        </w:tc>
        <w:tc>
          <w:tcPr>
            <w:tcW w:w="1500" w:type="dxa"/>
            <w:tcBorders>
              <w:tl2br w:val="nil"/>
              <w:tr2bl w:val="nil"/>
            </w:tcBorders>
            <w:shd w:val="clear" w:color="auto" w:fill="auto"/>
            <w:tcMar>
              <w:top w:w="15" w:type="dxa"/>
              <w:left w:w="15" w:type="dxa"/>
              <w:right w:w="15" w:type="dxa"/>
            </w:tcMar>
            <w:vAlign w:val="center"/>
          </w:tcPr>
          <w:p w14:paraId="5502BBF8">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龙牌</w:t>
            </w:r>
          </w:p>
        </w:tc>
        <w:tc>
          <w:tcPr>
            <w:tcW w:w="1428" w:type="dxa"/>
            <w:tcBorders>
              <w:tl2br w:val="nil"/>
              <w:tr2bl w:val="nil"/>
            </w:tcBorders>
            <w:shd w:val="clear" w:color="auto" w:fill="auto"/>
            <w:tcMar>
              <w:top w:w="15" w:type="dxa"/>
              <w:left w:w="15" w:type="dxa"/>
              <w:right w:w="15" w:type="dxa"/>
            </w:tcMar>
            <w:vAlign w:val="center"/>
          </w:tcPr>
          <w:p w14:paraId="7C92343B">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可耐福</w:t>
            </w:r>
          </w:p>
        </w:tc>
        <w:tc>
          <w:tcPr>
            <w:tcW w:w="1524" w:type="dxa"/>
            <w:tcBorders>
              <w:tl2br w:val="nil"/>
              <w:tr2bl w:val="nil"/>
            </w:tcBorders>
            <w:shd w:val="clear" w:color="auto" w:fill="auto"/>
            <w:tcMar>
              <w:top w:w="15" w:type="dxa"/>
              <w:left w:w="15" w:type="dxa"/>
              <w:right w:w="15" w:type="dxa"/>
            </w:tcMar>
            <w:vAlign w:val="center"/>
          </w:tcPr>
          <w:p w14:paraId="1137FD5B">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拉法基</w:t>
            </w:r>
          </w:p>
        </w:tc>
      </w:tr>
      <w:tr w14:paraId="745B6C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68A77A1D">
            <w:pPr>
              <w:widowControl/>
              <w:jc w:val="center"/>
              <w:textAlignment w:val="center"/>
              <w:rPr>
                <w:rFonts w:ascii="宋体" w:hAnsi="宋体" w:eastAsia="宋体" w:cs="宋体"/>
                <w:sz w:val="18"/>
                <w:szCs w:val="18"/>
              </w:rPr>
            </w:pPr>
            <w:r>
              <w:rPr>
                <w:rFonts w:hint="eastAsia" w:ascii="宋体" w:hAnsi="宋体" w:eastAsia="宋体" w:cs="宋体"/>
                <w:sz w:val="18"/>
                <w:szCs w:val="18"/>
              </w:rPr>
              <w:t>2</w:t>
            </w:r>
          </w:p>
        </w:tc>
        <w:tc>
          <w:tcPr>
            <w:tcW w:w="4068" w:type="dxa"/>
            <w:tcBorders>
              <w:tl2br w:val="nil"/>
              <w:tr2bl w:val="nil"/>
            </w:tcBorders>
            <w:shd w:val="clear" w:color="auto" w:fill="auto"/>
            <w:tcMar>
              <w:top w:w="15" w:type="dxa"/>
              <w:left w:w="15" w:type="dxa"/>
              <w:right w:w="15" w:type="dxa"/>
            </w:tcMar>
            <w:vAlign w:val="center"/>
          </w:tcPr>
          <w:p w14:paraId="3728E82E">
            <w:pPr>
              <w:widowControl/>
              <w:jc w:val="left"/>
              <w:textAlignment w:val="center"/>
              <w:rPr>
                <w:rFonts w:ascii="宋体" w:hAnsi="宋体" w:eastAsia="宋体" w:cs="宋体"/>
                <w:sz w:val="18"/>
                <w:szCs w:val="18"/>
              </w:rPr>
            </w:pPr>
            <w:r>
              <w:rPr>
                <w:rFonts w:hint="eastAsia" w:ascii="宋体" w:hAnsi="宋体" w:eastAsia="宋体" w:cs="宋体"/>
                <w:kern w:val="0"/>
                <w:sz w:val="18"/>
                <w:szCs w:val="18"/>
              </w:rPr>
              <w:t>内墙乳胶漆（国标）</w:t>
            </w:r>
          </w:p>
        </w:tc>
        <w:tc>
          <w:tcPr>
            <w:tcW w:w="1500" w:type="dxa"/>
            <w:tcBorders>
              <w:tl2br w:val="nil"/>
              <w:tr2bl w:val="nil"/>
            </w:tcBorders>
            <w:shd w:val="clear" w:color="auto" w:fill="auto"/>
            <w:tcMar>
              <w:top w:w="15" w:type="dxa"/>
              <w:left w:w="15" w:type="dxa"/>
              <w:right w:w="15" w:type="dxa"/>
            </w:tcMar>
            <w:vAlign w:val="center"/>
          </w:tcPr>
          <w:p w14:paraId="28FFE248">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立邦美得丽</w:t>
            </w:r>
          </w:p>
        </w:tc>
        <w:tc>
          <w:tcPr>
            <w:tcW w:w="1428" w:type="dxa"/>
            <w:tcBorders>
              <w:tl2br w:val="nil"/>
              <w:tr2bl w:val="nil"/>
            </w:tcBorders>
            <w:shd w:val="clear" w:color="auto" w:fill="auto"/>
            <w:tcMar>
              <w:top w:w="15" w:type="dxa"/>
              <w:left w:w="15" w:type="dxa"/>
              <w:right w:w="15" w:type="dxa"/>
            </w:tcMar>
            <w:vAlign w:val="center"/>
          </w:tcPr>
          <w:p w14:paraId="1840ADD8">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三棵树康家净味二合一</w:t>
            </w:r>
          </w:p>
        </w:tc>
        <w:tc>
          <w:tcPr>
            <w:tcW w:w="1524" w:type="dxa"/>
            <w:tcBorders>
              <w:tl2br w:val="nil"/>
              <w:tr2bl w:val="nil"/>
            </w:tcBorders>
            <w:shd w:val="clear" w:color="auto" w:fill="auto"/>
            <w:tcMar>
              <w:top w:w="15" w:type="dxa"/>
              <w:left w:w="15" w:type="dxa"/>
              <w:right w:w="15" w:type="dxa"/>
            </w:tcMar>
            <w:vAlign w:val="center"/>
          </w:tcPr>
          <w:p w14:paraId="65676893">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多乐士家丽安</w:t>
            </w:r>
          </w:p>
        </w:tc>
      </w:tr>
      <w:tr w14:paraId="6CF7F8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7FB2F7F4">
            <w:pPr>
              <w:widowControl/>
              <w:jc w:val="center"/>
              <w:textAlignment w:val="center"/>
              <w:rPr>
                <w:rFonts w:ascii="宋体" w:hAnsi="宋体" w:eastAsia="宋体" w:cs="宋体"/>
                <w:sz w:val="18"/>
                <w:szCs w:val="18"/>
              </w:rPr>
            </w:pPr>
            <w:r>
              <w:rPr>
                <w:rFonts w:hint="eastAsia" w:ascii="宋体" w:hAnsi="宋体" w:eastAsia="宋体" w:cs="宋体"/>
                <w:sz w:val="18"/>
                <w:szCs w:val="18"/>
              </w:rPr>
              <w:t>3</w:t>
            </w:r>
          </w:p>
        </w:tc>
        <w:tc>
          <w:tcPr>
            <w:tcW w:w="4068" w:type="dxa"/>
            <w:tcBorders>
              <w:tl2br w:val="nil"/>
              <w:tr2bl w:val="nil"/>
            </w:tcBorders>
            <w:shd w:val="clear" w:color="auto" w:fill="auto"/>
            <w:tcMar>
              <w:top w:w="15" w:type="dxa"/>
              <w:left w:w="15" w:type="dxa"/>
              <w:right w:w="15" w:type="dxa"/>
            </w:tcMar>
            <w:vAlign w:val="center"/>
          </w:tcPr>
          <w:p w14:paraId="1E9C390B">
            <w:pPr>
              <w:widowControl/>
              <w:jc w:val="left"/>
              <w:textAlignment w:val="center"/>
              <w:rPr>
                <w:rFonts w:ascii="宋体" w:hAnsi="宋体" w:eastAsia="宋体" w:cs="宋体"/>
                <w:sz w:val="18"/>
                <w:szCs w:val="18"/>
              </w:rPr>
            </w:pPr>
            <w:r>
              <w:rPr>
                <w:rFonts w:hint="eastAsia" w:ascii="宋体" w:hAnsi="宋体" w:eastAsia="宋体" w:cs="宋体"/>
                <w:kern w:val="0"/>
                <w:sz w:val="18"/>
                <w:szCs w:val="18"/>
              </w:rPr>
              <w:t>细木工板</w:t>
            </w:r>
            <w:r>
              <w:rPr>
                <w:rFonts w:hint="eastAsia" w:ascii="宋体" w:hAnsi="宋体" w:cs="宋体"/>
                <w:kern w:val="0"/>
                <w:sz w:val="18"/>
                <w:szCs w:val="18"/>
                <w:lang w:val="en-US" w:eastAsia="zh-CN"/>
              </w:rPr>
              <w:t>/家具板</w:t>
            </w:r>
            <w:r>
              <w:rPr>
                <w:rFonts w:hint="eastAsia" w:ascii="宋体" w:hAnsi="宋体" w:eastAsia="宋体" w:cs="宋体"/>
                <w:kern w:val="0"/>
                <w:sz w:val="18"/>
                <w:szCs w:val="18"/>
              </w:rPr>
              <w:t>（18mm，E0级）</w:t>
            </w:r>
          </w:p>
        </w:tc>
        <w:tc>
          <w:tcPr>
            <w:tcW w:w="1500" w:type="dxa"/>
            <w:tcBorders>
              <w:tl2br w:val="nil"/>
              <w:tr2bl w:val="nil"/>
            </w:tcBorders>
            <w:shd w:val="clear" w:color="auto" w:fill="auto"/>
            <w:tcMar>
              <w:top w:w="15" w:type="dxa"/>
              <w:left w:w="15" w:type="dxa"/>
              <w:right w:w="15" w:type="dxa"/>
            </w:tcMar>
            <w:vAlign w:val="center"/>
          </w:tcPr>
          <w:p w14:paraId="6FB18199">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兔宝宝</w:t>
            </w:r>
          </w:p>
        </w:tc>
        <w:tc>
          <w:tcPr>
            <w:tcW w:w="1428" w:type="dxa"/>
            <w:tcBorders>
              <w:tl2br w:val="nil"/>
              <w:tr2bl w:val="nil"/>
            </w:tcBorders>
            <w:shd w:val="clear" w:color="auto" w:fill="auto"/>
            <w:tcMar>
              <w:top w:w="15" w:type="dxa"/>
              <w:left w:w="15" w:type="dxa"/>
              <w:right w:w="15" w:type="dxa"/>
            </w:tcMar>
            <w:vAlign w:val="center"/>
          </w:tcPr>
          <w:p w14:paraId="3D0B1270">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千年舟</w:t>
            </w:r>
          </w:p>
        </w:tc>
        <w:tc>
          <w:tcPr>
            <w:tcW w:w="1524" w:type="dxa"/>
            <w:tcBorders>
              <w:tl2br w:val="nil"/>
              <w:tr2bl w:val="nil"/>
            </w:tcBorders>
            <w:shd w:val="clear" w:color="auto" w:fill="auto"/>
            <w:tcMar>
              <w:top w:w="15" w:type="dxa"/>
              <w:left w:w="15" w:type="dxa"/>
              <w:right w:w="15" w:type="dxa"/>
            </w:tcMar>
            <w:vAlign w:val="center"/>
          </w:tcPr>
          <w:p w14:paraId="03CB0B94">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莫干山</w:t>
            </w:r>
          </w:p>
        </w:tc>
      </w:tr>
      <w:tr w14:paraId="24C885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162AB7C3">
            <w:pPr>
              <w:widowControl/>
              <w:jc w:val="center"/>
              <w:textAlignment w:val="center"/>
              <w:rPr>
                <w:rFonts w:ascii="宋体" w:hAnsi="宋体" w:eastAsia="宋体" w:cs="宋体"/>
                <w:sz w:val="18"/>
                <w:szCs w:val="18"/>
              </w:rPr>
            </w:pPr>
            <w:r>
              <w:rPr>
                <w:rFonts w:hint="eastAsia" w:ascii="宋体" w:hAnsi="宋体" w:eastAsia="宋体" w:cs="宋体"/>
                <w:sz w:val="18"/>
                <w:szCs w:val="18"/>
              </w:rPr>
              <w:t>4</w:t>
            </w:r>
          </w:p>
        </w:tc>
        <w:tc>
          <w:tcPr>
            <w:tcW w:w="4068" w:type="dxa"/>
            <w:tcBorders>
              <w:tl2br w:val="nil"/>
              <w:tr2bl w:val="nil"/>
            </w:tcBorders>
            <w:shd w:val="clear" w:color="auto" w:fill="auto"/>
            <w:tcMar>
              <w:top w:w="15" w:type="dxa"/>
              <w:left w:w="15" w:type="dxa"/>
              <w:right w:w="15" w:type="dxa"/>
            </w:tcMar>
            <w:vAlign w:val="center"/>
          </w:tcPr>
          <w:p w14:paraId="0518B120">
            <w:pPr>
              <w:widowControl/>
              <w:jc w:val="left"/>
              <w:textAlignment w:val="center"/>
              <w:rPr>
                <w:rFonts w:ascii="宋体" w:hAnsi="宋体" w:eastAsia="宋体" w:cs="宋体"/>
                <w:sz w:val="18"/>
                <w:szCs w:val="18"/>
              </w:rPr>
            </w:pPr>
            <w:r>
              <w:rPr>
                <w:rFonts w:hint="eastAsia" w:ascii="宋体" w:hAnsi="宋体" w:eastAsia="宋体" w:cs="宋体"/>
                <w:kern w:val="0"/>
                <w:sz w:val="18"/>
                <w:szCs w:val="18"/>
              </w:rPr>
              <w:t>墙地砖（国标）</w:t>
            </w:r>
          </w:p>
        </w:tc>
        <w:tc>
          <w:tcPr>
            <w:tcW w:w="1500" w:type="dxa"/>
            <w:tcBorders>
              <w:tl2br w:val="nil"/>
              <w:tr2bl w:val="nil"/>
            </w:tcBorders>
            <w:shd w:val="clear" w:color="auto" w:fill="auto"/>
            <w:tcMar>
              <w:top w:w="15" w:type="dxa"/>
              <w:left w:w="15" w:type="dxa"/>
              <w:right w:w="15" w:type="dxa"/>
            </w:tcMar>
            <w:vAlign w:val="center"/>
          </w:tcPr>
          <w:p w14:paraId="0595C25F">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东鹏</w:t>
            </w:r>
          </w:p>
        </w:tc>
        <w:tc>
          <w:tcPr>
            <w:tcW w:w="1428" w:type="dxa"/>
            <w:tcBorders>
              <w:tl2br w:val="nil"/>
              <w:tr2bl w:val="nil"/>
            </w:tcBorders>
            <w:shd w:val="clear" w:color="auto" w:fill="auto"/>
            <w:tcMar>
              <w:top w:w="15" w:type="dxa"/>
              <w:left w:w="15" w:type="dxa"/>
              <w:right w:w="15" w:type="dxa"/>
            </w:tcMar>
            <w:vAlign w:val="center"/>
          </w:tcPr>
          <w:p w14:paraId="72E2CE58">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冠珠</w:t>
            </w:r>
          </w:p>
        </w:tc>
        <w:tc>
          <w:tcPr>
            <w:tcW w:w="1524" w:type="dxa"/>
            <w:tcBorders>
              <w:tl2br w:val="nil"/>
              <w:tr2bl w:val="nil"/>
            </w:tcBorders>
            <w:shd w:val="clear" w:color="auto" w:fill="auto"/>
            <w:tcMar>
              <w:top w:w="15" w:type="dxa"/>
              <w:left w:w="15" w:type="dxa"/>
              <w:right w:w="15" w:type="dxa"/>
            </w:tcMar>
            <w:vAlign w:val="center"/>
          </w:tcPr>
          <w:p w14:paraId="1E926556">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马可波罗</w:t>
            </w:r>
          </w:p>
        </w:tc>
      </w:tr>
      <w:tr w14:paraId="4E76E9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1806D256">
            <w:pPr>
              <w:widowControl/>
              <w:jc w:val="center"/>
              <w:textAlignment w:val="center"/>
              <w:rPr>
                <w:rFonts w:ascii="宋体" w:hAnsi="宋体" w:eastAsia="宋体" w:cs="宋体"/>
                <w:sz w:val="18"/>
                <w:szCs w:val="18"/>
              </w:rPr>
            </w:pPr>
            <w:r>
              <w:rPr>
                <w:rFonts w:hint="eastAsia" w:ascii="宋体" w:hAnsi="宋体" w:eastAsia="宋体" w:cs="宋体"/>
                <w:sz w:val="18"/>
                <w:szCs w:val="18"/>
              </w:rPr>
              <w:t>5</w:t>
            </w:r>
          </w:p>
        </w:tc>
        <w:tc>
          <w:tcPr>
            <w:tcW w:w="4068" w:type="dxa"/>
            <w:tcBorders>
              <w:tl2br w:val="nil"/>
              <w:tr2bl w:val="nil"/>
            </w:tcBorders>
            <w:shd w:val="clear" w:color="auto" w:fill="auto"/>
            <w:tcMar>
              <w:top w:w="15" w:type="dxa"/>
              <w:left w:w="15" w:type="dxa"/>
              <w:right w:w="15" w:type="dxa"/>
            </w:tcMar>
            <w:vAlign w:val="center"/>
          </w:tcPr>
          <w:p w14:paraId="33F68F78">
            <w:pPr>
              <w:widowControl/>
              <w:jc w:val="left"/>
              <w:textAlignment w:val="center"/>
              <w:rPr>
                <w:rFonts w:ascii="宋体" w:hAnsi="宋体" w:eastAsia="宋体" w:cs="宋体"/>
                <w:sz w:val="18"/>
                <w:szCs w:val="18"/>
              </w:rPr>
            </w:pPr>
            <w:r>
              <w:rPr>
                <w:rFonts w:hint="eastAsia" w:ascii="宋体" w:hAnsi="宋体" w:eastAsia="宋体" w:cs="宋体"/>
                <w:kern w:val="0"/>
                <w:sz w:val="18"/>
                <w:szCs w:val="18"/>
              </w:rPr>
              <w:t>轻钢龙骨（国标）</w:t>
            </w:r>
          </w:p>
        </w:tc>
        <w:tc>
          <w:tcPr>
            <w:tcW w:w="1500" w:type="dxa"/>
            <w:tcBorders>
              <w:tl2br w:val="nil"/>
              <w:tr2bl w:val="nil"/>
            </w:tcBorders>
            <w:shd w:val="clear" w:color="auto" w:fill="auto"/>
            <w:tcMar>
              <w:top w:w="15" w:type="dxa"/>
              <w:left w:w="15" w:type="dxa"/>
              <w:right w:w="15" w:type="dxa"/>
            </w:tcMar>
            <w:vAlign w:val="center"/>
          </w:tcPr>
          <w:p w14:paraId="18ECF837">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龙牌</w:t>
            </w:r>
          </w:p>
        </w:tc>
        <w:tc>
          <w:tcPr>
            <w:tcW w:w="1428" w:type="dxa"/>
            <w:tcBorders>
              <w:tl2br w:val="nil"/>
              <w:tr2bl w:val="nil"/>
            </w:tcBorders>
            <w:shd w:val="clear" w:color="auto" w:fill="auto"/>
            <w:tcMar>
              <w:top w:w="15" w:type="dxa"/>
              <w:left w:w="15" w:type="dxa"/>
              <w:right w:w="15" w:type="dxa"/>
            </w:tcMar>
            <w:vAlign w:val="center"/>
          </w:tcPr>
          <w:p w14:paraId="13D698B5">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可耐福</w:t>
            </w:r>
          </w:p>
        </w:tc>
        <w:tc>
          <w:tcPr>
            <w:tcW w:w="1524" w:type="dxa"/>
            <w:tcBorders>
              <w:tl2br w:val="nil"/>
              <w:tr2bl w:val="nil"/>
            </w:tcBorders>
            <w:shd w:val="clear" w:color="auto" w:fill="auto"/>
            <w:tcMar>
              <w:top w:w="15" w:type="dxa"/>
              <w:left w:w="15" w:type="dxa"/>
              <w:right w:w="15" w:type="dxa"/>
            </w:tcMar>
            <w:vAlign w:val="center"/>
          </w:tcPr>
          <w:p w14:paraId="049873AF">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杰科</w:t>
            </w:r>
          </w:p>
        </w:tc>
      </w:tr>
      <w:tr w14:paraId="4F95A6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2F80F95A">
            <w:pPr>
              <w:widowControl/>
              <w:jc w:val="center"/>
              <w:textAlignment w:val="center"/>
              <w:rPr>
                <w:rFonts w:hint="eastAsia" w:ascii="宋体" w:hAnsi="宋体" w:eastAsia="宋体" w:cs="宋体"/>
                <w:sz w:val="18"/>
                <w:szCs w:val="18"/>
                <w:lang w:eastAsia="zh-CN"/>
              </w:rPr>
            </w:pPr>
            <w:r>
              <w:rPr>
                <w:rFonts w:hint="eastAsia" w:ascii="宋体" w:hAnsi="宋体" w:cs="宋体"/>
                <w:sz w:val="18"/>
                <w:szCs w:val="18"/>
                <w:lang w:val="en-US" w:eastAsia="zh-CN"/>
              </w:rPr>
              <w:t>6</w:t>
            </w:r>
          </w:p>
        </w:tc>
        <w:tc>
          <w:tcPr>
            <w:tcW w:w="4068" w:type="dxa"/>
            <w:tcBorders>
              <w:tl2br w:val="nil"/>
              <w:tr2bl w:val="nil"/>
            </w:tcBorders>
            <w:shd w:val="clear" w:color="auto" w:fill="auto"/>
            <w:tcMar>
              <w:top w:w="15" w:type="dxa"/>
              <w:left w:w="15" w:type="dxa"/>
              <w:right w:w="15" w:type="dxa"/>
            </w:tcMar>
            <w:vAlign w:val="center"/>
          </w:tcPr>
          <w:p w14:paraId="447F6312">
            <w:pPr>
              <w:widowControl/>
              <w:jc w:val="left"/>
              <w:textAlignment w:val="center"/>
              <w:rPr>
                <w:rFonts w:ascii="宋体" w:hAnsi="宋体" w:eastAsia="宋体" w:cs="宋体"/>
                <w:sz w:val="18"/>
                <w:szCs w:val="18"/>
              </w:rPr>
            </w:pPr>
            <w:r>
              <w:rPr>
                <w:rFonts w:hint="eastAsia" w:ascii="宋体" w:hAnsi="宋体" w:eastAsia="宋体" w:cs="宋体"/>
                <w:kern w:val="0"/>
                <w:sz w:val="18"/>
                <w:szCs w:val="18"/>
              </w:rPr>
              <w:t>实木复合门（国标）</w:t>
            </w:r>
          </w:p>
        </w:tc>
        <w:tc>
          <w:tcPr>
            <w:tcW w:w="1500" w:type="dxa"/>
            <w:tcBorders>
              <w:tl2br w:val="nil"/>
              <w:tr2bl w:val="nil"/>
            </w:tcBorders>
            <w:shd w:val="clear" w:color="auto" w:fill="auto"/>
            <w:tcMar>
              <w:top w:w="15" w:type="dxa"/>
              <w:left w:w="15" w:type="dxa"/>
              <w:right w:w="15" w:type="dxa"/>
            </w:tcMar>
            <w:vAlign w:val="center"/>
          </w:tcPr>
          <w:p w14:paraId="53F4A3E7">
            <w:pPr>
              <w:widowControl/>
              <w:jc w:val="center"/>
              <w:textAlignment w:val="center"/>
              <w:rPr>
                <w:rFonts w:ascii="宋体" w:hAnsi="宋体" w:eastAsia="宋体" w:cs="宋体"/>
                <w:sz w:val="18"/>
                <w:szCs w:val="18"/>
              </w:rPr>
            </w:pPr>
            <w:r>
              <w:rPr>
                <w:rFonts w:hint="eastAsia" w:ascii="宋体" w:hAnsi="宋体" w:eastAsia="宋体" w:cs="宋体"/>
                <w:sz w:val="18"/>
                <w:szCs w:val="18"/>
              </w:rPr>
              <w:t>欧派</w:t>
            </w:r>
          </w:p>
        </w:tc>
        <w:tc>
          <w:tcPr>
            <w:tcW w:w="1428" w:type="dxa"/>
            <w:tcBorders>
              <w:tl2br w:val="nil"/>
              <w:tr2bl w:val="nil"/>
            </w:tcBorders>
            <w:shd w:val="clear" w:color="auto" w:fill="auto"/>
            <w:tcMar>
              <w:top w:w="15" w:type="dxa"/>
              <w:left w:w="15" w:type="dxa"/>
              <w:right w:w="15" w:type="dxa"/>
            </w:tcMar>
            <w:vAlign w:val="center"/>
          </w:tcPr>
          <w:p w14:paraId="22B2E188">
            <w:pPr>
              <w:widowControl/>
              <w:jc w:val="center"/>
              <w:textAlignment w:val="center"/>
              <w:rPr>
                <w:rFonts w:ascii="宋体" w:hAnsi="宋体" w:eastAsia="宋体" w:cs="宋体"/>
                <w:sz w:val="18"/>
                <w:szCs w:val="18"/>
              </w:rPr>
            </w:pPr>
            <w:r>
              <w:rPr>
                <w:rFonts w:hint="eastAsia" w:ascii="宋体" w:hAnsi="宋体" w:eastAsia="宋体" w:cs="宋体"/>
                <w:sz w:val="18"/>
                <w:szCs w:val="18"/>
              </w:rPr>
              <w:t>美心</w:t>
            </w:r>
          </w:p>
        </w:tc>
        <w:tc>
          <w:tcPr>
            <w:tcW w:w="1524" w:type="dxa"/>
            <w:tcBorders>
              <w:tl2br w:val="nil"/>
              <w:tr2bl w:val="nil"/>
            </w:tcBorders>
            <w:shd w:val="clear" w:color="auto" w:fill="auto"/>
            <w:tcMar>
              <w:top w:w="15" w:type="dxa"/>
              <w:left w:w="15" w:type="dxa"/>
              <w:right w:w="15" w:type="dxa"/>
            </w:tcMar>
            <w:vAlign w:val="center"/>
          </w:tcPr>
          <w:p w14:paraId="32775E55">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TATA</w:t>
            </w:r>
          </w:p>
        </w:tc>
      </w:tr>
      <w:tr w14:paraId="0DF597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0FD462E3">
            <w:pPr>
              <w:widowControl/>
              <w:jc w:val="center"/>
              <w:textAlignment w:val="center"/>
              <w:rPr>
                <w:rFonts w:hint="eastAsia" w:ascii="宋体" w:hAnsi="宋体" w:eastAsia="宋体" w:cs="宋体"/>
                <w:sz w:val="18"/>
                <w:szCs w:val="18"/>
                <w:lang w:eastAsia="zh-CN"/>
              </w:rPr>
            </w:pPr>
            <w:r>
              <w:rPr>
                <w:rFonts w:hint="eastAsia" w:ascii="宋体" w:hAnsi="宋体" w:cs="宋体"/>
                <w:sz w:val="18"/>
                <w:szCs w:val="18"/>
                <w:lang w:val="en-US" w:eastAsia="zh-CN"/>
              </w:rPr>
              <w:t>7</w:t>
            </w:r>
          </w:p>
        </w:tc>
        <w:tc>
          <w:tcPr>
            <w:tcW w:w="4068" w:type="dxa"/>
            <w:tcBorders>
              <w:tl2br w:val="nil"/>
              <w:tr2bl w:val="nil"/>
            </w:tcBorders>
            <w:shd w:val="clear" w:color="auto" w:fill="auto"/>
            <w:tcMar>
              <w:top w:w="15" w:type="dxa"/>
              <w:left w:w="15" w:type="dxa"/>
              <w:right w:w="15" w:type="dxa"/>
            </w:tcMar>
            <w:vAlign w:val="center"/>
          </w:tcPr>
          <w:p w14:paraId="0825E3AF">
            <w:pPr>
              <w:widowControl/>
              <w:jc w:val="left"/>
              <w:textAlignment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装饰板</w:t>
            </w:r>
          </w:p>
        </w:tc>
        <w:tc>
          <w:tcPr>
            <w:tcW w:w="1500" w:type="dxa"/>
            <w:tcBorders>
              <w:tl2br w:val="nil"/>
              <w:tr2bl w:val="nil"/>
            </w:tcBorders>
            <w:shd w:val="clear" w:color="auto" w:fill="auto"/>
            <w:tcMar>
              <w:top w:w="15" w:type="dxa"/>
              <w:left w:w="15" w:type="dxa"/>
              <w:right w:w="15" w:type="dxa"/>
            </w:tcMar>
            <w:vAlign w:val="center"/>
          </w:tcPr>
          <w:p w14:paraId="1E2A8231">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奥普</w:t>
            </w:r>
          </w:p>
        </w:tc>
        <w:tc>
          <w:tcPr>
            <w:tcW w:w="1428" w:type="dxa"/>
            <w:tcBorders>
              <w:tl2br w:val="nil"/>
              <w:tr2bl w:val="nil"/>
            </w:tcBorders>
            <w:shd w:val="clear" w:color="auto" w:fill="auto"/>
            <w:tcMar>
              <w:top w:w="15" w:type="dxa"/>
              <w:left w:w="15" w:type="dxa"/>
              <w:right w:w="15" w:type="dxa"/>
            </w:tcMar>
            <w:vAlign w:val="center"/>
          </w:tcPr>
          <w:p w14:paraId="44F7D293">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友邦</w:t>
            </w:r>
          </w:p>
        </w:tc>
        <w:tc>
          <w:tcPr>
            <w:tcW w:w="1524" w:type="dxa"/>
            <w:tcBorders>
              <w:tl2br w:val="nil"/>
              <w:tr2bl w:val="nil"/>
            </w:tcBorders>
            <w:shd w:val="clear" w:color="auto" w:fill="auto"/>
            <w:tcMar>
              <w:top w:w="15" w:type="dxa"/>
              <w:left w:w="15" w:type="dxa"/>
              <w:right w:w="15" w:type="dxa"/>
            </w:tcMar>
            <w:vAlign w:val="center"/>
          </w:tcPr>
          <w:p w14:paraId="5B111C67">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格林春天</w:t>
            </w:r>
          </w:p>
        </w:tc>
      </w:tr>
      <w:tr w14:paraId="17EB0D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62B86EAE">
            <w:pPr>
              <w:widowControl/>
              <w:jc w:val="center"/>
              <w:textAlignment w:val="center"/>
              <w:rPr>
                <w:rFonts w:hint="eastAsia" w:ascii="宋体" w:hAnsi="宋体" w:eastAsia="宋体" w:cs="宋体"/>
                <w:sz w:val="18"/>
                <w:szCs w:val="18"/>
                <w:lang w:eastAsia="zh-CN"/>
              </w:rPr>
            </w:pPr>
            <w:r>
              <w:rPr>
                <w:rFonts w:hint="eastAsia" w:ascii="宋体" w:hAnsi="宋体" w:cs="宋体"/>
                <w:sz w:val="18"/>
                <w:szCs w:val="18"/>
                <w:lang w:val="en-US" w:eastAsia="zh-CN"/>
              </w:rPr>
              <w:t>8</w:t>
            </w:r>
          </w:p>
        </w:tc>
        <w:tc>
          <w:tcPr>
            <w:tcW w:w="4068" w:type="dxa"/>
            <w:tcBorders>
              <w:tl2br w:val="nil"/>
              <w:tr2bl w:val="nil"/>
            </w:tcBorders>
            <w:shd w:val="clear" w:color="auto" w:fill="auto"/>
            <w:tcMar>
              <w:top w:w="15" w:type="dxa"/>
              <w:left w:w="15" w:type="dxa"/>
              <w:right w:w="15" w:type="dxa"/>
            </w:tcMar>
            <w:vAlign w:val="center"/>
          </w:tcPr>
          <w:p w14:paraId="7581462C">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门锁五金件</w:t>
            </w:r>
          </w:p>
        </w:tc>
        <w:tc>
          <w:tcPr>
            <w:tcW w:w="1500" w:type="dxa"/>
            <w:tcBorders>
              <w:tl2br w:val="nil"/>
              <w:tr2bl w:val="nil"/>
            </w:tcBorders>
            <w:shd w:val="clear" w:color="auto" w:fill="auto"/>
            <w:tcMar>
              <w:top w:w="15" w:type="dxa"/>
              <w:left w:w="15" w:type="dxa"/>
              <w:right w:w="15" w:type="dxa"/>
            </w:tcMar>
            <w:vAlign w:val="center"/>
          </w:tcPr>
          <w:p w14:paraId="08724693">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顶固</w:t>
            </w:r>
          </w:p>
        </w:tc>
        <w:tc>
          <w:tcPr>
            <w:tcW w:w="1428" w:type="dxa"/>
            <w:tcBorders>
              <w:tl2br w:val="nil"/>
              <w:tr2bl w:val="nil"/>
            </w:tcBorders>
            <w:shd w:val="clear" w:color="auto" w:fill="auto"/>
            <w:tcMar>
              <w:top w:w="15" w:type="dxa"/>
              <w:left w:w="15" w:type="dxa"/>
              <w:right w:w="15" w:type="dxa"/>
            </w:tcMar>
            <w:vAlign w:val="center"/>
          </w:tcPr>
          <w:p w14:paraId="4D26A78E">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雅洁</w:t>
            </w:r>
          </w:p>
        </w:tc>
        <w:tc>
          <w:tcPr>
            <w:tcW w:w="1524" w:type="dxa"/>
            <w:tcBorders>
              <w:tl2br w:val="nil"/>
              <w:tr2bl w:val="nil"/>
            </w:tcBorders>
            <w:shd w:val="clear" w:color="auto" w:fill="auto"/>
            <w:tcMar>
              <w:top w:w="15" w:type="dxa"/>
              <w:left w:w="15" w:type="dxa"/>
              <w:right w:w="15" w:type="dxa"/>
            </w:tcMar>
            <w:vAlign w:val="center"/>
          </w:tcPr>
          <w:p w14:paraId="03D36E68">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固友</w:t>
            </w:r>
          </w:p>
        </w:tc>
      </w:tr>
      <w:tr w14:paraId="4A2F93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109476A2">
            <w:pPr>
              <w:widowControl/>
              <w:jc w:val="center"/>
              <w:textAlignment w:val="center"/>
              <w:rPr>
                <w:rFonts w:ascii="宋体" w:hAnsi="宋体" w:eastAsia="宋体" w:cs="宋体"/>
                <w:sz w:val="18"/>
                <w:szCs w:val="18"/>
              </w:rPr>
            </w:pPr>
            <w:r>
              <w:rPr>
                <w:rFonts w:hint="eastAsia" w:ascii="宋体" w:hAnsi="宋体" w:eastAsia="宋体" w:cs="宋体"/>
                <w:sz w:val="18"/>
                <w:szCs w:val="18"/>
              </w:rPr>
              <w:t>二</w:t>
            </w:r>
          </w:p>
        </w:tc>
        <w:tc>
          <w:tcPr>
            <w:tcW w:w="4068" w:type="dxa"/>
            <w:tcBorders>
              <w:tl2br w:val="nil"/>
              <w:tr2bl w:val="nil"/>
            </w:tcBorders>
            <w:shd w:val="clear" w:color="auto" w:fill="auto"/>
            <w:tcMar>
              <w:top w:w="15" w:type="dxa"/>
              <w:left w:w="15" w:type="dxa"/>
              <w:right w:w="15" w:type="dxa"/>
            </w:tcMar>
            <w:vAlign w:val="center"/>
          </w:tcPr>
          <w:p w14:paraId="77C9090B">
            <w:pPr>
              <w:widowControl/>
              <w:jc w:val="left"/>
              <w:textAlignment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管道</w:t>
            </w:r>
          </w:p>
        </w:tc>
        <w:tc>
          <w:tcPr>
            <w:tcW w:w="1500" w:type="dxa"/>
            <w:tcBorders>
              <w:tl2br w:val="nil"/>
              <w:tr2bl w:val="nil"/>
            </w:tcBorders>
            <w:shd w:val="clear" w:color="auto" w:fill="auto"/>
            <w:tcMar>
              <w:top w:w="15" w:type="dxa"/>
              <w:left w:w="15" w:type="dxa"/>
              <w:right w:w="15" w:type="dxa"/>
            </w:tcMar>
            <w:vAlign w:val="center"/>
          </w:tcPr>
          <w:p w14:paraId="45206DDF">
            <w:pPr>
              <w:widowControl/>
              <w:jc w:val="center"/>
              <w:textAlignment w:val="center"/>
              <w:rPr>
                <w:rFonts w:ascii="宋体" w:hAnsi="宋体" w:eastAsia="宋体" w:cs="宋体"/>
                <w:kern w:val="0"/>
                <w:sz w:val="18"/>
                <w:szCs w:val="18"/>
              </w:rPr>
            </w:pPr>
          </w:p>
        </w:tc>
        <w:tc>
          <w:tcPr>
            <w:tcW w:w="1428" w:type="dxa"/>
            <w:tcBorders>
              <w:tl2br w:val="nil"/>
              <w:tr2bl w:val="nil"/>
            </w:tcBorders>
            <w:shd w:val="clear" w:color="auto" w:fill="auto"/>
            <w:tcMar>
              <w:top w:w="15" w:type="dxa"/>
              <w:left w:w="15" w:type="dxa"/>
              <w:right w:w="15" w:type="dxa"/>
            </w:tcMar>
            <w:vAlign w:val="center"/>
          </w:tcPr>
          <w:p w14:paraId="7E90A81A">
            <w:pPr>
              <w:widowControl/>
              <w:jc w:val="center"/>
              <w:textAlignment w:val="center"/>
              <w:rPr>
                <w:rFonts w:ascii="宋体" w:hAnsi="宋体" w:eastAsia="宋体" w:cs="宋体"/>
                <w:kern w:val="0"/>
                <w:sz w:val="18"/>
                <w:szCs w:val="18"/>
              </w:rPr>
            </w:pPr>
          </w:p>
        </w:tc>
        <w:tc>
          <w:tcPr>
            <w:tcW w:w="1524" w:type="dxa"/>
            <w:tcBorders>
              <w:tl2br w:val="nil"/>
              <w:tr2bl w:val="nil"/>
            </w:tcBorders>
            <w:shd w:val="clear" w:color="auto" w:fill="auto"/>
            <w:tcMar>
              <w:top w:w="15" w:type="dxa"/>
              <w:left w:w="15" w:type="dxa"/>
              <w:right w:w="15" w:type="dxa"/>
            </w:tcMar>
            <w:vAlign w:val="center"/>
          </w:tcPr>
          <w:p w14:paraId="66F2E18C">
            <w:pPr>
              <w:widowControl/>
              <w:jc w:val="center"/>
              <w:textAlignment w:val="center"/>
              <w:rPr>
                <w:rFonts w:ascii="宋体" w:hAnsi="宋体" w:eastAsia="宋体" w:cs="宋体"/>
                <w:kern w:val="0"/>
                <w:sz w:val="18"/>
                <w:szCs w:val="18"/>
              </w:rPr>
            </w:pPr>
          </w:p>
        </w:tc>
      </w:tr>
      <w:tr w14:paraId="177FB1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1E6E159B">
            <w:pPr>
              <w:widowControl/>
              <w:jc w:val="center"/>
              <w:textAlignment w:val="center"/>
              <w:rPr>
                <w:rFonts w:ascii="宋体" w:hAnsi="宋体" w:eastAsia="宋体" w:cs="宋体"/>
                <w:sz w:val="18"/>
                <w:szCs w:val="18"/>
              </w:rPr>
            </w:pPr>
            <w:r>
              <w:rPr>
                <w:rFonts w:hint="eastAsia" w:ascii="宋体" w:hAnsi="宋体" w:eastAsia="宋体" w:cs="宋体"/>
                <w:sz w:val="18"/>
                <w:szCs w:val="18"/>
              </w:rPr>
              <w:t>1</w:t>
            </w:r>
          </w:p>
        </w:tc>
        <w:tc>
          <w:tcPr>
            <w:tcW w:w="4068" w:type="dxa"/>
            <w:tcBorders>
              <w:tl2br w:val="nil"/>
              <w:tr2bl w:val="nil"/>
            </w:tcBorders>
            <w:shd w:val="clear" w:color="auto" w:fill="auto"/>
            <w:tcMar>
              <w:top w:w="15" w:type="dxa"/>
              <w:left w:w="15" w:type="dxa"/>
              <w:right w:w="15" w:type="dxa"/>
            </w:tcMar>
            <w:vAlign w:val="center"/>
          </w:tcPr>
          <w:p w14:paraId="04F66E3D">
            <w:pPr>
              <w:widowControl/>
              <w:jc w:val="left"/>
              <w:textAlignment w:val="center"/>
              <w:rPr>
                <w:rFonts w:ascii="宋体" w:hAnsi="宋体" w:eastAsia="宋体" w:cs="宋体"/>
                <w:sz w:val="18"/>
                <w:szCs w:val="18"/>
              </w:rPr>
            </w:pPr>
            <w:r>
              <w:rPr>
                <w:rFonts w:hint="eastAsia" w:ascii="宋体" w:hAnsi="宋体" w:eastAsia="宋体" w:cs="宋体"/>
                <w:kern w:val="0"/>
                <w:sz w:val="18"/>
                <w:szCs w:val="18"/>
              </w:rPr>
              <w:t>UPVC/PE排水管</w:t>
            </w:r>
          </w:p>
        </w:tc>
        <w:tc>
          <w:tcPr>
            <w:tcW w:w="1500" w:type="dxa"/>
            <w:tcBorders>
              <w:tl2br w:val="nil"/>
              <w:tr2bl w:val="nil"/>
            </w:tcBorders>
            <w:shd w:val="clear" w:color="auto" w:fill="auto"/>
            <w:tcMar>
              <w:top w:w="15" w:type="dxa"/>
              <w:left w:w="15" w:type="dxa"/>
              <w:right w:w="15" w:type="dxa"/>
            </w:tcMar>
            <w:vAlign w:val="center"/>
          </w:tcPr>
          <w:p w14:paraId="7C692EFB">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日丰</w:t>
            </w:r>
          </w:p>
        </w:tc>
        <w:tc>
          <w:tcPr>
            <w:tcW w:w="1428" w:type="dxa"/>
            <w:tcBorders>
              <w:tl2br w:val="nil"/>
              <w:tr2bl w:val="nil"/>
            </w:tcBorders>
            <w:shd w:val="clear" w:color="auto" w:fill="auto"/>
            <w:tcMar>
              <w:top w:w="15" w:type="dxa"/>
              <w:left w:w="15" w:type="dxa"/>
              <w:right w:w="15" w:type="dxa"/>
            </w:tcMar>
            <w:vAlign w:val="center"/>
          </w:tcPr>
          <w:p w14:paraId="69DF3DA0">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公元</w:t>
            </w:r>
          </w:p>
        </w:tc>
        <w:tc>
          <w:tcPr>
            <w:tcW w:w="1524" w:type="dxa"/>
            <w:tcBorders>
              <w:tl2br w:val="nil"/>
              <w:tr2bl w:val="nil"/>
            </w:tcBorders>
            <w:shd w:val="clear" w:color="auto" w:fill="auto"/>
            <w:tcMar>
              <w:top w:w="15" w:type="dxa"/>
              <w:left w:w="15" w:type="dxa"/>
              <w:right w:w="15" w:type="dxa"/>
            </w:tcMar>
            <w:vAlign w:val="center"/>
          </w:tcPr>
          <w:p w14:paraId="3A4E2BA9">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中财</w:t>
            </w:r>
          </w:p>
        </w:tc>
      </w:tr>
      <w:tr w14:paraId="155087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696217A4">
            <w:pPr>
              <w:widowControl/>
              <w:jc w:val="center"/>
              <w:textAlignment w:val="center"/>
              <w:rPr>
                <w:rFonts w:ascii="宋体" w:hAnsi="宋体" w:eastAsia="宋体" w:cs="宋体"/>
                <w:sz w:val="18"/>
                <w:szCs w:val="18"/>
              </w:rPr>
            </w:pPr>
            <w:r>
              <w:rPr>
                <w:rFonts w:hint="eastAsia" w:ascii="宋体" w:hAnsi="宋体" w:eastAsia="宋体" w:cs="宋体"/>
                <w:sz w:val="18"/>
                <w:szCs w:val="18"/>
              </w:rPr>
              <w:t>三</w:t>
            </w:r>
          </w:p>
        </w:tc>
        <w:tc>
          <w:tcPr>
            <w:tcW w:w="4068" w:type="dxa"/>
            <w:tcBorders>
              <w:tl2br w:val="nil"/>
              <w:tr2bl w:val="nil"/>
            </w:tcBorders>
            <w:shd w:val="clear" w:color="auto" w:fill="auto"/>
            <w:tcMar>
              <w:top w:w="15" w:type="dxa"/>
              <w:left w:w="15" w:type="dxa"/>
              <w:right w:w="15" w:type="dxa"/>
            </w:tcMar>
            <w:vAlign w:val="center"/>
          </w:tcPr>
          <w:p w14:paraId="529176B5">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土建</w:t>
            </w:r>
          </w:p>
        </w:tc>
        <w:tc>
          <w:tcPr>
            <w:tcW w:w="1500" w:type="dxa"/>
            <w:tcBorders>
              <w:tl2br w:val="nil"/>
              <w:tr2bl w:val="nil"/>
            </w:tcBorders>
            <w:shd w:val="clear" w:color="auto" w:fill="auto"/>
            <w:tcMar>
              <w:top w:w="15" w:type="dxa"/>
              <w:left w:w="15" w:type="dxa"/>
              <w:right w:w="15" w:type="dxa"/>
            </w:tcMar>
            <w:vAlign w:val="center"/>
          </w:tcPr>
          <w:p w14:paraId="5ED23CD2">
            <w:pPr>
              <w:widowControl/>
              <w:jc w:val="center"/>
              <w:textAlignment w:val="center"/>
              <w:rPr>
                <w:rFonts w:ascii="宋体" w:hAnsi="宋体" w:eastAsia="宋体" w:cs="宋体"/>
                <w:kern w:val="0"/>
                <w:sz w:val="18"/>
                <w:szCs w:val="18"/>
              </w:rPr>
            </w:pPr>
          </w:p>
        </w:tc>
        <w:tc>
          <w:tcPr>
            <w:tcW w:w="1428" w:type="dxa"/>
            <w:tcBorders>
              <w:tl2br w:val="nil"/>
              <w:tr2bl w:val="nil"/>
            </w:tcBorders>
            <w:shd w:val="clear" w:color="auto" w:fill="auto"/>
            <w:tcMar>
              <w:top w:w="15" w:type="dxa"/>
              <w:left w:w="15" w:type="dxa"/>
              <w:right w:w="15" w:type="dxa"/>
            </w:tcMar>
            <w:vAlign w:val="center"/>
          </w:tcPr>
          <w:p w14:paraId="6212667A">
            <w:pPr>
              <w:widowControl/>
              <w:jc w:val="center"/>
              <w:textAlignment w:val="center"/>
              <w:rPr>
                <w:rFonts w:ascii="宋体" w:hAnsi="宋体" w:eastAsia="宋体" w:cs="宋体"/>
                <w:kern w:val="0"/>
                <w:sz w:val="18"/>
                <w:szCs w:val="18"/>
              </w:rPr>
            </w:pPr>
          </w:p>
        </w:tc>
        <w:tc>
          <w:tcPr>
            <w:tcW w:w="1524" w:type="dxa"/>
            <w:tcBorders>
              <w:tl2br w:val="nil"/>
              <w:tr2bl w:val="nil"/>
            </w:tcBorders>
            <w:shd w:val="clear" w:color="auto" w:fill="auto"/>
            <w:tcMar>
              <w:top w:w="15" w:type="dxa"/>
              <w:left w:w="15" w:type="dxa"/>
              <w:right w:w="15" w:type="dxa"/>
            </w:tcMar>
            <w:vAlign w:val="center"/>
          </w:tcPr>
          <w:p w14:paraId="3709A122">
            <w:pPr>
              <w:widowControl/>
              <w:jc w:val="center"/>
              <w:textAlignment w:val="center"/>
              <w:rPr>
                <w:rFonts w:ascii="宋体" w:hAnsi="宋体" w:eastAsia="宋体" w:cs="宋体"/>
                <w:kern w:val="0"/>
                <w:sz w:val="18"/>
                <w:szCs w:val="18"/>
              </w:rPr>
            </w:pPr>
          </w:p>
        </w:tc>
      </w:tr>
      <w:tr w14:paraId="29A24A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2C954328">
            <w:pPr>
              <w:widowControl/>
              <w:jc w:val="center"/>
              <w:textAlignment w:val="center"/>
              <w:rPr>
                <w:rFonts w:ascii="宋体" w:hAnsi="宋体" w:eastAsia="宋体" w:cs="宋体"/>
                <w:sz w:val="18"/>
                <w:szCs w:val="18"/>
              </w:rPr>
            </w:pPr>
            <w:r>
              <w:rPr>
                <w:rFonts w:hint="eastAsia" w:ascii="宋体" w:hAnsi="宋体" w:eastAsia="宋体" w:cs="宋体"/>
                <w:sz w:val="18"/>
                <w:szCs w:val="18"/>
              </w:rPr>
              <w:t>1</w:t>
            </w:r>
          </w:p>
        </w:tc>
        <w:tc>
          <w:tcPr>
            <w:tcW w:w="4068" w:type="dxa"/>
            <w:tcBorders>
              <w:tl2br w:val="nil"/>
              <w:tr2bl w:val="nil"/>
            </w:tcBorders>
            <w:shd w:val="clear" w:color="auto" w:fill="auto"/>
            <w:tcMar>
              <w:top w:w="15" w:type="dxa"/>
              <w:left w:w="15" w:type="dxa"/>
              <w:right w:w="15" w:type="dxa"/>
            </w:tcMar>
            <w:vAlign w:val="center"/>
          </w:tcPr>
          <w:p w14:paraId="797C5B7C">
            <w:pPr>
              <w:widowControl/>
              <w:jc w:val="left"/>
              <w:textAlignment w:val="center"/>
              <w:rPr>
                <w:rFonts w:ascii="宋体" w:hAnsi="宋体" w:eastAsia="宋体" w:cs="宋体"/>
                <w:sz w:val="18"/>
                <w:szCs w:val="18"/>
              </w:rPr>
            </w:pPr>
            <w:r>
              <w:rPr>
                <w:rFonts w:hint="eastAsia" w:ascii="宋体" w:hAnsi="宋体" w:eastAsia="宋体" w:cs="宋体"/>
                <w:kern w:val="0"/>
                <w:sz w:val="18"/>
                <w:szCs w:val="18"/>
              </w:rPr>
              <w:t>钢筋</w:t>
            </w:r>
          </w:p>
        </w:tc>
        <w:tc>
          <w:tcPr>
            <w:tcW w:w="1500" w:type="dxa"/>
            <w:tcBorders>
              <w:tl2br w:val="nil"/>
              <w:tr2bl w:val="nil"/>
            </w:tcBorders>
            <w:shd w:val="clear" w:color="auto" w:fill="auto"/>
            <w:tcMar>
              <w:top w:w="15" w:type="dxa"/>
              <w:left w:w="15" w:type="dxa"/>
              <w:right w:w="15" w:type="dxa"/>
            </w:tcMar>
            <w:vAlign w:val="center"/>
          </w:tcPr>
          <w:p w14:paraId="674488D3">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沙钢</w:t>
            </w:r>
          </w:p>
        </w:tc>
        <w:tc>
          <w:tcPr>
            <w:tcW w:w="1428" w:type="dxa"/>
            <w:tcBorders>
              <w:tl2br w:val="nil"/>
              <w:tr2bl w:val="nil"/>
            </w:tcBorders>
            <w:shd w:val="clear" w:color="auto" w:fill="auto"/>
            <w:tcMar>
              <w:top w:w="15" w:type="dxa"/>
              <w:left w:w="15" w:type="dxa"/>
              <w:right w:w="15" w:type="dxa"/>
            </w:tcMar>
            <w:vAlign w:val="center"/>
          </w:tcPr>
          <w:p w14:paraId="2C132B4B">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宝钢</w:t>
            </w:r>
          </w:p>
        </w:tc>
        <w:tc>
          <w:tcPr>
            <w:tcW w:w="1524" w:type="dxa"/>
            <w:tcBorders>
              <w:tl2br w:val="nil"/>
              <w:tr2bl w:val="nil"/>
            </w:tcBorders>
            <w:shd w:val="clear" w:color="auto" w:fill="auto"/>
            <w:tcMar>
              <w:top w:w="15" w:type="dxa"/>
              <w:left w:w="15" w:type="dxa"/>
              <w:right w:w="15" w:type="dxa"/>
            </w:tcMar>
            <w:vAlign w:val="center"/>
          </w:tcPr>
          <w:p w14:paraId="1A9AC08B">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首钢</w:t>
            </w:r>
          </w:p>
        </w:tc>
      </w:tr>
      <w:tr w14:paraId="0FDA42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7504F580">
            <w:pPr>
              <w:widowControl/>
              <w:jc w:val="center"/>
              <w:textAlignment w:val="center"/>
              <w:rPr>
                <w:rFonts w:ascii="宋体" w:hAnsi="宋体" w:eastAsia="宋体" w:cs="宋体"/>
                <w:sz w:val="18"/>
                <w:szCs w:val="18"/>
              </w:rPr>
            </w:pPr>
            <w:r>
              <w:rPr>
                <w:rFonts w:hint="eastAsia" w:ascii="宋体" w:hAnsi="宋体" w:eastAsia="宋体" w:cs="宋体"/>
                <w:sz w:val="18"/>
                <w:szCs w:val="18"/>
              </w:rPr>
              <w:t>2</w:t>
            </w:r>
          </w:p>
        </w:tc>
        <w:tc>
          <w:tcPr>
            <w:tcW w:w="4068" w:type="dxa"/>
            <w:tcBorders>
              <w:tl2br w:val="nil"/>
              <w:tr2bl w:val="nil"/>
            </w:tcBorders>
            <w:shd w:val="clear" w:color="auto" w:fill="auto"/>
            <w:tcMar>
              <w:top w:w="15" w:type="dxa"/>
              <w:left w:w="15" w:type="dxa"/>
              <w:right w:w="15" w:type="dxa"/>
            </w:tcMar>
            <w:vAlign w:val="center"/>
          </w:tcPr>
          <w:p w14:paraId="5D51B748">
            <w:pPr>
              <w:widowControl/>
              <w:jc w:val="left"/>
              <w:textAlignment w:val="center"/>
              <w:rPr>
                <w:rFonts w:ascii="宋体" w:hAnsi="宋体" w:eastAsia="宋体" w:cs="宋体"/>
                <w:sz w:val="18"/>
                <w:szCs w:val="18"/>
              </w:rPr>
            </w:pPr>
            <w:r>
              <w:rPr>
                <w:rFonts w:hint="eastAsia" w:ascii="宋体" w:hAnsi="宋体" w:eastAsia="宋体" w:cs="宋体"/>
                <w:kern w:val="0"/>
                <w:sz w:val="18"/>
                <w:szCs w:val="18"/>
              </w:rPr>
              <w:t>铝型材</w:t>
            </w:r>
          </w:p>
        </w:tc>
        <w:tc>
          <w:tcPr>
            <w:tcW w:w="1500" w:type="dxa"/>
            <w:tcBorders>
              <w:tl2br w:val="nil"/>
              <w:tr2bl w:val="nil"/>
            </w:tcBorders>
            <w:shd w:val="clear" w:color="auto" w:fill="auto"/>
            <w:tcMar>
              <w:top w:w="15" w:type="dxa"/>
              <w:left w:w="15" w:type="dxa"/>
              <w:right w:w="15" w:type="dxa"/>
            </w:tcMar>
            <w:vAlign w:val="center"/>
          </w:tcPr>
          <w:p w14:paraId="44EE90EB">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鑫裕</w:t>
            </w:r>
          </w:p>
        </w:tc>
        <w:tc>
          <w:tcPr>
            <w:tcW w:w="1428" w:type="dxa"/>
            <w:tcBorders>
              <w:tl2br w:val="nil"/>
              <w:tr2bl w:val="nil"/>
            </w:tcBorders>
            <w:shd w:val="clear" w:color="auto" w:fill="auto"/>
            <w:tcMar>
              <w:top w:w="15" w:type="dxa"/>
              <w:left w:w="15" w:type="dxa"/>
              <w:right w:w="15" w:type="dxa"/>
            </w:tcMar>
            <w:vAlign w:val="center"/>
          </w:tcPr>
          <w:p w14:paraId="33FE34BE">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协铝</w:t>
            </w:r>
          </w:p>
        </w:tc>
        <w:tc>
          <w:tcPr>
            <w:tcW w:w="1524" w:type="dxa"/>
            <w:tcBorders>
              <w:tl2br w:val="nil"/>
              <w:tr2bl w:val="nil"/>
            </w:tcBorders>
            <w:shd w:val="clear" w:color="auto" w:fill="auto"/>
            <w:tcMar>
              <w:top w:w="15" w:type="dxa"/>
              <w:left w:w="15" w:type="dxa"/>
              <w:right w:w="15" w:type="dxa"/>
            </w:tcMar>
            <w:vAlign w:val="center"/>
          </w:tcPr>
          <w:p w14:paraId="74332B4D">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凤铝</w:t>
            </w:r>
          </w:p>
        </w:tc>
      </w:tr>
      <w:tr w14:paraId="613373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54599FC6">
            <w:pPr>
              <w:widowControl/>
              <w:jc w:val="center"/>
              <w:textAlignment w:val="center"/>
              <w:rPr>
                <w:rFonts w:hint="eastAsia" w:ascii="宋体" w:hAnsi="宋体" w:eastAsia="宋体" w:cs="宋体"/>
                <w:sz w:val="18"/>
                <w:szCs w:val="18"/>
                <w:lang w:eastAsia="zh-CN"/>
              </w:rPr>
            </w:pPr>
            <w:r>
              <w:rPr>
                <w:rFonts w:hint="eastAsia" w:ascii="宋体" w:hAnsi="宋体" w:cs="宋体"/>
                <w:sz w:val="18"/>
                <w:szCs w:val="18"/>
                <w:lang w:val="en-US" w:eastAsia="zh-CN"/>
              </w:rPr>
              <w:t>3</w:t>
            </w:r>
          </w:p>
        </w:tc>
        <w:tc>
          <w:tcPr>
            <w:tcW w:w="4068" w:type="dxa"/>
            <w:tcBorders>
              <w:tl2br w:val="nil"/>
              <w:tr2bl w:val="nil"/>
            </w:tcBorders>
            <w:shd w:val="clear" w:color="auto" w:fill="auto"/>
            <w:tcMar>
              <w:top w:w="15" w:type="dxa"/>
              <w:left w:w="15" w:type="dxa"/>
              <w:right w:w="15" w:type="dxa"/>
            </w:tcMar>
            <w:vAlign w:val="center"/>
          </w:tcPr>
          <w:p w14:paraId="02359F58">
            <w:pPr>
              <w:widowControl/>
              <w:jc w:val="left"/>
              <w:textAlignment w:val="center"/>
              <w:rPr>
                <w:rFonts w:ascii="宋体" w:hAnsi="宋体" w:eastAsia="宋体" w:cs="宋体"/>
                <w:sz w:val="18"/>
                <w:szCs w:val="18"/>
              </w:rPr>
            </w:pPr>
            <w:r>
              <w:rPr>
                <w:rFonts w:hint="eastAsia" w:ascii="宋体" w:hAnsi="宋体" w:eastAsia="宋体" w:cs="宋体"/>
                <w:kern w:val="0"/>
                <w:sz w:val="18"/>
                <w:szCs w:val="18"/>
              </w:rPr>
              <w:t>内墙腻子</w:t>
            </w:r>
          </w:p>
        </w:tc>
        <w:tc>
          <w:tcPr>
            <w:tcW w:w="1500" w:type="dxa"/>
            <w:tcBorders>
              <w:tl2br w:val="nil"/>
              <w:tr2bl w:val="nil"/>
            </w:tcBorders>
            <w:shd w:val="clear" w:color="auto" w:fill="auto"/>
            <w:tcMar>
              <w:top w:w="15" w:type="dxa"/>
              <w:left w:w="15" w:type="dxa"/>
              <w:right w:w="15" w:type="dxa"/>
            </w:tcMar>
            <w:vAlign w:val="center"/>
          </w:tcPr>
          <w:p w14:paraId="5401AADA">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杰科</w:t>
            </w:r>
          </w:p>
        </w:tc>
        <w:tc>
          <w:tcPr>
            <w:tcW w:w="1428" w:type="dxa"/>
            <w:tcBorders>
              <w:tl2br w:val="nil"/>
              <w:tr2bl w:val="nil"/>
            </w:tcBorders>
            <w:shd w:val="clear" w:color="auto" w:fill="auto"/>
            <w:tcMar>
              <w:top w:w="15" w:type="dxa"/>
              <w:left w:w="15" w:type="dxa"/>
              <w:right w:w="15" w:type="dxa"/>
            </w:tcMar>
            <w:vAlign w:val="center"/>
          </w:tcPr>
          <w:p w14:paraId="47124FE3">
            <w:pPr>
              <w:widowControl/>
              <w:jc w:val="center"/>
              <w:textAlignment w:val="center"/>
              <w:rPr>
                <w:rFonts w:ascii="宋体" w:hAnsi="宋体" w:eastAsia="宋体" w:cs="宋体"/>
                <w:sz w:val="18"/>
                <w:szCs w:val="18"/>
              </w:rPr>
            </w:pPr>
            <w:r>
              <w:rPr>
                <w:rFonts w:hint="eastAsia" w:ascii="宋体" w:hAnsi="宋体" w:eastAsia="宋体" w:cs="宋体"/>
                <w:kern w:val="0"/>
                <w:sz w:val="18"/>
                <w:szCs w:val="18"/>
              </w:rPr>
              <w:t>三棵树</w:t>
            </w:r>
          </w:p>
        </w:tc>
        <w:tc>
          <w:tcPr>
            <w:tcW w:w="1524" w:type="dxa"/>
            <w:tcBorders>
              <w:tl2br w:val="nil"/>
              <w:tr2bl w:val="nil"/>
            </w:tcBorders>
            <w:shd w:val="clear" w:color="auto" w:fill="auto"/>
            <w:tcMar>
              <w:top w:w="15" w:type="dxa"/>
              <w:left w:w="15" w:type="dxa"/>
              <w:right w:w="15" w:type="dxa"/>
            </w:tcMar>
            <w:vAlign w:val="center"/>
          </w:tcPr>
          <w:p w14:paraId="739B63A8">
            <w:pPr>
              <w:widowControl/>
              <w:jc w:val="center"/>
              <w:textAlignment w:val="center"/>
              <w:rPr>
                <w:rFonts w:ascii="宋体" w:hAnsi="宋体" w:eastAsia="宋体" w:cs="宋体"/>
                <w:sz w:val="18"/>
                <w:szCs w:val="18"/>
              </w:rPr>
            </w:pPr>
            <w:r>
              <w:rPr>
                <w:rFonts w:hint="eastAsia" w:ascii="宋体" w:hAnsi="宋体" w:eastAsia="宋体" w:cs="宋体"/>
                <w:sz w:val="18"/>
                <w:szCs w:val="18"/>
              </w:rPr>
              <w:t>嘉宝莉</w:t>
            </w:r>
          </w:p>
        </w:tc>
      </w:tr>
      <w:tr w14:paraId="21485B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2EAB2BA4">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四</w:t>
            </w:r>
          </w:p>
        </w:tc>
        <w:tc>
          <w:tcPr>
            <w:tcW w:w="4068" w:type="dxa"/>
            <w:tcBorders>
              <w:tl2br w:val="nil"/>
              <w:tr2bl w:val="nil"/>
            </w:tcBorders>
            <w:shd w:val="clear" w:color="auto" w:fill="auto"/>
            <w:tcMar>
              <w:top w:w="15" w:type="dxa"/>
              <w:left w:w="15" w:type="dxa"/>
              <w:right w:w="15" w:type="dxa"/>
            </w:tcMar>
            <w:vAlign w:val="center"/>
          </w:tcPr>
          <w:p w14:paraId="4B4D2318">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安装</w:t>
            </w:r>
          </w:p>
        </w:tc>
        <w:tc>
          <w:tcPr>
            <w:tcW w:w="1500" w:type="dxa"/>
            <w:tcBorders>
              <w:tl2br w:val="nil"/>
              <w:tr2bl w:val="nil"/>
            </w:tcBorders>
            <w:shd w:val="clear" w:color="auto" w:fill="auto"/>
            <w:tcMar>
              <w:top w:w="15" w:type="dxa"/>
              <w:left w:w="15" w:type="dxa"/>
              <w:right w:w="15" w:type="dxa"/>
            </w:tcMar>
            <w:vAlign w:val="center"/>
          </w:tcPr>
          <w:p w14:paraId="70CDB0B4">
            <w:pPr>
              <w:widowControl/>
              <w:jc w:val="center"/>
              <w:textAlignment w:val="center"/>
              <w:rPr>
                <w:rFonts w:ascii="宋体" w:hAnsi="宋体" w:eastAsia="宋体" w:cs="宋体"/>
                <w:kern w:val="0"/>
                <w:sz w:val="18"/>
                <w:szCs w:val="18"/>
              </w:rPr>
            </w:pPr>
          </w:p>
        </w:tc>
        <w:tc>
          <w:tcPr>
            <w:tcW w:w="1428" w:type="dxa"/>
            <w:tcBorders>
              <w:tl2br w:val="nil"/>
              <w:tr2bl w:val="nil"/>
            </w:tcBorders>
            <w:shd w:val="clear" w:color="auto" w:fill="auto"/>
            <w:tcMar>
              <w:top w:w="15" w:type="dxa"/>
              <w:left w:w="15" w:type="dxa"/>
              <w:right w:w="15" w:type="dxa"/>
            </w:tcMar>
            <w:vAlign w:val="center"/>
          </w:tcPr>
          <w:p w14:paraId="7225C7B0">
            <w:pPr>
              <w:widowControl/>
              <w:jc w:val="center"/>
              <w:textAlignment w:val="center"/>
              <w:rPr>
                <w:rFonts w:ascii="宋体" w:hAnsi="宋体" w:eastAsia="宋体" w:cs="宋体"/>
                <w:kern w:val="0"/>
                <w:sz w:val="18"/>
                <w:szCs w:val="18"/>
              </w:rPr>
            </w:pPr>
          </w:p>
        </w:tc>
        <w:tc>
          <w:tcPr>
            <w:tcW w:w="1524" w:type="dxa"/>
            <w:tcBorders>
              <w:tl2br w:val="nil"/>
              <w:tr2bl w:val="nil"/>
            </w:tcBorders>
            <w:shd w:val="clear" w:color="auto" w:fill="auto"/>
            <w:tcMar>
              <w:top w:w="15" w:type="dxa"/>
              <w:left w:w="15" w:type="dxa"/>
              <w:right w:w="15" w:type="dxa"/>
            </w:tcMar>
            <w:vAlign w:val="center"/>
          </w:tcPr>
          <w:p w14:paraId="0545FCF0">
            <w:pPr>
              <w:widowControl/>
              <w:jc w:val="center"/>
              <w:textAlignment w:val="center"/>
              <w:rPr>
                <w:rFonts w:ascii="宋体" w:hAnsi="宋体" w:eastAsia="宋体" w:cs="宋体"/>
                <w:kern w:val="0"/>
                <w:sz w:val="18"/>
                <w:szCs w:val="18"/>
              </w:rPr>
            </w:pPr>
          </w:p>
        </w:tc>
      </w:tr>
      <w:tr w14:paraId="022B23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41A43918">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1</w:t>
            </w:r>
          </w:p>
        </w:tc>
        <w:tc>
          <w:tcPr>
            <w:tcW w:w="4068" w:type="dxa"/>
            <w:tcBorders>
              <w:tl2br w:val="nil"/>
              <w:tr2bl w:val="nil"/>
            </w:tcBorders>
            <w:shd w:val="clear" w:color="auto" w:fill="auto"/>
            <w:tcMar>
              <w:top w:w="15" w:type="dxa"/>
              <w:left w:w="15" w:type="dxa"/>
              <w:right w:w="15" w:type="dxa"/>
            </w:tcMar>
            <w:vAlign w:val="center"/>
          </w:tcPr>
          <w:p w14:paraId="2596D42D">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热镀锌导线钢管（JDG管）</w:t>
            </w:r>
          </w:p>
        </w:tc>
        <w:tc>
          <w:tcPr>
            <w:tcW w:w="1500" w:type="dxa"/>
            <w:tcBorders>
              <w:tl2br w:val="nil"/>
              <w:tr2bl w:val="nil"/>
            </w:tcBorders>
            <w:shd w:val="clear" w:color="auto" w:fill="auto"/>
            <w:tcMar>
              <w:top w:w="15" w:type="dxa"/>
              <w:left w:w="15" w:type="dxa"/>
              <w:right w:w="15" w:type="dxa"/>
            </w:tcMar>
            <w:vAlign w:val="center"/>
          </w:tcPr>
          <w:p w14:paraId="3E3C4CF1">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优耐特</w:t>
            </w:r>
          </w:p>
        </w:tc>
        <w:tc>
          <w:tcPr>
            <w:tcW w:w="1428" w:type="dxa"/>
            <w:tcBorders>
              <w:tl2br w:val="nil"/>
              <w:tr2bl w:val="nil"/>
            </w:tcBorders>
            <w:shd w:val="clear" w:color="auto" w:fill="auto"/>
            <w:tcMar>
              <w:top w:w="15" w:type="dxa"/>
              <w:left w:w="15" w:type="dxa"/>
              <w:right w:w="15" w:type="dxa"/>
            </w:tcMar>
            <w:vAlign w:val="center"/>
          </w:tcPr>
          <w:p w14:paraId="51CCEFE4">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新星</w:t>
            </w:r>
          </w:p>
        </w:tc>
        <w:tc>
          <w:tcPr>
            <w:tcW w:w="1524" w:type="dxa"/>
            <w:tcBorders>
              <w:tl2br w:val="nil"/>
              <w:tr2bl w:val="nil"/>
            </w:tcBorders>
            <w:shd w:val="clear" w:color="auto" w:fill="auto"/>
            <w:tcMar>
              <w:top w:w="15" w:type="dxa"/>
              <w:left w:w="15" w:type="dxa"/>
              <w:right w:w="15" w:type="dxa"/>
            </w:tcMar>
            <w:vAlign w:val="center"/>
          </w:tcPr>
          <w:p w14:paraId="02ECE8E9">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利制</w:t>
            </w:r>
          </w:p>
        </w:tc>
      </w:tr>
      <w:tr w14:paraId="267205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65BB37CF">
            <w:pPr>
              <w:widowControl/>
              <w:jc w:val="center"/>
              <w:textAlignment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2</w:t>
            </w:r>
          </w:p>
        </w:tc>
        <w:tc>
          <w:tcPr>
            <w:tcW w:w="4068" w:type="dxa"/>
            <w:tcBorders>
              <w:tl2br w:val="nil"/>
              <w:tr2bl w:val="nil"/>
            </w:tcBorders>
            <w:shd w:val="clear" w:color="auto" w:fill="auto"/>
            <w:tcMar>
              <w:top w:w="15" w:type="dxa"/>
              <w:left w:w="15" w:type="dxa"/>
              <w:right w:w="15" w:type="dxa"/>
            </w:tcMar>
            <w:vAlign w:val="center"/>
          </w:tcPr>
          <w:p w14:paraId="694BEA1D">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洁具</w:t>
            </w:r>
          </w:p>
        </w:tc>
        <w:tc>
          <w:tcPr>
            <w:tcW w:w="1500" w:type="dxa"/>
            <w:tcBorders>
              <w:tl2br w:val="nil"/>
              <w:tr2bl w:val="nil"/>
            </w:tcBorders>
            <w:shd w:val="clear" w:color="auto" w:fill="auto"/>
            <w:tcMar>
              <w:top w:w="15" w:type="dxa"/>
              <w:left w:w="15" w:type="dxa"/>
              <w:right w:w="15" w:type="dxa"/>
            </w:tcMar>
            <w:vAlign w:val="center"/>
          </w:tcPr>
          <w:p w14:paraId="76001F3B">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九牧</w:t>
            </w:r>
          </w:p>
        </w:tc>
        <w:tc>
          <w:tcPr>
            <w:tcW w:w="1428" w:type="dxa"/>
            <w:tcBorders>
              <w:tl2br w:val="nil"/>
              <w:tr2bl w:val="nil"/>
            </w:tcBorders>
            <w:shd w:val="clear" w:color="auto" w:fill="auto"/>
            <w:tcMar>
              <w:top w:w="15" w:type="dxa"/>
              <w:left w:w="15" w:type="dxa"/>
              <w:right w:w="15" w:type="dxa"/>
            </w:tcMar>
            <w:vAlign w:val="center"/>
          </w:tcPr>
          <w:p w14:paraId="230D546B">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箭牌</w:t>
            </w:r>
          </w:p>
        </w:tc>
        <w:tc>
          <w:tcPr>
            <w:tcW w:w="1524" w:type="dxa"/>
            <w:tcBorders>
              <w:tl2br w:val="nil"/>
              <w:tr2bl w:val="nil"/>
            </w:tcBorders>
            <w:shd w:val="clear" w:color="auto" w:fill="auto"/>
            <w:tcMar>
              <w:top w:w="15" w:type="dxa"/>
              <w:left w:w="15" w:type="dxa"/>
              <w:right w:w="15" w:type="dxa"/>
            </w:tcMar>
            <w:vAlign w:val="center"/>
          </w:tcPr>
          <w:p w14:paraId="6D68801E">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恒洁</w:t>
            </w:r>
          </w:p>
        </w:tc>
      </w:tr>
      <w:tr w14:paraId="2CB4A8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2E8C0672">
            <w:pPr>
              <w:widowControl/>
              <w:jc w:val="center"/>
              <w:textAlignment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3</w:t>
            </w:r>
          </w:p>
        </w:tc>
        <w:tc>
          <w:tcPr>
            <w:tcW w:w="4068" w:type="dxa"/>
            <w:tcBorders>
              <w:tl2br w:val="nil"/>
              <w:tr2bl w:val="nil"/>
            </w:tcBorders>
            <w:shd w:val="clear" w:color="auto" w:fill="auto"/>
            <w:tcMar>
              <w:top w:w="15" w:type="dxa"/>
              <w:left w:w="15" w:type="dxa"/>
              <w:right w:w="15" w:type="dxa"/>
            </w:tcMar>
            <w:vAlign w:val="center"/>
          </w:tcPr>
          <w:p w14:paraId="1644F358">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开关、插座</w:t>
            </w:r>
          </w:p>
        </w:tc>
        <w:tc>
          <w:tcPr>
            <w:tcW w:w="1500" w:type="dxa"/>
            <w:tcBorders>
              <w:tl2br w:val="nil"/>
              <w:tr2bl w:val="nil"/>
            </w:tcBorders>
            <w:shd w:val="clear" w:color="auto" w:fill="auto"/>
            <w:tcMar>
              <w:top w:w="15" w:type="dxa"/>
              <w:left w:w="15" w:type="dxa"/>
              <w:right w:w="15" w:type="dxa"/>
            </w:tcMar>
            <w:vAlign w:val="center"/>
          </w:tcPr>
          <w:p w14:paraId="314DE2F5">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西门子</w:t>
            </w:r>
          </w:p>
        </w:tc>
        <w:tc>
          <w:tcPr>
            <w:tcW w:w="1428" w:type="dxa"/>
            <w:tcBorders>
              <w:tl2br w:val="nil"/>
              <w:tr2bl w:val="nil"/>
            </w:tcBorders>
            <w:shd w:val="clear" w:color="auto" w:fill="auto"/>
            <w:tcMar>
              <w:top w:w="15" w:type="dxa"/>
              <w:left w:w="15" w:type="dxa"/>
              <w:right w:w="15" w:type="dxa"/>
            </w:tcMar>
            <w:vAlign w:val="center"/>
          </w:tcPr>
          <w:p w14:paraId="0C2C44B6">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ABB</w:t>
            </w:r>
          </w:p>
        </w:tc>
        <w:tc>
          <w:tcPr>
            <w:tcW w:w="1524" w:type="dxa"/>
            <w:tcBorders>
              <w:tl2br w:val="nil"/>
              <w:tr2bl w:val="nil"/>
            </w:tcBorders>
            <w:shd w:val="clear" w:color="auto" w:fill="auto"/>
            <w:tcMar>
              <w:top w:w="15" w:type="dxa"/>
              <w:left w:w="15" w:type="dxa"/>
              <w:right w:w="15" w:type="dxa"/>
            </w:tcMar>
            <w:vAlign w:val="center"/>
          </w:tcPr>
          <w:p w14:paraId="1CDD03C9">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施耐德</w:t>
            </w:r>
          </w:p>
        </w:tc>
      </w:tr>
      <w:tr w14:paraId="72625B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2DD9A009">
            <w:pPr>
              <w:widowControl/>
              <w:jc w:val="center"/>
              <w:textAlignment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4</w:t>
            </w:r>
          </w:p>
        </w:tc>
        <w:tc>
          <w:tcPr>
            <w:tcW w:w="4068" w:type="dxa"/>
            <w:tcBorders>
              <w:tl2br w:val="nil"/>
              <w:tr2bl w:val="nil"/>
            </w:tcBorders>
            <w:shd w:val="clear" w:color="auto" w:fill="auto"/>
            <w:tcMar>
              <w:top w:w="15" w:type="dxa"/>
              <w:left w:w="15" w:type="dxa"/>
              <w:right w:w="15" w:type="dxa"/>
            </w:tcMar>
            <w:vAlign w:val="center"/>
          </w:tcPr>
          <w:p w14:paraId="60B0F3B9">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灯具</w:t>
            </w:r>
          </w:p>
        </w:tc>
        <w:tc>
          <w:tcPr>
            <w:tcW w:w="1500" w:type="dxa"/>
            <w:tcBorders>
              <w:tl2br w:val="nil"/>
              <w:tr2bl w:val="nil"/>
            </w:tcBorders>
            <w:shd w:val="clear" w:color="auto" w:fill="auto"/>
            <w:tcMar>
              <w:top w:w="15" w:type="dxa"/>
              <w:left w:w="15" w:type="dxa"/>
              <w:right w:w="15" w:type="dxa"/>
            </w:tcMar>
            <w:vAlign w:val="center"/>
          </w:tcPr>
          <w:p w14:paraId="6F378DB0">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雷士</w:t>
            </w:r>
          </w:p>
        </w:tc>
        <w:tc>
          <w:tcPr>
            <w:tcW w:w="1428" w:type="dxa"/>
            <w:tcBorders>
              <w:tl2br w:val="nil"/>
              <w:tr2bl w:val="nil"/>
            </w:tcBorders>
            <w:shd w:val="clear" w:color="auto" w:fill="auto"/>
            <w:tcMar>
              <w:top w:w="15" w:type="dxa"/>
              <w:left w:w="15" w:type="dxa"/>
              <w:right w:w="15" w:type="dxa"/>
            </w:tcMar>
            <w:vAlign w:val="center"/>
          </w:tcPr>
          <w:p w14:paraId="21AE4471">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欧普</w:t>
            </w:r>
          </w:p>
        </w:tc>
        <w:tc>
          <w:tcPr>
            <w:tcW w:w="1524" w:type="dxa"/>
            <w:tcBorders>
              <w:tl2br w:val="nil"/>
              <w:tr2bl w:val="nil"/>
            </w:tcBorders>
            <w:shd w:val="clear" w:color="auto" w:fill="auto"/>
            <w:tcMar>
              <w:top w:w="15" w:type="dxa"/>
              <w:left w:w="15" w:type="dxa"/>
              <w:right w:w="15" w:type="dxa"/>
            </w:tcMar>
            <w:vAlign w:val="center"/>
          </w:tcPr>
          <w:p w14:paraId="16271AC4">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飞利浦</w:t>
            </w:r>
          </w:p>
        </w:tc>
      </w:tr>
      <w:tr w14:paraId="7C3C2F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4" w:hRule="atLeast"/>
        </w:trPr>
        <w:tc>
          <w:tcPr>
            <w:tcW w:w="780" w:type="dxa"/>
            <w:tcBorders>
              <w:tl2br w:val="nil"/>
              <w:tr2bl w:val="nil"/>
            </w:tcBorders>
            <w:shd w:val="clear" w:color="auto" w:fill="auto"/>
            <w:tcMar>
              <w:top w:w="15" w:type="dxa"/>
              <w:left w:w="15" w:type="dxa"/>
              <w:right w:w="15" w:type="dxa"/>
            </w:tcMar>
            <w:vAlign w:val="center"/>
          </w:tcPr>
          <w:p w14:paraId="025B7A00">
            <w:pPr>
              <w:widowControl/>
              <w:jc w:val="center"/>
              <w:textAlignment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5</w:t>
            </w:r>
          </w:p>
        </w:tc>
        <w:tc>
          <w:tcPr>
            <w:tcW w:w="4068" w:type="dxa"/>
            <w:tcBorders>
              <w:tl2br w:val="nil"/>
              <w:tr2bl w:val="nil"/>
            </w:tcBorders>
            <w:shd w:val="clear" w:color="auto" w:fill="auto"/>
            <w:tcMar>
              <w:top w:w="15" w:type="dxa"/>
              <w:left w:w="15" w:type="dxa"/>
              <w:right w:w="15" w:type="dxa"/>
            </w:tcMar>
            <w:vAlign w:val="center"/>
          </w:tcPr>
          <w:p w14:paraId="2D35AD9D">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电线、电缆</w:t>
            </w:r>
          </w:p>
        </w:tc>
        <w:tc>
          <w:tcPr>
            <w:tcW w:w="1500" w:type="dxa"/>
            <w:tcBorders>
              <w:tl2br w:val="nil"/>
              <w:tr2bl w:val="nil"/>
            </w:tcBorders>
            <w:shd w:val="clear" w:color="auto" w:fill="auto"/>
            <w:tcMar>
              <w:top w:w="15" w:type="dxa"/>
              <w:left w:w="15" w:type="dxa"/>
              <w:right w:w="15" w:type="dxa"/>
            </w:tcMar>
            <w:vAlign w:val="center"/>
          </w:tcPr>
          <w:p w14:paraId="71FF7076">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远东</w:t>
            </w:r>
          </w:p>
        </w:tc>
        <w:tc>
          <w:tcPr>
            <w:tcW w:w="1428" w:type="dxa"/>
            <w:tcBorders>
              <w:tl2br w:val="nil"/>
              <w:tr2bl w:val="nil"/>
            </w:tcBorders>
            <w:shd w:val="clear" w:color="auto" w:fill="auto"/>
            <w:tcMar>
              <w:top w:w="15" w:type="dxa"/>
              <w:left w:w="15" w:type="dxa"/>
              <w:right w:w="15" w:type="dxa"/>
            </w:tcMar>
            <w:vAlign w:val="center"/>
          </w:tcPr>
          <w:p w14:paraId="5BA38136">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江南</w:t>
            </w:r>
          </w:p>
        </w:tc>
        <w:tc>
          <w:tcPr>
            <w:tcW w:w="1524" w:type="dxa"/>
            <w:tcBorders>
              <w:tl2br w:val="nil"/>
              <w:tr2bl w:val="nil"/>
            </w:tcBorders>
            <w:shd w:val="clear" w:color="auto" w:fill="auto"/>
            <w:tcMar>
              <w:top w:w="15" w:type="dxa"/>
              <w:left w:w="15" w:type="dxa"/>
              <w:right w:w="15" w:type="dxa"/>
            </w:tcMar>
            <w:vAlign w:val="center"/>
          </w:tcPr>
          <w:p w14:paraId="461CC6EB">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上上</w:t>
            </w:r>
          </w:p>
        </w:tc>
      </w:tr>
      <w:tr w14:paraId="40ABDF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7F642A41">
            <w:pPr>
              <w:widowControl/>
              <w:jc w:val="center"/>
              <w:textAlignment w:val="center"/>
              <w:rPr>
                <w:rFonts w:hint="eastAsia" w:ascii="宋体" w:hAnsi="宋体" w:eastAsia="宋体" w:cs="宋体"/>
                <w:kern w:val="0"/>
                <w:sz w:val="18"/>
                <w:szCs w:val="18"/>
                <w:lang w:eastAsia="zh-CN"/>
              </w:rPr>
            </w:pPr>
            <w:r>
              <w:rPr>
                <w:rFonts w:hint="eastAsia" w:ascii="宋体" w:hAnsi="宋体" w:cs="宋体"/>
                <w:kern w:val="0"/>
                <w:sz w:val="18"/>
                <w:szCs w:val="18"/>
                <w:lang w:val="en-US" w:eastAsia="zh-CN"/>
              </w:rPr>
              <w:t>6</w:t>
            </w:r>
          </w:p>
        </w:tc>
        <w:tc>
          <w:tcPr>
            <w:tcW w:w="4068" w:type="dxa"/>
            <w:tcBorders>
              <w:tl2br w:val="nil"/>
              <w:tr2bl w:val="nil"/>
            </w:tcBorders>
            <w:shd w:val="clear" w:color="auto" w:fill="auto"/>
            <w:tcMar>
              <w:top w:w="15" w:type="dxa"/>
              <w:left w:w="15" w:type="dxa"/>
              <w:right w:w="15" w:type="dxa"/>
            </w:tcMar>
            <w:vAlign w:val="center"/>
          </w:tcPr>
          <w:p w14:paraId="1673B569">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配电箱电气元件</w:t>
            </w:r>
          </w:p>
        </w:tc>
        <w:tc>
          <w:tcPr>
            <w:tcW w:w="1500" w:type="dxa"/>
            <w:tcBorders>
              <w:tl2br w:val="nil"/>
              <w:tr2bl w:val="nil"/>
            </w:tcBorders>
            <w:shd w:val="clear" w:color="auto" w:fill="auto"/>
            <w:tcMar>
              <w:top w:w="15" w:type="dxa"/>
              <w:left w:w="15" w:type="dxa"/>
              <w:right w:w="15" w:type="dxa"/>
            </w:tcMar>
            <w:vAlign w:val="center"/>
          </w:tcPr>
          <w:p w14:paraId="32F49E8E">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ABB</w:t>
            </w:r>
          </w:p>
        </w:tc>
        <w:tc>
          <w:tcPr>
            <w:tcW w:w="1428" w:type="dxa"/>
            <w:tcBorders>
              <w:tl2br w:val="nil"/>
              <w:tr2bl w:val="nil"/>
            </w:tcBorders>
            <w:shd w:val="clear" w:color="auto" w:fill="auto"/>
            <w:tcMar>
              <w:top w:w="15" w:type="dxa"/>
              <w:left w:w="15" w:type="dxa"/>
              <w:right w:w="15" w:type="dxa"/>
            </w:tcMar>
            <w:vAlign w:val="center"/>
          </w:tcPr>
          <w:p w14:paraId="42CB1426">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施耐德</w:t>
            </w:r>
          </w:p>
        </w:tc>
        <w:tc>
          <w:tcPr>
            <w:tcW w:w="1524" w:type="dxa"/>
            <w:tcBorders>
              <w:tl2br w:val="nil"/>
              <w:tr2bl w:val="nil"/>
            </w:tcBorders>
            <w:shd w:val="clear" w:color="auto" w:fill="auto"/>
            <w:tcMar>
              <w:top w:w="15" w:type="dxa"/>
              <w:left w:w="15" w:type="dxa"/>
              <w:right w:w="15" w:type="dxa"/>
            </w:tcMar>
            <w:vAlign w:val="center"/>
          </w:tcPr>
          <w:p w14:paraId="6B7EF8F1">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西门子</w:t>
            </w:r>
          </w:p>
        </w:tc>
      </w:tr>
      <w:tr w14:paraId="0FB370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780" w:type="dxa"/>
            <w:tcBorders>
              <w:tl2br w:val="nil"/>
              <w:tr2bl w:val="nil"/>
            </w:tcBorders>
            <w:shd w:val="clear" w:color="auto" w:fill="auto"/>
            <w:tcMar>
              <w:top w:w="15" w:type="dxa"/>
              <w:left w:w="15" w:type="dxa"/>
              <w:right w:w="15" w:type="dxa"/>
            </w:tcMar>
            <w:vAlign w:val="center"/>
          </w:tcPr>
          <w:p w14:paraId="46E3472B">
            <w:pPr>
              <w:widowControl/>
              <w:jc w:val="center"/>
              <w:textAlignment w:val="center"/>
              <w:rPr>
                <w:rFonts w:hint="default" w:ascii="宋体" w:hAnsi="宋体" w:eastAsia="宋体" w:cs="宋体"/>
                <w:kern w:val="0"/>
                <w:sz w:val="18"/>
                <w:szCs w:val="18"/>
                <w:lang w:val="en-US" w:eastAsia="zh-CN"/>
              </w:rPr>
            </w:pPr>
            <w:r>
              <w:rPr>
                <w:rFonts w:hint="eastAsia" w:ascii="宋体" w:hAnsi="宋体" w:cs="宋体"/>
                <w:kern w:val="0"/>
                <w:sz w:val="18"/>
                <w:szCs w:val="18"/>
                <w:lang w:val="en-US" w:eastAsia="zh-CN"/>
              </w:rPr>
              <w:t>7</w:t>
            </w:r>
          </w:p>
        </w:tc>
        <w:tc>
          <w:tcPr>
            <w:tcW w:w="4068" w:type="dxa"/>
            <w:tcBorders>
              <w:tl2br w:val="nil"/>
              <w:tr2bl w:val="nil"/>
            </w:tcBorders>
            <w:shd w:val="clear" w:color="auto" w:fill="auto"/>
            <w:tcMar>
              <w:top w:w="15" w:type="dxa"/>
              <w:left w:w="15" w:type="dxa"/>
              <w:right w:w="15" w:type="dxa"/>
            </w:tcMar>
            <w:vAlign w:val="center"/>
          </w:tcPr>
          <w:p w14:paraId="6D02EA41">
            <w:pPr>
              <w:widowControl/>
              <w:jc w:val="left"/>
              <w:textAlignment w:val="center"/>
              <w:rPr>
                <w:rFonts w:ascii="宋体" w:hAnsi="宋体" w:eastAsia="宋体" w:cs="宋体"/>
                <w:kern w:val="0"/>
                <w:sz w:val="18"/>
                <w:szCs w:val="18"/>
              </w:rPr>
            </w:pPr>
            <w:r>
              <w:rPr>
                <w:rFonts w:hint="eastAsia" w:ascii="宋体" w:hAnsi="宋体" w:eastAsia="宋体" w:cs="宋体"/>
                <w:kern w:val="0"/>
                <w:sz w:val="18"/>
                <w:szCs w:val="18"/>
              </w:rPr>
              <w:t>空调</w:t>
            </w:r>
          </w:p>
        </w:tc>
        <w:tc>
          <w:tcPr>
            <w:tcW w:w="1500" w:type="dxa"/>
            <w:tcBorders>
              <w:tl2br w:val="nil"/>
              <w:tr2bl w:val="nil"/>
            </w:tcBorders>
            <w:shd w:val="clear" w:color="auto" w:fill="auto"/>
            <w:tcMar>
              <w:top w:w="15" w:type="dxa"/>
              <w:left w:w="15" w:type="dxa"/>
              <w:right w:w="15" w:type="dxa"/>
            </w:tcMar>
            <w:vAlign w:val="center"/>
          </w:tcPr>
          <w:p w14:paraId="2CBB981D">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美的</w:t>
            </w:r>
          </w:p>
        </w:tc>
        <w:tc>
          <w:tcPr>
            <w:tcW w:w="1428" w:type="dxa"/>
            <w:tcBorders>
              <w:tl2br w:val="nil"/>
              <w:tr2bl w:val="nil"/>
            </w:tcBorders>
            <w:shd w:val="clear" w:color="auto" w:fill="auto"/>
            <w:tcMar>
              <w:top w:w="15" w:type="dxa"/>
              <w:left w:w="15" w:type="dxa"/>
              <w:right w:w="15" w:type="dxa"/>
            </w:tcMar>
            <w:vAlign w:val="center"/>
          </w:tcPr>
          <w:p w14:paraId="27FBF65A">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海尔</w:t>
            </w:r>
          </w:p>
        </w:tc>
        <w:tc>
          <w:tcPr>
            <w:tcW w:w="1524" w:type="dxa"/>
            <w:tcBorders>
              <w:tl2br w:val="nil"/>
              <w:tr2bl w:val="nil"/>
            </w:tcBorders>
            <w:shd w:val="clear" w:color="auto" w:fill="auto"/>
            <w:tcMar>
              <w:top w:w="15" w:type="dxa"/>
              <w:left w:w="15" w:type="dxa"/>
              <w:right w:w="15" w:type="dxa"/>
            </w:tcMar>
            <w:vAlign w:val="center"/>
          </w:tcPr>
          <w:p w14:paraId="4ED90B66">
            <w:pPr>
              <w:widowControl/>
              <w:jc w:val="center"/>
              <w:textAlignment w:val="center"/>
              <w:rPr>
                <w:rFonts w:ascii="宋体" w:hAnsi="宋体" w:eastAsia="宋体" w:cs="宋体"/>
                <w:kern w:val="0"/>
                <w:sz w:val="18"/>
                <w:szCs w:val="18"/>
              </w:rPr>
            </w:pPr>
            <w:r>
              <w:rPr>
                <w:rFonts w:hint="eastAsia" w:ascii="宋体" w:hAnsi="宋体" w:eastAsia="宋体" w:cs="宋体"/>
                <w:kern w:val="0"/>
                <w:sz w:val="18"/>
                <w:szCs w:val="18"/>
              </w:rPr>
              <w:t>格力</w:t>
            </w:r>
          </w:p>
        </w:tc>
      </w:tr>
    </w:tbl>
    <w:p w14:paraId="3B0C67B6">
      <w:pPr>
        <w:widowControl/>
        <w:jc w:val="left"/>
        <w:rPr>
          <w:rFonts w:hint="eastAsia" w:ascii="宋体" w:hAnsi="宋体" w:eastAsia="宋体" w:cs="Courier New"/>
          <w:b/>
          <w:kern w:val="2"/>
          <w:sz w:val="21"/>
          <w:szCs w:val="21"/>
          <w:lang w:val="en-US" w:eastAsia="zh-CN" w:bidi="ar-SA"/>
        </w:rPr>
      </w:pPr>
      <w:r>
        <w:rPr>
          <w:rFonts w:hint="eastAsia" w:ascii="宋体" w:hAnsi="宋体" w:eastAsia="宋体" w:cs="Courier New"/>
          <w:b/>
          <w:kern w:val="2"/>
          <w:sz w:val="21"/>
          <w:szCs w:val="21"/>
          <w:lang w:val="en-US" w:eastAsia="zh-CN" w:bidi="ar-SA"/>
        </w:rPr>
        <w:t>注：1、所有投标人必须承诺施工时使用招标人提供的《主要材料品牌参考表》中明确的材料品牌型号，并合同履行过程中进行选择确定。投标人应按招标文件要求的格式提供《施工时使用材料品牌型号承诺书》，否则视为未能实质性响应招标文件，作为无效投标文件处理。2、中标单位采购的所有材料必须符合设计图纸、技术规格书及相关规定的要求，如发现中标单位所采购材料不符合要求，甲方可要求中标单位更换直至符合要求为止，最终采购品牌需经业主确认同意后方可进行采购。3、其它未标明的品牌按中等以上品牌考虑。4、如果此品牌表为建议首选材料品牌范围，采购时遇到特殊情况，经业主方同意，可以采用同档次品牌替代。</w:t>
      </w:r>
    </w:p>
    <w:p w14:paraId="5DDAE1DA">
      <w:pPr>
        <w:numPr>
          <w:ilvl w:val="0"/>
          <w:numId w:val="1"/>
        </w:numPr>
        <w:snapToGrid w:val="0"/>
        <w:spacing w:line="440" w:lineRule="atLeast"/>
        <w:rPr>
          <w:rFonts w:hint="eastAsia" w:ascii="宋体" w:hAnsi="宋体" w:cs="宋体"/>
          <w:b/>
          <w:color w:val="auto"/>
          <w:sz w:val="24"/>
          <w:lang w:val="zh-CN"/>
        </w:rPr>
      </w:pPr>
      <w:r>
        <w:rPr>
          <w:rFonts w:hint="eastAsia" w:ascii="宋体" w:hAnsi="宋体" w:cs="宋体"/>
          <w:b/>
          <w:color w:val="auto"/>
          <w:sz w:val="24"/>
          <w:lang w:val="zh-CN"/>
        </w:rPr>
        <w:t>暂估价明细表（投标单位报价时不得变动让利）：</w:t>
      </w:r>
    </w:p>
    <w:p w14:paraId="131305F3">
      <w:pPr>
        <w:pStyle w:val="16"/>
        <w:snapToGrid w:val="0"/>
        <w:spacing w:line="440" w:lineRule="atLeast"/>
        <w:ind w:left="425" w:firstLine="0" w:firstLineChars="0"/>
        <w:rPr>
          <w:rFonts w:hint="eastAsia" w:ascii="宋体" w:hAnsi="宋体" w:cs="宋体"/>
          <w:b/>
          <w:color w:val="auto"/>
          <w:szCs w:val="21"/>
        </w:rPr>
      </w:pPr>
      <w:r>
        <w:rPr>
          <w:rFonts w:hint="eastAsia" w:ascii="宋体" w:hAnsi="宋体" w:cs="宋体"/>
          <w:b/>
          <w:color w:val="auto"/>
          <w:szCs w:val="21"/>
        </w:rPr>
        <w:t>1、暂列金额明细表：</w:t>
      </w:r>
    </w:p>
    <w:tbl>
      <w:tblPr>
        <w:tblStyle w:val="10"/>
        <w:tblW w:w="9300" w:type="dxa"/>
        <w:tblInd w:w="38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95"/>
        <w:gridCol w:w="3988"/>
        <w:gridCol w:w="1235"/>
        <w:gridCol w:w="1945"/>
        <w:gridCol w:w="1337"/>
      </w:tblGrid>
      <w:tr w14:paraId="200AC3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390" w:hRule="atLeast"/>
        </w:trPr>
        <w:tc>
          <w:tcPr>
            <w:tcW w:w="795" w:type="dxa"/>
            <w:tcBorders>
              <w:tl2br w:val="nil"/>
              <w:tr2bl w:val="nil"/>
            </w:tcBorders>
            <w:vAlign w:val="center"/>
          </w:tcPr>
          <w:p w14:paraId="66FB83D9">
            <w:pPr>
              <w:autoSpaceDE w:val="0"/>
              <w:autoSpaceDN w:val="0"/>
              <w:jc w:val="center"/>
              <w:rPr>
                <w:rFonts w:ascii="宋体" w:hAnsi="宋体" w:cs="宋体"/>
                <w:color w:val="auto"/>
              </w:rPr>
            </w:pPr>
            <w:r>
              <w:rPr>
                <w:rFonts w:hint="eastAsia" w:ascii="宋体" w:hAnsi="宋体" w:cs="宋体"/>
                <w:color w:val="auto"/>
              </w:rPr>
              <w:t>序号</w:t>
            </w:r>
          </w:p>
        </w:tc>
        <w:tc>
          <w:tcPr>
            <w:tcW w:w="3988" w:type="dxa"/>
            <w:tcBorders>
              <w:tl2br w:val="nil"/>
              <w:tr2bl w:val="nil"/>
            </w:tcBorders>
            <w:vAlign w:val="center"/>
          </w:tcPr>
          <w:p w14:paraId="42E2DCD8">
            <w:pPr>
              <w:autoSpaceDE w:val="0"/>
              <w:autoSpaceDN w:val="0"/>
              <w:jc w:val="center"/>
              <w:rPr>
                <w:rFonts w:ascii="宋体" w:hAnsi="宋体" w:cs="宋体"/>
                <w:color w:val="auto"/>
              </w:rPr>
            </w:pPr>
            <w:r>
              <w:rPr>
                <w:rFonts w:hint="eastAsia" w:ascii="宋体" w:hAnsi="宋体" w:cs="宋体"/>
                <w:color w:val="auto"/>
              </w:rPr>
              <w:t>项目名称</w:t>
            </w:r>
          </w:p>
        </w:tc>
        <w:tc>
          <w:tcPr>
            <w:tcW w:w="1235" w:type="dxa"/>
            <w:tcBorders>
              <w:tl2br w:val="nil"/>
              <w:tr2bl w:val="nil"/>
            </w:tcBorders>
            <w:vAlign w:val="center"/>
          </w:tcPr>
          <w:p w14:paraId="733E951C">
            <w:pPr>
              <w:autoSpaceDE w:val="0"/>
              <w:autoSpaceDN w:val="0"/>
              <w:jc w:val="center"/>
              <w:rPr>
                <w:rFonts w:ascii="宋体" w:hAnsi="宋体" w:cs="宋体"/>
                <w:color w:val="auto"/>
              </w:rPr>
            </w:pPr>
            <w:r>
              <w:rPr>
                <w:rFonts w:hint="eastAsia" w:ascii="宋体" w:hAnsi="宋体" w:cs="宋体"/>
                <w:color w:val="auto"/>
              </w:rPr>
              <w:t>计量单位</w:t>
            </w:r>
          </w:p>
        </w:tc>
        <w:tc>
          <w:tcPr>
            <w:tcW w:w="1945" w:type="dxa"/>
            <w:tcBorders>
              <w:tl2br w:val="nil"/>
              <w:tr2bl w:val="nil"/>
            </w:tcBorders>
            <w:vAlign w:val="center"/>
          </w:tcPr>
          <w:p w14:paraId="5C2D33B0">
            <w:pPr>
              <w:autoSpaceDE w:val="0"/>
              <w:autoSpaceDN w:val="0"/>
              <w:jc w:val="center"/>
              <w:rPr>
                <w:rFonts w:ascii="宋体" w:hAnsi="宋体" w:cs="宋体"/>
                <w:color w:val="auto"/>
              </w:rPr>
            </w:pPr>
            <w:r>
              <w:rPr>
                <w:rFonts w:hint="eastAsia" w:ascii="宋体" w:hAnsi="宋体" w:cs="宋体"/>
                <w:color w:val="auto"/>
              </w:rPr>
              <w:t>暂定金额（元）</w:t>
            </w:r>
          </w:p>
        </w:tc>
        <w:tc>
          <w:tcPr>
            <w:tcW w:w="1337" w:type="dxa"/>
            <w:tcBorders>
              <w:tl2br w:val="nil"/>
              <w:tr2bl w:val="nil"/>
            </w:tcBorders>
            <w:vAlign w:val="center"/>
          </w:tcPr>
          <w:p w14:paraId="71064535">
            <w:pPr>
              <w:autoSpaceDE w:val="0"/>
              <w:autoSpaceDN w:val="0"/>
              <w:jc w:val="center"/>
              <w:rPr>
                <w:rFonts w:ascii="宋体" w:hAnsi="宋体" w:cs="宋体"/>
                <w:color w:val="auto"/>
              </w:rPr>
            </w:pPr>
            <w:r>
              <w:rPr>
                <w:rFonts w:hint="eastAsia" w:ascii="宋体" w:hAnsi="宋体" w:cs="宋体"/>
                <w:color w:val="auto"/>
              </w:rPr>
              <w:t>备注</w:t>
            </w:r>
          </w:p>
        </w:tc>
      </w:tr>
      <w:tr w14:paraId="2C220D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795" w:type="dxa"/>
            <w:tcBorders>
              <w:tl2br w:val="nil"/>
              <w:tr2bl w:val="nil"/>
            </w:tcBorders>
            <w:vAlign w:val="center"/>
          </w:tcPr>
          <w:p w14:paraId="656E04F7">
            <w:pPr>
              <w:autoSpaceDE w:val="0"/>
              <w:autoSpaceDN w:val="0"/>
              <w:ind w:firstLine="210" w:firstLineChars="100"/>
              <w:rPr>
                <w:rFonts w:ascii="宋体" w:hAnsi="宋体" w:cs="宋体"/>
                <w:color w:val="auto"/>
              </w:rPr>
            </w:pPr>
            <w:r>
              <w:rPr>
                <w:rFonts w:hint="eastAsia" w:ascii="宋体" w:hAnsi="宋体" w:cs="宋体"/>
                <w:color w:val="auto"/>
              </w:rPr>
              <w:t>1</w:t>
            </w:r>
          </w:p>
        </w:tc>
        <w:tc>
          <w:tcPr>
            <w:tcW w:w="3988" w:type="dxa"/>
            <w:tcBorders>
              <w:tl2br w:val="nil"/>
              <w:tr2bl w:val="nil"/>
            </w:tcBorders>
            <w:vAlign w:val="center"/>
          </w:tcPr>
          <w:p w14:paraId="5B778A4A">
            <w:pPr>
              <w:autoSpaceDE w:val="0"/>
              <w:autoSpaceDN w:val="0"/>
              <w:jc w:val="left"/>
              <w:rPr>
                <w:rFonts w:ascii="宋体" w:hAnsi="宋体" w:cs="宋体"/>
                <w:color w:val="auto"/>
              </w:rPr>
            </w:pPr>
            <w:r>
              <w:rPr>
                <w:rFonts w:hint="eastAsia" w:ascii="宋体" w:hAnsi="宋体" w:cs="宋体"/>
                <w:color w:val="auto"/>
              </w:rPr>
              <w:t>工程量清单中工程量偏差和设计变更</w:t>
            </w:r>
          </w:p>
        </w:tc>
        <w:tc>
          <w:tcPr>
            <w:tcW w:w="1235" w:type="dxa"/>
            <w:tcBorders>
              <w:tl2br w:val="nil"/>
              <w:tr2bl w:val="nil"/>
            </w:tcBorders>
            <w:vAlign w:val="center"/>
          </w:tcPr>
          <w:p w14:paraId="0A631EE4">
            <w:pPr>
              <w:autoSpaceDE w:val="0"/>
              <w:autoSpaceDN w:val="0"/>
              <w:jc w:val="center"/>
              <w:rPr>
                <w:rFonts w:ascii="宋体" w:hAnsi="宋体" w:cs="宋体"/>
                <w:color w:val="auto"/>
              </w:rPr>
            </w:pPr>
            <w:r>
              <w:rPr>
                <w:rFonts w:hint="eastAsia" w:ascii="宋体" w:hAnsi="宋体" w:cs="宋体"/>
                <w:color w:val="auto"/>
              </w:rPr>
              <w:t>项</w:t>
            </w:r>
          </w:p>
        </w:tc>
        <w:tc>
          <w:tcPr>
            <w:tcW w:w="1945" w:type="dxa"/>
            <w:tcBorders>
              <w:tl2br w:val="nil"/>
              <w:tr2bl w:val="nil"/>
            </w:tcBorders>
            <w:vAlign w:val="center"/>
          </w:tcPr>
          <w:p w14:paraId="053EDDDD">
            <w:pPr>
              <w:autoSpaceDE w:val="0"/>
              <w:autoSpaceDN w:val="0"/>
              <w:jc w:val="center"/>
              <w:rPr>
                <w:rFonts w:ascii="宋体" w:hAnsi="宋体" w:cs="宋体"/>
                <w:color w:val="auto"/>
              </w:rPr>
            </w:pPr>
          </w:p>
        </w:tc>
        <w:tc>
          <w:tcPr>
            <w:tcW w:w="1337" w:type="dxa"/>
            <w:tcBorders>
              <w:tl2br w:val="nil"/>
              <w:tr2bl w:val="nil"/>
            </w:tcBorders>
            <w:vAlign w:val="center"/>
          </w:tcPr>
          <w:p w14:paraId="45FBD1FA">
            <w:pPr>
              <w:autoSpaceDE w:val="0"/>
              <w:autoSpaceDN w:val="0"/>
              <w:jc w:val="center"/>
              <w:rPr>
                <w:rFonts w:ascii="宋体" w:hAnsi="宋体" w:cs="宋体"/>
                <w:color w:val="auto"/>
              </w:rPr>
            </w:pPr>
          </w:p>
        </w:tc>
      </w:tr>
      <w:tr w14:paraId="31D581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795" w:type="dxa"/>
            <w:tcBorders>
              <w:tl2br w:val="nil"/>
              <w:tr2bl w:val="nil"/>
            </w:tcBorders>
            <w:vAlign w:val="center"/>
          </w:tcPr>
          <w:p w14:paraId="6568FE80">
            <w:pPr>
              <w:autoSpaceDE w:val="0"/>
              <w:autoSpaceDN w:val="0"/>
              <w:ind w:firstLine="210" w:firstLineChars="100"/>
              <w:rPr>
                <w:rFonts w:ascii="宋体" w:hAnsi="宋体" w:cs="宋体"/>
                <w:color w:val="auto"/>
              </w:rPr>
            </w:pPr>
            <w:r>
              <w:rPr>
                <w:rFonts w:hint="eastAsia" w:ascii="宋体" w:hAnsi="宋体" w:cs="宋体"/>
                <w:color w:val="auto"/>
              </w:rPr>
              <w:t>2</w:t>
            </w:r>
          </w:p>
        </w:tc>
        <w:tc>
          <w:tcPr>
            <w:tcW w:w="3988" w:type="dxa"/>
            <w:tcBorders>
              <w:tl2br w:val="nil"/>
              <w:tr2bl w:val="nil"/>
            </w:tcBorders>
            <w:vAlign w:val="center"/>
          </w:tcPr>
          <w:p w14:paraId="557C33D9">
            <w:pPr>
              <w:autoSpaceDE w:val="0"/>
              <w:autoSpaceDN w:val="0"/>
              <w:jc w:val="left"/>
              <w:rPr>
                <w:rFonts w:ascii="宋体" w:hAnsi="宋体" w:cs="宋体"/>
                <w:color w:val="auto"/>
              </w:rPr>
            </w:pPr>
            <w:r>
              <w:rPr>
                <w:rFonts w:hint="eastAsia" w:ascii="宋体" w:hAnsi="宋体" w:cs="宋体"/>
                <w:color w:val="auto"/>
              </w:rPr>
              <w:t>政策性调整和材料价格风险</w:t>
            </w:r>
          </w:p>
        </w:tc>
        <w:tc>
          <w:tcPr>
            <w:tcW w:w="1235" w:type="dxa"/>
            <w:tcBorders>
              <w:tl2br w:val="nil"/>
              <w:tr2bl w:val="nil"/>
            </w:tcBorders>
            <w:vAlign w:val="center"/>
          </w:tcPr>
          <w:p w14:paraId="380C4391">
            <w:pPr>
              <w:autoSpaceDE w:val="0"/>
              <w:autoSpaceDN w:val="0"/>
              <w:jc w:val="center"/>
              <w:rPr>
                <w:rFonts w:ascii="宋体" w:hAnsi="宋体" w:cs="宋体"/>
                <w:color w:val="auto"/>
              </w:rPr>
            </w:pPr>
            <w:r>
              <w:rPr>
                <w:rFonts w:hint="eastAsia" w:ascii="宋体" w:hAnsi="宋体" w:cs="宋体"/>
                <w:color w:val="auto"/>
              </w:rPr>
              <w:t>项</w:t>
            </w:r>
          </w:p>
        </w:tc>
        <w:tc>
          <w:tcPr>
            <w:tcW w:w="1945" w:type="dxa"/>
            <w:tcBorders>
              <w:tl2br w:val="nil"/>
              <w:tr2bl w:val="nil"/>
            </w:tcBorders>
            <w:vAlign w:val="center"/>
          </w:tcPr>
          <w:p w14:paraId="7CAE35EF">
            <w:pPr>
              <w:autoSpaceDE w:val="0"/>
              <w:autoSpaceDN w:val="0"/>
              <w:jc w:val="center"/>
              <w:rPr>
                <w:rFonts w:ascii="宋体" w:hAnsi="宋体" w:cs="宋体"/>
                <w:color w:val="auto"/>
              </w:rPr>
            </w:pPr>
          </w:p>
        </w:tc>
        <w:tc>
          <w:tcPr>
            <w:tcW w:w="1337" w:type="dxa"/>
            <w:tcBorders>
              <w:tl2br w:val="nil"/>
              <w:tr2bl w:val="nil"/>
            </w:tcBorders>
            <w:vAlign w:val="center"/>
          </w:tcPr>
          <w:p w14:paraId="1F19BA7F">
            <w:pPr>
              <w:autoSpaceDE w:val="0"/>
              <w:autoSpaceDN w:val="0"/>
              <w:jc w:val="center"/>
              <w:rPr>
                <w:rFonts w:ascii="宋体" w:hAnsi="宋体" w:cs="宋体"/>
                <w:color w:val="auto"/>
              </w:rPr>
            </w:pPr>
          </w:p>
        </w:tc>
      </w:tr>
      <w:tr w14:paraId="72C78E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795" w:type="dxa"/>
            <w:tcBorders>
              <w:tl2br w:val="nil"/>
              <w:tr2bl w:val="nil"/>
            </w:tcBorders>
            <w:vAlign w:val="center"/>
          </w:tcPr>
          <w:p w14:paraId="64AD19CC">
            <w:pPr>
              <w:autoSpaceDE w:val="0"/>
              <w:autoSpaceDN w:val="0"/>
              <w:ind w:firstLine="210" w:firstLineChars="100"/>
              <w:rPr>
                <w:rFonts w:ascii="宋体" w:hAnsi="宋体" w:cs="宋体"/>
                <w:color w:val="auto"/>
              </w:rPr>
            </w:pPr>
            <w:r>
              <w:rPr>
                <w:rFonts w:hint="eastAsia" w:ascii="宋体" w:hAnsi="宋体" w:cs="宋体"/>
                <w:color w:val="auto"/>
              </w:rPr>
              <w:t>3</w:t>
            </w:r>
          </w:p>
        </w:tc>
        <w:tc>
          <w:tcPr>
            <w:tcW w:w="3988" w:type="dxa"/>
            <w:tcBorders>
              <w:tl2br w:val="nil"/>
              <w:tr2bl w:val="nil"/>
            </w:tcBorders>
            <w:vAlign w:val="center"/>
          </w:tcPr>
          <w:p w14:paraId="43172E05">
            <w:pPr>
              <w:autoSpaceDE w:val="0"/>
              <w:autoSpaceDN w:val="0"/>
              <w:jc w:val="left"/>
              <w:rPr>
                <w:rFonts w:ascii="宋体" w:hAnsi="宋体" w:cs="宋体"/>
                <w:color w:val="auto"/>
              </w:rPr>
            </w:pPr>
            <w:r>
              <w:rPr>
                <w:rFonts w:hint="eastAsia" w:ascii="宋体" w:hAnsi="宋体" w:cs="宋体"/>
                <w:color w:val="auto"/>
              </w:rPr>
              <w:t>预留金</w:t>
            </w:r>
          </w:p>
        </w:tc>
        <w:tc>
          <w:tcPr>
            <w:tcW w:w="1235" w:type="dxa"/>
            <w:tcBorders>
              <w:tl2br w:val="nil"/>
              <w:tr2bl w:val="nil"/>
            </w:tcBorders>
            <w:vAlign w:val="center"/>
          </w:tcPr>
          <w:p w14:paraId="77C3AE97">
            <w:pPr>
              <w:autoSpaceDE w:val="0"/>
              <w:autoSpaceDN w:val="0"/>
              <w:jc w:val="center"/>
              <w:rPr>
                <w:rFonts w:ascii="宋体" w:hAnsi="宋体" w:cs="宋体"/>
                <w:color w:val="auto"/>
              </w:rPr>
            </w:pPr>
            <w:r>
              <w:rPr>
                <w:rFonts w:hint="eastAsia" w:ascii="宋体" w:hAnsi="宋体" w:cs="宋体"/>
                <w:color w:val="auto"/>
              </w:rPr>
              <w:t>项</w:t>
            </w:r>
          </w:p>
        </w:tc>
        <w:tc>
          <w:tcPr>
            <w:tcW w:w="1945" w:type="dxa"/>
            <w:tcBorders>
              <w:tl2br w:val="nil"/>
              <w:tr2bl w:val="nil"/>
            </w:tcBorders>
            <w:vAlign w:val="center"/>
          </w:tcPr>
          <w:p w14:paraId="7631489F">
            <w:pPr>
              <w:autoSpaceDE w:val="0"/>
              <w:autoSpaceDN w:val="0"/>
              <w:jc w:val="center"/>
              <w:rPr>
                <w:rFonts w:hint="default" w:ascii="宋体" w:hAnsi="宋体" w:eastAsia="宋体" w:cs="宋体"/>
                <w:color w:val="auto"/>
                <w:lang w:val="en-US" w:eastAsia="zh-CN"/>
              </w:rPr>
            </w:pPr>
            <w:r>
              <w:rPr>
                <w:rFonts w:hint="eastAsia" w:ascii="宋体" w:hAnsi="宋体" w:cs="宋体"/>
                <w:color w:val="auto"/>
                <w:highlight w:val="yellow"/>
                <w:lang w:val="en-US" w:eastAsia="zh-CN"/>
              </w:rPr>
              <w:t>30000.00</w:t>
            </w:r>
          </w:p>
        </w:tc>
        <w:tc>
          <w:tcPr>
            <w:tcW w:w="1337" w:type="dxa"/>
            <w:tcBorders>
              <w:tl2br w:val="nil"/>
              <w:tr2bl w:val="nil"/>
            </w:tcBorders>
            <w:vAlign w:val="center"/>
          </w:tcPr>
          <w:p w14:paraId="55B3C84C">
            <w:pPr>
              <w:autoSpaceDE w:val="0"/>
              <w:autoSpaceDN w:val="0"/>
              <w:jc w:val="center"/>
              <w:rPr>
                <w:rFonts w:ascii="宋体" w:hAnsi="宋体" w:cs="宋体"/>
                <w:color w:val="auto"/>
              </w:rPr>
            </w:pPr>
          </w:p>
        </w:tc>
      </w:tr>
      <w:tr w14:paraId="0919D3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795" w:type="dxa"/>
            <w:tcBorders>
              <w:tl2br w:val="nil"/>
              <w:tr2bl w:val="nil"/>
            </w:tcBorders>
            <w:vAlign w:val="center"/>
          </w:tcPr>
          <w:p w14:paraId="63CCC06C">
            <w:pPr>
              <w:autoSpaceDE w:val="0"/>
              <w:autoSpaceDN w:val="0"/>
              <w:jc w:val="center"/>
              <w:rPr>
                <w:rFonts w:ascii="宋体" w:hAnsi="宋体" w:cs="宋体"/>
                <w:color w:val="auto"/>
              </w:rPr>
            </w:pPr>
          </w:p>
        </w:tc>
        <w:tc>
          <w:tcPr>
            <w:tcW w:w="3988" w:type="dxa"/>
            <w:tcBorders>
              <w:tl2br w:val="nil"/>
              <w:tr2bl w:val="nil"/>
            </w:tcBorders>
            <w:vAlign w:val="center"/>
          </w:tcPr>
          <w:p w14:paraId="3986DF92">
            <w:pPr>
              <w:autoSpaceDE w:val="0"/>
              <w:autoSpaceDN w:val="0"/>
              <w:jc w:val="center"/>
              <w:rPr>
                <w:rFonts w:ascii="宋体" w:hAnsi="宋体" w:cs="宋体"/>
                <w:color w:val="auto"/>
              </w:rPr>
            </w:pPr>
            <w:r>
              <w:rPr>
                <w:rFonts w:hint="eastAsia" w:ascii="宋体" w:hAnsi="宋体" w:cs="宋体"/>
                <w:color w:val="auto"/>
              </w:rPr>
              <w:t>合计</w:t>
            </w:r>
          </w:p>
        </w:tc>
        <w:tc>
          <w:tcPr>
            <w:tcW w:w="1235" w:type="dxa"/>
            <w:tcBorders>
              <w:tl2br w:val="nil"/>
              <w:tr2bl w:val="nil"/>
            </w:tcBorders>
            <w:vAlign w:val="center"/>
          </w:tcPr>
          <w:p w14:paraId="7D30CD07">
            <w:pPr>
              <w:autoSpaceDE w:val="0"/>
              <w:autoSpaceDN w:val="0"/>
              <w:jc w:val="center"/>
              <w:rPr>
                <w:rFonts w:ascii="宋体" w:hAnsi="宋体" w:cs="宋体"/>
                <w:color w:val="auto"/>
              </w:rPr>
            </w:pPr>
          </w:p>
        </w:tc>
        <w:tc>
          <w:tcPr>
            <w:tcW w:w="1945" w:type="dxa"/>
            <w:tcBorders>
              <w:tl2br w:val="nil"/>
              <w:tr2bl w:val="nil"/>
            </w:tcBorders>
            <w:vAlign w:val="center"/>
          </w:tcPr>
          <w:p w14:paraId="001F904E">
            <w:pPr>
              <w:autoSpaceDE w:val="0"/>
              <w:autoSpaceDN w:val="0"/>
              <w:jc w:val="center"/>
              <w:rPr>
                <w:rFonts w:hint="default" w:ascii="宋体" w:hAnsi="宋体" w:eastAsia="宋体" w:cs="宋体"/>
                <w:color w:val="auto"/>
                <w:lang w:val="en-US" w:eastAsia="zh-CN"/>
              </w:rPr>
            </w:pPr>
            <w:r>
              <w:rPr>
                <w:rFonts w:hint="eastAsia" w:ascii="宋体" w:hAnsi="宋体" w:cs="宋体"/>
                <w:color w:val="auto"/>
                <w:highlight w:val="yellow"/>
                <w:lang w:val="en-US" w:eastAsia="zh-CN"/>
              </w:rPr>
              <w:t>30000.00</w:t>
            </w:r>
          </w:p>
        </w:tc>
        <w:tc>
          <w:tcPr>
            <w:tcW w:w="1337" w:type="dxa"/>
            <w:tcBorders>
              <w:tl2br w:val="nil"/>
              <w:tr2bl w:val="nil"/>
            </w:tcBorders>
            <w:vAlign w:val="center"/>
          </w:tcPr>
          <w:p w14:paraId="37BCDB26">
            <w:pPr>
              <w:autoSpaceDE w:val="0"/>
              <w:autoSpaceDN w:val="0"/>
              <w:jc w:val="center"/>
              <w:rPr>
                <w:rFonts w:ascii="宋体" w:hAnsi="宋体" w:cs="宋体"/>
                <w:color w:val="auto"/>
              </w:rPr>
            </w:pPr>
          </w:p>
        </w:tc>
      </w:tr>
    </w:tbl>
    <w:p w14:paraId="1036A42C">
      <w:pPr>
        <w:pStyle w:val="16"/>
        <w:snapToGrid w:val="0"/>
        <w:spacing w:line="440" w:lineRule="atLeast"/>
        <w:rPr>
          <w:rFonts w:hint="eastAsia" w:ascii="宋体" w:hAnsi="宋体" w:cs="宋体"/>
          <w:b/>
          <w:color w:val="auto"/>
          <w:szCs w:val="21"/>
        </w:rPr>
      </w:pPr>
      <w:r>
        <w:rPr>
          <w:rFonts w:hint="eastAsia" w:ascii="宋体" w:hAnsi="宋体" w:cs="宋体"/>
          <w:b/>
          <w:color w:val="auto"/>
          <w:szCs w:val="21"/>
          <w:lang w:val="en-US" w:eastAsia="zh-CN"/>
        </w:rPr>
        <w:t>2、</w:t>
      </w:r>
      <w:r>
        <w:rPr>
          <w:rFonts w:hint="eastAsia" w:ascii="宋体" w:hAnsi="宋体" w:cs="宋体"/>
          <w:b/>
          <w:color w:val="auto"/>
          <w:szCs w:val="21"/>
        </w:rPr>
        <w:t>专业工程暂估价明细表：</w:t>
      </w:r>
      <w:r>
        <w:rPr>
          <w:rFonts w:hint="eastAsia" w:ascii="宋体" w:hAnsi="宋体" w:cs="宋体"/>
          <w:b/>
          <w:color w:val="auto"/>
          <w:szCs w:val="21"/>
          <w:lang w:val="en-US" w:eastAsia="zh-CN"/>
        </w:rPr>
        <w:t>无/</w:t>
      </w:r>
      <w:r>
        <w:rPr>
          <w:rFonts w:hint="eastAsia" w:ascii="宋体" w:hAnsi="宋体" w:cs="宋体"/>
          <w:b/>
          <w:color w:val="auto"/>
          <w:szCs w:val="21"/>
        </w:rPr>
        <w:t>3、材料暂估价明细表：</w:t>
      </w:r>
      <w:r>
        <w:rPr>
          <w:rFonts w:hint="eastAsia" w:ascii="宋体" w:hAnsi="宋体" w:cs="宋体"/>
          <w:b/>
          <w:color w:val="auto"/>
          <w:szCs w:val="21"/>
          <w:lang w:val="en-US" w:eastAsia="zh-CN"/>
        </w:rPr>
        <w:t>无</w:t>
      </w:r>
    </w:p>
    <w:p w14:paraId="592364C8">
      <w:pPr>
        <w:numPr>
          <w:ilvl w:val="0"/>
          <w:numId w:val="1"/>
        </w:numPr>
        <w:snapToGrid w:val="0"/>
        <w:spacing w:line="440" w:lineRule="atLeast"/>
        <w:rPr>
          <w:rFonts w:ascii="宋体" w:hAnsi="宋体" w:cs="宋体"/>
          <w:b/>
          <w:color w:val="auto"/>
          <w:sz w:val="24"/>
          <w:lang w:val="zh-CN"/>
        </w:rPr>
      </w:pPr>
      <w:r>
        <w:rPr>
          <w:rFonts w:hint="eastAsia" w:ascii="宋体" w:hAnsi="宋体" w:cs="宋体"/>
          <w:b/>
          <w:color w:val="auto"/>
          <w:sz w:val="24"/>
          <w:lang w:val="zh-CN"/>
        </w:rPr>
        <w:t xml:space="preserve">工程信息明细： </w:t>
      </w:r>
    </w:p>
    <w:tbl>
      <w:tblPr>
        <w:tblStyle w:val="10"/>
        <w:tblW w:w="9315" w:type="dxa"/>
        <w:tblInd w:w="3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4947"/>
        <w:gridCol w:w="3385"/>
      </w:tblGrid>
      <w:tr w14:paraId="61953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15" w:type="dxa"/>
            <w:gridSpan w:val="3"/>
            <w:tcBorders>
              <w:top w:val="single" w:color="auto" w:sz="8" w:space="0"/>
              <w:left w:val="single" w:color="auto" w:sz="8" w:space="0"/>
              <w:bottom w:val="single" w:color="auto" w:sz="8" w:space="0"/>
              <w:right w:val="single" w:color="auto" w:sz="8" w:space="0"/>
            </w:tcBorders>
            <w:vAlign w:val="center"/>
          </w:tcPr>
          <w:p w14:paraId="38955C44">
            <w:pPr>
              <w:autoSpaceDE w:val="0"/>
              <w:autoSpaceDN w:val="0"/>
              <w:rPr>
                <w:rFonts w:ascii="宋体" w:hAnsi="宋体" w:cs="宋体"/>
                <w:color w:val="auto"/>
              </w:rPr>
            </w:pPr>
            <w:r>
              <w:rPr>
                <w:rFonts w:hint="eastAsia" w:ascii="宋体" w:hAnsi="宋体" w:cs="宋体"/>
                <w:color w:val="auto"/>
              </w:rPr>
              <w:t>项目编号：001</w:t>
            </w:r>
          </w:p>
        </w:tc>
      </w:tr>
      <w:tr w14:paraId="2D921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15" w:type="dxa"/>
            <w:gridSpan w:val="3"/>
            <w:tcBorders>
              <w:top w:val="single" w:color="auto" w:sz="8" w:space="0"/>
              <w:left w:val="single" w:color="auto" w:sz="8" w:space="0"/>
              <w:bottom w:val="single" w:color="auto" w:sz="8" w:space="0"/>
              <w:right w:val="single" w:color="auto" w:sz="8" w:space="0"/>
            </w:tcBorders>
            <w:vAlign w:val="center"/>
          </w:tcPr>
          <w:p w14:paraId="3E3965D0">
            <w:pPr>
              <w:pStyle w:val="16"/>
              <w:ind w:left="0" w:leftChars="0" w:firstLine="0" w:firstLineChars="0"/>
              <w:rPr>
                <w:rFonts w:ascii="宋体" w:hAnsi="宋体" w:cs="宋体"/>
                <w:color w:val="auto"/>
              </w:rPr>
            </w:pPr>
            <w:r>
              <w:rPr>
                <w:rFonts w:hint="eastAsia" w:ascii="宋体" w:hAnsi="宋体" w:cs="宋体"/>
                <w:color w:val="auto"/>
                <w:lang w:val="zh-CN"/>
              </w:rPr>
              <w:t>工程名称：江阴市第一初级中学餐厅装修工程</w:t>
            </w:r>
          </w:p>
        </w:tc>
      </w:tr>
      <w:tr w14:paraId="3038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15" w:type="dxa"/>
            <w:gridSpan w:val="3"/>
            <w:tcBorders>
              <w:top w:val="single" w:color="auto" w:sz="8" w:space="0"/>
              <w:left w:val="single" w:color="auto" w:sz="8" w:space="0"/>
              <w:bottom w:val="single" w:color="auto" w:sz="8" w:space="0"/>
              <w:right w:val="single" w:color="auto" w:sz="8" w:space="0"/>
            </w:tcBorders>
            <w:vAlign w:val="center"/>
          </w:tcPr>
          <w:p w14:paraId="47D312C4">
            <w:pPr>
              <w:widowControl/>
              <w:jc w:val="left"/>
              <w:rPr>
                <w:rFonts w:ascii="宋体" w:hAnsi="宋体" w:cs="宋体"/>
                <w:color w:val="auto"/>
              </w:rPr>
            </w:pPr>
            <w:r>
              <w:rPr>
                <w:rFonts w:hint="eastAsia" w:ascii="宋体" w:hAnsi="宋体" w:cs="宋体"/>
                <w:color w:val="auto"/>
                <w:lang w:val="zh-CN"/>
              </w:rPr>
              <w:t>建设单位：</w:t>
            </w:r>
            <w:r>
              <w:rPr>
                <w:rFonts w:hint="eastAsia" w:ascii="宋体" w:hAnsi="宋体" w:cs="宋体"/>
                <w:color w:val="auto"/>
                <w:highlight w:val="yellow"/>
                <w:lang w:val="zh-CN"/>
              </w:rPr>
              <w:t>江阴市第一初级中学</w:t>
            </w:r>
          </w:p>
        </w:tc>
      </w:tr>
      <w:tr w14:paraId="3E74D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15" w:type="dxa"/>
            <w:gridSpan w:val="3"/>
            <w:tcBorders>
              <w:top w:val="single" w:color="auto" w:sz="8" w:space="0"/>
              <w:left w:val="single" w:color="auto" w:sz="8" w:space="0"/>
              <w:bottom w:val="single" w:color="auto" w:sz="8" w:space="0"/>
              <w:right w:val="single" w:color="auto" w:sz="8" w:space="0"/>
            </w:tcBorders>
            <w:vAlign w:val="center"/>
          </w:tcPr>
          <w:p w14:paraId="54071CB4">
            <w:pPr>
              <w:autoSpaceDE w:val="0"/>
              <w:autoSpaceDN w:val="0"/>
              <w:rPr>
                <w:rFonts w:ascii="宋体" w:hAnsi="宋体" w:cs="宋体"/>
                <w:color w:val="auto"/>
              </w:rPr>
            </w:pPr>
            <w:r>
              <w:rPr>
                <w:rFonts w:hint="eastAsia" w:ascii="宋体" w:hAnsi="宋体" w:cs="宋体"/>
                <w:color w:val="auto"/>
              </w:rPr>
              <w:t>单位工程明细：</w:t>
            </w:r>
          </w:p>
        </w:tc>
      </w:tr>
      <w:tr w14:paraId="52F35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3" w:type="dxa"/>
            <w:tcBorders>
              <w:top w:val="single" w:color="auto" w:sz="8" w:space="0"/>
              <w:left w:val="single" w:color="auto" w:sz="8" w:space="0"/>
              <w:bottom w:val="single" w:color="auto" w:sz="8" w:space="0"/>
              <w:right w:val="single" w:color="auto" w:sz="8" w:space="0"/>
            </w:tcBorders>
            <w:vAlign w:val="center"/>
          </w:tcPr>
          <w:p w14:paraId="42969972">
            <w:pPr>
              <w:autoSpaceDE w:val="0"/>
              <w:autoSpaceDN w:val="0"/>
              <w:jc w:val="center"/>
              <w:rPr>
                <w:rFonts w:ascii="宋体" w:hAnsi="宋体" w:cs="宋体"/>
                <w:color w:val="auto"/>
              </w:rPr>
            </w:pPr>
            <w:r>
              <w:rPr>
                <w:rFonts w:hint="eastAsia" w:ascii="宋体" w:hAnsi="宋体" w:cs="宋体"/>
                <w:color w:val="auto"/>
              </w:rPr>
              <w:t>编号</w:t>
            </w:r>
          </w:p>
        </w:tc>
        <w:tc>
          <w:tcPr>
            <w:tcW w:w="4947" w:type="dxa"/>
            <w:tcBorders>
              <w:top w:val="single" w:color="auto" w:sz="8" w:space="0"/>
              <w:left w:val="single" w:color="auto" w:sz="8" w:space="0"/>
              <w:bottom w:val="single" w:color="auto" w:sz="8" w:space="0"/>
              <w:right w:val="single" w:color="auto" w:sz="8" w:space="0"/>
            </w:tcBorders>
            <w:vAlign w:val="center"/>
          </w:tcPr>
          <w:p w14:paraId="6660656A">
            <w:pPr>
              <w:autoSpaceDE w:val="0"/>
              <w:autoSpaceDN w:val="0"/>
              <w:jc w:val="center"/>
              <w:rPr>
                <w:rFonts w:ascii="宋体" w:hAnsi="宋体" w:cs="宋体"/>
                <w:color w:val="auto"/>
              </w:rPr>
            </w:pPr>
            <w:r>
              <w:rPr>
                <w:rFonts w:hint="eastAsia" w:ascii="宋体" w:hAnsi="宋体" w:cs="宋体"/>
                <w:color w:val="auto"/>
              </w:rPr>
              <w:t>单位工程名称</w:t>
            </w:r>
          </w:p>
        </w:tc>
        <w:tc>
          <w:tcPr>
            <w:tcW w:w="3385" w:type="dxa"/>
            <w:tcBorders>
              <w:top w:val="single" w:color="auto" w:sz="8" w:space="0"/>
              <w:left w:val="single" w:color="auto" w:sz="8" w:space="0"/>
              <w:bottom w:val="single" w:color="auto" w:sz="8" w:space="0"/>
              <w:right w:val="single" w:color="auto" w:sz="8" w:space="0"/>
            </w:tcBorders>
            <w:vAlign w:val="center"/>
          </w:tcPr>
          <w:p w14:paraId="7FB4E2AC">
            <w:pPr>
              <w:autoSpaceDE w:val="0"/>
              <w:autoSpaceDN w:val="0"/>
              <w:jc w:val="center"/>
              <w:rPr>
                <w:rFonts w:hint="default" w:ascii="宋体" w:hAnsi="宋体" w:eastAsia="宋体" w:cs="宋体"/>
                <w:color w:val="auto"/>
                <w:lang w:val="en-US" w:eastAsia="zh-CN"/>
              </w:rPr>
            </w:pPr>
            <w:r>
              <w:rPr>
                <w:rFonts w:hint="eastAsia" w:ascii="宋体" w:hAnsi="宋体" w:cs="宋体"/>
                <w:color w:val="auto"/>
                <w:lang w:val="en-US" w:eastAsia="zh-CN"/>
              </w:rPr>
              <w:t>不可竞争费</w:t>
            </w:r>
          </w:p>
        </w:tc>
      </w:tr>
      <w:tr w14:paraId="67E8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3" w:type="dxa"/>
            <w:tcBorders>
              <w:top w:val="single" w:color="auto" w:sz="8" w:space="0"/>
              <w:left w:val="single" w:color="auto" w:sz="8" w:space="0"/>
              <w:bottom w:val="single" w:color="auto" w:sz="8" w:space="0"/>
              <w:right w:val="single" w:color="auto" w:sz="8" w:space="0"/>
            </w:tcBorders>
            <w:vAlign w:val="center"/>
          </w:tcPr>
          <w:p w14:paraId="76D0777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4947" w:type="dxa"/>
            <w:tcBorders>
              <w:top w:val="single" w:color="auto" w:sz="8" w:space="0"/>
              <w:left w:val="single" w:color="auto" w:sz="8" w:space="0"/>
              <w:bottom w:val="single" w:color="auto" w:sz="8" w:space="0"/>
              <w:right w:val="single" w:color="auto" w:sz="8" w:space="0"/>
            </w:tcBorders>
            <w:vAlign w:val="center"/>
          </w:tcPr>
          <w:p w14:paraId="5D952807">
            <w:pPr>
              <w:keepNext w:val="0"/>
              <w:keepLines w:val="0"/>
              <w:widowControl/>
              <w:suppressLineNumbers w:val="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餐厅装修-装修</w:t>
            </w:r>
          </w:p>
        </w:tc>
        <w:tc>
          <w:tcPr>
            <w:tcW w:w="3385" w:type="dxa"/>
            <w:tcBorders>
              <w:top w:val="single" w:color="auto" w:sz="8" w:space="0"/>
              <w:left w:val="single" w:color="auto" w:sz="8" w:space="0"/>
              <w:bottom w:val="single" w:color="auto" w:sz="8" w:space="0"/>
              <w:right w:val="single" w:color="auto" w:sz="8" w:space="0"/>
            </w:tcBorders>
            <w:vAlign w:val="center"/>
          </w:tcPr>
          <w:p w14:paraId="3B3AEE10">
            <w:pPr>
              <w:autoSpaceDE w:val="0"/>
              <w:autoSpaceDN w:val="0"/>
              <w:jc w:val="center"/>
              <w:rPr>
                <w:rFonts w:hint="eastAsia" w:ascii="宋体" w:hAnsi="宋体" w:cs="宋体"/>
                <w:color w:val="auto"/>
                <w:lang w:val="en-US" w:eastAsia="zh-CN"/>
              </w:rPr>
            </w:pPr>
            <w:r>
              <w:rPr>
                <w:rFonts w:hint="eastAsia" w:ascii="宋体" w:hAnsi="宋体" w:cs="宋体"/>
                <w:color w:val="auto"/>
                <w:lang w:val="en-US" w:eastAsia="zh-CN"/>
              </w:rPr>
              <w:t>按【单独装饰工程】执行</w:t>
            </w:r>
          </w:p>
        </w:tc>
      </w:tr>
      <w:tr w14:paraId="22BE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3" w:type="dxa"/>
            <w:tcBorders>
              <w:top w:val="single" w:color="auto" w:sz="8" w:space="0"/>
              <w:left w:val="single" w:color="auto" w:sz="8" w:space="0"/>
              <w:bottom w:val="single" w:color="auto" w:sz="8" w:space="0"/>
              <w:right w:val="single" w:color="auto" w:sz="8" w:space="0"/>
            </w:tcBorders>
            <w:vAlign w:val="center"/>
          </w:tcPr>
          <w:p w14:paraId="6392F54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4947" w:type="dxa"/>
            <w:tcBorders>
              <w:top w:val="single" w:color="auto" w:sz="8" w:space="0"/>
              <w:left w:val="single" w:color="auto" w:sz="8" w:space="0"/>
              <w:bottom w:val="single" w:color="auto" w:sz="8" w:space="0"/>
              <w:right w:val="single" w:color="auto" w:sz="8" w:space="0"/>
            </w:tcBorders>
            <w:vAlign w:val="center"/>
          </w:tcPr>
          <w:p w14:paraId="29298D3D">
            <w:pPr>
              <w:keepNext w:val="0"/>
              <w:keepLines w:val="0"/>
              <w:widowControl/>
              <w:suppressLineNumbers w:val="0"/>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餐厅装修-安装</w:t>
            </w:r>
          </w:p>
        </w:tc>
        <w:tc>
          <w:tcPr>
            <w:tcW w:w="3385" w:type="dxa"/>
            <w:tcBorders>
              <w:top w:val="single" w:color="auto" w:sz="8" w:space="0"/>
              <w:left w:val="single" w:color="auto" w:sz="8" w:space="0"/>
              <w:bottom w:val="single" w:color="auto" w:sz="8" w:space="0"/>
              <w:right w:val="single" w:color="auto" w:sz="8" w:space="0"/>
            </w:tcBorders>
            <w:vAlign w:val="center"/>
          </w:tcPr>
          <w:p w14:paraId="20CDDD96">
            <w:pPr>
              <w:autoSpaceDE w:val="0"/>
              <w:autoSpaceDN w:val="0"/>
              <w:jc w:val="center"/>
              <w:rPr>
                <w:rFonts w:hint="eastAsia" w:ascii="宋体" w:hAnsi="宋体" w:cs="宋体"/>
                <w:color w:val="auto"/>
              </w:rPr>
            </w:pPr>
            <w:r>
              <w:rPr>
                <w:rFonts w:hint="eastAsia" w:ascii="宋体" w:hAnsi="宋体" w:cs="宋体"/>
                <w:color w:val="auto"/>
                <w:lang w:val="en-US" w:eastAsia="zh-CN"/>
              </w:rPr>
              <w:t>按【安装工程】执行</w:t>
            </w:r>
          </w:p>
        </w:tc>
      </w:tr>
    </w:tbl>
    <w:p w14:paraId="548F9BD1">
      <w:pPr>
        <w:autoSpaceDE w:val="0"/>
        <w:autoSpaceDN w:val="0"/>
        <w:rPr>
          <w:rFonts w:ascii="宋体" w:hAnsi="宋体" w:cs="宋体"/>
          <w:color w:val="auto"/>
          <w:sz w:val="24"/>
        </w:rPr>
      </w:pPr>
    </w:p>
    <w:p w14:paraId="5EFF212C">
      <w:pPr>
        <w:autoSpaceDE w:val="0"/>
        <w:autoSpaceDN w:val="0"/>
        <w:jc w:val="right"/>
        <w:rPr>
          <w:rFonts w:ascii="宋体" w:hAnsi="宋体" w:cs="宋体"/>
          <w:color w:val="auto"/>
          <w:sz w:val="24"/>
          <w:lang w:val="zh-CN"/>
        </w:rPr>
      </w:pPr>
      <w:r>
        <w:rPr>
          <w:rFonts w:hint="eastAsia" w:ascii="宋体" w:hAnsi="宋体" w:cs="宋体"/>
          <w:color w:val="auto"/>
          <w:sz w:val="24"/>
        </w:rPr>
        <w:t>苏世建设管理集团</w:t>
      </w:r>
      <w:r>
        <w:rPr>
          <w:rFonts w:hint="eastAsia" w:ascii="宋体" w:hAnsi="宋体" w:cs="宋体"/>
          <w:color w:val="auto"/>
          <w:sz w:val="24"/>
          <w:lang w:val="zh-CN"/>
        </w:rPr>
        <w:t>有限公司</w:t>
      </w:r>
    </w:p>
    <w:p w14:paraId="3B01DD4C">
      <w:pPr>
        <w:snapToGrid w:val="0"/>
        <w:spacing w:line="440" w:lineRule="atLeast"/>
        <w:ind w:firstLine="465"/>
        <w:jc w:val="right"/>
        <w:rPr>
          <w:rFonts w:ascii="宋体" w:hAnsi="宋体" w:cs="宋体"/>
          <w:highlight w:val="yellow"/>
          <w:lang w:val="zh-CN"/>
        </w:rPr>
      </w:pPr>
      <w:r>
        <w:rPr>
          <w:rFonts w:hint="eastAsia" w:ascii="宋体" w:hAnsi="宋体" w:cs="宋体"/>
          <w:color w:val="auto"/>
          <w:sz w:val="24"/>
          <w:highlight w:val="yellow"/>
          <w:lang w:val="zh-CN"/>
        </w:rPr>
        <w:t>20</w:t>
      </w:r>
      <w:r>
        <w:rPr>
          <w:rFonts w:hint="eastAsia" w:ascii="宋体" w:hAnsi="宋体" w:cs="宋体"/>
          <w:color w:val="auto"/>
          <w:sz w:val="24"/>
          <w:highlight w:val="yellow"/>
        </w:rPr>
        <w:t>2</w:t>
      </w:r>
      <w:r>
        <w:rPr>
          <w:rFonts w:hint="eastAsia" w:ascii="宋体" w:hAnsi="宋体" w:cs="宋体"/>
          <w:color w:val="auto"/>
          <w:sz w:val="24"/>
          <w:highlight w:val="yellow"/>
          <w:lang w:val="en-US" w:eastAsia="zh-CN"/>
        </w:rPr>
        <w:t>6</w:t>
      </w:r>
      <w:r>
        <w:rPr>
          <w:rFonts w:hint="eastAsia" w:ascii="宋体" w:hAnsi="宋体" w:cs="宋体"/>
          <w:color w:val="auto"/>
          <w:sz w:val="24"/>
          <w:highlight w:val="yellow"/>
          <w:lang w:val="zh-CN"/>
        </w:rPr>
        <w:t>年</w:t>
      </w:r>
      <w:r>
        <w:rPr>
          <w:rFonts w:hint="eastAsia" w:ascii="宋体" w:hAnsi="宋体" w:cs="宋体"/>
          <w:color w:val="auto"/>
          <w:sz w:val="24"/>
          <w:highlight w:val="yellow"/>
          <w:lang w:val="en-US" w:eastAsia="zh-CN"/>
        </w:rPr>
        <w:t>07</w:t>
      </w:r>
      <w:r>
        <w:rPr>
          <w:rFonts w:hint="eastAsia" w:ascii="宋体" w:hAnsi="宋体" w:cs="宋体"/>
          <w:sz w:val="24"/>
          <w:highlight w:val="yellow"/>
          <w:lang w:val="zh-CN"/>
        </w:rPr>
        <w:t>月</w:t>
      </w:r>
      <w:r>
        <w:rPr>
          <w:rFonts w:hint="eastAsia" w:ascii="宋体" w:hAnsi="宋体" w:cs="宋体"/>
          <w:sz w:val="24"/>
          <w:highlight w:val="yellow"/>
          <w:lang w:val="en-US" w:eastAsia="zh-CN"/>
        </w:rPr>
        <w:t>02</w:t>
      </w:r>
      <w:r>
        <w:rPr>
          <w:rFonts w:hint="eastAsia" w:ascii="宋体" w:hAnsi="宋体" w:cs="宋体"/>
          <w:sz w:val="24"/>
          <w:highlight w:val="yellow"/>
          <w:lang w:val="zh-CN"/>
        </w:rPr>
        <w:t>日</w:t>
      </w:r>
    </w:p>
    <w:p w14:paraId="14FBFB2E">
      <w:pPr>
        <w:snapToGrid w:val="0"/>
        <w:spacing w:line="440" w:lineRule="atLeast"/>
        <w:ind w:firstLine="465"/>
        <w:jc w:val="right"/>
        <w:rPr>
          <w:rFonts w:ascii="宋体" w:hAnsi="宋体" w:cs="宋体"/>
          <w:highlight w:val="yellow"/>
          <w:lang w:val="zh-CN"/>
        </w:rPr>
      </w:pPr>
    </w:p>
    <w:sectPr>
      <w:headerReference r:id="rId3" w:type="default"/>
      <w:footerReference r:id="rId4" w:type="default"/>
      <w:footerReference r:id="rId5" w:type="even"/>
      <w:pgSz w:w="11906" w:h="16838"/>
      <w:pgMar w:top="1091" w:right="829" w:bottom="779" w:left="997"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FEA16">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5</w:t>
    </w:r>
    <w:r>
      <w:fldChar w:fldCharType="end"/>
    </w:r>
  </w:p>
  <w:p w14:paraId="77AC4766">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A4785">
    <w:pPr>
      <w:pStyle w:val="7"/>
      <w:framePr w:wrap="around" w:vAnchor="text" w:hAnchor="margin" w:xAlign="center" w:y="1"/>
      <w:rPr>
        <w:rStyle w:val="13"/>
      </w:rPr>
    </w:pPr>
    <w:r>
      <w:fldChar w:fldCharType="begin"/>
    </w:r>
    <w:r>
      <w:rPr>
        <w:rStyle w:val="13"/>
      </w:rPr>
      <w:instrText xml:space="preserve">PAGE  </w:instrText>
    </w:r>
    <w:r>
      <w:fldChar w:fldCharType="end"/>
    </w:r>
  </w:p>
  <w:p w14:paraId="38FE4B22">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B069F">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8A7C51"/>
    <w:multiLevelType w:val="singleLevel"/>
    <w:tmpl w:val="DE8A7C51"/>
    <w:lvl w:ilvl="0" w:tentative="0">
      <w:start w:val="1"/>
      <w:numFmt w:val="decimal"/>
      <w:suff w:val="nothing"/>
      <w:lvlText w:val="%1、"/>
      <w:lvlJc w:val="left"/>
      <w:pPr>
        <w:ind w:left="483" w:firstLine="0"/>
      </w:pPr>
    </w:lvl>
  </w:abstractNum>
  <w:abstractNum w:abstractNumId="1">
    <w:nsid w:val="55B99465"/>
    <w:multiLevelType w:val="singleLevel"/>
    <w:tmpl w:val="55B99465"/>
    <w:lvl w:ilvl="0" w:tentative="0">
      <w:start w:val="1"/>
      <w:numFmt w:val="decimal"/>
      <w:lvlText w:val="%1."/>
      <w:lvlJc w:val="left"/>
      <w:pPr>
        <w:tabs>
          <w:tab w:val="left" w:pos="5"/>
        </w:tabs>
        <w:ind w:left="5" w:hanging="425"/>
      </w:pPr>
      <w:rPr>
        <w:rFonts w:hint="default"/>
      </w:rPr>
    </w:lvl>
  </w:abstractNum>
  <w:abstractNum w:abstractNumId="2">
    <w:nsid w:val="55D3F4C5"/>
    <w:multiLevelType w:val="singleLevel"/>
    <w:tmpl w:val="55D3F4C5"/>
    <w:lvl w:ilvl="0" w:tentative="0">
      <w:start w:val="1"/>
      <w:numFmt w:val="chineseCounting"/>
      <w:lvlText w:val="%1."/>
      <w:lvlJc w:val="left"/>
      <w:pPr>
        <w:tabs>
          <w:tab w:val="left" w:pos="425"/>
        </w:tabs>
        <w:ind w:left="425" w:hanging="425"/>
      </w:pPr>
      <w:rPr>
        <w:rFonts w:hint="eastAsia"/>
        <w:b/>
        <w:bCs/>
        <w:sz w:val="24"/>
        <w:szCs w:val="24"/>
      </w:rPr>
    </w:lvl>
  </w:abstractNum>
  <w:abstractNum w:abstractNumId="3">
    <w:nsid w:val="577728D2"/>
    <w:multiLevelType w:val="singleLevel"/>
    <w:tmpl w:val="577728D2"/>
    <w:lvl w:ilvl="0" w:tentative="0">
      <w:start w:val="1"/>
      <w:numFmt w:val="decimal"/>
      <w:suff w:val="nothing"/>
      <w:lvlText w:val="%1、"/>
      <w:lvlJc w:val="left"/>
      <w:pPr>
        <w:ind w:left="483" w:firstLine="0"/>
      </w:pPr>
    </w:lvl>
  </w:abstractNum>
  <w:abstractNum w:abstractNumId="4">
    <w:nsid w:val="652C0AFA"/>
    <w:multiLevelType w:val="singleLevel"/>
    <w:tmpl w:val="652C0AFA"/>
    <w:lvl w:ilvl="0" w:tentative="0">
      <w:start w:val="1"/>
      <w:numFmt w:val="decimal"/>
      <w:lvlText w:val="%1."/>
      <w:lvlJc w:val="left"/>
      <w:pPr>
        <w:tabs>
          <w:tab w:val="left" w:pos="5"/>
        </w:tabs>
        <w:ind w:left="5" w:hanging="425"/>
      </w:pPr>
      <w:rPr>
        <w:rFonts w:hint="default"/>
      </w:rPr>
    </w:lvl>
  </w:abstractNum>
  <w:abstractNum w:abstractNumId="5">
    <w:nsid w:val="6F7810CC"/>
    <w:multiLevelType w:val="singleLevel"/>
    <w:tmpl w:val="6F7810CC"/>
    <w:lvl w:ilvl="0" w:tentative="0">
      <w:start w:val="1"/>
      <w:numFmt w:val="decimal"/>
      <w:suff w:val="nothing"/>
      <w:lvlText w:val="%1、"/>
      <w:lvlJc w:val="left"/>
      <w:pPr>
        <w:ind w:left="483" w:firstLine="0"/>
      </w:pPr>
    </w:lvl>
  </w:abstractNum>
  <w:abstractNum w:abstractNumId="6">
    <w:nsid w:val="71F59A73"/>
    <w:multiLevelType w:val="singleLevel"/>
    <w:tmpl w:val="71F59A73"/>
    <w:lvl w:ilvl="0" w:tentative="0">
      <w:start w:val="1"/>
      <w:numFmt w:val="decimal"/>
      <w:suff w:val="nothing"/>
      <w:lvlText w:val="%1、"/>
      <w:lvlJc w:val="left"/>
      <w:pPr>
        <w:ind w:left="483" w:firstLine="0"/>
      </w:pPr>
    </w:lvl>
  </w:abstractNum>
  <w:num w:numId="1">
    <w:abstractNumId w:val="2"/>
    <w:lvlOverride w:ilvl="0">
      <w:startOverride w:val="1"/>
    </w:lvlOverride>
  </w:num>
  <w:num w:numId="2">
    <w:abstractNumId w:val="1"/>
    <w:lvlOverride w:ilvl="0">
      <w:startOverride w:val="1"/>
    </w:lvlOverride>
  </w:num>
  <w:num w:numId="3">
    <w:abstractNumId w:val="4"/>
  </w:num>
  <w:num w:numId="4">
    <w:abstractNumId w:val="5"/>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3MThkNDYyOGVkM2RmNmFmYTYyZjExZTFjMTBlNzkifQ=="/>
  </w:docVars>
  <w:rsids>
    <w:rsidRoot w:val="00172A27"/>
    <w:rsid w:val="00033918"/>
    <w:rsid w:val="00055546"/>
    <w:rsid w:val="000A5DAA"/>
    <w:rsid w:val="00143FFB"/>
    <w:rsid w:val="00172A27"/>
    <w:rsid w:val="001A6AF9"/>
    <w:rsid w:val="001E7F76"/>
    <w:rsid w:val="00275DDF"/>
    <w:rsid w:val="002D7A2C"/>
    <w:rsid w:val="00324123"/>
    <w:rsid w:val="003268E5"/>
    <w:rsid w:val="0036701D"/>
    <w:rsid w:val="003C3447"/>
    <w:rsid w:val="003D119A"/>
    <w:rsid w:val="004163B2"/>
    <w:rsid w:val="004A540E"/>
    <w:rsid w:val="004D51BC"/>
    <w:rsid w:val="00587CD5"/>
    <w:rsid w:val="0065097B"/>
    <w:rsid w:val="00696ABA"/>
    <w:rsid w:val="007A6290"/>
    <w:rsid w:val="00857459"/>
    <w:rsid w:val="00872CFB"/>
    <w:rsid w:val="009136E0"/>
    <w:rsid w:val="00951F6C"/>
    <w:rsid w:val="009E7094"/>
    <w:rsid w:val="00AE6F5B"/>
    <w:rsid w:val="00AE7BF5"/>
    <w:rsid w:val="00B439D0"/>
    <w:rsid w:val="00B512B2"/>
    <w:rsid w:val="00BB27C9"/>
    <w:rsid w:val="00C510E9"/>
    <w:rsid w:val="00D91292"/>
    <w:rsid w:val="00D92D4A"/>
    <w:rsid w:val="00E23770"/>
    <w:rsid w:val="012305CE"/>
    <w:rsid w:val="015B73FB"/>
    <w:rsid w:val="01DC5624"/>
    <w:rsid w:val="023D34F8"/>
    <w:rsid w:val="029E6B70"/>
    <w:rsid w:val="02C941D1"/>
    <w:rsid w:val="02DD4B80"/>
    <w:rsid w:val="046519CC"/>
    <w:rsid w:val="048E3795"/>
    <w:rsid w:val="04B50DAE"/>
    <w:rsid w:val="0607593C"/>
    <w:rsid w:val="06B1727A"/>
    <w:rsid w:val="06C510AB"/>
    <w:rsid w:val="07600DB1"/>
    <w:rsid w:val="07F7533D"/>
    <w:rsid w:val="08245768"/>
    <w:rsid w:val="08503B02"/>
    <w:rsid w:val="08930F12"/>
    <w:rsid w:val="08B05BA6"/>
    <w:rsid w:val="08F611EA"/>
    <w:rsid w:val="095E300D"/>
    <w:rsid w:val="09B6759B"/>
    <w:rsid w:val="0AEC39F9"/>
    <w:rsid w:val="0B903B7E"/>
    <w:rsid w:val="0BD4544E"/>
    <w:rsid w:val="0C61670A"/>
    <w:rsid w:val="0CF12CEE"/>
    <w:rsid w:val="0D3F09CA"/>
    <w:rsid w:val="0DEA074D"/>
    <w:rsid w:val="0E0C489A"/>
    <w:rsid w:val="0E342E47"/>
    <w:rsid w:val="0E75680A"/>
    <w:rsid w:val="0E8511D0"/>
    <w:rsid w:val="0EE1718B"/>
    <w:rsid w:val="0F7246AE"/>
    <w:rsid w:val="104A3DAC"/>
    <w:rsid w:val="11F56F16"/>
    <w:rsid w:val="12265F4D"/>
    <w:rsid w:val="12BF6D64"/>
    <w:rsid w:val="13A12C42"/>
    <w:rsid w:val="13A206C4"/>
    <w:rsid w:val="13AE7D5A"/>
    <w:rsid w:val="13C96A30"/>
    <w:rsid w:val="14193B86"/>
    <w:rsid w:val="146E1270"/>
    <w:rsid w:val="15E6010D"/>
    <w:rsid w:val="163C5AEE"/>
    <w:rsid w:val="16756285"/>
    <w:rsid w:val="17070465"/>
    <w:rsid w:val="17373603"/>
    <w:rsid w:val="17404D49"/>
    <w:rsid w:val="17950FEA"/>
    <w:rsid w:val="17B976EE"/>
    <w:rsid w:val="18433E31"/>
    <w:rsid w:val="189270E7"/>
    <w:rsid w:val="1A76158E"/>
    <w:rsid w:val="1B423AAD"/>
    <w:rsid w:val="1C022402"/>
    <w:rsid w:val="1CB727DF"/>
    <w:rsid w:val="1D857BFA"/>
    <w:rsid w:val="1D9C596C"/>
    <w:rsid w:val="1E0616E7"/>
    <w:rsid w:val="1E74624E"/>
    <w:rsid w:val="1EDA55EC"/>
    <w:rsid w:val="210452FD"/>
    <w:rsid w:val="216A129A"/>
    <w:rsid w:val="22056993"/>
    <w:rsid w:val="221C47C9"/>
    <w:rsid w:val="221D7F2E"/>
    <w:rsid w:val="22221625"/>
    <w:rsid w:val="233D46D3"/>
    <w:rsid w:val="24407A49"/>
    <w:rsid w:val="2595153D"/>
    <w:rsid w:val="25B54415"/>
    <w:rsid w:val="26310946"/>
    <w:rsid w:val="26FD5932"/>
    <w:rsid w:val="27125E10"/>
    <w:rsid w:val="28CB5CFA"/>
    <w:rsid w:val="293811B0"/>
    <w:rsid w:val="29F821AA"/>
    <w:rsid w:val="2ADF3CE2"/>
    <w:rsid w:val="2B19167E"/>
    <w:rsid w:val="2BB50348"/>
    <w:rsid w:val="2CB94FE4"/>
    <w:rsid w:val="2CF40298"/>
    <w:rsid w:val="2D106B5B"/>
    <w:rsid w:val="2DC773DC"/>
    <w:rsid w:val="2DD300BC"/>
    <w:rsid w:val="2F727CE6"/>
    <w:rsid w:val="2FD7017E"/>
    <w:rsid w:val="30CF0ED1"/>
    <w:rsid w:val="3116717A"/>
    <w:rsid w:val="31185F0A"/>
    <w:rsid w:val="313047C4"/>
    <w:rsid w:val="32344C40"/>
    <w:rsid w:val="32547EBA"/>
    <w:rsid w:val="331B6FD2"/>
    <w:rsid w:val="33F626B2"/>
    <w:rsid w:val="34391BEF"/>
    <w:rsid w:val="34E31A07"/>
    <w:rsid w:val="35652274"/>
    <w:rsid w:val="360755E5"/>
    <w:rsid w:val="36E557CA"/>
    <w:rsid w:val="380D264C"/>
    <w:rsid w:val="382B0EB3"/>
    <w:rsid w:val="383D5BB4"/>
    <w:rsid w:val="38A5428E"/>
    <w:rsid w:val="38FB4C32"/>
    <w:rsid w:val="39861023"/>
    <w:rsid w:val="3A0A519C"/>
    <w:rsid w:val="3A4259D7"/>
    <w:rsid w:val="3B170879"/>
    <w:rsid w:val="3BA33020"/>
    <w:rsid w:val="3BF91729"/>
    <w:rsid w:val="3C686BA6"/>
    <w:rsid w:val="3E200862"/>
    <w:rsid w:val="3F2A5A1C"/>
    <w:rsid w:val="3F2E46C0"/>
    <w:rsid w:val="40945B4B"/>
    <w:rsid w:val="411D5225"/>
    <w:rsid w:val="4152413E"/>
    <w:rsid w:val="415E1A4D"/>
    <w:rsid w:val="421826FC"/>
    <w:rsid w:val="425431BB"/>
    <w:rsid w:val="430D6CAE"/>
    <w:rsid w:val="43642D45"/>
    <w:rsid w:val="437E616A"/>
    <w:rsid w:val="44305A47"/>
    <w:rsid w:val="446829A7"/>
    <w:rsid w:val="447535DD"/>
    <w:rsid w:val="44B109AF"/>
    <w:rsid w:val="452644FF"/>
    <w:rsid w:val="45D6555B"/>
    <w:rsid w:val="45F42FCF"/>
    <w:rsid w:val="48CF521D"/>
    <w:rsid w:val="491F3390"/>
    <w:rsid w:val="492547F9"/>
    <w:rsid w:val="4AFA0FD4"/>
    <w:rsid w:val="4BA95F1B"/>
    <w:rsid w:val="4C1D6A69"/>
    <w:rsid w:val="4D6E4C5A"/>
    <w:rsid w:val="4D7D5F96"/>
    <w:rsid w:val="4DAC3FBB"/>
    <w:rsid w:val="4DF06B51"/>
    <w:rsid w:val="4E5B3840"/>
    <w:rsid w:val="4FDC7852"/>
    <w:rsid w:val="50B87750"/>
    <w:rsid w:val="519E2E63"/>
    <w:rsid w:val="52D2191F"/>
    <w:rsid w:val="53E26178"/>
    <w:rsid w:val="545466D7"/>
    <w:rsid w:val="54FE0CA8"/>
    <w:rsid w:val="55186629"/>
    <w:rsid w:val="55C93441"/>
    <w:rsid w:val="55E64A28"/>
    <w:rsid w:val="56D06A51"/>
    <w:rsid w:val="56D25B35"/>
    <w:rsid w:val="577053BD"/>
    <w:rsid w:val="589C176E"/>
    <w:rsid w:val="59DE383D"/>
    <w:rsid w:val="5AFD1836"/>
    <w:rsid w:val="5B066847"/>
    <w:rsid w:val="5D14403F"/>
    <w:rsid w:val="5DC44AC2"/>
    <w:rsid w:val="5E03770C"/>
    <w:rsid w:val="5E742AD8"/>
    <w:rsid w:val="5FD15884"/>
    <w:rsid w:val="60462F5E"/>
    <w:rsid w:val="60863B5C"/>
    <w:rsid w:val="609F702C"/>
    <w:rsid w:val="61AB47F2"/>
    <w:rsid w:val="62121814"/>
    <w:rsid w:val="63E23618"/>
    <w:rsid w:val="63E975F8"/>
    <w:rsid w:val="64310921"/>
    <w:rsid w:val="64441F50"/>
    <w:rsid w:val="656938DB"/>
    <w:rsid w:val="656D07F8"/>
    <w:rsid w:val="65840B4F"/>
    <w:rsid w:val="65AB4911"/>
    <w:rsid w:val="65C73B99"/>
    <w:rsid w:val="6642746F"/>
    <w:rsid w:val="67092CB3"/>
    <w:rsid w:val="67147642"/>
    <w:rsid w:val="67656D42"/>
    <w:rsid w:val="67AA13B4"/>
    <w:rsid w:val="68EA41CF"/>
    <w:rsid w:val="693742A5"/>
    <w:rsid w:val="6AC634A7"/>
    <w:rsid w:val="6AD44D57"/>
    <w:rsid w:val="6B460B8C"/>
    <w:rsid w:val="6BD30D17"/>
    <w:rsid w:val="6C9B68B0"/>
    <w:rsid w:val="6D1B3CE3"/>
    <w:rsid w:val="6D975F80"/>
    <w:rsid w:val="6E0D7A9C"/>
    <w:rsid w:val="6E373BED"/>
    <w:rsid w:val="6ECF0C36"/>
    <w:rsid w:val="6F260E44"/>
    <w:rsid w:val="6F2D3D6B"/>
    <w:rsid w:val="6FD01098"/>
    <w:rsid w:val="704D2132"/>
    <w:rsid w:val="70F44DB6"/>
    <w:rsid w:val="717A39B4"/>
    <w:rsid w:val="72B14395"/>
    <w:rsid w:val="7324525B"/>
    <w:rsid w:val="73817AF3"/>
    <w:rsid w:val="73B75AAA"/>
    <w:rsid w:val="73DB080D"/>
    <w:rsid w:val="741E5AB1"/>
    <w:rsid w:val="749C2CC3"/>
    <w:rsid w:val="766E17DB"/>
    <w:rsid w:val="767B541E"/>
    <w:rsid w:val="7696711C"/>
    <w:rsid w:val="76E40E5C"/>
    <w:rsid w:val="77177EC8"/>
    <w:rsid w:val="78132E72"/>
    <w:rsid w:val="78812509"/>
    <w:rsid w:val="78895092"/>
    <w:rsid w:val="78D7630C"/>
    <w:rsid w:val="78E416ED"/>
    <w:rsid w:val="794E5C13"/>
    <w:rsid w:val="79800315"/>
    <w:rsid w:val="79C350D7"/>
    <w:rsid w:val="79C55D56"/>
    <w:rsid w:val="7AE96523"/>
    <w:rsid w:val="7B5B25DA"/>
    <w:rsid w:val="7B9120F6"/>
    <w:rsid w:val="7BD17279"/>
    <w:rsid w:val="7C3B183D"/>
    <w:rsid w:val="7C405DB4"/>
    <w:rsid w:val="7C494A62"/>
    <w:rsid w:val="7D0E0AB3"/>
    <w:rsid w:val="7D492462"/>
    <w:rsid w:val="7E8539BE"/>
    <w:rsid w:val="7F37578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Indent"/>
    <w:basedOn w:val="1"/>
    <w:qFormat/>
    <w:uiPriority w:val="0"/>
    <w:pPr>
      <w:ind w:firstLine="178" w:firstLineChars="178"/>
    </w:pPr>
    <w:rPr>
      <w:sz w:val="28"/>
    </w:rPr>
  </w:style>
  <w:style w:type="paragraph" w:styleId="7">
    <w:name w:val="footer"/>
    <w:basedOn w:val="1"/>
    <w:link w:val="19"/>
    <w:qFormat/>
    <w:uiPriority w:val="0"/>
    <w:pPr>
      <w:tabs>
        <w:tab w:val="center" w:pos="4153"/>
        <w:tab w:val="right" w:pos="8306"/>
      </w:tabs>
      <w:snapToGrid w:val="0"/>
      <w:jc w:val="left"/>
    </w:pPr>
    <w:rPr>
      <w:sz w:val="18"/>
      <w:szCs w:val="18"/>
    </w:rPr>
  </w:style>
  <w:style w:type="paragraph" w:styleId="8">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kern w:val="0"/>
      <w:sz w:val="24"/>
    </w:rPr>
  </w:style>
  <w:style w:type="table" w:styleId="11">
    <w:name w:val="Table Grid"/>
    <w:basedOn w:val="10"/>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page number"/>
    <w:basedOn w:val="12"/>
    <w:qFormat/>
    <w:uiPriority w:val="0"/>
  </w:style>
  <w:style w:type="character" w:styleId="14">
    <w:name w:val="Hyperlink"/>
    <w:basedOn w:val="12"/>
    <w:qFormat/>
    <w:uiPriority w:val="0"/>
    <w:rPr>
      <w:color w:val="0000FF"/>
      <w:u w:val="single"/>
    </w:rPr>
  </w:style>
  <w:style w:type="paragraph" w:customStyle="1" w:styleId="15">
    <w:name w:val="标题3"/>
    <w:basedOn w:val="1"/>
    <w:next w:val="3"/>
    <w:qFormat/>
    <w:uiPriority w:val="0"/>
    <w:pPr>
      <w:adjustRightInd w:val="0"/>
      <w:spacing w:line="360" w:lineRule="auto"/>
    </w:pPr>
    <w:rPr>
      <w:rFonts w:ascii="Arial" w:hAnsi="Arial" w:eastAsia="黑体"/>
      <w:sz w:val="28"/>
      <w:szCs w:val="28"/>
    </w:rPr>
  </w:style>
  <w:style w:type="paragraph" w:styleId="16">
    <w:name w:val="List Paragraph"/>
    <w:basedOn w:val="1"/>
    <w:qFormat/>
    <w:uiPriority w:val="34"/>
    <w:pPr>
      <w:ind w:firstLine="420" w:firstLineChars="200"/>
    </w:pPr>
    <w:rPr>
      <w:rFonts w:ascii="Calibri" w:hAnsi="Calibri"/>
    </w:rPr>
  </w:style>
  <w:style w:type="character" w:customStyle="1" w:styleId="17">
    <w:name w:val="标题 1 Char"/>
    <w:basedOn w:val="12"/>
    <w:link w:val="2"/>
    <w:qFormat/>
    <w:uiPriority w:val="0"/>
    <w:rPr>
      <w:b/>
      <w:bCs/>
    </w:rPr>
  </w:style>
  <w:style w:type="character" w:customStyle="1" w:styleId="18">
    <w:name w:val="样式1 Char"/>
    <w:basedOn w:val="12"/>
    <w:qFormat/>
    <w:uiPriority w:val="0"/>
    <w:rPr>
      <w:b/>
      <w:bCs/>
    </w:rPr>
  </w:style>
  <w:style w:type="character" w:customStyle="1" w:styleId="19">
    <w:name w:val="页脚 Char"/>
    <w:basedOn w:val="12"/>
    <w:link w:val="7"/>
    <w:qFormat/>
    <w:uiPriority w:val="0"/>
  </w:style>
  <w:style w:type="character" w:customStyle="1" w:styleId="20">
    <w:name w:val="页眉 Char"/>
    <w:basedOn w:val="12"/>
    <w:link w:val="8"/>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4091</Words>
  <Characters>4246</Characters>
  <Lines>27</Lines>
  <Paragraphs>7</Paragraphs>
  <TotalTime>2</TotalTime>
  <ScaleCrop>false</ScaleCrop>
  <LinksUpToDate>false</LinksUpToDate>
  <CharactersWithSpaces>4249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2013-12-13T14:08:00Z</dcterms:created>
  <dc:creator>oppo</dc:creator>
  <cp:lastModifiedBy>阿克翔巴</cp:lastModifiedBy>
  <cp:lastPrinted>2019-06-19T04:19:00Z</cp:lastPrinted>
  <dcterms:modified xsi:type="dcterms:W3CDTF">2026-07-01T18:18:32Z</dcterms:modified>
  <dc:title>江阴市实验小学北校区景观工程--清单编制总说明</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8AC7A4E964BE4D47918D367FC02FB1CF_13</vt:lpwstr>
  </property>
  <property fmtid="{D5CDD505-2E9C-101B-9397-08002B2CF9AE}" pid="4" name="commondata">
    <vt:lpwstr>eyJoZGlkIjoiZjNkMmI0NWEzZDJlOTdiZWY3MWE5YmZiZDJhM2U1ZWYifQ==</vt:lpwstr>
  </property>
  <property fmtid="{D5CDD505-2E9C-101B-9397-08002B2CF9AE}" pid="5" name="KSOTemplateDocerSaveRecord">
    <vt:lpwstr>eyJoZGlkIjoiMWZiMDk5MDJlYTRkMTYwNjM3Y2QzMDVjZjUxNjkzYjIiLCJ1c2VySWQiOiI0NjU4OTcxNzIifQ==</vt:lpwstr>
  </property>
</Properties>
</file>