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34D7FA">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4</w:t>
      </w:r>
      <w:r>
        <w:rPr>
          <w:rFonts w:hint="eastAsia" w:ascii="方正小标宋_GBK" w:hAnsi="方正小标宋_GBK" w:eastAsia="方正小标宋_GBK" w:cs="方正小标宋_GBK"/>
          <w:sz w:val="44"/>
          <w:szCs w:val="44"/>
        </w:rPr>
        <w:t>年度体育彩票公益金资助项目宣传公告</w:t>
      </w:r>
    </w:p>
    <w:p w14:paraId="7A8AACA8">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-社会体育指导员队伍建设</w:t>
      </w:r>
    </w:p>
    <w:p w14:paraId="1D1DBD3E">
      <w:pPr>
        <w:rPr>
          <w:rFonts w:hint="eastAsia"/>
          <w:sz w:val="44"/>
          <w:szCs w:val="44"/>
        </w:rPr>
      </w:pPr>
    </w:p>
    <w:p w14:paraId="19926B78">
      <w:pPr>
        <w:numPr>
          <w:ilvl w:val="0"/>
          <w:numId w:val="1"/>
        </w:numPr>
        <w:ind w:firstLine="630"/>
        <w:rPr>
          <w:rFonts w:hint="eastAsia" w:ascii="黑体" w:hAnsi="黑体" w:eastAsia="黑体"/>
          <w:sz w:val="32"/>
          <w:szCs w:val="32"/>
        </w:rPr>
      </w:pPr>
      <w:r>
        <w:rPr>
          <w:rFonts w:hint="eastAsia" w:ascii="黑体" w:hAnsi="黑体" w:eastAsia="黑体"/>
          <w:sz w:val="32"/>
          <w:szCs w:val="32"/>
        </w:rPr>
        <w:t>体彩公益金资助项目信息公布情况</w:t>
      </w:r>
    </w:p>
    <w:p w14:paraId="1922EE42">
      <w:pPr>
        <w:pStyle w:val="4"/>
        <w:tabs>
          <w:tab w:val="left" w:pos="1602"/>
        </w:tabs>
        <w:spacing w:line="571" w:lineRule="exact"/>
        <w:ind w:firstLine="740"/>
        <w:rPr>
          <w:rFonts w:hint="eastAsia" w:ascii="仿宋" w:hAnsi="仿宋" w:eastAsia="仿宋" w:cs="仿宋"/>
          <w:sz w:val="32"/>
          <w:szCs w:val="32"/>
        </w:rPr>
      </w:pPr>
      <w:bookmarkStart w:id="0" w:name="bookmark25"/>
      <w:r>
        <w:rPr>
          <w:rFonts w:hint="eastAsia" w:ascii="仿宋" w:hAnsi="仿宋" w:eastAsia="仿宋" w:cs="仿宋"/>
          <w:color w:val="000000"/>
          <w:sz w:val="32"/>
          <w:szCs w:val="32"/>
        </w:rPr>
        <w:t>（</w:t>
      </w:r>
      <w:bookmarkEnd w:id="0"/>
      <w:r>
        <w:rPr>
          <w:rFonts w:hint="eastAsia" w:ascii="仿宋" w:hAnsi="仿宋" w:eastAsia="仿宋" w:cs="仿宋"/>
          <w:color w:val="000000"/>
          <w:sz w:val="32"/>
          <w:szCs w:val="32"/>
        </w:rPr>
        <w:t>一）项目概况</w:t>
      </w:r>
    </w:p>
    <w:p w14:paraId="76A5DCFC">
      <w:pPr>
        <w:ind w:firstLine="630"/>
        <w:rPr>
          <w:rFonts w:hint="eastAsia" w:ascii="仿宋" w:hAnsi="仿宋" w:eastAsia="仿宋" w:cs="仿宋"/>
          <w:sz w:val="32"/>
          <w:szCs w:val="32"/>
        </w:rPr>
      </w:pPr>
      <w:r>
        <w:rPr>
          <w:rFonts w:hint="eastAsia" w:ascii="仿宋" w:hAnsi="仿宋" w:eastAsia="仿宋" w:cs="仿宋"/>
          <w:sz w:val="32"/>
          <w:szCs w:val="32"/>
        </w:rPr>
        <w:t>1．项目名称：社会体育指导员队伍建设项目</w:t>
      </w:r>
    </w:p>
    <w:p w14:paraId="619BBA66">
      <w:pPr>
        <w:ind w:firstLine="63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实施</w:t>
      </w:r>
      <w:r>
        <w:rPr>
          <w:rFonts w:hint="eastAsia" w:ascii="仿宋" w:hAnsi="仿宋" w:eastAsia="仿宋" w:cs="仿宋"/>
          <w:sz w:val="32"/>
          <w:szCs w:val="32"/>
        </w:rPr>
        <w:t>单位：江阴市文体广电和旅游局群体科</w:t>
      </w:r>
    </w:p>
    <w:p w14:paraId="05BB7826">
      <w:pPr>
        <w:ind w:firstLine="630"/>
        <w:rPr>
          <w:rFonts w:hint="eastAsia" w:ascii="仿宋" w:hAnsi="仿宋" w:eastAsia="仿宋" w:cs="仿宋"/>
          <w:sz w:val="32"/>
          <w:szCs w:val="32"/>
        </w:rPr>
      </w:pPr>
      <w:r>
        <w:rPr>
          <w:rFonts w:hint="eastAsia" w:ascii="仿宋" w:hAnsi="仿宋" w:eastAsia="仿宋" w:cs="仿宋"/>
          <w:sz w:val="32"/>
          <w:szCs w:val="32"/>
        </w:rPr>
        <w:t>3．资金额度：6.</w:t>
      </w:r>
      <w:r>
        <w:rPr>
          <w:rFonts w:hint="eastAsia" w:ascii="仿宋" w:hAnsi="仿宋" w:eastAsia="仿宋" w:cs="仿宋"/>
          <w:sz w:val="32"/>
          <w:szCs w:val="32"/>
          <w:lang w:val="en-US" w:eastAsia="zh-CN"/>
        </w:rPr>
        <w:t>7750</w:t>
      </w:r>
      <w:r>
        <w:rPr>
          <w:rFonts w:hint="eastAsia" w:ascii="仿宋" w:hAnsi="仿宋" w:eastAsia="仿宋" w:cs="仿宋"/>
          <w:sz w:val="32"/>
          <w:szCs w:val="32"/>
        </w:rPr>
        <w:t>万元</w:t>
      </w:r>
    </w:p>
    <w:p w14:paraId="15EC8588">
      <w:pPr>
        <w:ind w:firstLine="630"/>
        <w:rPr>
          <w:rFonts w:hint="eastAsia" w:ascii="仿宋" w:hAnsi="仿宋" w:eastAsia="仿宋" w:cs="仿宋"/>
          <w:sz w:val="32"/>
          <w:szCs w:val="32"/>
        </w:rPr>
      </w:pPr>
      <w:r>
        <w:rPr>
          <w:rFonts w:hint="eastAsia" w:ascii="仿宋" w:hAnsi="仿宋" w:eastAsia="仿宋" w:cs="仿宋"/>
          <w:sz w:val="32"/>
          <w:szCs w:val="32"/>
        </w:rPr>
        <w:t>4. 项目联络人：阚璇</w:t>
      </w:r>
    </w:p>
    <w:p w14:paraId="288AA5D3">
      <w:pPr>
        <w:ind w:firstLine="630"/>
        <w:rPr>
          <w:rFonts w:hint="eastAsia" w:ascii="仿宋" w:hAnsi="仿宋" w:eastAsia="仿宋" w:cs="仿宋"/>
          <w:sz w:val="32"/>
          <w:szCs w:val="32"/>
        </w:rPr>
      </w:pPr>
      <w:r>
        <w:rPr>
          <w:rFonts w:hint="eastAsia" w:ascii="仿宋" w:hAnsi="仿宋" w:eastAsia="仿宋" w:cs="仿宋"/>
          <w:sz w:val="32"/>
          <w:szCs w:val="32"/>
        </w:rPr>
        <w:t>5. 项目时间：202</w:t>
      </w:r>
      <w:r>
        <w:rPr>
          <w:rFonts w:hint="eastAsia" w:ascii="仿宋" w:hAnsi="仿宋" w:eastAsia="仿宋" w:cs="仿宋"/>
          <w:sz w:val="32"/>
          <w:szCs w:val="32"/>
          <w:lang w:val="en-US" w:eastAsia="zh-CN"/>
        </w:rPr>
        <w:t>5</w:t>
      </w:r>
      <w:r>
        <w:rPr>
          <w:rFonts w:hint="eastAsia" w:ascii="仿宋" w:hAnsi="仿宋" w:eastAsia="仿宋" w:cs="仿宋"/>
          <w:sz w:val="32"/>
          <w:szCs w:val="32"/>
        </w:rPr>
        <w:t>年1月—12月</w:t>
      </w:r>
    </w:p>
    <w:p w14:paraId="348B1DBA">
      <w:pPr>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（二）体彩公益金资助项目实施效果</w:t>
      </w:r>
    </w:p>
    <w:p w14:paraId="76D5DB1C">
      <w:pPr>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1、体彩公益金资助项目及影响的总体描述：</w:t>
      </w:r>
      <w:r>
        <w:rPr>
          <w:rFonts w:hint="eastAsia" w:ascii="仿宋" w:hAnsi="仿宋" w:eastAsia="仿宋" w:cs="仿宋"/>
          <w:sz w:val="32"/>
          <w:szCs w:val="32"/>
        </w:rPr>
        <w:t>通过开展社会体育指导员培训，派送优秀指导员参加省级组织的高级技能培训，为社会体育指导员办理意外保险业务等活动，激发社会体育指导员工作热情，壮大社会体育指导员队伍建设，以点带面推动本地全民健身运动蓬勃开展。</w:t>
      </w:r>
    </w:p>
    <w:p w14:paraId="7AB1D3E6">
      <w:pPr>
        <w:numPr>
          <w:ilvl w:val="0"/>
          <w:numId w:val="2"/>
        </w:numPr>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项目具体实施内容及产生经济效益、社会效益、可持续发展等效果：</w:t>
      </w:r>
      <w:r>
        <w:rPr>
          <w:rFonts w:hint="eastAsia" w:ascii="仿宋" w:hAnsi="仿宋" w:eastAsia="仿宋" w:cs="仿宋"/>
          <w:sz w:val="32"/>
          <w:szCs w:val="32"/>
        </w:rPr>
        <w:t>社会体育指导员队伍建设项目支出6.</w:t>
      </w:r>
      <w:r>
        <w:rPr>
          <w:rFonts w:hint="eastAsia" w:ascii="仿宋" w:hAnsi="仿宋" w:eastAsia="仿宋" w:cs="仿宋"/>
          <w:sz w:val="32"/>
          <w:szCs w:val="32"/>
          <w:lang w:val="en-US" w:eastAsia="zh-CN"/>
        </w:rPr>
        <w:t>7750</w:t>
      </w:r>
      <w:r>
        <w:rPr>
          <w:rFonts w:hint="eastAsia" w:ascii="仿宋" w:hAnsi="仿宋" w:eastAsia="仿宋" w:cs="仿宋"/>
          <w:sz w:val="32"/>
          <w:szCs w:val="32"/>
        </w:rPr>
        <w:t>万元，主要用于社会体育指导员培训餐费、讲课费、外出培训交通补助，一线社会体育指导员意外伤害保险，社会体育指导员运动促进健康宣传视频制作等。项目通过培训背景墙上张贴体育彩票公益金标牌等方式对彩票公益金进行宣传，通过宣传，让社会体育指导员了解体育彩票发行的目的和意义，切身体会到体育彩票公益金取之于民用之于民的理念。</w:t>
      </w:r>
      <w:r>
        <w:rPr>
          <w:rFonts w:hint="eastAsia" w:ascii="仿宋" w:hAnsi="仿宋" w:eastAsia="仿宋" w:cs="仿宋"/>
          <w:spacing w:val="0"/>
          <w:kern w:val="2"/>
          <w:position w:val="0"/>
          <w:sz w:val="32"/>
          <w:szCs w:val="32"/>
          <w:lang w:eastAsia="zh-CN"/>
        </w:rPr>
        <w:t>全年新增</w:t>
      </w:r>
      <w:r>
        <w:rPr>
          <w:rFonts w:hint="eastAsia" w:ascii="仿宋" w:hAnsi="仿宋" w:eastAsia="仿宋" w:cs="仿宋"/>
          <w:spacing w:val="0"/>
          <w:kern w:val="2"/>
          <w:position w:val="0"/>
          <w:sz w:val="32"/>
          <w:szCs w:val="32"/>
          <w:lang w:val="en-US" w:eastAsia="zh-CN"/>
        </w:rPr>
        <w:t>4个二级社会体育指导员、7个一级社会体育指导员、8个国家级社会体育指导员。</w:t>
      </w:r>
      <w:r>
        <w:rPr>
          <w:rFonts w:hint="eastAsia" w:ascii="仿宋" w:hAnsi="仿宋" w:eastAsia="仿宋" w:cs="仿宋"/>
          <w:color w:val="000000" w:themeColor="text1"/>
          <w:spacing w:val="0"/>
          <w:kern w:val="2"/>
          <w:position w:val="0"/>
          <w:sz w:val="32"/>
          <w:szCs w:val="32"/>
          <w:lang w:eastAsia="zh-CN"/>
          <w14:textFill>
            <w14:solidFill>
              <w14:schemeClr w14:val="tx1"/>
            </w14:solidFill>
          </w14:textFill>
        </w:rPr>
        <w:t>目前全市社会体育指导</w:t>
      </w:r>
      <w:r>
        <w:rPr>
          <w:rFonts w:hint="eastAsia" w:ascii="仿宋" w:hAnsi="仿宋" w:eastAsia="仿宋" w:cs="仿宋"/>
          <w:color w:val="000000" w:themeColor="text1"/>
          <w:spacing w:val="0"/>
          <w:kern w:val="2"/>
          <w:position w:val="0"/>
          <w:sz w:val="32"/>
          <w:szCs w:val="32"/>
          <w:highlight w:val="none"/>
          <w:lang w:eastAsia="zh-CN"/>
          <w14:textFill>
            <w14:solidFill>
              <w14:schemeClr w14:val="tx1"/>
            </w14:solidFill>
          </w14:textFill>
        </w:rPr>
        <w:t>员总数达到</w:t>
      </w:r>
      <w:r>
        <w:rPr>
          <w:rFonts w:hint="eastAsia" w:ascii="仿宋" w:hAnsi="仿宋" w:eastAsia="仿宋" w:cs="仿宋"/>
          <w:color w:val="000000" w:themeColor="text1"/>
          <w:spacing w:val="0"/>
          <w:kern w:val="2"/>
          <w:position w:val="0"/>
          <w:sz w:val="32"/>
          <w:szCs w:val="32"/>
          <w:highlight w:val="none"/>
          <w:lang w:val="en-US" w:eastAsia="zh-CN"/>
          <w14:textFill>
            <w14:solidFill>
              <w14:schemeClr w14:val="tx1"/>
            </w14:solidFill>
          </w14:textFill>
        </w:rPr>
        <w:t>10575</w:t>
      </w:r>
      <w:r>
        <w:rPr>
          <w:rFonts w:hint="eastAsia" w:ascii="仿宋" w:hAnsi="仿宋" w:eastAsia="仿宋" w:cs="仿宋"/>
          <w:color w:val="000000" w:themeColor="text1"/>
          <w:spacing w:val="0"/>
          <w:kern w:val="2"/>
          <w:position w:val="0"/>
          <w:sz w:val="32"/>
          <w:szCs w:val="32"/>
          <w:highlight w:val="none"/>
          <w:lang w:eastAsia="zh-CN"/>
          <w14:textFill>
            <w14:solidFill>
              <w14:schemeClr w14:val="tx1"/>
            </w14:solidFill>
          </w14:textFill>
        </w:rPr>
        <w:t>人，每万人拥有社会体育指导员</w:t>
      </w:r>
      <w:r>
        <w:rPr>
          <w:rFonts w:hint="eastAsia" w:ascii="仿宋" w:hAnsi="仿宋" w:eastAsia="仿宋" w:cs="仿宋"/>
          <w:color w:val="000000" w:themeColor="text1"/>
          <w:spacing w:val="0"/>
          <w:kern w:val="2"/>
          <w:position w:val="0"/>
          <w:sz w:val="32"/>
          <w:szCs w:val="32"/>
          <w:highlight w:val="none"/>
          <w:lang w:val="en-US" w:eastAsia="zh-CN"/>
          <w14:textFill>
            <w14:solidFill>
              <w14:schemeClr w14:val="tx1"/>
            </w14:solidFill>
          </w14:textFill>
        </w:rPr>
        <w:t>59</w:t>
      </w:r>
      <w:r>
        <w:rPr>
          <w:rFonts w:hint="eastAsia" w:ascii="仿宋" w:hAnsi="仿宋" w:eastAsia="仿宋" w:cs="仿宋"/>
          <w:color w:val="000000" w:themeColor="text1"/>
          <w:spacing w:val="0"/>
          <w:kern w:val="2"/>
          <w:position w:val="0"/>
          <w:sz w:val="32"/>
          <w:szCs w:val="32"/>
          <w:highlight w:val="none"/>
          <w:lang w:eastAsia="zh-CN"/>
          <w14:textFill>
            <w14:solidFill>
              <w14:schemeClr w14:val="tx1"/>
            </w14:solidFill>
          </w14:textFill>
        </w:rPr>
        <w:t>人。</w:t>
      </w:r>
      <w:r>
        <w:rPr>
          <w:rFonts w:hint="eastAsia" w:ascii="仿宋" w:hAnsi="仿宋" w:eastAsia="仿宋" w:cs="仿宋"/>
          <w:sz w:val="32"/>
          <w:szCs w:val="32"/>
        </w:rPr>
        <w:t xml:space="preserve">   </w:t>
      </w:r>
    </w:p>
    <w:p w14:paraId="1651ADF7">
      <w:pPr>
        <w:rPr>
          <w:rFonts w:hint="eastAsia" w:ascii="黑体" w:hAnsi="黑体" w:eastAsia="黑体" w:cs="黑体"/>
          <w:sz w:val="32"/>
          <w:szCs w:val="32"/>
        </w:rPr>
      </w:pPr>
      <w:r>
        <w:rPr>
          <w:rFonts w:hint="eastAsia" w:ascii="仿宋" w:hAnsi="仿宋" w:eastAsia="仿宋" w:cs="仿宋"/>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二</w:t>
      </w:r>
      <w:r>
        <w:rPr>
          <w:rFonts w:hint="eastAsia" w:ascii="黑体" w:hAnsi="黑体" w:eastAsia="黑体" w:cs="黑体"/>
          <w:sz w:val="32"/>
          <w:szCs w:val="32"/>
        </w:rPr>
        <w:t>、资助项目宣传工作开展情况</w:t>
      </w:r>
    </w:p>
    <w:p w14:paraId="6EF4322C">
      <w:pPr>
        <w:ind w:firstLine="640" w:firstLineChars="200"/>
        <w:rPr>
          <w:rFonts w:hint="eastAsia" w:ascii="仿宋" w:hAnsi="仿宋" w:eastAsia="仿宋" w:cs="仿宋"/>
          <w:sz w:val="32"/>
          <w:szCs w:val="32"/>
        </w:rPr>
      </w:pPr>
      <w:r>
        <w:rPr>
          <w:rFonts w:hint="eastAsia" w:ascii="仿宋" w:hAnsi="仿宋" w:eastAsia="仿宋" w:cs="仿宋"/>
          <w:sz w:val="32"/>
          <w:szCs w:val="32"/>
        </w:rPr>
        <w:t>社会体育指导员建设项目预算金额6.</w:t>
      </w:r>
      <w:r>
        <w:rPr>
          <w:rFonts w:hint="eastAsia" w:ascii="仿宋" w:hAnsi="仿宋" w:eastAsia="仿宋" w:cs="仿宋"/>
          <w:sz w:val="32"/>
          <w:szCs w:val="32"/>
          <w:lang w:val="en-US" w:eastAsia="zh-CN"/>
        </w:rPr>
        <w:t>7750</w:t>
      </w:r>
      <w:r>
        <w:rPr>
          <w:rFonts w:hint="eastAsia" w:ascii="仿宋" w:hAnsi="仿宋" w:eastAsia="仿宋" w:cs="仿宋"/>
          <w:sz w:val="32"/>
          <w:szCs w:val="32"/>
        </w:rPr>
        <w:t>万元，本年度支出6.</w:t>
      </w:r>
      <w:r>
        <w:rPr>
          <w:rFonts w:hint="eastAsia" w:ascii="仿宋" w:hAnsi="仿宋" w:eastAsia="仿宋" w:cs="仿宋"/>
          <w:sz w:val="32"/>
          <w:szCs w:val="32"/>
          <w:lang w:val="en-US" w:eastAsia="zh-CN"/>
        </w:rPr>
        <w:t>7750</w:t>
      </w:r>
      <w:r>
        <w:rPr>
          <w:rFonts w:hint="eastAsia" w:ascii="仿宋" w:hAnsi="仿宋" w:eastAsia="仿宋" w:cs="仿宋"/>
          <w:sz w:val="32"/>
          <w:szCs w:val="32"/>
        </w:rPr>
        <w:t>万元， 主要用于社会体育指导员培训餐费、讲课费、外出培训交通补助，一线社会体育指导员意外伤害保险，社会体育指导员运动促进健康宣传视频制作等。项目通过以下方式对彩票公益金进行了宣传</w:t>
      </w:r>
      <w:r>
        <w:rPr>
          <w:rFonts w:hint="eastAsia" w:ascii="仿宋" w:hAnsi="仿宋" w:eastAsia="仿宋" w:cs="仿宋"/>
          <w:sz w:val="32"/>
          <w:szCs w:val="32"/>
          <w:lang w:eastAsia="zh-CN"/>
        </w:rPr>
        <w:t>，</w:t>
      </w:r>
      <w:r>
        <w:rPr>
          <w:rFonts w:hint="eastAsia" w:ascii="仿宋" w:hAnsi="仿宋" w:eastAsia="仿宋" w:cs="仿宋"/>
          <w:sz w:val="32"/>
          <w:szCs w:val="32"/>
        </w:rPr>
        <w:t>包括：</w:t>
      </w:r>
    </w:p>
    <w:p w14:paraId="280AD4D6">
      <w:pPr>
        <w:numPr>
          <w:ilvl w:val="0"/>
          <w:numId w:val="3"/>
        </w:numPr>
        <w:ind w:firstLine="640" w:firstLineChars="200"/>
        <w:rPr>
          <w:rFonts w:hint="eastAsia" w:ascii="仿宋" w:hAnsi="仿宋" w:eastAsia="仿宋" w:cs="仿宋"/>
          <w:sz w:val="32"/>
          <w:szCs w:val="32"/>
        </w:rPr>
      </w:pPr>
      <w:r>
        <w:rPr>
          <w:rFonts w:hint="eastAsia" w:ascii="仿宋" w:hAnsi="仿宋" w:eastAsia="仿宋" w:cs="仿宋"/>
          <w:sz w:val="32"/>
          <w:szCs w:val="32"/>
        </w:rPr>
        <w:t>现场宣传。我们对该项目进行了全方位的现场宣传，包括印发通知、制作横幅，均按照《资助项目宣传管理办法》要求的宣传规范进行实施。</w:t>
      </w:r>
    </w:p>
    <w:p w14:paraId="2137D115">
      <w:pPr>
        <w:numPr>
          <w:ilvl w:val="0"/>
          <w:numId w:val="3"/>
        </w:numPr>
        <w:ind w:firstLine="640" w:firstLineChars="200"/>
        <w:rPr>
          <w:rFonts w:hint="eastAsia" w:ascii="仿宋" w:hAnsi="仿宋" w:eastAsia="仿宋" w:cs="仿宋"/>
          <w:sz w:val="32"/>
          <w:szCs w:val="32"/>
        </w:rPr>
      </w:pPr>
      <w:r>
        <w:rPr>
          <w:rFonts w:hint="eastAsia" w:ascii="仿宋" w:hAnsi="仿宋" w:eastAsia="仿宋" w:cs="仿宋"/>
          <w:sz w:val="32"/>
          <w:szCs w:val="32"/>
        </w:rPr>
        <w:t>媒体宣传。宣传手段包含纸质、广播电视和网络媒体等，如：在局网站、微信公众号上对指导员培训、奖励等进行宣传。通过宣传，起到了完成全年培训任务、购买保险任务及对体育指导员进行激励鼓励的效果。</w:t>
      </w:r>
    </w:p>
    <w:p w14:paraId="17087E26">
      <w:pPr>
        <w:numPr>
          <w:ilvl w:val="0"/>
          <w:numId w:val="3"/>
        </w:numPr>
        <w:ind w:firstLine="640" w:firstLineChars="200"/>
        <w:rPr>
          <w:rFonts w:hint="eastAsia" w:ascii="仿宋_GB2312" w:eastAsia="仿宋_GB2312"/>
          <w:sz w:val="32"/>
          <w:szCs w:val="32"/>
        </w:rPr>
      </w:pPr>
      <w:r>
        <w:rPr>
          <w:rFonts w:hint="eastAsia" w:ascii="仿宋" w:hAnsi="仿宋" w:eastAsia="仿宋" w:cs="仿宋"/>
          <w:sz w:val="32"/>
          <w:szCs w:val="32"/>
        </w:rPr>
        <w:t xml:space="preserve">图片及影像资料等信息     </w:t>
      </w:r>
      <w:r>
        <w:rPr>
          <w:rFonts w:hint="eastAsia" w:ascii="仿宋_GB2312" w:eastAsia="仿宋_GB2312"/>
          <w:sz w:val="32"/>
          <w:szCs w:val="32"/>
        </w:rPr>
        <w:t xml:space="preserve">   </w:t>
      </w:r>
    </w:p>
    <w:p w14:paraId="197D1CFC">
      <w:pPr>
        <w:rPr>
          <w:rFonts w:hint="eastAsia" w:ascii="仿宋_GB2312" w:eastAsia="仿宋_GB2312"/>
          <w:sz w:val="32"/>
          <w:szCs w:val="32"/>
        </w:rPr>
      </w:pPr>
    </w:p>
    <w:p w14:paraId="64850464">
      <w:pPr>
        <w:rPr>
          <w:rFonts w:hint="eastAsia" w:ascii="仿宋_GB2312" w:eastAsia="仿宋_GB2312"/>
          <w:sz w:val="32"/>
          <w:szCs w:val="32"/>
        </w:rPr>
      </w:pPr>
    </w:p>
    <w:p w14:paraId="326C7CAC">
      <w:pPr>
        <w:rPr>
          <w:rFonts w:hint="eastAsia" w:ascii="仿宋_GB2312" w:eastAsia="仿宋_GB2312"/>
          <w:sz w:val="32"/>
          <w:szCs w:val="32"/>
        </w:rPr>
      </w:pPr>
    </w:p>
    <w:p w14:paraId="2D6360CD">
      <w:pPr>
        <w:rPr>
          <w:rFonts w:hint="eastAsia"/>
          <w:lang w:eastAsia="zh-CN"/>
        </w:rPr>
      </w:pPr>
      <w:r>
        <w:rPr>
          <w:rFonts w:hint="eastAsia" w:ascii="仿宋_GB2312" w:eastAsia="仿宋_GB2312"/>
          <w:sz w:val="32"/>
          <w:szCs w:val="32"/>
          <w:lang w:eastAsia="zh-CN"/>
        </w:rPr>
        <w:drawing>
          <wp:inline distT="0" distB="0" distL="114300" distR="114300">
            <wp:extent cx="5437505" cy="3293110"/>
            <wp:effectExtent l="0" t="0" r="1270" b="2540"/>
            <wp:docPr id="1" name="图片 1" descr="9655bdee3e83c1a84dcf276001f13a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655bdee3e83c1a84dcf276001f13a6a"/>
                    <pic:cNvPicPr>
                      <a:picLocks noChangeAspect="1"/>
                    </pic:cNvPicPr>
                  </pic:nvPicPr>
                  <pic:blipFill>
                    <a:blip r:embed="rId4"/>
                    <a:stretch>
                      <a:fillRect/>
                    </a:stretch>
                  </pic:blipFill>
                  <pic:spPr>
                    <a:xfrm>
                      <a:off x="0" y="0"/>
                      <a:ext cx="5437505" cy="3293110"/>
                    </a:xfrm>
                    <a:prstGeom prst="rect">
                      <a:avLst/>
                    </a:prstGeom>
                  </pic:spPr>
                </pic:pic>
              </a:graphicData>
            </a:graphic>
          </wp:inline>
        </w:drawing>
      </w:r>
    </w:p>
    <w:p w14:paraId="170F59D5">
      <w:pPr>
        <w:rPr>
          <w:rFonts w:hint="eastAsia"/>
          <w:lang w:eastAsia="zh-CN"/>
        </w:rPr>
      </w:pPr>
    </w:p>
    <w:p w14:paraId="7905857F">
      <w:pPr>
        <w:rPr>
          <w:rFonts w:hint="eastAsia"/>
          <w:lang w:eastAsia="zh-CN"/>
        </w:rPr>
      </w:pPr>
    </w:p>
    <w:p w14:paraId="6A32531D">
      <w:pPr>
        <w:rPr>
          <w:rFonts w:hint="eastAsia"/>
          <w:lang w:eastAsia="zh-CN"/>
        </w:rPr>
      </w:pPr>
      <w:r>
        <w:rPr>
          <w:rFonts w:hint="eastAsia"/>
          <w:lang w:eastAsia="zh-CN"/>
        </w:rPr>
        <w:drawing>
          <wp:inline distT="0" distB="0" distL="114300" distR="114300">
            <wp:extent cx="5437505" cy="3494405"/>
            <wp:effectExtent l="0" t="0" r="1270" b="1270"/>
            <wp:docPr id="3" name="图片 3" descr="8d1d04ca8d8d0cdf80ba8a6b207adf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d1d04ca8d8d0cdf80ba8a6b207adf05"/>
                    <pic:cNvPicPr>
                      <a:picLocks noChangeAspect="1"/>
                    </pic:cNvPicPr>
                  </pic:nvPicPr>
                  <pic:blipFill>
                    <a:blip r:embed="rId5"/>
                    <a:stretch>
                      <a:fillRect/>
                    </a:stretch>
                  </pic:blipFill>
                  <pic:spPr>
                    <a:xfrm>
                      <a:off x="0" y="0"/>
                      <a:ext cx="5437505" cy="3494405"/>
                    </a:xfrm>
                    <a:prstGeom prst="rect">
                      <a:avLst/>
                    </a:prstGeom>
                  </pic:spPr>
                </pic:pic>
              </a:graphicData>
            </a:graphic>
          </wp:inline>
        </w:drawing>
      </w:r>
    </w:p>
    <w:p w14:paraId="56E880B5">
      <w:pPr>
        <w:rPr>
          <w:rFonts w:hint="eastAsia"/>
          <w:lang w:eastAsia="zh-CN"/>
        </w:rPr>
      </w:pPr>
    </w:p>
    <w:p w14:paraId="4217F976">
      <w:pPr>
        <w:rPr>
          <w:rFonts w:hint="eastAsia"/>
          <w:lang w:eastAsia="zh-CN"/>
        </w:rPr>
      </w:pPr>
    </w:p>
    <w:p w14:paraId="4430FB3A">
      <w:pPr>
        <w:rPr>
          <w:rFonts w:hint="eastAsia"/>
          <w:lang w:eastAsia="zh-CN"/>
        </w:rPr>
      </w:pPr>
    </w:p>
    <w:p w14:paraId="026D4ACC">
      <w:pPr>
        <w:rPr>
          <w:rFonts w:hint="eastAsia"/>
          <w:lang w:eastAsia="zh-CN"/>
        </w:rPr>
      </w:pPr>
    </w:p>
    <w:p w14:paraId="37D2C565">
      <w:pPr>
        <w:rPr>
          <w:rFonts w:hint="eastAsia"/>
          <w:lang w:eastAsia="zh-CN"/>
        </w:rPr>
      </w:pPr>
    </w:p>
    <w:p w14:paraId="595EE034">
      <w:pPr>
        <w:rPr>
          <w:rFonts w:hint="eastAsia"/>
          <w:lang w:eastAsia="zh-CN"/>
        </w:rPr>
      </w:pPr>
    </w:p>
    <w:p w14:paraId="454CF8B8">
      <w:pPr>
        <w:rPr>
          <w:rFonts w:hint="eastAsia"/>
          <w:lang w:eastAsia="zh-CN"/>
        </w:rPr>
      </w:pPr>
      <w:r>
        <w:rPr>
          <w:rFonts w:hint="eastAsia"/>
          <w:lang w:eastAsia="zh-CN"/>
        </w:rPr>
        <w:drawing>
          <wp:inline distT="0" distB="0" distL="114300" distR="114300">
            <wp:extent cx="5375910" cy="3867785"/>
            <wp:effectExtent l="0" t="0" r="5715" b="8890"/>
            <wp:docPr id="5" name="图片 5" descr="8135c222aad1c322b819e4d1be6c58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135c222aad1c322b819e4d1be6c58ca"/>
                    <pic:cNvPicPr>
                      <a:picLocks noChangeAspect="1"/>
                    </pic:cNvPicPr>
                  </pic:nvPicPr>
                  <pic:blipFill>
                    <a:blip r:embed="rId6"/>
                    <a:stretch>
                      <a:fillRect/>
                    </a:stretch>
                  </pic:blipFill>
                  <pic:spPr>
                    <a:xfrm>
                      <a:off x="0" y="0"/>
                      <a:ext cx="5375910" cy="3867785"/>
                    </a:xfrm>
                    <a:prstGeom prst="rect">
                      <a:avLst/>
                    </a:prstGeom>
                  </pic:spPr>
                </pic:pic>
              </a:graphicData>
            </a:graphic>
          </wp:inline>
        </w:drawing>
      </w:r>
    </w:p>
    <w:p w14:paraId="5BA5AECC">
      <w:pPr>
        <w:rPr>
          <w:rFonts w:hint="eastAsia"/>
          <w:lang w:eastAsia="zh-CN"/>
        </w:rPr>
      </w:pPr>
    </w:p>
    <w:p w14:paraId="2CFB30F3">
      <w:pPr>
        <w:rPr>
          <w:rFonts w:hint="eastAsia"/>
          <w:lang w:eastAsia="zh-CN"/>
        </w:rPr>
      </w:pPr>
    </w:p>
    <w:p w14:paraId="53048026">
      <w:pPr>
        <w:rPr>
          <w:rFonts w:hint="eastAsia"/>
          <w:lang w:eastAsia="zh-CN"/>
        </w:rPr>
      </w:pPr>
      <w:r>
        <w:rPr>
          <w:rFonts w:hint="eastAsia"/>
          <w:lang w:eastAsia="zh-CN"/>
        </w:rPr>
        <w:drawing>
          <wp:inline distT="0" distB="0" distL="114300" distR="114300">
            <wp:extent cx="5368290" cy="4026535"/>
            <wp:effectExtent l="0" t="0" r="3810" b="2540"/>
            <wp:docPr id="7" name="图片 7" descr="7c20da0b48442eff26684b0c2beda8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c20da0b48442eff26684b0c2beda81b"/>
                    <pic:cNvPicPr>
                      <a:picLocks noChangeAspect="1"/>
                    </pic:cNvPicPr>
                  </pic:nvPicPr>
                  <pic:blipFill>
                    <a:blip r:embed="rId7"/>
                    <a:stretch>
                      <a:fillRect/>
                    </a:stretch>
                  </pic:blipFill>
                  <pic:spPr>
                    <a:xfrm>
                      <a:off x="0" y="0"/>
                      <a:ext cx="5368290" cy="4026535"/>
                    </a:xfrm>
                    <a:prstGeom prst="rect">
                      <a:avLst/>
                    </a:prstGeom>
                  </pic:spPr>
                </pic:pic>
              </a:graphicData>
            </a:graphic>
          </wp:inline>
        </w:drawing>
      </w:r>
    </w:p>
    <w:p w14:paraId="21732368">
      <w:pPr>
        <w:rPr>
          <w:rFonts w:hint="eastAsia"/>
          <w:lang w:eastAsia="zh-CN"/>
        </w:rPr>
      </w:pPr>
    </w:p>
    <w:p w14:paraId="5E3F2F65">
      <w:pPr>
        <w:rPr>
          <w:rFonts w:hint="eastAsia"/>
          <w:lang w:eastAsia="zh-CN"/>
        </w:rPr>
      </w:pPr>
      <w:r>
        <w:rPr>
          <w:rFonts w:hint="eastAsia"/>
          <w:lang w:eastAsia="zh-CN"/>
        </w:rPr>
        <w:drawing>
          <wp:inline distT="0" distB="0" distL="114300" distR="114300">
            <wp:extent cx="5376545" cy="3822065"/>
            <wp:effectExtent l="0" t="0" r="5080" b="6985"/>
            <wp:docPr id="10" name="图片 10" descr="8440771a1f90e3c1ff7a47909b279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8440771a1f90e3c1ff7a47909b279ab7"/>
                    <pic:cNvPicPr>
                      <a:picLocks noChangeAspect="1"/>
                    </pic:cNvPicPr>
                  </pic:nvPicPr>
                  <pic:blipFill>
                    <a:blip r:embed="rId8"/>
                    <a:stretch>
                      <a:fillRect/>
                    </a:stretch>
                  </pic:blipFill>
                  <pic:spPr>
                    <a:xfrm>
                      <a:off x="0" y="0"/>
                      <a:ext cx="5376545" cy="3822065"/>
                    </a:xfrm>
                    <a:prstGeom prst="rect">
                      <a:avLst/>
                    </a:prstGeom>
                  </pic:spPr>
                </pic:pic>
              </a:graphicData>
            </a:graphic>
          </wp:inline>
        </w:drawing>
      </w:r>
    </w:p>
    <w:p w14:paraId="1D903681">
      <w:pPr>
        <w:rPr>
          <w:rFonts w:hint="eastAsia"/>
          <w:lang w:eastAsia="zh-CN"/>
        </w:rPr>
      </w:pPr>
    </w:p>
    <w:p w14:paraId="36AA2719">
      <w:pPr>
        <w:rPr>
          <w:rFonts w:hint="eastAsia"/>
          <w:lang w:eastAsia="zh-CN"/>
        </w:rPr>
      </w:pPr>
      <w:r>
        <w:rPr>
          <w:rFonts w:hint="eastAsia"/>
          <w:lang w:eastAsia="zh-CN"/>
        </w:rPr>
        <w:drawing>
          <wp:inline distT="0" distB="0" distL="114300" distR="114300">
            <wp:extent cx="5370830" cy="4028440"/>
            <wp:effectExtent l="0" t="0" r="1270" b="635"/>
            <wp:docPr id="9" name="图片 9" descr="221e2375b8c69ca2e8f7fa6809dd9e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21e2375b8c69ca2e8f7fa6809dd9ee7"/>
                    <pic:cNvPicPr>
                      <a:picLocks noChangeAspect="1"/>
                    </pic:cNvPicPr>
                  </pic:nvPicPr>
                  <pic:blipFill>
                    <a:blip r:embed="rId9"/>
                    <a:stretch>
                      <a:fillRect/>
                    </a:stretch>
                  </pic:blipFill>
                  <pic:spPr>
                    <a:xfrm>
                      <a:off x="0" y="0"/>
                      <a:ext cx="5370830" cy="4028440"/>
                    </a:xfrm>
                    <a:prstGeom prst="rect">
                      <a:avLst/>
                    </a:prstGeom>
                  </pic:spPr>
                </pic:pic>
              </a:graphicData>
            </a:graphic>
          </wp:inline>
        </w:drawing>
      </w:r>
      <w:bookmarkStart w:id="1" w:name="_GoBack"/>
      <w:bookmarkEnd w:id="1"/>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8E7FF7"/>
    <w:multiLevelType w:val="singleLevel"/>
    <w:tmpl w:val="DC8E7FF7"/>
    <w:lvl w:ilvl="0" w:tentative="0">
      <w:start w:val="1"/>
      <w:numFmt w:val="chineseCounting"/>
      <w:suff w:val="nothing"/>
      <w:lvlText w:val="%1、"/>
      <w:lvlJc w:val="left"/>
      <w:rPr>
        <w:rFonts w:hint="eastAsia"/>
      </w:rPr>
    </w:lvl>
  </w:abstractNum>
  <w:abstractNum w:abstractNumId="1">
    <w:nsid w:val="06156A0A"/>
    <w:multiLevelType w:val="singleLevel"/>
    <w:tmpl w:val="06156A0A"/>
    <w:lvl w:ilvl="0" w:tentative="0">
      <w:start w:val="1"/>
      <w:numFmt w:val="decimal"/>
      <w:suff w:val="nothing"/>
      <w:lvlText w:val="（%1）"/>
      <w:lvlJc w:val="left"/>
    </w:lvl>
  </w:abstractNum>
  <w:abstractNum w:abstractNumId="2">
    <w:nsid w:val="19C5C16E"/>
    <w:multiLevelType w:val="singleLevel"/>
    <w:tmpl w:val="19C5C16E"/>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553D89"/>
    <w:rsid w:val="035934D1"/>
    <w:rsid w:val="08EB02F1"/>
    <w:rsid w:val="0BE5724E"/>
    <w:rsid w:val="12C6311E"/>
    <w:rsid w:val="1304728B"/>
    <w:rsid w:val="1C8F6D6C"/>
    <w:rsid w:val="1CCF1880"/>
    <w:rsid w:val="1D770FB0"/>
    <w:rsid w:val="21094BF6"/>
    <w:rsid w:val="28B24F99"/>
    <w:rsid w:val="292E1B35"/>
    <w:rsid w:val="29A21CB6"/>
    <w:rsid w:val="2B3A4CDA"/>
    <w:rsid w:val="2E275E90"/>
    <w:rsid w:val="2F034A50"/>
    <w:rsid w:val="32656774"/>
    <w:rsid w:val="32EE3597"/>
    <w:rsid w:val="3E553D89"/>
    <w:rsid w:val="45973239"/>
    <w:rsid w:val="55292147"/>
    <w:rsid w:val="59E26B24"/>
    <w:rsid w:val="67872B7C"/>
    <w:rsid w:val="6D1B4FFB"/>
    <w:rsid w:val="6F103717"/>
    <w:rsid w:val="749949EB"/>
    <w:rsid w:val="75406828"/>
    <w:rsid w:val="76B07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Body text|1"/>
    <w:basedOn w:val="1"/>
    <w:qFormat/>
    <w:uiPriority w:val="0"/>
    <w:pPr>
      <w:widowControl w:val="0"/>
      <w:shd w:val="clear" w:color="auto" w:fill="auto"/>
      <w:spacing w:line="434" w:lineRule="auto"/>
      <w:ind w:firstLine="400"/>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761</Words>
  <Characters>781</Characters>
  <Lines>0</Lines>
  <Paragraphs>0</Paragraphs>
  <TotalTime>2</TotalTime>
  <ScaleCrop>false</ScaleCrop>
  <LinksUpToDate>false</LinksUpToDate>
  <CharactersWithSpaces>800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2025-06-17T08:14:00Z</dcterms:created>
  <dc:creator>阚200</dc:creator>
  <cp:lastModifiedBy>牵着蜗牛去散步</cp:lastModifiedBy>
  <dcterms:modified xsi:type="dcterms:W3CDTF">2026-05-22T04:03:35Z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143192F75FEC4B91BB8610A0F43CE886_13</vt:lpwstr>
  </property>
  <property fmtid="{D5CDD505-2E9C-101B-9397-08002B2CF9AE}" pid="4" name="KSOTemplateDocerSaveRecord">
    <vt:lpwstr>eyJoZGlkIjoiNTU0ZmIwYTQ3NzlmZGUxZmU3Zjk0M2IyZTNmM2IxNjAiLCJ1c2VySWQiOiI5NDM2Mzg1MzQifQ==</vt:lpwstr>
  </property>
</Properties>
</file>