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E9" w:rsidRDefault="00E661E9" w:rsidP="00E661E9">
      <w:pPr>
        <w:adjustRightInd w:val="0"/>
        <w:jc w:val="left"/>
        <w:rPr>
          <w:rFonts w:eastAsia="方正黑体_GBK"/>
          <w:color w:val="000000"/>
          <w:szCs w:val="32"/>
        </w:rPr>
      </w:pPr>
      <w:r>
        <w:rPr>
          <w:rFonts w:eastAsia="方正黑体_GBK" w:hint="eastAsia"/>
          <w:color w:val="000000"/>
          <w:szCs w:val="32"/>
        </w:rPr>
        <w:t>附件</w:t>
      </w:r>
      <w:r>
        <w:rPr>
          <w:rFonts w:eastAsia="方正黑体_GBK" w:hint="eastAsia"/>
          <w:color w:val="000000"/>
          <w:szCs w:val="32"/>
        </w:rPr>
        <w:t>2</w:t>
      </w:r>
    </w:p>
    <w:p w:rsidR="00E661E9" w:rsidRDefault="00E661E9" w:rsidP="00E661E9">
      <w:pPr>
        <w:adjustRightInd w:val="0"/>
        <w:jc w:val="center"/>
        <w:rPr>
          <w:rFonts w:eastAsia="方正小标宋_GBK"/>
          <w:color w:val="000000"/>
          <w:sz w:val="44"/>
          <w:szCs w:val="32"/>
        </w:rPr>
      </w:pPr>
      <w:r>
        <w:rPr>
          <w:rFonts w:eastAsia="方正小标宋_GBK"/>
          <w:color w:val="000000"/>
          <w:sz w:val="44"/>
          <w:szCs w:val="32"/>
        </w:rPr>
        <w:t>江阴市民办学校资金监管银行遴选评审标准</w:t>
      </w:r>
    </w:p>
    <w:tbl>
      <w:tblPr>
        <w:tblW w:w="14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6537"/>
        <w:gridCol w:w="875"/>
        <w:gridCol w:w="4128"/>
      </w:tblGrid>
      <w:tr w:rsidR="00E661E9" w:rsidTr="00A44AC4">
        <w:trPr>
          <w:trHeight w:val="510"/>
          <w:tblHeader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4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4"/>
              </w:rPr>
              <w:t>评审要素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4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4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黑体_GBK" w:cs="宋体"/>
                <w:bCs/>
                <w:color w:val="000000"/>
                <w:sz w:val="24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24"/>
              </w:rPr>
              <w:t>评分说明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14173" w:type="dxa"/>
            <w:gridSpan w:val="4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rPr>
                <w:rFonts w:eastAsia="方正黑体_GBK" w:cs="宋体"/>
                <w:b/>
                <w:color w:val="000000"/>
                <w:sz w:val="24"/>
              </w:rPr>
            </w:pPr>
            <w:r>
              <w:rPr>
                <w:rFonts w:eastAsia="方正黑体_GBK" w:cs="宋体" w:hint="eastAsia"/>
                <w:b/>
                <w:color w:val="000000"/>
                <w:kern w:val="0"/>
                <w:sz w:val="24"/>
              </w:rPr>
              <w:t>一、实施方案（</w:t>
            </w:r>
            <w:r>
              <w:rPr>
                <w:rFonts w:eastAsia="方正黑体_GBK" w:cs="宋体" w:hint="eastAsia"/>
                <w:b/>
                <w:color w:val="000000"/>
                <w:kern w:val="0"/>
                <w:sz w:val="24"/>
              </w:rPr>
              <w:t>30</w:t>
            </w:r>
            <w:r>
              <w:rPr>
                <w:rFonts w:eastAsia="方正黑体_GBK" w:cs="宋体" w:hint="eastAsia"/>
                <w:b/>
                <w:color w:val="000000"/>
                <w:kern w:val="0"/>
                <w:sz w:val="24"/>
              </w:rPr>
              <w:t>分）</w:t>
            </w:r>
          </w:p>
        </w:tc>
      </w:tr>
      <w:tr w:rsidR="00E661E9" w:rsidTr="00A44AC4">
        <w:trPr>
          <w:trHeight w:val="22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．资金监管平台建设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搭建教育行政主管部门、镇街管理部门、民办学校、银行多方综合运用平台，具备教育行政监管、民办学校资金存取、分类监管、资金审批划转、数据统计分析等核心功能，能够完全满足《市教育局关于进一步加强民办学校资金监管工作的通知》（锡教发〔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〕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号）中的监管要求，确保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月开学可以投入使用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功能完整度满足要求得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分，每缺少一项核心功能扣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分、不能在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月开学投用扣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分，扣完为止</w:t>
            </w:r>
          </w:p>
        </w:tc>
      </w:tr>
      <w:tr w:rsidR="00E661E9" w:rsidTr="00A44AC4">
        <w:trPr>
          <w:trHeight w:val="120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．风险预警与处置机制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建立完善的资金风险预警系统，能够对异常资金流动、大额资金支出、超预算支出等情况及时预警；制定详细的风险处置预案，明确处置流程和责任分工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预警机制不完善扣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分，无处置预案另扣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分，累计扣分不超过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．资金与数据安全保障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制定严格的资金安全管理制度，确保监管账户资金安全；采用先进的信息技术手段保障数据安全，包括数据加密、备份、灾备等措施，防止数据泄露和篡改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资金安全和数据安全保障措施完善得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分，一项不完善扣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分，扣完为止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14173" w:type="dxa"/>
            <w:gridSpan w:val="4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rPr>
                <w:rFonts w:eastAsia="方正楷体_GBK" w:cs="宋体"/>
                <w:b/>
                <w:color w:val="000000"/>
                <w:sz w:val="24"/>
              </w:rPr>
            </w:pP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二、服务保障（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55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分）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．政务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APP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对接能力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能够对接江阴市政务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APP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（最江阴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APP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）和校园缴费系统服务银行，实现缴费数据与资金监管平台的实时同步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承诺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个月内与校园缴费系统服务银行完成对接并开通得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分，无法对接得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83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lastRenderedPageBreak/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．费用减免措施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对资金监管相关的账户管理费、转账手续费、平台使用费、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APP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缴费服务费等费用给予全面减免优惠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费用全免得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分，部分减免得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分，无减免得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1075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．账户服务效率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为民办学校提供灵活、快捷的账户开设、变更、注销等服务，明确服务时限；提供便捷的账户查询、对账等日常服务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响应时限超过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个工作日扣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分，超过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个工作日扣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分，超过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个工作日扣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152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．资金增值服务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为监管账户资金提供合理的增值服务，如提高存款利率、提供稳健的理财产品等，增加学校资金收益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按折算的年利率从高到低排名，并列名次得分相同，后续名次依次顺延（如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个并列第一则均得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分，下一名直接得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分）</w:t>
            </w:r>
          </w:p>
        </w:tc>
      </w:tr>
      <w:tr w:rsidR="00E661E9" w:rsidTr="00A44AC4">
        <w:trPr>
          <w:trHeight w:val="2675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．对江阴教育支持情况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根据参加遴选银行承诺对江阴教育支持力度得分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Style w:val="font21"/>
                <w:rFonts w:eastAsia="方正楷体_GBK" w:hint="default"/>
              </w:rPr>
              <w:t>按对江阴教育三年的支持资金总额从高到低排名，并列名次得分相同，第一名得</w:t>
            </w:r>
            <w:r>
              <w:rPr>
                <w:rStyle w:val="font21"/>
                <w:rFonts w:eastAsia="方正楷体_GBK" w:hint="default"/>
              </w:rPr>
              <w:t>12</w:t>
            </w:r>
            <w:r>
              <w:rPr>
                <w:rStyle w:val="font21"/>
                <w:rFonts w:eastAsia="方正楷体_GBK" w:hint="default"/>
              </w:rPr>
              <w:t>分，第二名得</w:t>
            </w:r>
            <w:r>
              <w:rPr>
                <w:rStyle w:val="font21"/>
                <w:rFonts w:eastAsia="方正楷体_GBK" w:hint="default"/>
              </w:rPr>
              <w:t>8</w:t>
            </w:r>
            <w:r>
              <w:rPr>
                <w:rStyle w:val="font21"/>
                <w:rFonts w:eastAsia="方正楷体_GBK" w:hint="default"/>
              </w:rPr>
              <w:t>分，第三名得</w:t>
            </w:r>
            <w:r>
              <w:rPr>
                <w:rStyle w:val="font21"/>
                <w:rFonts w:eastAsia="方正楷体_GBK" w:hint="default"/>
              </w:rPr>
              <w:t>6</w:t>
            </w:r>
            <w:r>
              <w:rPr>
                <w:rStyle w:val="font21"/>
                <w:rFonts w:eastAsia="方正楷体_GBK" w:hint="default"/>
              </w:rPr>
              <w:t>分，第四名得</w:t>
            </w:r>
            <w:r>
              <w:rPr>
                <w:rStyle w:val="font21"/>
                <w:rFonts w:eastAsia="方正楷体_GBK" w:hint="default"/>
              </w:rPr>
              <w:t>4</w:t>
            </w:r>
            <w:r>
              <w:rPr>
                <w:rStyle w:val="font21"/>
                <w:rFonts w:eastAsia="方正楷体_GBK" w:hint="default"/>
              </w:rPr>
              <w:t>分，第五名得</w:t>
            </w:r>
            <w:r>
              <w:rPr>
                <w:rStyle w:val="font21"/>
                <w:rFonts w:eastAsia="方正楷体_GBK" w:hint="default"/>
              </w:rPr>
              <w:t>2</w:t>
            </w:r>
            <w:r>
              <w:rPr>
                <w:rStyle w:val="font21"/>
                <w:rFonts w:eastAsia="方正楷体_GBK" w:hint="default"/>
              </w:rPr>
              <w:t>分，第六名及以后排名得</w:t>
            </w:r>
            <w:r>
              <w:rPr>
                <w:rStyle w:val="font21"/>
                <w:rFonts w:eastAsia="方正楷体_GBK" w:hint="default"/>
              </w:rPr>
              <w:t>0</w:t>
            </w:r>
            <w:r>
              <w:rPr>
                <w:rStyle w:val="font21"/>
                <w:rFonts w:eastAsia="方正楷体_GBK" w:hint="default"/>
              </w:rPr>
              <w:t>分；提供</w:t>
            </w:r>
            <w:r>
              <w:rPr>
                <w:rStyle w:val="font21"/>
                <w:rFonts w:eastAsia="方正楷体_GBK" w:hint="default"/>
              </w:rPr>
              <w:t>3</w:t>
            </w:r>
            <w:r>
              <w:rPr>
                <w:rStyle w:val="font21"/>
                <w:rFonts w:eastAsia="方正楷体_GBK" w:hint="default"/>
              </w:rPr>
              <w:t>年对江阴教育的支持方案，方案完整得</w:t>
            </w:r>
            <w:r>
              <w:rPr>
                <w:rStyle w:val="font21"/>
                <w:rFonts w:eastAsia="方正楷体_GBK" w:hint="default"/>
              </w:rPr>
              <w:t>3</w:t>
            </w:r>
            <w:r>
              <w:rPr>
                <w:rStyle w:val="font21"/>
                <w:rFonts w:eastAsia="方正楷体_GBK" w:hint="default"/>
              </w:rPr>
              <w:t>分，方案不完整得</w:t>
            </w:r>
            <w:r>
              <w:rPr>
                <w:rStyle w:val="font21"/>
                <w:rFonts w:eastAsia="方正楷体_GBK" w:hint="default"/>
              </w:rPr>
              <w:t>2</w:t>
            </w:r>
            <w:r>
              <w:rPr>
                <w:rStyle w:val="font21"/>
                <w:rFonts w:eastAsia="方正楷体_GBK" w:hint="default"/>
              </w:rPr>
              <w:t>分，无方案得</w:t>
            </w:r>
            <w:r>
              <w:rPr>
                <w:rStyle w:val="font21"/>
                <w:rFonts w:eastAsia="方正楷体_GBK" w:hint="default"/>
              </w:rPr>
              <w:t>0</w:t>
            </w:r>
            <w:r>
              <w:rPr>
                <w:rStyle w:val="font21"/>
                <w:rFonts w:eastAsia="方正楷体_GBK" w:hint="default"/>
              </w:rPr>
              <w:t>分</w:t>
            </w:r>
          </w:p>
        </w:tc>
      </w:tr>
      <w:tr w:rsidR="00E661E9" w:rsidTr="00A44AC4">
        <w:trPr>
          <w:trHeight w:val="110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．系统升级与优化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制定持续的资金监管平台系统升级迭代计划，及时响应教育主管部门和学校的需求变化；建立常态化的方案优化调整机制，定期评估并改进监管服务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升级计划和优化机制完善得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分，一项不完善扣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．培训与技术支持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制定详细的资金监管平台使用培训计划，为教育主管部门和学校提供全方位的培训服务；建立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小时技术支持体系，及时解决系统使用过程中出现的问题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总行级技术团队支撑、培训计划完善、技术支持到位得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分，一项不完善扣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2-3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14173" w:type="dxa"/>
            <w:gridSpan w:val="4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rPr>
                <w:rFonts w:eastAsia="方正楷体_GBK" w:cs="宋体"/>
                <w:b/>
                <w:color w:val="000000"/>
                <w:sz w:val="24"/>
              </w:rPr>
            </w:pP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三、业绩与资质（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11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分）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lastRenderedPageBreak/>
              <w:t>11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．投标人资质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按投标主体所属银行类型（国有商业银行、全国性股份制商业银行、区域性商业银行）及投标层级（总行、一级分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支行、二级分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支行、三级分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支行）分级赋分，银行类型层级越高、投标主体层级越高，对应得分越高。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 xml:space="preserve">1. 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国有商业银行：总行投标得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分，二级分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分，三级分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分；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br/>
              <w:t xml:space="preserve">2. 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全国性股份制商业银行：总行投标得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分，二级分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分，三级分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分；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br/>
              <w:t xml:space="preserve">3. 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区域性（含地方性）商业银行：总行投标得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分，二级分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分，三级分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支行投标得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分。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银行层级以投标文件提供的金融许可证及总行授权文件为准。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．行业经验与案例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提供的监管平台有自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2023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月起至投标截止日已实际运行满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个月以上的政务监管系统成熟案例。案例归属主体包括投标主体及其所属同一法人银行的各级分支机构，提供成熟案例及证明材料。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根据政务监管系统同类落地案例、产品可直接部署情况得分，市级及以上政务资金监管案例每个得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分，区县级每个得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分，满分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分。案例需提供合同复印件等有效证明材料，同一案例仅可使用一次，不得重复计分。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14173" w:type="dxa"/>
            <w:gridSpan w:val="4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rPr>
                <w:rFonts w:eastAsia="方正楷体_GBK" w:cs="宋体"/>
                <w:b/>
                <w:color w:val="000000"/>
                <w:sz w:val="24"/>
              </w:rPr>
            </w:pP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四、现场阐述（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4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分）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．现场表现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参选银行代表现场阐述清晰、专业，能够准确回答评审专家提出的问题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color w:val="000000"/>
                <w:sz w:val="24"/>
              </w:rPr>
            </w:pP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表现优秀得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分，良好得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分，一般得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1-2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分，差得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eastAsia="方正楷体_GBK" w:cs="宋体" w:hint="eastAsia"/>
                <w:color w:val="000000"/>
                <w:kern w:val="0"/>
                <w:sz w:val="24"/>
              </w:rPr>
              <w:t>分。</w:t>
            </w:r>
          </w:p>
        </w:tc>
      </w:tr>
      <w:tr w:rsidR="00E661E9" w:rsidTr="00A44AC4">
        <w:trPr>
          <w:trHeight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left"/>
              <w:textAlignment w:val="center"/>
              <w:rPr>
                <w:rFonts w:eastAsia="方正楷体_GBK" w:cs="宋体"/>
                <w:b/>
                <w:color w:val="000000"/>
                <w:sz w:val="24"/>
              </w:rPr>
            </w:pP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rPr>
                <w:rFonts w:eastAsia="方正楷体_GBK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宋体"/>
                <w:b/>
                <w:color w:val="000000"/>
                <w:sz w:val="24"/>
              </w:rPr>
            </w:pP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100</w:t>
            </w:r>
            <w:r>
              <w:rPr>
                <w:rFonts w:eastAsia="方正楷体_GBK" w:cs="宋体" w:hint="eastAsia"/>
                <w:b/>
                <w:color w:val="000000"/>
                <w:kern w:val="0"/>
                <w:sz w:val="24"/>
              </w:rPr>
              <w:t>分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E661E9" w:rsidRDefault="00E661E9" w:rsidP="00A44AC4">
            <w:pPr>
              <w:widowControl/>
              <w:spacing w:line="320" w:lineRule="exact"/>
              <w:rPr>
                <w:rFonts w:eastAsia="方正楷体_GBK" w:cs="宋体"/>
                <w:b/>
                <w:color w:val="000000"/>
                <w:sz w:val="24"/>
              </w:rPr>
            </w:pPr>
          </w:p>
        </w:tc>
      </w:tr>
    </w:tbl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40" w:lineRule="exact"/>
        <w:rPr>
          <w:rFonts w:eastAsia="方正小标宋_GBK"/>
          <w:color w:val="000000"/>
          <w:sz w:val="44"/>
          <w:szCs w:val="32"/>
        </w:rPr>
      </w:pP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/>
          <w:color w:val="000000"/>
          <w:sz w:val="24"/>
          <w:szCs w:val="32"/>
        </w:rPr>
        <w:t>评分说明</w:t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>：</w:t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/>
          <w:color w:val="000000"/>
          <w:sz w:val="24"/>
          <w:szCs w:val="32"/>
        </w:rPr>
        <w:t>1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评审采用百分制，各项得分相加即为最终得分。</w:t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ab/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lastRenderedPageBreak/>
        <w:t>2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评审专家根据参选银行的实际情况，按照评审标准进行客观评分。</w:t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ab/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t>3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在所有评分项后明确需要提供的佐证材料（如案例需提供合同复印件、对接能力需提供接口文档等），若参选银行在某一项评审要素中没有相关内容或未提供证明材料，该项得分为</w:t>
      </w:r>
      <w:r>
        <w:rPr>
          <w:rFonts w:eastAsia="方正楷体_GBK"/>
          <w:color w:val="000000"/>
          <w:sz w:val="24"/>
          <w:szCs w:val="32"/>
        </w:rPr>
        <w:t>0</w:t>
      </w:r>
      <w:r>
        <w:rPr>
          <w:rFonts w:eastAsia="方正楷体_GBK"/>
          <w:color w:val="000000"/>
          <w:sz w:val="24"/>
          <w:szCs w:val="32"/>
        </w:rPr>
        <w:t>分。提供虚假材料一票否决。</w:t>
      </w:r>
      <w:r>
        <w:rPr>
          <w:rFonts w:eastAsia="方正楷体_GBK"/>
          <w:color w:val="000000"/>
          <w:sz w:val="24"/>
          <w:szCs w:val="32"/>
        </w:rPr>
        <w:tab/>
      </w:r>
      <w:r>
        <w:rPr>
          <w:rFonts w:eastAsia="方正楷体_GBK"/>
          <w:color w:val="000000"/>
          <w:sz w:val="24"/>
          <w:szCs w:val="32"/>
        </w:rPr>
        <w:tab/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t>4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近三年内受到金融监管部门重大行政处罚、发生过重大资金安全事故、被列入失信被执行人名单等情形之一者，一票否决。</w:t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t>5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最终得分相同的情况下，优先选择政务</w:t>
      </w:r>
      <w:r>
        <w:rPr>
          <w:rFonts w:eastAsia="方正楷体_GBK"/>
          <w:color w:val="000000"/>
          <w:sz w:val="24"/>
          <w:szCs w:val="32"/>
        </w:rPr>
        <w:t>APP</w:t>
      </w:r>
      <w:r>
        <w:rPr>
          <w:rFonts w:eastAsia="方正楷体_GBK"/>
          <w:color w:val="000000"/>
          <w:sz w:val="24"/>
          <w:szCs w:val="32"/>
        </w:rPr>
        <w:t>对接能力强、缴费渠道丰富、费用减免力度大的银行。</w:t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楷体_GBK"/>
          <w:color w:val="000000"/>
          <w:sz w:val="2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t>6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评分过程全程接受监督，确保公平、公正、公开。</w:t>
      </w:r>
    </w:p>
    <w:p w:rsidR="00E661E9" w:rsidRDefault="00E661E9" w:rsidP="00E661E9">
      <w:pPr>
        <w:adjustRightInd w:val="0"/>
        <w:spacing w:line="320" w:lineRule="exact"/>
        <w:ind w:firstLineChars="200" w:firstLine="472"/>
        <w:rPr>
          <w:rFonts w:eastAsia="方正小标宋_GBK"/>
          <w:color w:val="000000"/>
          <w:sz w:val="44"/>
          <w:szCs w:val="32"/>
        </w:rPr>
      </w:pPr>
      <w:r>
        <w:rPr>
          <w:rFonts w:eastAsia="方正楷体_GBK" w:hint="eastAsia"/>
          <w:color w:val="000000"/>
          <w:sz w:val="24"/>
          <w:szCs w:val="32"/>
        </w:rPr>
        <w:t>7</w:t>
      </w:r>
      <w:r>
        <w:rPr>
          <w:rFonts w:eastAsia="方正楷体_GBK" w:cs="宋体" w:hint="eastAsia"/>
          <w:color w:val="000000"/>
          <w:kern w:val="0"/>
          <w:sz w:val="24"/>
        </w:rPr>
        <w:t>．</w:t>
      </w:r>
      <w:r>
        <w:rPr>
          <w:rFonts w:eastAsia="方正楷体_GBK"/>
          <w:color w:val="000000"/>
          <w:sz w:val="24"/>
          <w:szCs w:val="32"/>
        </w:rPr>
        <w:t>本评分标准最终解释权归江阴市教育局所有</w:t>
      </w:r>
      <w:r>
        <w:rPr>
          <w:rFonts w:eastAsia="方正楷体_GBK" w:hint="eastAsia"/>
          <w:color w:val="000000"/>
          <w:sz w:val="24"/>
          <w:szCs w:val="32"/>
        </w:rPr>
        <w:t>。</w:t>
      </w:r>
    </w:p>
    <w:p w:rsidR="00C05C37" w:rsidRDefault="00C05C37">
      <w:bookmarkStart w:id="0" w:name="_GoBack"/>
      <w:bookmarkEnd w:id="0"/>
    </w:p>
    <w:sectPr w:rsidR="00C05C37" w:rsidSect="00494BA1">
      <w:pgSz w:w="16838" w:h="11906" w:orient="landscape"/>
      <w:pgMar w:top="1417" w:right="1417" w:bottom="1134" w:left="1417" w:header="851" w:footer="992" w:gutter="0"/>
      <w:cols w:space="0"/>
      <w:docGrid w:type="linesAndChars" w:linePitch="58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DF"/>
    <w:rsid w:val="006C48DF"/>
    <w:rsid w:val="00C05C37"/>
    <w:rsid w:val="00E6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E9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E661E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E9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E661E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2026-06-01T06:18:00Z</dcterms:created>
  <dcterms:modified xsi:type="dcterms:W3CDTF">2026-06-01T06:19:00Z</dcterms:modified>
</cp:coreProperties>
</file>